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33C1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33C1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33C1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33C1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33C1B"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33C1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33C1B"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D332B" w:rsidP="00F0068D">
      <w:pPr>
        <w:pBdr>
          <w:bottom w:val="single" w:sz="6" w:space="1" w:color="auto"/>
        </w:pBdr>
        <w:tabs>
          <w:tab w:val="center" w:pos="4680"/>
          <w:tab w:val="right" w:pos="9360"/>
        </w:tabs>
        <w:rPr>
          <w:lang w:val="fr-CA"/>
        </w:rPr>
      </w:pPr>
      <w:r>
        <w:rPr>
          <w:lang w:val="fr-CA"/>
        </w:rPr>
        <w:t>September 20,</w:t>
      </w:r>
      <w:r w:rsidR="00440E24" w:rsidRPr="00675479">
        <w:rPr>
          <w:lang w:val="fr-CA"/>
        </w:rPr>
        <w:t xml:space="preserve"> 201</w:t>
      </w:r>
      <w:r w:rsidR="004317DE">
        <w:rPr>
          <w:lang w:val="fr-CA"/>
        </w:rPr>
        <w:t>9</w:t>
      </w:r>
      <w:r w:rsidR="00F0068D" w:rsidRPr="00675479">
        <w:rPr>
          <w:lang w:val="fr-CA"/>
        </w:rPr>
        <w:tab/>
        <w:t xml:space="preserve">1 - </w:t>
      </w:r>
      <w:r w:rsidR="00DC569E">
        <w:rPr>
          <w:lang w:val="fr-CA"/>
        </w:rPr>
        <w:t>11</w:t>
      </w:r>
      <w:r w:rsidR="00440E24" w:rsidRPr="00675479">
        <w:rPr>
          <w:lang w:val="fr-CA"/>
        </w:rPr>
        <w:tab/>
      </w:r>
      <w:r w:rsidR="00440E24" w:rsidRPr="002E2327">
        <w:rPr>
          <w:lang w:val="fr-CA"/>
        </w:rPr>
        <w:t>Le</w:t>
      </w:r>
      <w:r w:rsidR="00C73D06">
        <w:rPr>
          <w:lang w:val="fr-CA"/>
        </w:rPr>
        <w:t xml:space="preserve"> </w:t>
      </w:r>
      <w:r>
        <w:rPr>
          <w:lang w:val="fr-CA"/>
        </w:rPr>
        <w:t>20 septembre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9204CD"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9863878" w:history="1">
            <w:r w:rsidR="009204CD" w:rsidRPr="00E30BDC">
              <w:rPr>
                <w:rStyle w:val="Hyperlink"/>
                <w:noProof/>
                <w:lang w:val="fr-CA"/>
              </w:rPr>
              <w:t xml:space="preserve">Applications for leave submitted to the Court since the last issue / </w:t>
            </w:r>
            <w:r w:rsidR="009204CD">
              <w:rPr>
                <w:rStyle w:val="Hyperlink"/>
                <w:noProof/>
                <w:lang w:val="fr-CA"/>
              </w:rPr>
              <w:br/>
            </w:r>
            <w:r w:rsidR="009204CD" w:rsidRPr="00E30BDC">
              <w:rPr>
                <w:rStyle w:val="Hyperlink"/>
                <w:noProof/>
                <w:lang w:val="fr-CA"/>
              </w:rPr>
              <w:t>Demandes soumises à la Cour depuis la dernière parution</w:t>
            </w:r>
            <w:r w:rsidR="009204CD">
              <w:rPr>
                <w:noProof/>
                <w:webHidden/>
              </w:rPr>
              <w:tab/>
            </w:r>
            <w:r w:rsidR="009204CD">
              <w:rPr>
                <w:noProof/>
                <w:webHidden/>
              </w:rPr>
              <w:fldChar w:fldCharType="begin"/>
            </w:r>
            <w:r w:rsidR="009204CD">
              <w:rPr>
                <w:noProof/>
                <w:webHidden/>
              </w:rPr>
              <w:instrText xml:space="preserve"> PAGEREF _Toc19863878 \h </w:instrText>
            </w:r>
            <w:r w:rsidR="009204CD">
              <w:rPr>
                <w:noProof/>
                <w:webHidden/>
              </w:rPr>
            </w:r>
            <w:r w:rsidR="009204CD">
              <w:rPr>
                <w:noProof/>
                <w:webHidden/>
              </w:rPr>
              <w:fldChar w:fldCharType="separate"/>
            </w:r>
            <w:r w:rsidR="009204CD">
              <w:rPr>
                <w:noProof/>
                <w:webHidden/>
              </w:rPr>
              <w:t>3</w:t>
            </w:r>
            <w:r w:rsidR="009204CD">
              <w:rPr>
                <w:noProof/>
                <w:webHidden/>
              </w:rPr>
              <w:fldChar w:fldCharType="end"/>
            </w:r>
          </w:hyperlink>
        </w:p>
        <w:p w:rsidR="009204CD" w:rsidRDefault="001E07E1">
          <w:pPr>
            <w:pStyle w:val="TOC1"/>
            <w:tabs>
              <w:tab w:val="right" w:leader="dot" w:pos="9638"/>
            </w:tabs>
            <w:rPr>
              <w:rFonts w:asciiTheme="minorHAnsi" w:eastAsiaTheme="minorEastAsia" w:hAnsiTheme="minorHAnsi"/>
              <w:noProof/>
              <w:sz w:val="22"/>
              <w:lang w:val="en-US"/>
            </w:rPr>
          </w:pPr>
          <w:hyperlink w:anchor="_Toc19863879" w:history="1">
            <w:r w:rsidR="009204CD" w:rsidRPr="00E30BDC">
              <w:rPr>
                <w:rStyle w:val="Hyperlink"/>
                <w:noProof/>
                <w:lang w:val="fr-CA"/>
              </w:rPr>
              <w:t>Judgments on applications for leave /  Jugements rendus sur les demandes d’autorisation</w:t>
            </w:r>
            <w:r w:rsidR="009204CD">
              <w:rPr>
                <w:noProof/>
                <w:webHidden/>
              </w:rPr>
              <w:tab/>
            </w:r>
            <w:r w:rsidR="009204CD">
              <w:rPr>
                <w:noProof/>
                <w:webHidden/>
              </w:rPr>
              <w:fldChar w:fldCharType="begin"/>
            </w:r>
            <w:r w:rsidR="009204CD">
              <w:rPr>
                <w:noProof/>
                <w:webHidden/>
              </w:rPr>
              <w:instrText xml:space="preserve"> PAGEREF _Toc19863879 \h </w:instrText>
            </w:r>
            <w:r w:rsidR="009204CD">
              <w:rPr>
                <w:noProof/>
                <w:webHidden/>
              </w:rPr>
            </w:r>
            <w:r w:rsidR="009204CD">
              <w:rPr>
                <w:noProof/>
                <w:webHidden/>
              </w:rPr>
              <w:fldChar w:fldCharType="separate"/>
            </w:r>
            <w:r w:rsidR="009204CD">
              <w:rPr>
                <w:noProof/>
                <w:webHidden/>
              </w:rPr>
              <w:t>5</w:t>
            </w:r>
            <w:r w:rsidR="009204CD">
              <w:rPr>
                <w:noProof/>
                <w:webHidden/>
              </w:rPr>
              <w:fldChar w:fldCharType="end"/>
            </w:r>
          </w:hyperlink>
        </w:p>
        <w:p w:rsidR="009204CD" w:rsidRDefault="001E07E1">
          <w:pPr>
            <w:pStyle w:val="TOC1"/>
            <w:tabs>
              <w:tab w:val="right" w:leader="dot" w:pos="9638"/>
            </w:tabs>
            <w:rPr>
              <w:rFonts w:asciiTheme="minorHAnsi" w:eastAsiaTheme="minorEastAsia" w:hAnsiTheme="minorHAnsi"/>
              <w:noProof/>
              <w:sz w:val="22"/>
              <w:lang w:val="en-US"/>
            </w:rPr>
          </w:pPr>
          <w:hyperlink w:anchor="_Toc19863880" w:history="1">
            <w:r w:rsidR="009204CD" w:rsidRPr="00E30BDC">
              <w:rPr>
                <w:rStyle w:val="Hyperlink"/>
                <w:noProof/>
              </w:rPr>
              <w:t xml:space="preserve">Notices of appeal filed since the last issue /  </w:t>
            </w:r>
            <w:r w:rsidR="009204CD" w:rsidRPr="00E30BDC">
              <w:rPr>
                <w:rStyle w:val="Hyperlink"/>
                <w:noProof/>
                <w:lang w:val="fr-CA"/>
              </w:rPr>
              <w:t>Avis d’appel déposés depuis la dernière parution</w:t>
            </w:r>
            <w:r w:rsidR="009204CD">
              <w:rPr>
                <w:noProof/>
                <w:webHidden/>
              </w:rPr>
              <w:tab/>
            </w:r>
            <w:r w:rsidR="009204CD">
              <w:rPr>
                <w:noProof/>
                <w:webHidden/>
              </w:rPr>
              <w:fldChar w:fldCharType="begin"/>
            </w:r>
            <w:r w:rsidR="009204CD">
              <w:rPr>
                <w:noProof/>
                <w:webHidden/>
              </w:rPr>
              <w:instrText xml:space="preserve"> PAGEREF _Toc19863880 \h </w:instrText>
            </w:r>
            <w:r w:rsidR="009204CD">
              <w:rPr>
                <w:noProof/>
                <w:webHidden/>
              </w:rPr>
            </w:r>
            <w:r w:rsidR="009204CD">
              <w:rPr>
                <w:noProof/>
                <w:webHidden/>
              </w:rPr>
              <w:fldChar w:fldCharType="separate"/>
            </w:r>
            <w:r w:rsidR="009204CD">
              <w:rPr>
                <w:noProof/>
                <w:webHidden/>
              </w:rPr>
              <w:t>9</w:t>
            </w:r>
            <w:r w:rsidR="009204CD">
              <w:rPr>
                <w:noProof/>
                <w:webHidden/>
              </w:rPr>
              <w:fldChar w:fldCharType="end"/>
            </w:r>
          </w:hyperlink>
        </w:p>
        <w:p w:rsidR="009204CD" w:rsidRDefault="001E07E1">
          <w:pPr>
            <w:pStyle w:val="TOC1"/>
            <w:tabs>
              <w:tab w:val="right" w:leader="dot" w:pos="9638"/>
            </w:tabs>
            <w:rPr>
              <w:rFonts w:asciiTheme="minorHAnsi" w:eastAsiaTheme="minorEastAsia" w:hAnsiTheme="minorHAnsi"/>
              <w:noProof/>
              <w:sz w:val="22"/>
              <w:lang w:val="en-US"/>
            </w:rPr>
          </w:pPr>
          <w:hyperlink w:anchor="_Toc19863881" w:history="1">
            <w:r w:rsidR="009204CD" w:rsidRPr="00E30BDC">
              <w:rPr>
                <w:rStyle w:val="Hyperlink"/>
                <w:noProof/>
                <w:lang w:val="fr-CA"/>
              </w:rPr>
              <w:t>Pronouncements of reserved appeals /  Jugements rendus sur les appels en délibéré</w:t>
            </w:r>
            <w:r w:rsidR="009204CD">
              <w:rPr>
                <w:noProof/>
                <w:webHidden/>
              </w:rPr>
              <w:tab/>
            </w:r>
            <w:r w:rsidR="009204CD">
              <w:rPr>
                <w:noProof/>
                <w:webHidden/>
              </w:rPr>
              <w:fldChar w:fldCharType="begin"/>
            </w:r>
            <w:r w:rsidR="009204CD">
              <w:rPr>
                <w:noProof/>
                <w:webHidden/>
              </w:rPr>
              <w:instrText xml:space="preserve"> PAGEREF _Toc19863881 \h </w:instrText>
            </w:r>
            <w:r w:rsidR="009204CD">
              <w:rPr>
                <w:noProof/>
                <w:webHidden/>
              </w:rPr>
            </w:r>
            <w:r w:rsidR="009204CD">
              <w:rPr>
                <w:noProof/>
                <w:webHidden/>
              </w:rPr>
              <w:fldChar w:fldCharType="separate"/>
            </w:r>
            <w:r w:rsidR="009204CD">
              <w:rPr>
                <w:noProof/>
                <w:webHidden/>
              </w:rPr>
              <w:t>10</w:t>
            </w:r>
            <w:r w:rsidR="009204CD">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9204C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693C38" w:rsidRPr="00634F42" w:rsidRDefault="00DD0BDC" w:rsidP="00567602">
      <w:pPr>
        <w:pStyle w:val="Header1StyleE"/>
        <w:pBdr>
          <w:bottom w:val="single" w:sz="12" w:space="1" w:color="auto"/>
        </w:pBdr>
        <w:rPr>
          <w:lang w:val="fr-CA"/>
        </w:rPr>
      </w:pPr>
      <w:bookmarkStart w:id="0" w:name="_Toc19863878"/>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0"/>
    </w:p>
    <w:p w:rsidR="00FB1DB6" w:rsidRPr="00634F42" w:rsidRDefault="00FB1DB6" w:rsidP="00FB1DB6">
      <w:pPr>
        <w:rPr>
          <w:lang w:val="fr-CA" w:eastAsia="en-CA"/>
        </w:rPr>
      </w:pPr>
    </w:p>
    <w:p w:rsidR="00102792" w:rsidRDefault="00D34371" w:rsidP="00102792">
      <w:pPr>
        <w:widowControl w:val="0"/>
        <w:rPr>
          <w:b/>
          <w:sz w:val="20"/>
          <w:szCs w:val="20"/>
          <w:lang w:val="fr-CA"/>
        </w:rPr>
      </w:pPr>
      <w:r>
        <w:rPr>
          <w:b/>
          <w:sz w:val="20"/>
          <w:szCs w:val="20"/>
          <w:lang w:val="fr-CA"/>
        </w:rPr>
        <w:t>SEPTEMBER 16</w:t>
      </w:r>
      <w:r w:rsidR="00102792" w:rsidRPr="00FE63F2">
        <w:rPr>
          <w:b/>
          <w:sz w:val="20"/>
          <w:szCs w:val="20"/>
          <w:lang w:val="fr-CA"/>
        </w:rPr>
        <w:t xml:space="preserve">, </w:t>
      </w:r>
      <w:r w:rsidR="0034657E">
        <w:rPr>
          <w:b/>
          <w:sz w:val="20"/>
          <w:szCs w:val="20"/>
          <w:lang w:val="fr-CA"/>
        </w:rPr>
        <w:t>2019</w:t>
      </w:r>
      <w:r w:rsidR="00102792" w:rsidRPr="00FE63F2">
        <w:rPr>
          <w:b/>
          <w:sz w:val="20"/>
          <w:szCs w:val="20"/>
          <w:lang w:val="fr-CA"/>
        </w:rPr>
        <w:t xml:space="preserve"> / LE</w:t>
      </w:r>
      <w:r>
        <w:rPr>
          <w:b/>
          <w:sz w:val="20"/>
          <w:szCs w:val="20"/>
          <w:lang w:val="fr-CA"/>
        </w:rPr>
        <w:t xml:space="preserve"> 16 SEPTEMBRE</w:t>
      </w:r>
      <w:r w:rsidR="00102792" w:rsidRPr="00FE63F2">
        <w:rPr>
          <w:b/>
          <w:sz w:val="20"/>
          <w:szCs w:val="20"/>
          <w:lang w:val="fr-CA"/>
        </w:rPr>
        <w:t xml:space="preserve"> </w:t>
      </w:r>
      <w:r w:rsidR="0034657E">
        <w:rPr>
          <w:b/>
          <w:sz w:val="20"/>
          <w:szCs w:val="20"/>
          <w:lang w:val="fr-CA"/>
        </w:rPr>
        <w:t>2019</w:t>
      </w:r>
    </w:p>
    <w:p w:rsidR="00215574" w:rsidRPr="00FE63F2"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D34371" w:rsidRPr="009204CD" w:rsidTr="009204CD">
        <w:trPr>
          <w:cantSplit/>
        </w:trPr>
        <w:tc>
          <w:tcPr>
            <w:tcW w:w="508" w:type="dxa"/>
          </w:tcPr>
          <w:p w:rsidR="00D34371" w:rsidRPr="00D34371" w:rsidRDefault="00D34371" w:rsidP="009204CD">
            <w:pPr>
              <w:rPr>
                <w:sz w:val="20"/>
                <w:szCs w:val="20"/>
                <w:lang w:val="fr-CA"/>
              </w:rPr>
            </w:pPr>
          </w:p>
        </w:tc>
        <w:tc>
          <w:tcPr>
            <w:tcW w:w="810" w:type="dxa"/>
          </w:tcPr>
          <w:p w:rsidR="00D34371" w:rsidRPr="00D34371" w:rsidRDefault="00D34371" w:rsidP="009204CD">
            <w:pPr>
              <w:rPr>
                <w:sz w:val="20"/>
                <w:szCs w:val="20"/>
                <w:lang w:val="fr-CA"/>
              </w:rPr>
            </w:pPr>
          </w:p>
        </w:tc>
        <w:tc>
          <w:tcPr>
            <w:tcW w:w="8258" w:type="dxa"/>
            <w:gridSpan w:val="3"/>
          </w:tcPr>
          <w:p w:rsidR="00D34371" w:rsidRPr="00D34371" w:rsidRDefault="00D34371" w:rsidP="00D34371">
            <w:pPr>
              <w:widowControl w:val="0"/>
              <w:jc w:val="center"/>
              <w:rPr>
                <w:b/>
                <w:sz w:val="20"/>
                <w:szCs w:val="20"/>
              </w:rPr>
            </w:pPr>
            <w:r w:rsidRPr="00D34371">
              <w:rPr>
                <w:b/>
                <w:sz w:val="20"/>
                <w:szCs w:val="20"/>
              </w:rPr>
              <w:t>CORAM:  Chief Justice Wagner and Rowe and Kasirer JJ.</w:t>
            </w:r>
          </w:p>
          <w:p w:rsidR="00D34371" w:rsidRPr="00D34371" w:rsidRDefault="00D34371" w:rsidP="00D34371">
            <w:pPr>
              <w:widowControl w:val="0"/>
              <w:jc w:val="center"/>
              <w:rPr>
                <w:b/>
                <w:sz w:val="20"/>
                <w:szCs w:val="20"/>
                <w:lang w:val="fr-CA"/>
              </w:rPr>
            </w:pPr>
            <w:r w:rsidRPr="00D34371">
              <w:rPr>
                <w:b/>
                <w:sz w:val="20"/>
                <w:szCs w:val="20"/>
                <w:lang w:val="fr-CA"/>
              </w:rPr>
              <w:t>Le juge en chef Wagner et les juges Rowe et Kasirer</w:t>
            </w:r>
          </w:p>
        </w:tc>
      </w:tr>
      <w:tr w:rsidR="00D34371" w:rsidTr="009204CD">
        <w:trPr>
          <w:cantSplit/>
        </w:trPr>
        <w:tc>
          <w:tcPr>
            <w:tcW w:w="508" w:type="dxa"/>
          </w:tcPr>
          <w:p w:rsidR="00D34371" w:rsidRPr="00D34371" w:rsidRDefault="00D34371" w:rsidP="009204CD">
            <w:pPr>
              <w:rPr>
                <w:sz w:val="20"/>
                <w:szCs w:val="20"/>
                <w:lang w:val="fr-CA"/>
              </w:rPr>
            </w:pPr>
          </w:p>
        </w:tc>
        <w:tc>
          <w:tcPr>
            <w:tcW w:w="810" w:type="dxa"/>
          </w:tcPr>
          <w:p w:rsidR="00D34371" w:rsidRPr="00D34371" w:rsidRDefault="00D34371" w:rsidP="009204CD">
            <w:pPr>
              <w:rPr>
                <w:sz w:val="20"/>
                <w:szCs w:val="20"/>
                <w:lang w:val="fr-CA"/>
              </w:rPr>
            </w:pPr>
          </w:p>
        </w:tc>
        <w:tc>
          <w:tcPr>
            <w:tcW w:w="4050" w:type="dxa"/>
          </w:tcPr>
          <w:p w:rsidR="00D34371" w:rsidRPr="00D34371" w:rsidRDefault="00D34371" w:rsidP="009204CD">
            <w:pPr>
              <w:pStyle w:val="SCCAppellantInfoTypeOfCase"/>
              <w:rPr>
                <w:sz w:val="20"/>
                <w:szCs w:val="20"/>
              </w:rPr>
            </w:pPr>
            <w:r w:rsidRPr="00D34371">
              <w:rPr>
                <w:sz w:val="20"/>
                <w:szCs w:val="20"/>
              </w:rPr>
              <w:t>Criminal / Criminelle</w:t>
            </w:r>
          </w:p>
        </w:tc>
        <w:tc>
          <w:tcPr>
            <w:tcW w:w="360" w:type="dxa"/>
          </w:tcPr>
          <w:p w:rsidR="00D34371" w:rsidRPr="00D34371" w:rsidRDefault="00D34371" w:rsidP="009204CD">
            <w:pPr>
              <w:rPr>
                <w:sz w:val="20"/>
                <w:szCs w:val="20"/>
              </w:rPr>
            </w:pPr>
          </w:p>
        </w:tc>
        <w:tc>
          <w:tcPr>
            <w:tcW w:w="3848" w:type="dxa"/>
          </w:tcPr>
          <w:p w:rsidR="00D34371" w:rsidRPr="00D34371" w:rsidRDefault="00D34371" w:rsidP="009204CD">
            <w:pPr>
              <w:rPr>
                <w:sz w:val="20"/>
                <w:szCs w:val="20"/>
              </w:rPr>
            </w:pPr>
          </w:p>
        </w:tc>
      </w:tr>
      <w:tr w:rsidR="0053618C" w:rsidTr="009204CD">
        <w:trPr>
          <w:cantSplit/>
        </w:trPr>
        <w:tc>
          <w:tcPr>
            <w:tcW w:w="508" w:type="dxa"/>
          </w:tcPr>
          <w:p w:rsidR="0053618C" w:rsidRPr="0053618C" w:rsidRDefault="0053618C" w:rsidP="0053618C">
            <w:pPr>
              <w:rPr>
                <w:sz w:val="20"/>
              </w:rPr>
            </w:pPr>
            <w:r w:rsidRPr="0053618C">
              <w:rPr>
                <w:sz w:val="20"/>
              </w:rPr>
              <w:t>1.</w:t>
            </w:r>
          </w:p>
        </w:tc>
        <w:tc>
          <w:tcPr>
            <w:tcW w:w="810" w:type="dxa"/>
          </w:tcPr>
          <w:p w:rsidR="0053618C" w:rsidRPr="0053618C" w:rsidRDefault="0053618C" w:rsidP="0053618C">
            <w:pPr>
              <w:rPr>
                <w:sz w:val="20"/>
              </w:rPr>
            </w:pPr>
            <w:r w:rsidRPr="0053618C">
              <w:rPr>
                <w:sz w:val="20"/>
              </w:rPr>
              <w:t>38734</w:t>
            </w:r>
          </w:p>
        </w:tc>
        <w:tc>
          <w:tcPr>
            <w:tcW w:w="4050" w:type="dxa"/>
          </w:tcPr>
          <w:p w:rsidR="0053618C" w:rsidRPr="0053618C" w:rsidRDefault="0053618C" w:rsidP="0053618C">
            <w:pPr>
              <w:pStyle w:val="SCCAppellantInfoAppellantInfo"/>
              <w:rPr>
                <w:sz w:val="20"/>
              </w:rPr>
            </w:pPr>
            <w:r w:rsidRPr="0053618C">
              <w:rPr>
                <w:sz w:val="20"/>
              </w:rPr>
              <w:t>Her Majesty the Queen</w:t>
            </w:r>
          </w:p>
          <w:p w:rsidR="0053618C" w:rsidRPr="0053618C" w:rsidRDefault="0053618C" w:rsidP="0053618C">
            <w:pPr>
              <w:pStyle w:val="SCCAppellantInfoAppellantInfo"/>
              <w:rPr>
                <w:sz w:val="20"/>
              </w:rPr>
            </w:pPr>
            <w:r w:rsidRPr="0053618C">
              <w:rPr>
                <w:sz w:val="20"/>
              </w:rPr>
              <w:t>(B.C.) (Criminal)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Richard Lee Desautel</w:t>
            </w:r>
          </w:p>
        </w:tc>
      </w:tr>
      <w:tr w:rsidR="0053618C" w:rsidTr="009204CD">
        <w:trPr>
          <w:cantSplit/>
        </w:trPr>
        <w:tc>
          <w:tcPr>
            <w:tcW w:w="508" w:type="dxa"/>
          </w:tcPr>
          <w:p w:rsidR="0053618C" w:rsidRPr="0053618C" w:rsidRDefault="0053618C" w:rsidP="0053618C">
            <w:pPr>
              <w:rPr>
                <w:sz w:val="20"/>
              </w:rPr>
            </w:pPr>
            <w:r w:rsidRPr="0053618C">
              <w:rPr>
                <w:sz w:val="20"/>
              </w:rPr>
              <w:t>2.</w:t>
            </w:r>
          </w:p>
        </w:tc>
        <w:tc>
          <w:tcPr>
            <w:tcW w:w="810" w:type="dxa"/>
          </w:tcPr>
          <w:p w:rsidR="0053618C" w:rsidRPr="0053618C" w:rsidRDefault="0053618C" w:rsidP="0053618C">
            <w:pPr>
              <w:rPr>
                <w:sz w:val="20"/>
              </w:rPr>
            </w:pPr>
            <w:r w:rsidRPr="0053618C">
              <w:rPr>
                <w:sz w:val="20"/>
              </w:rPr>
              <w:t>38685</w:t>
            </w:r>
          </w:p>
        </w:tc>
        <w:tc>
          <w:tcPr>
            <w:tcW w:w="4050" w:type="dxa"/>
          </w:tcPr>
          <w:p w:rsidR="0053618C" w:rsidRPr="0053618C" w:rsidRDefault="0053618C" w:rsidP="0053618C">
            <w:pPr>
              <w:pStyle w:val="SCCAppellantInfoAppellantInfo"/>
              <w:rPr>
                <w:sz w:val="20"/>
                <w:lang w:val="fr-CA"/>
              </w:rPr>
            </w:pPr>
            <w:r w:rsidRPr="0053618C">
              <w:rPr>
                <w:sz w:val="20"/>
                <w:lang w:val="fr-CA"/>
              </w:rPr>
              <w:t>Jaden Joshua Omeasoo, et al.</w:t>
            </w:r>
          </w:p>
          <w:p w:rsidR="0053618C" w:rsidRPr="0053618C" w:rsidRDefault="0053618C" w:rsidP="0053618C">
            <w:pPr>
              <w:pStyle w:val="SCCAppellantInfoAppellantInfo"/>
              <w:rPr>
                <w:sz w:val="20"/>
              </w:rPr>
            </w:pPr>
            <w:r w:rsidRPr="0053618C">
              <w:rPr>
                <w:sz w:val="20"/>
              </w:rPr>
              <w:t>(Man.) (Criminal)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Her Majesty the Queen</w:t>
            </w:r>
          </w:p>
        </w:tc>
      </w:tr>
      <w:tr w:rsidR="0053618C" w:rsidTr="009204CD">
        <w:trPr>
          <w:cantSplit/>
        </w:trPr>
        <w:tc>
          <w:tcPr>
            <w:tcW w:w="508" w:type="dxa"/>
          </w:tcPr>
          <w:p w:rsidR="0053618C" w:rsidRPr="0053618C" w:rsidRDefault="0053618C" w:rsidP="0053618C">
            <w:pPr>
              <w:rPr>
                <w:sz w:val="20"/>
              </w:rPr>
            </w:pPr>
          </w:p>
        </w:tc>
        <w:tc>
          <w:tcPr>
            <w:tcW w:w="810" w:type="dxa"/>
          </w:tcPr>
          <w:p w:rsidR="0053618C" w:rsidRPr="0053618C" w:rsidRDefault="0053618C" w:rsidP="0053618C">
            <w:pPr>
              <w:rPr>
                <w:sz w:val="20"/>
              </w:rPr>
            </w:pPr>
          </w:p>
        </w:tc>
        <w:tc>
          <w:tcPr>
            <w:tcW w:w="4050" w:type="dxa"/>
          </w:tcPr>
          <w:p w:rsidR="0053618C" w:rsidRPr="0053618C" w:rsidRDefault="0053618C" w:rsidP="0053618C">
            <w:pPr>
              <w:pStyle w:val="SCCAppellantInfoTypeOfCase"/>
              <w:rPr>
                <w:sz w:val="20"/>
              </w:rPr>
            </w:pPr>
            <w:r w:rsidRPr="0053618C">
              <w:rPr>
                <w:sz w:val="20"/>
              </w:rPr>
              <w:t>Civil / Civile</w:t>
            </w:r>
          </w:p>
        </w:tc>
        <w:tc>
          <w:tcPr>
            <w:tcW w:w="360" w:type="dxa"/>
          </w:tcPr>
          <w:p w:rsidR="0053618C" w:rsidRPr="0053618C" w:rsidRDefault="0053618C" w:rsidP="0053618C">
            <w:pPr>
              <w:rPr>
                <w:sz w:val="20"/>
              </w:rPr>
            </w:pPr>
          </w:p>
        </w:tc>
        <w:tc>
          <w:tcPr>
            <w:tcW w:w="3848" w:type="dxa"/>
          </w:tcPr>
          <w:p w:rsidR="0053618C" w:rsidRPr="0053618C" w:rsidRDefault="0053618C" w:rsidP="0053618C">
            <w:pPr>
              <w:rPr>
                <w:sz w:val="20"/>
              </w:rPr>
            </w:pPr>
          </w:p>
        </w:tc>
      </w:tr>
      <w:tr w:rsidR="0053618C" w:rsidTr="009204CD">
        <w:trPr>
          <w:cantSplit/>
        </w:trPr>
        <w:tc>
          <w:tcPr>
            <w:tcW w:w="508" w:type="dxa"/>
          </w:tcPr>
          <w:p w:rsidR="0053618C" w:rsidRPr="0053618C" w:rsidRDefault="0053618C" w:rsidP="0053618C">
            <w:pPr>
              <w:rPr>
                <w:sz w:val="20"/>
              </w:rPr>
            </w:pPr>
            <w:r w:rsidRPr="0053618C">
              <w:rPr>
                <w:sz w:val="20"/>
              </w:rPr>
              <w:t>3.</w:t>
            </w:r>
          </w:p>
        </w:tc>
        <w:tc>
          <w:tcPr>
            <w:tcW w:w="810" w:type="dxa"/>
          </w:tcPr>
          <w:p w:rsidR="0053618C" w:rsidRPr="0053618C" w:rsidRDefault="0053618C" w:rsidP="0053618C">
            <w:pPr>
              <w:rPr>
                <w:sz w:val="20"/>
              </w:rPr>
            </w:pPr>
            <w:r w:rsidRPr="0053618C">
              <w:rPr>
                <w:sz w:val="20"/>
              </w:rPr>
              <w:t>38675</w:t>
            </w:r>
          </w:p>
        </w:tc>
        <w:tc>
          <w:tcPr>
            <w:tcW w:w="4050" w:type="dxa"/>
          </w:tcPr>
          <w:p w:rsidR="0053618C" w:rsidRPr="0053618C" w:rsidRDefault="0053618C" w:rsidP="0053618C">
            <w:pPr>
              <w:pStyle w:val="SCCAppellantInfoAppellantInfo"/>
              <w:rPr>
                <w:sz w:val="20"/>
              </w:rPr>
            </w:pPr>
            <w:r w:rsidRPr="0053618C">
              <w:rPr>
                <w:sz w:val="20"/>
              </w:rPr>
              <w:t>Canadian Broadcasting Corporation, et al.</w:t>
            </w:r>
          </w:p>
          <w:p w:rsidR="0053618C" w:rsidRPr="0053618C" w:rsidRDefault="0053618C" w:rsidP="0053618C">
            <w:pPr>
              <w:pStyle w:val="SCCAppellantInfoAppellantInfo"/>
              <w:rPr>
                <w:sz w:val="20"/>
              </w:rPr>
            </w:pPr>
            <w:r w:rsidRPr="0053618C">
              <w:rPr>
                <w:sz w:val="20"/>
              </w:rPr>
              <w:t>(Alta.) (Civil)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AARC Society (Alberta Adolescent Recovery Centre)</w:t>
            </w:r>
          </w:p>
        </w:tc>
      </w:tr>
      <w:tr w:rsidR="0053618C" w:rsidTr="009204CD">
        <w:trPr>
          <w:cantSplit/>
        </w:trPr>
        <w:tc>
          <w:tcPr>
            <w:tcW w:w="508" w:type="dxa"/>
          </w:tcPr>
          <w:p w:rsidR="0053618C" w:rsidRPr="0053618C" w:rsidRDefault="0053618C" w:rsidP="0053618C">
            <w:pPr>
              <w:rPr>
                <w:sz w:val="20"/>
              </w:rPr>
            </w:pPr>
            <w:r w:rsidRPr="0053618C">
              <w:rPr>
                <w:sz w:val="20"/>
              </w:rPr>
              <w:t>4.</w:t>
            </w:r>
          </w:p>
        </w:tc>
        <w:tc>
          <w:tcPr>
            <w:tcW w:w="810" w:type="dxa"/>
          </w:tcPr>
          <w:p w:rsidR="0053618C" w:rsidRPr="0053618C" w:rsidRDefault="0053618C" w:rsidP="0053618C">
            <w:pPr>
              <w:rPr>
                <w:sz w:val="20"/>
              </w:rPr>
            </w:pPr>
            <w:r w:rsidRPr="0053618C">
              <w:rPr>
                <w:sz w:val="20"/>
              </w:rPr>
              <w:t>38707</w:t>
            </w:r>
          </w:p>
        </w:tc>
        <w:tc>
          <w:tcPr>
            <w:tcW w:w="4050" w:type="dxa"/>
          </w:tcPr>
          <w:p w:rsidR="0053618C" w:rsidRPr="0053618C" w:rsidRDefault="0053618C" w:rsidP="0053618C">
            <w:pPr>
              <w:pStyle w:val="SCCAppellantInfoAppellantInfo"/>
              <w:rPr>
                <w:sz w:val="20"/>
              </w:rPr>
            </w:pPr>
            <w:r w:rsidRPr="0053618C">
              <w:rPr>
                <w:sz w:val="20"/>
              </w:rPr>
              <w:t>Angelina Rivers, et al.</w:t>
            </w:r>
          </w:p>
          <w:p w:rsidR="0053618C" w:rsidRPr="0053618C" w:rsidRDefault="0053618C" w:rsidP="0053618C">
            <w:pPr>
              <w:pStyle w:val="SCCAppellantInfoAppellantInfo"/>
              <w:rPr>
                <w:sz w:val="20"/>
              </w:rPr>
            </w:pPr>
            <w:r w:rsidRPr="0053618C">
              <w:rPr>
                <w:sz w:val="20"/>
              </w:rPr>
              <w:t>(Ont.) (Civil)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Waterloo Regional Police Services Board, et al.</w:t>
            </w:r>
          </w:p>
        </w:tc>
      </w:tr>
      <w:tr w:rsidR="0053618C" w:rsidTr="009204CD">
        <w:trPr>
          <w:cantSplit/>
        </w:trPr>
        <w:tc>
          <w:tcPr>
            <w:tcW w:w="508" w:type="dxa"/>
          </w:tcPr>
          <w:p w:rsidR="0053618C" w:rsidRPr="0053618C" w:rsidRDefault="0053618C" w:rsidP="0053618C">
            <w:pPr>
              <w:rPr>
                <w:sz w:val="20"/>
              </w:rPr>
            </w:pPr>
            <w:r w:rsidRPr="0053618C">
              <w:rPr>
                <w:sz w:val="20"/>
              </w:rPr>
              <w:t>5.</w:t>
            </w:r>
          </w:p>
        </w:tc>
        <w:tc>
          <w:tcPr>
            <w:tcW w:w="810" w:type="dxa"/>
          </w:tcPr>
          <w:p w:rsidR="0053618C" w:rsidRPr="0053618C" w:rsidRDefault="0053618C" w:rsidP="0053618C">
            <w:pPr>
              <w:rPr>
                <w:sz w:val="20"/>
              </w:rPr>
            </w:pPr>
            <w:r w:rsidRPr="0053618C">
              <w:rPr>
                <w:sz w:val="20"/>
              </w:rPr>
              <w:t>38620</w:t>
            </w:r>
          </w:p>
        </w:tc>
        <w:tc>
          <w:tcPr>
            <w:tcW w:w="4050" w:type="dxa"/>
          </w:tcPr>
          <w:p w:rsidR="0053618C" w:rsidRPr="0053618C" w:rsidRDefault="0053618C" w:rsidP="0053618C">
            <w:pPr>
              <w:pStyle w:val="SCCAppellantInfoAppellantInfo"/>
              <w:rPr>
                <w:sz w:val="20"/>
              </w:rPr>
            </w:pPr>
            <w:r w:rsidRPr="0053618C">
              <w:rPr>
                <w:sz w:val="20"/>
              </w:rPr>
              <w:t>Wayne Oakley</w:t>
            </w:r>
          </w:p>
          <w:p w:rsidR="0053618C" w:rsidRPr="0053618C" w:rsidRDefault="0053618C" w:rsidP="0053618C">
            <w:pPr>
              <w:pStyle w:val="SCCAppellantInfoAppellantInfo"/>
              <w:rPr>
                <w:sz w:val="20"/>
              </w:rPr>
            </w:pPr>
            <w:r w:rsidRPr="0053618C">
              <w:rPr>
                <w:sz w:val="20"/>
              </w:rPr>
              <w:t>(N.S.) (Civil)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Default="0053618C" w:rsidP="0053618C">
            <w:pPr>
              <w:pStyle w:val="SCCAppellantInfoAppellantInfo"/>
              <w:rPr>
                <w:sz w:val="20"/>
              </w:rPr>
            </w:pPr>
            <w:r w:rsidRPr="0053618C">
              <w:rPr>
                <w:sz w:val="20"/>
              </w:rPr>
              <w:t>Attorney General of Nova Scotia representing Her Majesty the Queen in Right of the Province of Nova Scotia, et al.</w:t>
            </w:r>
          </w:p>
          <w:p w:rsidR="00E67592" w:rsidRPr="00E67592" w:rsidRDefault="00E67592" w:rsidP="00E67592"/>
        </w:tc>
      </w:tr>
      <w:tr w:rsidR="00D34371" w:rsidRPr="009204CD" w:rsidTr="009204CD">
        <w:trPr>
          <w:cantSplit/>
        </w:trPr>
        <w:tc>
          <w:tcPr>
            <w:tcW w:w="508" w:type="dxa"/>
          </w:tcPr>
          <w:p w:rsidR="00D34371" w:rsidRPr="00D34371" w:rsidRDefault="00D34371" w:rsidP="009204CD">
            <w:pPr>
              <w:rPr>
                <w:sz w:val="20"/>
                <w:szCs w:val="20"/>
              </w:rPr>
            </w:pPr>
          </w:p>
        </w:tc>
        <w:tc>
          <w:tcPr>
            <w:tcW w:w="810" w:type="dxa"/>
          </w:tcPr>
          <w:p w:rsidR="00D34371" w:rsidRPr="00D34371" w:rsidRDefault="00D34371" w:rsidP="009204CD">
            <w:pPr>
              <w:rPr>
                <w:sz w:val="20"/>
                <w:szCs w:val="20"/>
              </w:rPr>
            </w:pPr>
          </w:p>
        </w:tc>
        <w:tc>
          <w:tcPr>
            <w:tcW w:w="8258" w:type="dxa"/>
            <w:gridSpan w:val="3"/>
          </w:tcPr>
          <w:p w:rsidR="00D34371" w:rsidRPr="00D34371" w:rsidRDefault="00D34371" w:rsidP="00D34371">
            <w:pPr>
              <w:widowControl w:val="0"/>
              <w:jc w:val="center"/>
              <w:rPr>
                <w:b/>
                <w:sz w:val="20"/>
                <w:szCs w:val="20"/>
                <w:lang w:val="en-US"/>
              </w:rPr>
            </w:pPr>
            <w:r w:rsidRPr="00D34371">
              <w:rPr>
                <w:b/>
                <w:sz w:val="20"/>
                <w:szCs w:val="20"/>
                <w:lang w:val="en-US"/>
              </w:rPr>
              <w:t>CORAM: Abella, Karakatsanis and Brown JJ.</w:t>
            </w:r>
          </w:p>
          <w:p w:rsidR="00D34371" w:rsidRPr="00D34371" w:rsidRDefault="00D34371" w:rsidP="00D34371">
            <w:pPr>
              <w:widowControl w:val="0"/>
              <w:jc w:val="center"/>
              <w:rPr>
                <w:sz w:val="20"/>
                <w:szCs w:val="20"/>
                <w:lang w:val="fr-CA"/>
              </w:rPr>
            </w:pPr>
            <w:r w:rsidRPr="00D34371">
              <w:rPr>
                <w:b/>
                <w:sz w:val="20"/>
                <w:szCs w:val="20"/>
                <w:lang w:val="fr-CA"/>
              </w:rPr>
              <w:t>Les juges Abella, Karakatsanis et Brown</w:t>
            </w:r>
          </w:p>
        </w:tc>
      </w:tr>
      <w:tr w:rsidR="0053618C" w:rsidTr="009204CD">
        <w:trPr>
          <w:cantSplit/>
        </w:trPr>
        <w:tc>
          <w:tcPr>
            <w:tcW w:w="508" w:type="dxa"/>
          </w:tcPr>
          <w:p w:rsidR="0053618C" w:rsidRPr="009204CD" w:rsidRDefault="0053618C" w:rsidP="0053618C">
            <w:pPr>
              <w:rPr>
                <w:sz w:val="20"/>
                <w:lang w:val="fr-CA"/>
              </w:rPr>
            </w:pPr>
          </w:p>
        </w:tc>
        <w:tc>
          <w:tcPr>
            <w:tcW w:w="810" w:type="dxa"/>
          </w:tcPr>
          <w:p w:rsidR="0053618C" w:rsidRPr="009204CD" w:rsidRDefault="0053618C" w:rsidP="0053618C">
            <w:pPr>
              <w:rPr>
                <w:sz w:val="20"/>
                <w:lang w:val="fr-CA"/>
              </w:rPr>
            </w:pPr>
          </w:p>
        </w:tc>
        <w:tc>
          <w:tcPr>
            <w:tcW w:w="4050" w:type="dxa"/>
          </w:tcPr>
          <w:p w:rsidR="0053618C" w:rsidRPr="0053618C" w:rsidRDefault="0053618C" w:rsidP="0053618C">
            <w:pPr>
              <w:pStyle w:val="SCCAppellantInfoTypeOfCase"/>
              <w:rPr>
                <w:sz w:val="20"/>
              </w:rPr>
            </w:pPr>
            <w:r w:rsidRPr="0053618C">
              <w:rPr>
                <w:sz w:val="20"/>
              </w:rPr>
              <w:t>Criminal / Criminelle</w:t>
            </w:r>
          </w:p>
        </w:tc>
        <w:tc>
          <w:tcPr>
            <w:tcW w:w="360" w:type="dxa"/>
          </w:tcPr>
          <w:p w:rsidR="0053618C" w:rsidRPr="0053618C" w:rsidRDefault="0053618C" w:rsidP="0053618C">
            <w:pPr>
              <w:rPr>
                <w:sz w:val="20"/>
              </w:rPr>
            </w:pPr>
          </w:p>
        </w:tc>
        <w:tc>
          <w:tcPr>
            <w:tcW w:w="3848" w:type="dxa"/>
          </w:tcPr>
          <w:p w:rsidR="0053618C" w:rsidRPr="0053618C" w:rsidRDefault="0053618C" w:rsidP="0053618C">
            <w:pPr>
              <w:rPr>
                <w:sz w:val="20"/>
              </w:rPr>
            </w:pPr>
          </w:p>
        </w:tc>
      </w:tr>
      <w:tr w:rsidR="0053618C" w:rsidTr="009204CD">
        <w:trPr>
          <w:cantSplit/>
        </w:trPr>
        <w:tc>
          <w:tcPr>
            <w:tcW w:w="508" w:type="dxa"/>
          </w:tcPr>
          <w:p w:rsidR="0053618C" w:rsidRPr="0053618C" w:rsidRDefault="0053618C" w:rsidP="0053618C">
            <w:pPr>
              <w:rPr>
                <w:sz w:val="20"/>
              </w:rPr>
            </w:pPr>
            <w:r w:rsidRPr="0053618C">
              <w:rPr>
                <w:sz w:val="20"/>
              </w:rPr>
              <w:t>6.</w:t>
            </w:r>
          </w:p>
        </w:tc>
        <w:tc>
          <w:tcPr>
            <w:tcW w:w="810" w:type="dxa"/>
          </w:tcPr>
          <w:p w:rsidR="0053618C" w:rsidRPr="0053618C" w:rsidRDefault="0053618C" w:rsidP="0053618C">
            <w:pPr>
              <w:rPr>
                <w:sz w:val="20"/>
              </w:rPr>
            </w:pPr>
            <w:r w:rsidRPr="0053618C">
              <w:rPr>
                <w:sz w:val="20"/>
              </w:rPr>
              <w:t>38715</w:t>
            </w:r>
          </w:p>
        </w:tc>
        <w:tc>
          <w:tcPr>
            <w:tcW w:w="4050" w:type="dxa"/>
          </w:tcPr>
          <w:p w:rsidR="0053618C" w:rsidRPr="0053618C" w:rsidRDefault="0053618C" w:rsidP="0053618C">
            <w:pPr>
              <w:pStyle w:val="SCCAppellantInfoAppellantInfo"/>
              <w:rPr>
                <w:sz w:val="20"/>
              </w:rPr>
            </w:pPr>
            <w:r w:rsidRPr="0053618C">
              <w:rPr>
                <w:sz w:val="20"/>
              </w:rPr>
              <w:t>Brandon Marshall</w:t>
            </w:r>
          </w:p>
          <w:p w:rsidR="0053618C" w:rsidRPr="0053618C" w:rsidRDefault="0053618C" w:rsidP="0053618C">
            <w:pPr>
              <w:pStyle w:val="SCCAppellantInfoAppellantInfo"/>
              <w:rPr>
                <w:sz w:val="20"/>
              </w:rPr>
            </w:pPr>
            <w:r w:rsidRPr="0053618C">
              <w:rPr>
                <w:sz w:val="20"/>
              </w:rPr>
              <w:t>(Ont.) (Criminal)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Her Majesty the Queen</w:t>
            </w:r>
          </w:p>
        </w:tc>
      </w:tr>
      <w:tr w:rsidR="0053618C" w:rsidTr="009204CD">
        <w:trPr>
          <w:cantSplit/>
        </w:trPr>
        <w:tc>
          <w:tcPr>
            <w:tcW w:w="508" w:type="dxa"/>
          </w:tcPr>
          <w:p w:rsidR="0053618C" w:rsidRPr="0053618C" w:rsidRDefault="0053618C" w:rsidP="0053618C">
            <w:pPr>
              <w:rPr>
                <w:sz w:val="20"/>
              </w:rPr>
            </w:pPr>
          </w:p>
        </w:tc>
        <w:tc>
          <w:tcPr>
            <w:tcW w:w="810" w:type="dxa"/>
          </w:tcPr>
          <w:p w:rsidR="0053618C" w:rsidRPr="0053618C" w:rsidRDefault="0053618C" w:rsidP="0053618C">
            <w:pPr>
              <w:rPr>
                <w:sz w:val="20"/>
              </w:rPr>
            </w:pPr>
          </w:p>
        </w:tc>
        <w:tc>
          <w:tcPr>
            <w:tcW w:w="4050" w:type="dxa"/>
          </w:tcPr>
          <w:p w:rsidR="0053618C" w:rsidRPr="0053618C" w:rsidRDefault="0053618C" w:rsidP="0053618C">
            <w:pPr>
              <w:pStyle w:val="SCCAppellantInfoTypeOfCase"/>
              <w:rPr>
                <w:sz w:val="20"/>
              </w:rPr>
            </w:pPr>
            <w:r w:rsidRPr="0053618C">
              <w:rPr>
                <w:sz w:val="20"/>
              </w:rPr>
              <w:t>Civil / Civile</w:t>
            </w:r>
          </w:p>
        </w:tc>
        <w:tc>
          <w:tcPr>
            <w:tcW w:w="360" w:type="dxa"/>
          </w:tcPr>
          <w:p w:rsidR="0053618C" w:rsidRPr="0053618C" w:rsidRDefault="0053618C" w:rsidP="0053618C">
            <w:pPr>
              <w:rPr>
                <w:sz w:val="20"/>
              </w:rPr>
            </w:pPr>
          </w:p>
        </w:tc>
        <w:tc>
          <w:tcPr>
            <w:tcW w:w="3848" w:type="dxa"/>
          </w:tcPr>
          <w:p w:rsidR="0053618C" w:rsidRPr="0053618C" w:rsidRDefault="0053618C" w:rsidP="0053618C">
            <w:pPr>
              <w:rPr>
                <w:sz w:val="20"/>
              </w:rPr>
            </w:pPr>
          </w:p>
        </w:tc>
      </w:tr>
      <w:tr w:rsidR="0053618C" w:rsidTr="009204CD">
        <w:trPr>
          <w:cantSplit/>
        </w:trPr>
        <w:tc>
          <w:tcPr>
            <w:tcW w:w="508" w:type="dxa"/>
          </w:tcPr>
          <w:p w:rsidR="0053618C" w:rsidRPr="0053618C" w:rsidRDefault="0053618C" w:rsidP="0053618C">
            <w:pPr>
              <w:rPr>
                <w:sz w:val="20"/>
              </w:rPr>
            </w:pPr>
            <w:r w:rsidRPr="0053618C">
              <w:rPr>
                <w:sz w:val="20"/>
              </w:rPr>
              <w:t>7.</w:t>
            </w:r>
          </w:p>
        </w:tc>
        <w:tc>
          <w:tcPr>
            <w:tcW w:w="810" w:type="dxa"/>
          </w:tcPr>
          <w:p w:rsidR="0053618C" w:rsidRPr="0053618C" w:rsidRDefault="0053618C" w:rsidP="0053618C">
            <w:pPr>
              <w:rPr>
                <w:sz w:val="20"/>
              </w:rPr>
            </w:pPr>
            <w:r w:rsidRPr="0053618C">
              <w:rPr>
                <w:sz w:val="20"/>
              </w:rPr>
              <w:t>38735</w:t>
            </w:r>
          </w:p>
        </w:tc>
        <w:tc>
          <w:tcPr>
            <w:tcW w:w="4050" w:type="dxa"/>
          </w:tcPr>
          <w:p w:rsidR="0053618C" w:rsidRPr="0053618C" w:rsidRDefault="0053618C" w:rsidP="0053618C">
            <w:pPr>
              <w:pStyle w:val="SCCAppellantInfoAppellantInfo"/>
              <w:rPr>
                <w:sz w:val="20"/>
                <w:lang w:val="fr-CA"/>
              </w:rPr>
            </w:pPr>
            <w:r w:rsidRPr="0053618C">
              <w:rPr>
                <w:sz w:val="20"/>
                <w:lang w:val="fr-CA"/>
              </w:rPr>
              <w:t>Francis Cuggia, et al.</w:t>
            </w:r>
          </w:p>
          <w:p w:rsidR="0053618C" w:rsidRPr="0053618C" w:rsidRDefault="0053618C" w:rsidP="0053618C">
            <w:pPr>
              <w:pStyle w:val="SCCAppellantInfoAppellantInfo"/>
              <w:rPr>
                <w:sz w:val="20"/>
                <w:lang w:val="fr-CA"/>
              </w:rPr>
            </w:pPr>
            <w:r w:rsidRPr="0053618C">
              <w:rPr>
                <w:sz w:val="20"/>
                <w:lang w:val="fr-CA"/>
              </w:rPr>
              <w:t>(Qc) (Civile) (Autorisation)</w:t>
            </w:r>
          </w:p>
        </w:tc>
        <w:tc>
          <w:tcPr>
            <w:tcW w:w="360" w:type="dxa"/>
          </w:tcPr>
          <w:p w:rsidR="0053618C" w:rsidRPr="0053618C" w:rsidRDefault="0053618C" w:rsidP="0053618C">
            <w:pPr>
              <w:rPr>
                <w:sz w:val="20"/>
              </w:rPr>
            </w:pPr>
            <w:r w:rsidRPr="0053618C">
              <w:rPr>
                <w:sz w:val="20"/>
              </w:rPr>
              <w:t>c.</w:t>
            </w:r>
          </w:p>
        </w:tc>
        <w:tc>
          <w:tcPr>
            <w:tcW w:w="3848" w:type="dxa"/>
          </w:tcPr>
          <w:p w:rsidR="0053618C" w:rsidRPr="0053618C" w:rsidRDefault="0053618C" w:rsidP="0053618C">
            <w:pPr>
              <w:pStyle w:val="SCCAppellantInfoAppellantInfo"/>
              <w:rPr>
                <w:sz w:val="20"/>
              </w:rPr>
            </w:pPr>
            <w:proofErr w:type="spellStart"/>
            <w:r w:rsidRPr="0053618C">
              <w:rPr>
                <w:sz w:val="20"/>
              </w:rPr>
              <w:t>Autorité</w:t>
            </w:r>
            <w:proofErr w:type="spellEnd"/>
            <w:r w:rsidRPr="0053618C">
              <w:rPr>
                <w:sz w:val="20"/>
              </w:rPr>
              <w:t xml:space="preserve"> des </w:t>
            </w:r>
            <w:proofErr w:type="spellStart"/>
            <w:r w:rsidRPr="0053618C">
              <w:rPr>
                <w:sz w:val="20"/>
              </w:rPr>
              <w:t>marchés</w:t>
            </w:r>
            <w:proofErr w:type="spellEnd"/>
            <w:r w:rsidRPr="0053618C">
              <w:rPr>
                <w:sz w:val="20"/>
              </w:rPr>
              <w:t xml:space="preserve"> financiers</w:t>
            </w:r>
          </w:p>
        </w:tc>
      </w:tr>
      <w:tr w:rsidR="0053618C" w:rsidTr="009204CD">
        <w:trPr>
          <w:cantSplit/>
        </w:trPr>
        <w:tc>
          <w:tcPr>
            <w:tcW w:w="508" w:type="dxa"/>
          </w:tcPr>
          <w:p w:rsidR="0053618C" w:rsidRPr="0053618C" w:rsidRDefault="0053618C" w:rsidP="0053618C">
            <w:pPr>
              <w:rPr>
                <w:sz w:val="20"/>
              </w:rPr>
            </w:pPr>
            <w:r w:rsidRPr="0053618C">
              <w:rPr>
                <w:sz w:val="20"/>
              </w:rPr>
              <w:t>8.</w:t>
            </w:r>
          </w:p>
        </w:tc>
        <w:tc>
          <w:tcPr>
            <w:tcW w:w="810" w:type="dxa"/>
          </w:tcPr>
          <w:p w:rsidR="0053618C" w:rsidRPr="0053618C" w:rsidRDefault="0053618C" w:rsidP="0053618C">
            <w:pPr>
              <w:rPr>
                <w:sz w:val="20"/>
              </w:rPr>
            </w:pPr>
            <w:r w:rsidRPr="0053618C">
              <w:rPr>
                <w:sz w:val="20"/>
              </w:rPr>
              <w:t>38720</w:t>
            </w:r>
          </w:p>
        </w:tc>
        <w:tc>
          <w:tcPr>
            <w:tcW w:w="4050" w:type="dxa"/>
          </w:tcPr>
          <w:p w:rsidR="0053618C" w:rsidRPr="0053618C" w:rsidRDefault="0053618C" w:rsidP="0053618C">
            <w:pPr>
              <w:pStyle w:val="SCCAppellantInfoAppellantInfo"/>
              <w:rPr>
                <w:sz w:val="20"/>
              </w:rPr>
            </w:pPr>
            <w:r w:rsidRPr="0053618C">
              <w:rPr>
                <w:sz w:val="20"/>
              </w:rPr>
              <w:t>Lucyna Blicharz</w:t>
            </w:r>
          </w:p>
          <w:p w:rsidR="0053618C" w:rsidRPr="0053618C" w:rsidRDefault="0053618C" w:rsidP="0053618C">
            <w:pPr>
              <w:pStyle w:val="SCCAppellantInfoAppellantInfo"/>
              <w:rPr>
                <w:sz w:val="20"/>
              </w:rPr>
            </w:pPr>
            <w:r w:rsidRPr="0053618C">
              <w:rPr>
                <w:sz w:val="20"/>
              </w:rPr>
              <w:t>(Alta.) (Civil)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Patricia Livingstone, et al.</w:t>
            </w:r>
          </w:p>
        </w:tc>
      </w:tr>
      <w:tr w:rsidR="0053618C" w:rsidTr="009204CD">
        <w:trPr>
          <w:cantSplit/>
        </w:trPr>
        <w:tc>
          <w:tcPr>
            <w:tcW w:w="508" w:type="dxa"/>
          </w:tcPr>
          <w:p w:rsidR="0053618C" w:rsidRPr="0053618C" w:rsidRDefault="0053618C" w:rsidP="0053618C">
            <w:pPr>
              <w:rPr>
                <w:sz w:val="20"/>
              </w:rPr>
            </w:pPr>
            <w:r w:rsidRPr="0053618C">
              <w:rPr>
                <w:sz w:val="20"/>
              </w:rPr>
              <w:t>9.</w:t>
            </w:r>
          </w:p>
        </w:tc>
        <w:tc>
          <w:tcPr>
            <w:tcW w:w="810" w:type="dxa"/>
          </w:tcPr>
          <w:p w:rsidR="0053618C" w:rsidRPr="0053618C" w:rsidRDefault="0053618C" w:rsidP="0053618C">
            <w:pPr>
              <w:rPr>
                <w:sz w:val="20"/>
              </w:rPr>
            </w:pPr>
            <w:r w:rsidRPr="0053618C">
              <w:rPr>
                <w:sz w:val="20"/>
              </w:rPr>
              <w:t>38719</w:t>
            </w:r>
          </w:p>
        </w:tc>
        <w:tc>
          <w:tcPr>
            <w:tcW w:w="4050" w:type="dxa"/>
          </w:tcPr>
          <w:p w:rsidR="0053618C" w:rsidRPr="0053618C" w:rsidRDefault="0053618C" w:rsidP="0053618C">
            <w:pPr>
              <w:pStyle w:val="SCCAppellantInfoAppellantInfo"/>
              <w:rPr>
                <w:sz w:val="20"/>
              </w:rPr>
            </w:pPr>
            <w:r w:rsidRPr="0053618C">
              <w:rPr>
                <w:sz w:val="20"/>
              </w:rPr>
              <w:t>Elizabeth Ann Johnston</w:t>
            </w:r>
          </w:p>
          <w:p w:rsidR="0053618C" w:rsidRPr="0053618C" w:rsidRDefault="0053618C" w:rsidP="0053618C">
            <w:pPr>
              <w:pStyle w:val="SCCAppellantInfoAppellantInfo"/>
              <w:rPr>
                <w:sz w:val="20"/>
              </w:rPr>
            </w:pPr>
            <w:r w:rsidRPr="0053618C">
              <w:rPr>
                <w:sz w:val="20"/>
              </w:rPr>
              <w:t>(N.B.) (Civil)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Paul Wayne Meyer</w:t>
            </w:r>
          </w:p>
        </w:tc>
      </w:tr>
      <w:tr w:rsidR="0053618C" w:rsidTr="009204CD">
        <w:trPr>
          <w:cantSplit/>
        </w:trPr>
        <w:tc>
          <w:tcPr>
            <w:tcW w:w="508" w:type="dxa"/>
          </w:tcPr>
          <w:p w:rsidR="0053618C" w:rsidRPr="0053618C" w:rsidRDefault="0053618C" w:rsidP="0053618C">
            <w:pPr>
              <w:rPr>
                <w:sz w:val="20"/>
              </w:rPr>
            </w:pPr>
            <w:r w:rsidRPr="0053618C">
              <w:rPr>
                <w:sz w:val="20"/>
              </w:rPr>
              <w:t>10.</w:t>
            </w:r>
          </w:p>
        </w:tc>
        <w:tc>
          <w:tcPr>
            <w:tcW w:w="810" w:type="dxa"/>
          </w:tcPr>
          <w:p w:rsidR="0053618C" w:rsidRPr="0053618C" w:rsidRDefault="0053618C" w:rsidP="0053618C">
            <w:pPr>
              <w:rPr>
                <w:sz w:val="20"/>
              </w:rPr>
            </w:pPr>
            <w:r w:rsidRPr="0053618C">
              <w:rPr>
                <w:sz w:val="20"/>
              </w:rPr>
              <w:t>38686</w:t>
            </w:r>
          </w:p>
        </w:tc>
        <w:tc>
          <w:tcPr>
            <w:tcW w:w="4050" w:type="dxa"/>
          </w:tcPr>
          <w:p w:rsidR="0053618C" w:rsidRPr="0053618C" w:rsidRDefault="0053618C" w:rsidP="0053618C">
            <w:pPr>
              <w:pStyle w:val="SCCAppellantInfoAppellantInfo"/>
              <w:rPr>
                <w:sz w:val="20"/>
              </w:rPr>
            </w:pPr>
            <w:r w:rsidRPr="0053618C">
              <w:rPr>
                <w:sz w:val="20"/>
              </w:rPr>
              <w:t>Galina Milova</w:t>
            </w:r>
          </w:p>
          <w:p w:rsidR="0053618C" w:rsidRDefault="0053618C" w:rsidP="0053618C">
            <w:pPr>
              <w:pStyle w:val="SCCAppellantInfoAppellantInfo"/>
              <w:rPr>
                <w:sz w:val="20"/>
              </w:rPr>
            </w:pPr>
            <w:r w:rsidRPr="0053618C">
              <w:rPr>
                <w:sz w:val="20"/>
              </w:rPr>
              <w:t>(FC) (Civil) (By Leave)</w:t>
            </w:r>
          </w:p>
          <w:p w:rsidR="00E67592" w:rsidRPr="00E67592" w:rsidRDefault="00E67592" w:rsidP="00E67592"/>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Minister of Canada Revenue</w:t>
            </w:r>
          </w:p>
        </w:tc>
      </w:tr>
      <w:tr w:rsidR="00D34371" w:rsidRPr="009204CD" w:rsidTr="009204CD">
        <w:trPr>
          <w:cantSplit/>
        </w:trPr>
        <w:tc>
          <w:tcPr>
            <w:tcW w:w="508" w:type="dxa"/>
          </w:tcPr>
          <w:p w:rsidR="00D34371" w:rsidRPr="00D34371" w:rsidRDefault="00D34371" w:rsidP="009204CD">
            <w:pPr>
              <w:rPr>
                <w:sz w:val="20"/>
                <w:szCs w:val="20"/>
              </w:rPr>
            </w:pPr>
          </w:p>
        </w:tc>
        <w:tc>
          <w:tcPr>
            <w:tcW w:w="810" w:type="dxa"/>
          </w:tcPr>
          <w:p w:rsidR="00D34371" w:rsidRPr="00D34371" w:rsidRDefault="00D34371" w:rsidP="009204CD">
            <w:pPr>
              <w:rPr>
                <w:sz w:val="20"/>
                <w:szCs w:val="20"/>
              </w:rPr>
            </w:pPr>
          </w:p>
        </w:tc>
        <w:tc>
          <w:tcPr>
            <w:tcW w:w="8258" w:type="dxa"/>
            <w:gridSpan w:val="3"/>
          </w:tcPr>
          <w:p w:rsidR="00D34371" w:rsidRPr="00D34371" w:rsidRDefault="00D34371" w:rsidP="00D34371">
            <w:pPr>
              <w:widowControl w:val="0"/>
              <w:jc w:val="center"/>
              <w:rPr>
                <w:b/>
                <w:sz w:val="20"/>
                <w:szCs w:val="20"/>
              </w:rPr>
            </w:pPr>
            <w:r w:rsidRPr="00D34371">
              <w:rPr>
                <w:b/>
                <w:sz w:val="20"/>
                <w:szCs w:val="20"/>
              </w:rPr>
              <w:t>CORAM: Moldaver, Côté and Martin JJ.</w:t>
            </w:r>
          </w:p>
          <w:p w:rsidR="00D34371" w:rsidRPr="00D34371" w:rsidRDefault="00D34371" w:rsidP="00D34371">
            <w:pPr>
              <w:widowControl w:val="0"/>
              <w:jc w:val="center"/>
              <w:rPr>
                <w:sz w:val="20"/>
                <w:szCs w:val="20"/>
                <w:lang w:val="fr-CA"/>
              </w:rPr>
            </w:pPr>
            <w:r w:rsidRPr="00D34371">
              <w:rPr>
                <w:b/>
                <w:sz w:val="20"/>
                <w:szCs w:val="20"/>
                <w:lang w:val="fr-CA"/>
              </w:rPr>
              <w:t>Les juges Moldaver, Côté et Martin</w:t>
            </w:r>
          </w:p>
        </w:tc>
      </w:tr>
      <w:tr w:rsidR="0053618C" w:rsidTr="009204CD">
        <w:trPr>
          <w:cantSplit/>
        </w:trPr>
        <w:tc>
          <w:tcPr>
            <w:tcW w:w="508" w:type="dxa"/>
          </w:tcPr>
          <w:p w:rsidR="0053618C" w:rsidRPr="009204CD" w:rsidRDefault="0053618C" w:rsidP="0053618C">
            <w:pPr>
              <w:rPr>
                <w:sz w:val="20"/>
                <w:lang w:val="fr-CA"/>
              </w:rPr>
            </w:pPr>
          </w:p>
        </w:tc>
        <w:tc>
          <w:tcPr>
            <w:tcW w:w="810" w:type="dxa"/>
          </w:tcPr>
          <w:p w:rsidR="0053618C" w:rsidRPr="009204CD" w:rsidRDefault="0053618C" w:rsidP="0053618C">
            <w:pPr>
              <w:rPr>
                <w:sz w:val="20"/>
                <w:lang w:val="fr-CA"/>
              </w:rPr>
            </w:pPr>
          </w:p>
        </w:tc>
        <w:tc>
          <w:tcPr>
            <w:tcW w:w="4050" w:type="dxa"/>
          </w:tcPr>
          <w:p w:rsidR="0053618C" w:rsidRPr="0053618C" w:rsidRDefault="0053618C" w:rsidP="0053618C">
            <w:pPr>
              <w:pStyle w:val="SCCAppellantInfoTypeOfCase"/>
              <w:rPr>
                <w:sz w:val="20"/>
              </w:rPr>
            </w:pPr>
            <w:r w:rsidRPr="0053618C">
              <w:rPr>
                <w:sz w:val="20"/>
              </w:rPr>
              <w:t>Criminal / Criminelle</w:t>
            </w:r>
          </w:p>
        </w:tc>
        <w:tc>
          <w:tcPr>
            <w:tcW w:w="360" w:type="dxa"/>
          </w:tcPr>
          <w:p w:rsidR="0053618C" w:rsidRPr="0053618C" w:rsidRDefault="0053618C" w:rsidP="0053618C">
            <w:pPr>
              <w:rPr>
                <w:sz w:val="20"/>
              </w:rPr>
            </w:pPr>
          </w:p>
        </w:tc>
        <w:tc>
          <w:tcPr>
            <w:tcW w:w="3848" w:type="dxa"/>
          </w:tcPr>
          <w:p w:rsidR="0053618C" w:rsidRPr="0053618C" w:rsidRDefault="0053618C" w:rsidP="0053618C">
            <w:pPr>
              <w:rPr>
                <w:sz w:val="20"/>
              </w:rPr>
            </w:pPr>
          </w:p>
        </w:tc>
      </w:tr>
      <w:tr w:rsidR="0053618C" w:rsidTr="009204CD">
        <w:trPr>
          <w:cantSplit/>
        </w:trPr>
        <w:tc>
          <w:tcPr>
            <w:tcW w:w="508" w:type="dxa"/>
          </w:tcPr>
          <w:p w:rsidR="0053618C" w:rsidRPr="0053618C" w:rsidRDefault="0053618C" w:rsidP="0053618C">
            <w:pPr>
              <w:rPr>
                <w:sz w:val="20"/>
              </w:rPr>
            </w:pPr>
            <w:r w:rsidRPr="0053618C">
              <w:rPr>
                <w:sz w:val="20"/>
              </w:rPr>
              <w:t>11.</w:t>
            </w:r>
          </w:p>
        </w:tc>
        <w:tc>
          <w:tcPr>
            <w:tcW w:w="810" w:type="dxa"/>
          </w:tcPr>
          <w:p w:rsidR="0053618C" w:rsidRPr="0053618C" w:rsidRDefault="0053618C" w:rsidP="0053618C">
            <w:pPr>
              <w:rPr>
                <w:sz w:val="20"/>
              </w:rPr>
            </w:pPr>
            <w:r w:rsidRPr="0053618C">
              <w:rPr>
                <w:sz w:val="20"/>
              </w:rPr>
              <w:t>38725</w:t>
            </w:r>
          </w:p>
        </w:tc>
        <w:tc>
          <w:tcPr>
            <w:tcW w:w="4050" w:type="dxa"/>
          </w:tcPr>
          <w:p w:rsidR="0053618C" w:rsidRPr="0053618C" w:rsidRDefault="0053618C" w:rsidP="0053618C">
            <w:pPr>
              <w:pStyle w:val="SCCAppellantInfoAppellantInfo"/>
              <w:rPr>
                <w:sz w:val="20"/>
              </w:rPr>
            </w:pPr>
            <w:r w:rsidRPr="0053618C">
              <w:rPr>
                <w:sz w:val="20"/>
              </w:rPr>
              <w:t>Drew William M</w:t>
            </w:r>
            <w:bookmarkStart w:id="1" w:name="_GoBack"/>
            <w:bookmarkEnd w:id="1"/>
            <w:r w:rsidRPr="0053618C">
              <w:rPr>
                <w:sz w:val="20"/>
              </w:rPr>
              <w:t>cPherson</w:t>
            </w:r>
          </w:p>
          <w:p w:rsidR="0053618C" w:rsidRPr="0053618C" w:rsidRDefault="0053618C" w:rsidP="0053618C">
            <w:pPr>
              <w:pStyle w:val="SCCAppellantInfoAppellantInfo"/>
              <w:rPr>
                <w:sz w:val="20"/>
              </w:rPr>
            </w:pPr>
            <w:r w:rsidRPr="0053618C">
              <w:rPr>
                <w:sz w:val="20"/>
              </w:rPr>
              <w:t>(N.S.) (Criminal)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Her Majesty the Queen, et al.</w:t>
            </w:r>
          </w:p>
        </w:tc>
      </w:tr>
      <w:tr w:rsidR="0053618C" w:rsidTr="009204CD">
        <w:trPr>
          <w:cantSplit/>
        </w:trPr>
        <w:tc>
          <w:tcPr>
            <w:tcW w:w="508" w:type="dxa"/>
          </w:tcPr>
          <w:p w:rsidR="0053618C" w:rsidRPr="0053618C" w:rsidRDefault="0053618C" w:rsidP="0053618C">
            <w:pPr>
              <w:rPr>
                <w:sz w:val="20"/>
              </w:rPr>
            </w:pPr>
          </w:p>
        </w:tc>
        <w:tc>
          <w:tcPr>
            <w:tcW w:w="810" w:type="dxa"/>
          </w:tcPr>
          <w:p w:rsidR="0053618C" w:rsidRPr="0053618C" w:rsidRDefault="0053618C" w:rsidP="0053618C">
            <w:pPr>
              <w:rPr>
                <w:sz w:val="20"/>
              </w:rPr>
            </w:pPr>
          </w:p>
        </w:tc>
        <w:tc>
          <w:tcPr>
            <w:tcW w:w="4050" w:type="dxa"/>
          </w:tcPr>
          <w:p w:rsidR="0053618C" w:rsidRPr="0053618C" w:rsidRDefault="0053618C" w:rsidP="0053618C">
            <w:pPr>
              <w:pStyle w:val="SCCAppellantInfoTypeOfCase"/>
              <w:rPr>
                <w:sz w:val="20"/>
              </w:rPr>
            </w:pPr>
            <w:r w:rsidRPr="0053618C">
              <w:rPr>
                <w:sz w:val="20"/>
              </w:rPr>
              <w:t>Civil / Civile</w:t>
            </w:r>
          </w:p>
        </w:tc>
        <w:tc>
          <w:tcPr>
            <w:tcW w:w="360" w:type="dxa"/>
          </w:tcPr>
          <w:p w:rsidR="0053618C" w:rsidRPr="0053618C" w:rsidRDefault="0053618C" w:rsidP="0053618C">
            <w:pPr>
              <w:rPr>
                <w:sz w:val="20"/>
              </w:rPr>
            </w:pPr>
          </w:p>
        </w:tc>
        <w:tc>
          <w:tcPr>
            <w:tcW w:w="3848" w:type="dxa"/>
          </w:tcPr>
          <w:p w:rsidR="0053618C" w:rsidRPr="0053618C" w:rsidRDefault="0053618C" w:rsidP="0053618C">
            <w:pPr>
              <w:rPr>
                <w:sz w:val="20"/>
              </w:rPr>
            </w:pPr>
          </w:p>
        </w:tc>
      </w:tr>
      <w:tr w:rsidR="0053618C" w:rsidTr="009204CD">
        <w:trPr>
          <w:cantSplit/>
        </w:trPr>
        <w:tc>
          <w:tcPr>
            <w:tcW w:w="508" w:type="dxa"/>
          </w:tcPr>
          <w:p w:rsidR="0053618C" w:rsidRPr="0053618C" w:rsidRDefault="0053618C" w:rsidP="0053618C">
            <w:pPr>
              <w:rPr>
                <w:sz w:val="20"/>
              </w:rPr>
            </w:pPr>
            <w:r w:rsidRPr="0053618C">
              <w:rPr>
                <w:sz w:val="20"/>
              </w:rPr>
              <w:t>12.</w:t>
            </w:r>
          </w:p>
        </w:tc>
        <w:tc>
          <w:tcPr>
            <w:tcW w:w="810" w:type="dxa"/>
          </w:tcPr>
          <w:p w:rsidR="0053618C" w:rsidRPr="0053618C" w:rsidRDefault="0053618C" w:rsidP="0053618C">
            <w:pPr>
              <w:rPr>
                <w:sz w:val="20"/>
              </w:rPr>
            </w:pPr>
            <w:r w:rsidRPr="0053618C">
              <w:rPr>
                <w:sz w:val="20"/>
              </w:rPr>
              <w:t>38666</w:t>
            </w:r>
          </w:p>
        </w:tc>
        <w:tc>
          <w:tcPr>
            <w:tcW w:w="4050" w:type="dxa"/>
          </w:tcPr>
          <w:p w:rsidR="0053618C" w:rsidRPr="0053618C" w:rsidRDefault="0053618C" w:rsidP="0053618C">
            <w:pPr>
              <w:pStyle w:val="SCCAppellantInfoAppellantInfo"/>
              <w:rPr>
                <w:sz w:val="20"/>
              </w:rPr>
            </w:pPr>
            <w:r w:rsidRPr="0053618C">
              <w:rPr>
                <w:sz w:val="20"/>
              </w:rPr>
              <w:t>Philip James Miller</w:t>
            </w:r>
          </w:p>
          <w:p w:rsidR="0053618C" w:rsidRPr="0053618C" w:rsidRDefault="0053618C" w:rsidP="0053618C">
            <w:pPr>
              <w:pStyle w:val="SCCAppellantInfoAppellantInfo"/>
              <w:rPr>
                <w:sz w:val="20"/>
              </w:rPr>
            </w:pPr>
            <w:r w:rsidRPr="0053618C">
              <w:rPr>
                <w:sz w:val="20"/>
              </w:rPr>
              <w:t>(FC) (Civil)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Her Majesty the Queen in Right of Canada</w:t>
            </w:r>
          </w:p>
        </w:tc>
      </w:tr>
      <w:tr w:rsidR="0053618C" w:rsidTr="009204CD">
        <w:trPr>
          <w:cantSplit/>
        </w:trPr>
        <w:tc>
          <w:tcPr>
            <w:tcW w:w="508" w:type="dxa"/>
          </w:tcPr>
          <w:p w:rsidR="0053618C" w:rsidRPr="0053618C" w:rsidRDefault="0053618C" w:rsidP="0053618C">
            <w:pPr>
              <w:rPr>
                <w:sz w:val="20"/>
              </w:rPr>
            </w:pPr>
            <w:r w:rsidRPr="0053618C">
              <w:rPr>
                <w:sz w:val="20"/>
              </w:rPr>
              <w:t>13.</w:t>
            </w:r>
          </w:p>
        </w:tc>
        <w:tc>
          <w:tcPr>
            <w:tcW w:w="810" w:type="dxa"/>
          </w:tcPr>
          <w:p w:rsidR="0053618C" w:rsidRPr="0053618C" w:rsidRDefault="0053618C" w:rsidP="0053618C">
            <w:pPr>
              <w:rPr>
                <w:sz w:val="20"/>
              </w:rPr>
            </w:pPr>
            <w:r w:rsidRPr="0053618C">
              <w:rPr>
                <w:sz w:val="20"/>
              </w:rPr>
              <w:t>38728</w:t>
            </w:r>
          </w:p>
        </w:tc>
        <w:tc>
          <w:tcPr>
            <w:tcW w:w="4050" w:type="dxa"/>
          </w:tcPr>
          <w:p w:rsidR="0053618C" w:rsidRPr="0053618C" w:rsidRDefault="0053618C" w:rsidP="0053618C">
            <w:pPr>
              <w:pStyle w:val="SCCAppellantInfoAppellantInfo"/>
              <w:rPr>
                <w:sz w:val="20"/>
              </w:rPr>
            </w:pPr>
            <w:r w:rsidRPr="0053618C">
              <w:rPr>
                <w:sz w:val="20"/>
              </w:rPr>
              <w:t>Paul Abi-Mansour</w:t>
            </w:r>
          </w:p>
          <w:p w:rsidR="0053618C" w:rsidRPr="0053618C" w:rsidRDefault="0053618C" w:rsidP="0053618C">
            <w:pPr>
              <w:pStyle w:val="SCCAppellantInfoAppellantInfo"/>
              <w:rPr>
                <w:sz w:val="20"/>
              </w:rPr>
            </w:pPr>
            <w:r w:rsidRPr="0053618C">
              <w:rPr>
                <w:sz w:val="20"/>
              </w:rPr>
              <w:t>(FC) (Civil)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Attorney General of Canada</w:t>
            </w:r>
          </w:p>
        </w:tc>
      </w:tr>
      <w:tr w:rsidR="0053618C" w:rsidTr="009204CD">
        <w:trPr>
          <w:cantSplit/>
        </w:trPr>
        <w:tc>
          <w:tcPr>
            <w:tcW w:w="508" w:type="dxa"/>
          </w:tcPr>
          <w:p w:rsidR="0053618C" w:rsidRPr="0053618C" w:rsidRDefault="0053618C" w:rsidP="0053618C">
            <w:pPr>
              <w:rPr>
                <w:sz w:val="20"/>
              </w:rPr>
            </w:pPr>
            <w:r w:rsidRPr="0053618C">
              <w:rPr>
                <w:sz w:val="20"/>
              </w:rPr>
              <w:lastRenderedPageBreak/>
              <w:t>14.</w:t>
            </w:r>
          </w:p>
        </w:tc>
        <w:tc>
          <w:tcPr>
            <w:tcW w:w="810" w:type="dxa"/>
          </w:tcPr>
          <w:p w:rsidR="0053618C" w:rsidRPr="0053618C" w:rsidRDefault="0053618C" w:rsidP="0053618C">
            <w:pPr>
              <w:rPr>
                <w:sz w:val="20"/>
              </w:rPr>
            </w:pPr>
            <w:r w:rsidRPr="0053618C">
              <w:rPr>
                <w:sz w:val="20"/>
              </w:rPr>
              <w:t>38658</w:t>
            </w:r>
          </w:p>
        </w:tc>
        <w:tc>
          <w:tcPr>
            <w:tcW w:w="4050" w:type="dxa"/>
          </w:tcPr>
          <w:p w:rsidR="0053618C" w:rsidRPr="0053618C" w:rsidRDefault="0053618C" w:rsidP="0053618C">
            <w:pPr>
              <w:pStyle w:val="SCCAppellantInfoAppellantInfo"/>
              <w:rPr>
                <w:sz w:val="20"/>
              </w:rPr>
            </w:pPr>
            <w:r w:rsidRPr="0053618C">
              <w:rPr>
                <w:sz w:val="20"/>
              </w:rPr>
              <w:t>Robert P.J. Day</w:t>
            </w:r>
          </w:p>
          <w:p w:rsidR="0053618C" w:rsidRPr="0053618C" w:rsidRDefault="0053618C" w:rsidP="0053618C">
            <w:pPr>
              <w:pStyle w:val="SCCAppellantInfoAppellantInfo"/>
              <w:rPr>
                <w:sz w:val="20"/>
              </w:rPr>
            </w:pPr>
            <w:r w:rsidRPr="0053618C">
              <w:rPr>
                <w:sz w:val="20"/>
              </w:rPr>
              <w:t>(Ont.) (Civil)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Ezra Levant</w:t>
            </w:r>
          </w:p>
        </w:tc>
      </w:tr>
      <w:tr w:rsidR="0053618C" w:rsidTr="009204CD">
        <w:trPr>
          <w:cantSplit/>
        </w:trPr>
        <w:tc>
          <w:tcPr>
            <w:tcW w:w="508" w:type="dxa"/>
          </w:tcPr>
          <w:p w:rsidR="0053618C" w:rsidRPr="0053618C" w:rsidRDefault="0053618C" w:rsidP="0053618C">
            <w:pPr>
              <w:rPr>
                <w:sz w:val="20"/>
              </w:rPr>
            </w:pPr>
            <w:r w:rsidRPr="0053618C">
              <w:rPr>
                <w:sz w:val="20"/>
              </w:rPr>
              <w:t>15.</w:t>
            </w:r>
          </w:p>
        </w:tc>
        <w:tc>
          <w:tcPr>
            <w:tcW w:w="810" w:type="dxa"/>
          </w:tcPr>
          <w:p w:rsidR="0053618C" w:rsidRPr="0053618C" w:rsidRDefault="0053618C" w:rsidP="0053618C">
            <w:pPr>
              <w:rPr>
                <w:sz w:val="20"/>
              </w:rPr>
            </w:pPr>
            <w:r w:rsidRPr="0053618C">
              <w:rPr>
                <w:sz w:val="20"/>
              </w:rPr>
              <w:t>38700</w:t>
            </w:r>
          </w:p>
        </w:tc>
        <w:tc>
          <w:tcPr>
            <w:tcW w:w="4050" w:type="dxa"/>
          </w:tcPr>
          <w:p w:rsidR="0053618C" w:rsidRPr="0053618C" w:rsidRDefault="0053618C" w:rsidP="0053618C">
            <w:pPr>
              <w:pStyle w:val="SCCAppellantInfoAppellantInfo"/>
              <w:rPr>
                <w:sz w:val="20"/>
              </w:rPr>
            </w:pPr>
            <w:r w:rsidRPr="0053618C">
              <w:rPr>
                <w:sz w:val="20"/>
              </w:rPr>
              <w:t>Louis Kakoutis, et al.</w:t>
            </w:r>
          </w:p>
          <w:p w:rsidR="0053618C" w:rsidRPr="0053618C" w:rsidRDefault="0053618C" w:rsidP="0053618C">
            <w:pPr>
              <w:pStyle w:val="SCCAppellantInfoAppellantInfo"/>
              <w:rPr>
                <w:sz w:val="20"/>
              </w:rPr>
            </w:pPr>
            <w:r w:rsidRPr="0053618C">
              <w:rPr>
                <w:sz w:val="20"/>
              </w:rPr>
              <w:t>(Ont.) (Civil) (By Leave)</w:t>
            </w:r>
          </w:p>
        </w:tc>
        <w:tc>
          <w:tcPr>
            <w:tcW w:w="360" w:type="dxa"/>
          </w:tcPr>
          <w:p w:rsidR="0053618C" w:rsidRPr="0053618C" w:rsidRDefault="0053618C" w:rsidP="0053618C">
            <w:pPr>
              <w:rPr>
                <w:sz w:val="20"/>
              </w:rPr>
            </w:pPr>
            <w:r w:rsidRPr="0053618C">
              <w:rPr>
                <w:sz w:val="20"/>
              </w:rPr>
              <w:t>v.</w:t>
            </w:r>
          </w:p>
        </w:tc>
        <w:tc>
          <w:tcPr>
            <w:tcW w:w="3848" w:type="dxa"/>
          </w:tcPr>
          <w:p w:rsidR="0053618C" w:rsidRPr="0053618C" w:rsidRDefault="0053618C" w:rsidP="0053618C">
            <w:pPr>
              <w:pStyle w:val="SCCAppellantInfoAppellantInfo"/>
              <w:rPr>
                <w:sz w:val="20"/>
              </w:rPr>
            </w:pPr>
            <w:r w:rsidRPr="0053618C">
              <w:rPr>
                <w:sz w:val="20"/>
              </w:rPr>
              <w:t>TD Insurance, Meloche Monnex</w:t>
            </w:r>
          </w:p>
        </w:tc>
      </w:tr>
    </w:tbl>
    <w:p w:rsidR="00102792" w:rsidRPr="00CB3520" w:rsidRDefault="00102792" w:rsidP="00102792">
      <w:pPr>
        <w:widowControl w:val="0"/>
        <w:rPr>
          <w:sz w:val="20"/>
          <w:szCs w:val="20"/>
        </w:rPr>
      </w:pPr>
    </w:p>
    <w:p w:rsidR="00D94028" w:rsidRPr="00C50A5C" w:rsidRDefault="001E07E1" w:rsidP="002E2327">
      <w:pPr>
        <w:widowControl w:val="0"/>
        <w:rPr>
          <w:sz w:val="20"/>
          <w:szCs w:val="20"/>
        </w:rPr>
      </w:pPr>
      <w:r>
        <w:rPr>
          <w:sz w:val="20"/>
          <w:szCs w:val="20"/>
        </w:rPr>
        <w:pict>
          <v:rect id="_x0000_i102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19863879"/>
      <w:bookmarkEnd w:id="2"/>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F16063" w:rsidRPr="00C50A5C" w:rsidRDefault="00C01C92" w:rsidP="00F16063">
      <w:pPr>
        <w:rPr>
          <w:b/>
          <w:sz w:val="20"/>
          <w:szCs w:val="20"/>
        </w:rPr>
      </w:pPr>
      <w:r>
        <w:rPr>
          <w:b/>
          <w:sz w:val="20"/>
          <w:szCs w:val="20"/>
        </w:rPr>
        <w:t>SEPTEMBER 19</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19 SEPTEMBRE</w:t>
      </w:r>
      <w:r w:rsidR="00F16063" w:rsidRPr="00C50A5C">
        <w:rPr>
          <w:b/>
          <w:sz w:val="20"/>
          <w:szCs w:val="20"/>
        </w:rPr>
        <w:t xml:space="preserve">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01C92" w:rsidRPr="00C559B3" w:rsidTr="009204CD">
        <w:tc>
          <w:tcPr>
            <w:tcW w:w="543" w:type="pct"/>
          </w:tcPr>
          <w:p w:rsidR="00C01C92" w:rsidRPr="00C559B3" w:rsidRDefault="00C01C92" w:rsidP="009204CD">
            <w:pPr>
              <w:jc w:val="both"/>
              <w:rPr>
                <w:sz w:val="20"/>
              </w:rPr>
            </w:pPr>
            <w:r w:rsidRPr="00C559B3">
              <w:rPr>
                <w:rStyle w:val="SCCFileNumberChar"/>
                <w:sz w:val="20"/>
                <w:szCs w:val="20"/>
              </w:rPr>
              <w:t>38628</w:t>
            </w:r>
          </w:p>
        </w:tc>
        <w:tc>
          <w:tcPr>
            <w:tcW w:w="4457" w:type="pct"/>
            <w:gridSpan w:val="3"/>
          </w:tcPr>
          <w:p w:rsidR="00C01C92" w:rsidRPr="006E79CA" w:rsidRDefault="00C01C92" w:rsidP="009204CD">
            <w:pPr>
              <w:pStyle w:val="SCCLsocParty"/>
              <w:jc w:val="both"/>
              <w:rPr>
                <w:b/>
                <w:sz w:val="20"/>
                <w:szCs w:val="20"/>
                <w:lang w:val="en-US"/>
              </w:rPr>
            </w:pPr>
            <w:r w:rsidRPr="006E79CA">
              <w:rPr>
                <w:b/>
                <w:sz w:val="20"/>
                <w:szCs w:val="20"/>
                <w:lang w:val="en-US"/>
              </w:rPr>
              <w:t>Linda Colistro v. Tbaytel</w:t>
            </w:r>
            <w:r>
              <w:rPr>
                <w:b/>
                <w:sz w:val="20"/>
                <w:szCs w:val="20"/>
                <w:lang w:val="en-US"/>
              </w:rPr>
              <w:t xml:space="preserve"> and</w:t>
            </w:r>
            <w:r w:rsidRPr="006E79CA">
              <w:rPr>
                <w:b/>
                <w:sz w:val="20"/>
                <w:szCs w:val="20"/>
                <w:lang w:val="en-US"/>
              </w:rPr>
              <w:t xml:space="preserve"> Corporation of the </w:t>
            </w:r>
            <w:r>
              <w:rPr>
                <w:b/>
                <w:sz w:val="20"/>
                <w:szCs w:val="20"/>
                <w:lang w:val="en-US"/>
              </w:rPr>
              <w:t>C</w:t>
            </w:r>
            <w:r w:rsidRPr="006E79CA">
              <w:rPr>
                <w:b/>
                <w:sz w:val="20"/>
                <w:szCs w:val="20"/>
                <w:lang w:val="en-US"/>
              </w:rPr>
              <w:t>ity of Thunder Bay</w:t>
            </w:r>
          </w:p>
          <w:p w:rsidR="00C01C92" w:rsidRPr="00C559B3" w:rsidRDefault="00C01C92" w:rsidP="009204CD">
            <w:pPr>
              <w:jc w:val="both"/>
              <w:rPr>
                <w:sz w:val="20"/>
              </w:rPr>
            </w:pPr>
            <w:r w:rsidRPr="00C559B3">
              <w:rPr>
                <w:sz w:val="20"/>
              </w:rPr>
              <w:t>(Ont.) (Civil) (By Leave)</w:t>
            </w:r>
          </w:p>
        </w:tc>
      </w:tr>
      <w:tr w:rsidR="00054B4D" w:rsidRPr="00C559B3" w:rsidTr="00054B4D">
        <w:tc>
          <w:tcPr>
            <w:tcW w:w="5000" w:type="pct"/>
            <w:gridSpan w:val="4"/>
          </w:tcPr>
          <w:p w:rsidR="00054B4D" w:rsidRPr="00946EB8" w:rsidRDefault="00054B4D" w:rsidP="00054B4D">
            <w:pPr>
              <w:jc w:val="both"/>
              <w:rPr>
                <w:sz w:val="20"/>
              </w:rPr>
            </w:pPr>
            <w:r w:rsidRPr="00946EB8">
              <w:rPr>
                <w:sz w:val="20"/>
              </w:rPr>
              <w:t>The application for leave to appeal from the judgment of the Court of Appeal for Ontario, Number C64072, 2019 ONCA 197, dated March 13, 2019, is dismissed with costs.</w:t>
            </w:r>
          </w:p>
          <w:p w:rsidR="00054B4D" w:rsidRPr="00054B4D" w:rsidRDefault="00054B4D" w:rsidP="009204CD">
            <w:pPr>
              <w:pStyle w:val="SCCLsocParty"/>
              <w:jc w:val="both"/>
              <w:rPr>
                <w:b/>
                <w:sz w:val="20"/>
                <w:szCs w:val="20"/>
                <w:lang w:val="en-CA"/>
              </w:rPr>
            </w:pPr>
          </w:p>
        </w:tc>
      </w:tr>
      <w:tr w:rsidR="00C01C92" w:rsidRPr="00C559B3" w:rsidTr="009204CD">
        <w:tc>
          <w:tcPr>
            <w:tcW w:w="5000" w:type="pct"/>
            <w:gridSpan w:val="4"/>
          </w:tcPr>
          <w:p w:rsidR="00C01C92" w:rsidRPr="00C559B3" w:rsidRDefault="00C01C92" w:rsidP="009204CD">
            <w:pPr>
              <w:autoSpaceDE w:val="0"/>
              <w:autoSpaceDN w:val="0"/>
              <w:adjustRightInd w:val="0"/>
              <w:jc w:val="both"/>
              <w:rPr>
                <w:sz w:val="20"/>
              </w:rPr>
            </w:pPr>
            <w:r w:rsidRPr="00C559B3">
              <w:rPr>
                <w:color w:val="000000"/>
                <w:sz w:val="20"/>
              </w:rPr>
              <w:t xml:space="preserve">Torts – Employer and employee – Damages – Employment law – Unjust dismissal – Appeals – Standard of review - Applicant bringing action for intentional infliction of mental suffering and constructive dismissal against former employer  - What are the parameters for recovery of the intentional inflection of mental suffering? - Whether second branch of test is a subjective or objective one? - </w:t>
            </w:r>
            <w:r w:rsidRPr="00C559B3">
              <w:rPr>
                <w:color w:val="3C3C3C"/>
                <w:sz w:val="20"/>
              </w:rPr>
              <w:t>Should findings and inferences of fact be overturned by appellate court when no overriding and palpable errors were identified nor were reasons given as to why findings were overturned?</w:t>
            </w:r>
          </w:p>
        </w:tc>
      </w:tr>
      <w:tr w:rsidR="00C01C92" w:rsidRPr="00C559B3" w:rsidTr="009204CD">
        <w:tc>
          <w:tcPr>
            <w:tcW w:w="5000" w:type="pct"/>
            <w:gridSpan w:val="4"/>
          </w:tcPr>
          <w:p w:rsidR="00C01C92" w:rsidRPr="00C559B3" w:rsidRDefault="00C01C92" w:rsidP="009204CD">
            <w:pPr>
              <w:jc w:val="both"/>
              <w:rPr>
                <w:sz w:val="20"/>
              </w:rPr>
            </w:pPr>
          </w:p>
        </w:tc>
      </w:tr>
      <w:tr w:rsidR="00C01C92" w:rsidRPr="00C559B3" w:rsidTr="009204CD">
        <w:tc>
          <w:tcPr>
            <w:tcW w:w="5000" w:type="pct"/>
            <w:gridSpan w:val="4"/>
          </w:tcPr>
          <w:p w:rsidR="00C01C92" w:rsidRDefault="00C01C92" w:rsidP="009204CD">
            <w:pPr>
              <w:pStyle w:val="aparanumbering1"/>
              <w:shd w:val="clear" w:color="auto" w:fill="FFFFFF"/>
              <w:spacing w:before="0" w:after="0"/>
              <w:rPr>
                <w:rFonts w:ascii="Times New Roman" w:hAnsi="Times New Roman" w:cs="Times New Roman"/>
                <w:sz w:val="20"/>
                <w:szCs w:val="20"/>
                <w:lang w:val="en"/>
              </w:rPr>
            </w:pPr>
            <w:r w:rsidRPr="00C559B3">
              <w:rPr>
                <w:rFonts w:ascii="Times New Roman" w:hAnsi="Times New Roman" w:cs="Times New Roman"/>
                <w:sz w:val="20"/>
                <w:szCs w:val="20"/>
                <w:lang w:val="en-CA"/>
              </w:rPr>
              <w:t xml:space="preserve">Ms. Colistro </w:t>
            </w:r>
            <w:r w:rsidRPr="00C559B3">
              <w:rPr>
                <w:rFonts w:ascii="Times New Roman" w:hAnsi="Times New Roman" w:cs="Times New Roman"/>
                <w:sz w:val="20"/>
                <w:szCs w:val="20"/>
                <w:lang w:val="en"/>
              </w:rPr>
              <w:t>worked for the respondent, Tbaytel, and its predecessor, the City of Thunder Bay (the “City”), for nearly twenty years. On January 29, 2007, Tbaytel announced the hiring of a new vice president of business consumer markets.   At the time, Ms. Colistro was employed as the executive assistant of another of the vice-presidents. Ms. Colistro was shocked and upset by the announcement, advised her supervisor that she was feeling unwell and went home. She never returned to work for Tbaytel.  Eleven years earlier, that new proposed vice president had been her immediate supervisor in the telephone department. The City had terminated his employment in 1996 for sexually harassing Ms</w:t>
            </w:r>
            <w:r>
              <w:rPr>
                <w:rFonts w:ascii="Times New Roman" w:hAnsi="Times New Roman" w:cs="Times New Roman"/>
                <w:sz w:val="20"/>
                <w:szCs w:val="20"/>
                <w:lang w:val="en"/>
              </w:rPr>
              <w:t>. Colistro and other employees.</w:t>
            </w:r>
          </w:p>
          <w:p w:rsidR="00C01C92" w:rsidRPr="00C559B3" w:rsidRDefault="00C01C92" w:rsidP="009204CD">
            <w:pPr>
              <w:pStyle w:val="aparanumbering1"/>
              <w:shd w:val="clear" w:color="auto" w:fill="FFFFFF"/>
              <w:spacing w:before="0" w:after="0"/>
              <w:rPr>
                <w:rFonts w:ascii="Times New Roman" w:hAnsi="Times New Roman" w:cs="Times New Roman"/>
                <w:sz w:val="20"/>
                <w:szCs w:val="20"/>
                <w:lang w:val="en"/>
              </w:rPr>
            </w:pPr>
          </w:p>
          <w:p w:rsidR="00C01C92" w:rsidRPr="00C559B3" w:rsidRDefault="00C01C92" w:rsidP="009204CD">
            <w:pPr>
              <w:jc w:val="both"/>
              <w:rPr>
                <w:sz w:val="20"/>
                <w:lang w:val="en"/>
              </w:rPr>
            </w:pPr>
            <w:r w:rsidRPr="00C559B3">
              <w:rPr>
                <w:sz w:val="20"/>
                <w:lang w:val="en"/>
              </w:rPr>
              <w:t xml:space="preserve">Ms. Colistro advised Tbaytel that she was very upset, was not eating or sleeping, was vomiting and on the verge of a nervous breakdown.  Tbaytel made its own inquiries and confirmed that the complaints of sexual harassment were part of the reason for the termination in 1996. Despite this, by letter dated February 6, 2007, </w:t>
            </w:r>
            <w:proofErr w:type="spellStart"/>
            <w:r w:rsidRPr="00C559B3">
              <w:rPr>
                <w:sz w:val="20"/>
                <w:lang w:val="en"/>
              </w:rPr>
              <w:t>Tbaytel’s</w:t>
            </w:r>
            <w:proofErr w:type="spellEnd"/>
            <w:r w:rsidRPr="00C559B3">
              <w:rPr>
                <w:sz w:val="20"/>
                <w:lang w:val="en"/>
              </w:rPr>
              <w:t xml:space="preserve"> president advised Ms. Colistro that he had decided to go forward with hiring the man who had sexually harassed her and other employees years before. Tbaytel offered to accommodate Ms. Colistro by transferring her to an equivalent position in an adjacent building but nothing short of not proceeding with the hiring was acceptable to Ms. Colistro. Tbaytel hired that person effective February 19, 2007.  Ms. Colistro was eventually diagnosed with chronic Post Traumatic Stress Disorder, panic attacks and depression. In June 2008, she commenced an action against Tbaytel and the City, claiming damages for intentional infliction of mental suffering and wrongful dismissal.  Her action for intentional infliction of mental suffering was dismissed.  She was awarded damages for constructive dismissal.  Those decisions were upheld on appeal.</w:t>
            </w:r>
          </w:p>
          <w:p w:rsidR="00C01C92" w:rsidRPr="00C559B3" w:rsidRDefault="00C01C92" w:rsidP="009204CD">
            <w:pPr>
              <w:jc w:val="both"/>
              <w:rPr>
                <w:sz w:val="20"/>
              </w:rPr>
            </w:pPr>
          </w:p>
        </w:tc>
      </w:tr>
      <w:tr w:rsidR="00C01C92" w:rsidRPr="00C559B3" w:rsidTr="009204CD">
        <w:tc>
          <w:tcPr>
            <w:tcW w:w="2427" w:type="pct"/>
            <w:gridSpan w:val="2"/>
          </w:tcPr>
          <w:p w:rsidR="00C01C92" w:rsidRPr="00C559B3" w:rsidRDefault="00C01C92" w:rsidP="009204CD">
            <w:pPr>
              <w:jc w:val="both"/>
              <w:rPr>
                <w:sz w:val="20"/>
              </w:rPr>
            </w:pPr>
            <w:r w:rsidRPr="00C559B3">
              <w:rPr>
                <w:sz w:val="20"/>
              </w:rPr>
              <w:t>June 16, 2017</w:t>
            </w:r>
          </w:p>
          <w:p w:rsidR="00C01C92" w:rsidRPr="00C559B3" w:rsidRDefault="00C01C92" w:rsidP="009204CD">
            <w:pPr>
              <w:jc w:val="both"/>
              <w:rPr>
                <w:sz w:val="20"/>
              </w:rPr>
            </w:pPr>
            <w:r w:rsidRPr="00C559B3">
              <w:rPr>
                <w:sz w:val="20"/>
              </w:rPr>
              <w:t>Ontario Superior Court of Justice</w:t>
            </w:r>
          </w:p>
          <w:p w:rsidR="00C01C92" w:rsidRPr="00C559B3" w:rsidRDefault="00C01C92" w:rsidP="009204CD">
            <w:pPr>
              <w:jc w:val="both"/>
              <w:rPr>
                <w:sz w:val="20"/>
              </w:rPr>
            </w:pPr>
            <w:r w:rsidRPr="00C559B3">
              <w:rPr>
                <w:sz w:val="20"/>
              </w:rPr>
              <w:t>(</w:t>
            </w:r>
            <w:proofErr w:type="spellStart"/>
            <w:r w:rsidRPr="00C559B3">
              <w:rPr>
                <w:sz w:val="20"/>
              </w:rPr>
              <w:t>Fregeau</w:t>
            </w:r>
            <w:proofErr w:type="spellEnd"/>
            <w:r w:rsidRPr="00C559B3">
              <w:rPr>
                <w:sz w:val="20"/>
              </w:rPr>
              <w:t xml:space="preserve"> J.)</w:t>
            </w:r>
          </w:p>
          <w:p w:rsidR="00C01C92" w:rsidRPr="00C559B3" w:rsidRDefault="001E07E1" w:rsidP="009204CD">
            <w:pPr>
              <w:jc w:val="both"/>
              <w:rPr>
                <w:sz w:val="20"/>
              </w:rPr>
            </w:pPr>
            <w:hyperlink r:id="rId15" w:history="1">
              <w:r w:rsidR="00C01C92" w:rsidRPr="00C559B3">
                <w:rPr>
                  <w:rStyle w:val="Hyperlink"/>
                  <w:sz w:val="20"/>
                </w:rPr>
                <w:t>2017 ONSC 2731</w:t>
              </w:r>
            </w:hyperlink>
          </w:p>
          <w:p w:rsidR="00C01C92" w:rsidRPr="00C559B3" w:rsidRDefault="00C01C92" w:rsidP="009204CD">
            <w:pPr>
              <w:jc w:val="both"/>
              <w:rPr>
                <w:sz w:val="20"/>
              </w:rPr>
            </w:pPr>
          </w:p>
        </w:tc>
        <w:tc>
          <w:tcPr>
            <w:tcW w:w="243" w:type="pct"/>
          </w:tcPr>
          <w:p w:rsidR="00C01C92" w:rsidRPr="00C559B3" w:rsidRDefault="00C01C92" w:rsidP="009204CD">
            <w:pPr>
              <w:jc w:val="both"/>
              <w:rPr>
                <w:sz w:val="20"/>
              </w:rPr>
            </w:pPr>
          </w:p>
        </w:tc>
        <w:tc>
          <w:tcPr>
            <w:tcW w:w="2330" w:type="pct"/>
          </w:tcPr>
          <w:p w:rsidR="00C01C92" w:rsidRPr="00C559B3" w:rsidRDefault="00C01C92" w:rsidP="009204CD">
            <w:pPr>
              <w:jc w:val="both"/>
              <w:rPr>
                <w:sz w:val="20"/>
              </w:rPr>
            </w:pPr>
            <w:r w:rsidRPr="00C559B3">
              <w:rPr>
                <w:sz w:val="20"/>
              </w:rPr>
              <w:t>Applicant awarded damages for constructive dismissal; Claim for intentional infliction of mental suffering dismissed; Respondent awarded costs</w:t>
            </w:r>
          </w:p>
        </w:tc>
      </w:tr>
      <w:tr w:rsidR="00C01C92" w:rsidRPr="00C559B3" w:rsidTr="009204CD">
        <w:tc>
          <w:tcPr>
            <w:tcW w:w="2427" w:type="pct"/>
            <w:gridSpan w:val="2"/>
          </w:tcPr>
          <w:p w:rsidR="00C01C92" w:rsidRPr="00C559B3" w:rsidRDefault="00C01C92" w:rsidP="009204CD">
            <w:pPr>
              <w:jc w:val="both"/>
              <w:rPr>
                <w:sz w:val="20"/>
              </w:rPr>
            </w:pPr>
            <w:r w:rsidRPr="00C559B3">
              <w:rPr>
                <w:sz w:val="20"/>
              </w:rPr>
              <w:t>March 13, 2019</w:t>
            </w:r>
          </w:p>
          <w:p w:rsidR="00C01C92" w:rsidRPr="00C559B3" w:rsidRDefault="00C01C92" w:rsidP="009204CD">
            <w:pPr>
              <w:jc w:val="both"/>
              <w:rPr>
                <w:sz w:val="20"/>
              </w:rPr>
            </w:pPr>
            <w:r w:rsidRPr="00C559B3">
              <w:rPr>
                <w:sz w:val="20"/>
              </w:rPr>
              <w:t>Court of Appeal for Ontario</w:t>
            </w:r>
          </w:p>
          <w:p w:rsidR="00C01C92" w:rsidRPr="00C559B3" w:rsidRDefault="00C01C92" w:rsidP="009204CD">
            <w:pPr>
              <w:jc w:val="both"/>
              <w:rPr>
                <w:sz w:val="20"/>
              </w:rPr>
            </w:pPr>
            <w:r w:rsidRPr="00C559B3">
              <w:rPr>
                <w:sz w:val="20"/>
              </w:rPr>
              <w:t>(Hoy A.C.J.O., Simmons and Pardu JJ.A.)</w:t>
            </w:r>
          </w:p>
          <w:p w:rsidR="00C01C92" w:rsidRPr="00F01812" w:rsidRDefault="001E07E1" w:rsidP="009204CD">
            <w:pPr>
              <w:jc w:val="both"/>
              <w:rPr>
                <w:rStyle w:val="Hyperlink"/>
                <w:sz w:val="20"/>
              </w:rPr>
            </w:pPr>
            <w:hyperlink r:id="rId16" w:history="1">
              <w:r w:rsidR="00C01C92" w:rsidRPr="00C559B3">
                <w:rPr>
                  <w:rStyle w:val="Hyperlink"/>
                  <w:sz w:val="20"/>
                </w:rPr>
                <w:t>2019 ONCA 197</w:t>
              </w:r>
            </w:hyperlink>
          </w:p>
          <w:p w:rsidR="00C01C92" w:rsidRPr="00C559B3" w:rsidRDefault="00C01C92" w:rsidP="009204CD">
            <w:pPr>
              <w:jc w:val="both"/>
              <w:rPr>
                <w:sz w:val="20"/>
              </w:rPr>
            </w:pPr>
          </w:p>
        </w:tc>
        <w:tc>
          <w:tcPr>
            <w:tcW w:w="243" w:type="pct"/>
          </w:tcPr>
          <w:p w:rsidR="00C01C92" w:rsidRPr="00C559B3" w:rsidRDefault="00C01C92" w:rsidP="009204CD">
            <w:pPr>
              <w:jc w:val="both"/>
              <w:rPr>
                <w:sz w:val="20"/>
              </w:rPr>
            </w:pPr>
          </w:p>
        </w:tc>
        <w:tc>
          <w:tcPr>
            <w:tcW w:w="2330" w:type="pct"/>
          </w:tcPr>
          <w:p w:rsidR="00C01C92" w:rsidRPr="00C559B3" w:rsidRDefault="00C01C92" w:rsidP="009204CD">
            <w:pPr>
              <w:jc w:val="both"/>
              <w:rPr>
                <w:sz w:val="20"/>
              </w:rPr>
            </w:pPr>
            <w:r w:rsidRPr="00C559B3">
              <w:rPr>
                <w:sz w:val="20"/>
              </w:rPr>
              <w:t>Applicant’s appeal of dismissal of claim for intentional infliction of mental suffering dismissed;  Respondents’ cross-appeal from finding of constructive dismissal dismissed</w:t>
            </w:r>
          </w:p>
        </w:tc>
      </w:tr>
      <w:tr w:rsidR="00C01C92" w:rsidRPr="00C559B3" w:rsidTr="009204CD">
        <w:tc>
          <w:tcPr>
            <w:tcW w:w="2427" w:type="pct"/>
            <w:gridSpan w:val="2"/>
          </w:tcPr>
          <w:p w:rsidR="00C01C92" w:rsidRPr="00C559B3" w:rsidRDefault="00C01C92" w:rsidP="009204CD">
            <w:pPr>
              <w:jc w:val="both"/>
              <w:rPr>
                <w:sz w:val="20"/>
              </w:rPr>
            </w:pPr>
            <w:r w:rsidRPr="00C559B3">
              <w:rPr>
                <w:sz w:val="20"/>
              </w:rPr>
              <w:t>May 13, 2019</w:t>
            </w:r>
          </w:p>
          <w:p w:rsidR="00C01C92" w:rsidRPr="00C559B3" w:rsidRDefault="00C01C92" w:rsidP="009204CD">
            <w:pPr>
              <w:jc w:val="both"/>
              <w:rPr>
                <w:sz w:val="20"/>
              </w:rPr>
            </w:pPr>
            <w:r w:rsidRPr="00C559B3">
              <w:rPr>
                <w:sz w:val="20"/>
              </w:rPr>
              <w:t>Supreme Court of Canada</w:t>
            </w:r>
          </w:p>
        </w:tc>
        <w:tc>
          <w:tcPr>
            <w:tcW w:w="243" w:type="pct"/>
          </w:tcPr>
          <w:p w:rsidR="00C01C92" w:rsidRPr="00C559B3" w:rsidRDefault="00C01C92" w:rsidP="009204CD">
            <w:pPr>
              <w:jc w:val="both"/>
              <w:rPr>
                <w:sz w:val="20"/>
              </w:rPr>
            </w:pPr>
          </w:p>
        </w:tc>
        <w:tc>
          <w:tcPr>
            <w:tcW w:w="2330" w:type="pct"/>
          </w:tcPr>
          <w:p w:rsidR="00C01C92" w:rsidRPr="00C559B3" w:rsidRDefault="00C01C92" w:rsidP="009204CD">
            <w:pPr>
              <w:jc w:val="both"/>
              <w:rPr>
                <w:sz w:val="20"/>
              </w:rPr>
            </w:pPr>
            <w:r w:rsidRPr="00C559B3">
              <w:rPr>
                <w:sz w:val="20"/>
              </w:rPr>
              <w:t>Application for leave to appeal filed</w:t>
            </w:r>
          </w:p>
          <w:p w:rsidR="00C01C92" w:rsidRPr="00C559B3" w:rsidRDefault="00C01C92" w:rsidP="009204CD">
            <w:pPr>
              <w:jc w:val="both"/>
              <w:rPr>
                <w:sz w:val="20"/>
              </w:rPr>
            </w:pPr>
          </w:p>
        </w:tc>
      </w:tr>
    </w:tbl>
    <w:p w:rsidR="00C01C92" w:rsidRDefault="00C01C92" w:rsidP="00C01C92">
      <w:pPr>
        <w:jc w:val="both"/>
        <w:rPr>
          <w:sz w:val="20"/>
        </w:rPr>
      </w:pPr>
    </w:p>
    <w:p w:rsidR="00C01C92" w:rsidRDefault="001E07E1" w:rsidP="00C01C92">
      <w:pPr>
        <w:jc w:val="both"/>
        <w:rPr>
          <w:sz w:val="20"/>
        </w:rPr>
      </w:pPr>
      <w:r>
        <w:rPr>
          <w:sz w:val="20"/>
        </w:rPr>
        <w:pict>
          <v:rect id="_x0000_i1028" style="width:2in;height:1pt" o:hrpct="0" o:hralign="center" o:hrstd="t" o:hrnoshade="t" o:hr="t" fillcolor="black [3213]" stroked="f"/>
        </w:pict>
      </w:r>
    </w:p>
    <w:p w:rsidR="00C01C92" w:rsidRPr="00C559B3" w:rsidRDefault="00C01C92" w:rsidP="00C01C92">
      <w:pPr>
        <w:jc w:val="both"/>
        <w:rPr>
          <w:sz w:val="20"/>
        </w:rPr>
      </w:pPr>
    </w:p>
    <w:p w:rsidR="00C01C92" w:rsidRDefault="00C01C9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01C92" w:rsidRPr="00C559B3" w:rsidTr="009204CD">
        <w:tc>
          <w:tcPr>
            <w:tcW w:w="543" w:type="pct"/>
          </w:tcPr>
          <w:p w:rsidR="00C01C92" w:rsidRPr="00C559B3" w:rsidRDefault="00C01C92" w:rsidP="009204CD">
            <w:pPr>
              <w:jc w:val="both"/>
              <w:rPr>
                <w:sz w:val="20"/>
                <w:lang w:val="fr-CA"/>
              </w:rPr>
            </w:pPr>
            <w:r w:rsidRPr="00C559B3">
              <w:rPr>
                <w:rStyle w:val="SCCFileNumberChar"/>
                <w:sz w:val="20"/>
                <w:szCs w:val="20"/>
                <w:lang w:val="fr-CA"/>
              </w:rPr>
              <w:lastRenderedPageBreak/>
              <w:t>38628</w:t>
            </w:r>
          </w:p>
        </w:tc>
        <w:tc>
          <w:tcPr>
            <w:tcW w:w="4457" w:type="pct"/>
            <w:gridSpan w:val="3"/>
          </w:tcPr>
          <w:p w:rsidR="00C01C92" w:rsidRPr="00E7097F" w:rsidRDefault="00C01C92" w:rsidP="009204CD">
            <w:pPr>
              <w:pStyle w:val="SCCLsocParty"/>
              <w:jc w:val="both"/>
              <w:rPr>
                <w:b/>
                <w:sz w:val="20"/>
                <w:szCs w:val="20"/>
                <w:lang w:val="en-US"/>
              </w:rPr>
            </w:pPr>
            <w:r w:rsidRPr="00E7097F">
              <w:rPr>
                <w:b/>
                <w:sz w:val="20"/>
                <w:szCs w:val="20"/>
                <w:lang w:val="en-US"/>
              </w:rPr>
              <w:t>Linda Colistro c. Tbaytel et Corporation of the City of Thunder Bay</w:t>
            </w:r>
          </w:p>
          <w:p w:rsidR="00C01C92" w:rsidRPr="00C559B3" w:rsidRDefault="00C01C92" w:rsidP="009204CD">
            <w:pPr>
              <w:jc w:val="both"/>
              <w:rPr>
                <w:sz w:val="20"/>
                <w:lang w:val="fr-CA"/>
              </w:rPr>
            </w:pPr>
            <w:r w:rsidRPr="00C559B3">
              <w:rPr>
                <w:sz w:val="20"/>
                <w:lang w:val="fr-CA"/>
              </w:rPr>
              <w:t>(Ont.) (Civile) (Autorisation)</w:t>
            </w:r>
          </w:p>
        </w:tc>
      </w:tr>
      <w:tr w:rsidR="00054B4D" w:rsidRPr="009204CD" w:rsidTr="00054B4D">
        <w:tc>
          <w:tcPr>
            <w:tcW w:w="5000" w:type="pct"/>
            <w:gridSpan w:val="4"/>
          </w:tcPr>
          <w:p w:rsidR="00054B4D" w:rsidRPr="00946EB8" w:rsidRDefault="00054B4D" w:rsidP="00054B4D">
            <w:pPr>
              <w:jc w:val="both"/>
              <w:rPr>
                <w:sz w:val="20"/>
                <w:lang w:val="fr-CA"/>
              </w:rPr>
            </w:pPr>
            <w:r w:rsidRPr="00946EB8">
              <w:rPr>
                <w:sz w:val="20"/>
                <w:lang w:val="fr-CA"/>
              </w:rPr>
              <w:t>La demande d’autorisation d’appel de l’arrêt de la Cour d’appel de l’Ontario, numéro C64072, 2019 ONCA 197, daté du 13 mars 2019, est rejetée avec dépens.</w:t>
            </w:r>
          </w:p>
          <w:p w:rsidR="00054B4D" w:rsidRPr="00054B4D" w:rsidRDefault="00054B4D" w:rsidP="009204CD">
            <w:pPr>
              <w:pStyle w:val="SCCLsocParty"/>
              <w:jc w:val="both"/>
              <w:rPr>
                <w:b/>
                <w:sz w:val="20"/>
                <w:szCs w:val="20"/>
              </w:rPr>
            </w:pPr>
          </w:p>
        </w:tc>
      </w:tr>
      <w:tr w:rsidR="00C01C92" w:rsidRPr="009204CD" w:rsidTr="009204CD">
        <w:tc>
          <w:tcPr>
            <w:tcW w:w="5000" w:type="pct"/>
            <w:gridSpan w:val="4"/>
          </w:tcPr>
          <w:p w:rsidR="00C01C92" w:rsidRPr="00C559B3" w:rsidRDefault="00C01C92" w:rsidP="009204CD">
            <w:pPr>
              <w:autoSpaceDE w:val="0"/>
              <w:autoSpaceDN w:val="0"/>
              <w:adjustRightInd w:val="0"/>
              <w:jc w:val="both"/>
              <w:rPr>
                <w:sz w:val="20"/>
                <w:lang w:val="fr-CA"/>
              </w:rPr>
            </w:pPr>
            <w:r w:rsidRPr="00C559B3">
              <w:rPr>
                <w:color w:val="000000"/>
                <w:sz w:val="20"/>
                <w:lang w:val="fr-CA"/>
              </w:rPr>
              <w:t>Responsabilité délictuelle — Employeur et employé — Dommages</w:t>
            </w:r>
            <w:r w:rsidRPr="00C559B3">
              <w:rPr>
                <w:color w:val="000000"/>
                <w:sz w:val="20"/>
                <w:lang w:val="fr-CA"/>
              </w:rPr>
              <w:noBreakHyphen/>
              <w:t>intérêts – Droit de l’emploi —Congédiement injustifié — Appels — Norme de contrôle — La demanderesse a intenté une action en infliction intentionnelle de souffrances morales et en congédiement déguisé contre son ancien employeur — Quels sont les paramètres de recouvrement en ce qui concerne l’infliction intentionnelle de souffrances morales? — Le second volet du test est</w:t>
            </w:r>
            <w:r w:rsidRPr="00C559B3">
              <w:rPr>
                <w:color w:val="000000"/>
                <w:sz w:val="20"/>
                <w:lang w:val="fr-CA"/>
              </w:rPr>
              <w:noBreakHyphen/>
              <w:t xml:space="preserve">il subjectif ou objectif? — </w:t>
            </w:r>
            <w:r w:rsidRPr="00C559B3">
              <w:rPr>
                <w:color w:val="3C3C3C"/>
                <w:sz w:val="20"/>
                <w:lang w:val="fr-CA"/>
              </w:rPr>
              <w:t>Les conclusions et inférences de fait doivent</w:t>
            </w:r>
            <w:r w:rsidRPr="00C559B3">
              <w:rPr>
                <w:color w:val="3C3C3C"/>
                <w:sz w:val="20"/>
                <w:lang w:val="fr-CA"/>
              </w:rPr>
              <w:noBreakHyphen/>
              <w:t>elles être annulées par la cour d’appel lorsqu’aucune erreur manifeste et dominante n’a été identifiée et lorsqu’aucun motif n’a été donné pour justifier l’annulation des conclusions?</w:t>
            </w:r>
          </w:p>
        </w:tc>
      </w:tr>
      <w:tr w:rsidR="00C01C92" w:rsidRPr="009204CD" w:rsidTr="009204CD">
        <w:tc>
          <w:tcPr>
            <w:tcW w:w="5000" w:type="pct"/>
            <w:gridSpan w:val="4"/>
          </w:tcPr>
          <w:p w:rsidR="00C01C92" w:rsidRPr="00C559B3" w:rsidRDefault="00C01C92" w:rsidP="009204CD">
            <w:pPr>
              <w:jc w:val="both"/>
              <w:rPr>
                <w:sz w:val="20"/>
                <w:lang w:val="fr-CA"/>
              </w:rPr>
            </w:pPr>
          </w:p>
        </w:tc>
      </w:tr>
      <w:tr w:rsidR="00C01C92" w:rsidRPr="00C559B3" w:rsidTr="009204CD">
        <w:tc>
          <w:tcPr>
            <w:tcW w:w="5000" w:type="pct"/>
            <w:gridSpan w:val="4"/>
          </w:tcPr>
          <w:p w:rsidR="00C01C92" w:rsidRDefault="00C01C92" w:rsidP="009204CD">
            <w:pPr>
              <w:pStyle w:val="aparanumbering1"/>
              <w:shd w:val="clear" w:color="auto" w:fill="FFFFFF"/>
              <w:spacing w:before="0" w:after="0"/>
              <w:rPr>
                <w:rFonts w:ascii="Times New Roman" w:hAnsi="Times New Roman" w:cs="Times New Roman"/>
                <w:sz w:val="20"/>
                <w:szCs w:val="20"/>
                <w:lang w:val="fr-CA"/>
              </w:rPr>
            </w:pPr>
            <w:r w:rsidRPr="00C559B3">
              <w:rPr>
                <w:rFonts w:ascii="Times New Roman" w:hAnsi="Times New Roman" w:cs="Times New Roman"/>
                <w:sz w:val="20"/>
                <w:szCs w:val="20"/>
                <w:lang w:val="fr-CA"/>
              </w:rPr>
              <w:t>Madame Colistro a travaillé pour l’intimée, Tbaytel, et l’entité qu’elle a remplacée, la Cité de Thunder Bay (la « Cité »), pendant presque vingt ans. Le 29 janvier 2007, Tbaytel a annoncé l’embauche d’un nouveau vice</w:t>
            </w:r>
            <w:r w:rsidRPr="00C559B3">
              <w:rPr>
                <w:rFonts w:ascii="Times New Roman" w:hAnsi="Times New Roman" w:cs="Times New Roman"/>
                <w:sz w:val="20"/>
                <w:szCs w:val="20"/>
                <w:lang w:val="fr-CA"/>
              </w:rPr>
              <w:noBreakHyphen/>
              <w:t>président, marchés des clients commerciaux. À l’époque, Mme Colistro travaillait comme adjointe de direction d’un autre vice-président. Madame Colistro a été estomaquée et bouleversée par l’annonce, elle a informé son superviseur qu’elle ne se sentait pas bien et elle est rentrée chez elle. Elle n’est jamais retournée travailler pour Tbaytel. Onze ans plus tôt, le nouveau vice</w:t>
            </w:r>
            <w:r w:rsidRPr="00C559B3">
              <w:rPr>
                <w:rFonts w:ascii="Times New Roman" w:hAnsi="Times New Roman" w:cs="Times New Roman"/>
                <w:sz w:val="20"/>
                <w:szCs w:val="20"/>
                <w:lang w:val="fr-CA"/>
              </w:rPr>
              <w:noBreakHyphen/>
              <w:t>président proposé avait été son superviseur immédiat au service téléphonique. La Cité l’avait congédié en 1996 pour avoir harcelé sexuellement Mme Colistro et d’autres employées.</w:t>
            </w:r>
          </w:p>
          <w:p w:rsidR="00C01C92" w:rsidRPr="00C559B3" w:rsidRDefault="00C01C92" w:rsidP="009204CD">
            <w:pPr>
              <w:pStyle w:val="aparanumbering1"/>
              <w:shd w:val="clear" w:color="auto" w:fill="FFFFFF"/>
              <w:spacing w:before="0" w:after="0"/>
              <w:rPr>
                <w:rFonts w:ascii="Times New Roman" w:hAnsi="Times New Roman" w:cs="Times New Roman"/>
                <w:sz w:val="20"/>
                <w:szCs w:val="20"/>
                <w:lang w:val="fr-CA"/>
              </w:rPr>
            </w:pPr>
          </w:p>
          <w:p w:rsidR="00C01C92" w:rsidRPr="00C559B3" w:rsidRDefault="00C01C92" w:rsidP="009204CD">
            <w:pPr>
              <w:jc w:val="both"/>
              <w:rPr>
                <w:sz w:val="20"/>
                <w:lang w:val="fr-CA"/>
              </w:rPr>
            </w:pPr>
            <w:r w:rsidRPr="00C559B3">
              <w:rPr>
                <w:sz w:val="20"/>
                <w:lang w:val="fr-CA"/>
              </w:rPr>
              <w:t xml:space="preserve">Madame Colistro a informé Tbaytel qu’elle était très bouleversée, qu’elle ne mangeait pas et ne dormait pas, qu’elle vomissait et qu’elle était au bord d’une dépression nerveuse. Tbaytel a fait ses propres enquêtes et a confirmé que les plaintes de harcèlement sexuel faisaient partie des raisons du congédiement en 1996. Malgré cela, par lettre datée du 6 février 2007, le président de Tbaytel a informé Mme Colistro qu’il avait décidé d’embaucher l’homme qui l’avait harcelée sexuellement et harcelé sexuellement d’autres employées plusieurs années auparavant. Tbaytel a offert d’accommoder Mme Colistro en </w:t>
            </w:r>
            <w:proofErr w:type="gramStart"/>
            <w:r w:rsidRPr="00C559B3">
              <w:rPr>
                <w:sz w:val="20"/>
                <w:lang w:val="fr-CA"/>
              </w:rPr>
              <w:t>la</w:t>
            </w:r>
            <w:proofErr w:type="gramEnd"/>
            <w:r w:rsidRPr="00C559B3">
              <w:rPr>
                <w:sz w:val="20"/>
                <w:lang w:val="fr-CA"/>
              </w:rPr>
              <w:t xml:space="preserve"> mutant à un poste équivalent dans un édifice adjacent, mais Mme Colistro ne voulait rien de moins que la non</w:t>
            </w:r>
            <w:r w:rsidRPr="00C559B3">
              <w:rPr>
                <w:sz w:val="20"/>
                <w:lang w:val="fr-CA"/>
              </w:rPr>
              <w:noBreakHyphen/>
              <w:t>embauche. Tbaytel a embauché cette personne avec prise d’effet le 19 février 2007. Madame Colistro a finalement reçu un diagnostic de trouble de stress post</w:t>
            </w:r>
            <w:r w:rsidRPr="00C559B3">
              <w:rPr>
                <w:sz w:val="20"/>
                <w:lang w:val="fr-CA"/>
              </w:rPr>
              <w:noBreakHyphen/>
              <w:t>traumatique, de crises de panique et de dépression. En juin 2008, elle a intenté une action contre Tbaytel et la Cité, réclamant des dommages</w:t>
            </w:r>
            <w:r w:rsidRPr="00C559B3">
              <w:rPr>
                <w:sz w:val="20"/>
                <w:lang w:val="fr-CA"/>
              </w:rPr>
              <w:noBreakHyphen/>
              <w:t>intérêts pour infliction intentionnelle de souffrances morales et congédiement injustifié. Son action en infliction intentionnelle de souffrances morales a été rejetée. Elle s’est vu accorder des dommages-intérêts pour congédiement déguisé. Ces décisions ont été confirmées en appel.</w:t>
            </w:r>
          </w:p>
          <w:p w:rsidR="00C01C92" w:rsidRPr="00C559B3" w:rsidRDefault="00C01C92" w:rsidP="009204CD">
            <w:pPr>
              <w:jc w:val="both"/>
              <w:rPr>
                <w:sz w:val="20"/>
                <w:lang w:val="fr-CA"/>
              </w:rPr>
            </w:pPr>
          </w:p>
        </w:tc>
      </w:tr>
      <w:tr w:rsidR="00C01C92" w:rsidRPr="009204CD" w:rsidTr="009204CD">
        <w:tc>
          <w:tcPr>
            <w:tcW w:w="2427" w:type="pct"/>
            <w:gridSpan w:val="2"/>
          </w:tcPr>
          <w:p w:rsidR="00C01C92" w:rsidRPr="00C559B3" w:rsidRDefault="00C01C92" w:rsidP="009204CD">
            <w:pPr>
              <w:jc w:val="both"/>
              <w:rPr>
                <w:sz w:val="20"/>
                <w:lang w:val="fr-CA"/>
              </w:rPr>
            </w:pPr>
            <w:r w:rsidRPr="00C559B3">
              <w:rPr>
                <w:sz w:val="20"/>
                <w:lang w:val="fr-CA"/>
              </w:rPr>
              <w:t>16 juin 2017</w:t>
            </w:r>
          </w:p>
          <w:p w:rsidR="00C01C92" w:rsidRPr="00C559B3" w:rsidRDefault="00C01C92" w:rsidP="009204CD">
            <w:pPr>
              <w:jc w:val="both"/>
              <w:rPr>
                <w:sz w:val="20"/>
                <w:lang w:val="fr-CA"/>
              </w:rPr>
            </w:pPr>
            <w:r w:rsidRPr="00C559B3">
              <w:rPr>
                <w:sz w:val="20"/>
                <w:lang w:val="fr-CA"/>
              </w:rPr>
              <w:t>Cour supérieure de justice de l’Ontario</w:t>
            </w:r>
          </w:p>
          <w:p w:rsidR="00C01C92" w:rsidRPr="00C559B3" w:rsidRDefault="00C01C92" w:rsidP="009204CD">
            <w:pPr>
              <w:jc w:val="both"/>
              <w:rPr>
                <w:sz w:val="20"/>
                <w:lang w:val="fr-CA"/>
              </w:rPr>
            </w:pPr>
            <w:r w:rsidRPr="00C559B3">
              <w:rPr>
                <w:sz w:val="20"/>
                <w:lang w:val="fr-CA"/>
              </w:rPr>
              <w:t xml:space="preserve">(Juge </w:t>
            </w:r>
            <w:proofErr w:type="spellStart"/>
            <w:r w:rsidRPr="00C559B3">
              <w:rPr>
                <w:sz w:val="20"/>
                <w:lang w:val="fr-CA"/>
              </w:rPr>
              <w:t>Fregeau</w:t>
            </w:r>
            <w:proofErr w:type="spellEnd"/>
            <w:r w:rsidRPr="00C559B3">
              <w:rPr>
                <w:sz w:val="20"/>
                <w:lang w:val="fr-CA"/>
              </w:rPr>
              <w:t>)</w:t>
            </w:r>
          </w:p>
          <w:p w:rsidR="00C01C92" w:rsidRPr="00C559B3" w:rsidRDefault="001E07E1" w:rsidP="009204CD">
            <w:pPr>
              <w:jc w:val="both"/>
              <w:rPr>
                <w:sz w:val="20"/>
                <w:lang w:val="fr-CA"/>
              </w:rPr>
            </w:pPr>
            <w:hyperlink r:id="rId17" w:history="1">
              <w:r w:rsidR="00C01C92" w:rsidRPr="00C559B3">
                <w:rPr>
                  <w:rStyle w:val="Hyperlink"/>
                  <w:sz w:val="20"/>
                  <w:lang w:val="fr-CA"/>
                </w:rPr>
                <w:t>2017 ONSC 2731</w:t>
              </w:r>
            </w:hyperlink>
          </w:p>
          <w:p w:rsidR="00C01C92" w:rsidRPr="00C559B3" w:rsidRDefault="00C01C92" w:rsidP="009204CD">
            <w:pPr>
              <w:jc w:val="both"/>
              <w:rPr>
                <w:sz w:val="20"/>
                <w:lang w:val="fr-CA"/>
              </w:rPr>
            </w:pPr>
          </w:p>
        </w:tc>
        <w:tc>
          <w:tcPr>
            <w:tcW w:w="243" w:type="pct"/>
          </w:tcPr>
          <w:p w:rsidR="00C01C92" w:rsidRPr="00C559B3" w:rsidRDefault="00C01C92" w:rsidP="009204CD">
            <w:pPr>
              <w:jc w:val="both"/>
              <w:rPr>
                <w:sz w:val="20"/>
                <w:lang w:val="fr-CA"/>
              </w:rPr>
            </w:pPr>
          </w:p>
        </w:tc>
        <w:tc>
          <w:tcPr>
            <w:tcW w:w="2330" w:type="pct"/>
          </w:tcPr>
          <w:p w:rsidR="00C01C92" w:rsidRPr="00C559B3" w:rsidRDefault="00C01C92" w:rsidP="009204CD">
            <w:pPr>
              <w:jc w:val="both"/>
              <w:rPr>
                <w:sz w:val="20"/>
                <w:lang w:val="fr-CA"/>
              </w:rPr>
            </w:pPr>
            <w:r w:rsidRPr="00C559B3">
              <w:rPr>
                <w:sz w:val="20"/>
                <w:lang w:val="fr-CA"/>
              </w:rPr>
              <w:t>Jugement accordant à la demanderesse des dommages</w:t>
            </w:r>
            <w:r w:rsidRPr="00C559B3">
              <w:rPr>
                <w:sz w:val="20"/>
                <w:lang w:val="fr-CA"/>
              </w:rPr>
              <w:noBreakHyphen/>
              <w:t>intérêts pour congédiement déguisé, rejetant la demande en infliction intentionnelle de souffrances morales et accordant les dépens à l’intimée</w:t>
            </w:r>
          </w:p>
          <w:p w:rsidR="00C01C92" w:rsidRPr="00C559B3" w:rsidRDefault="00C01C92" w:rsidP="009204CD">
            <w:pPr>
              <w:jc w:val="both"/>
              <w:rPr>
                <w:sz w:val="20"/>
                <w:lang w:val="fr-CA"/>
              </w:rPr>
            </w:pPr>
          </w:p>
        </w:tc>
      </w:tr>
      <w:tr w:rsidR="00C01C92" w:rsidRPr="009204CD" w:rsidTr="009204CD">
        <w:tc>
          <w:tcPr>
            <w:tcW w:w="2427" w:type="pct"/>
            <w:gridSpan w:val="2"/>
          </w:tcPr>
          <w:p w:rsidR="00C01C92" w:rsidRPr="00C559B3" w:rsidRDefault="00C01C92" w:rsidP="009204CD">
            <w:pPr>
              <w:jc w:val="both"/>
              <w:rPr>
                <w:sz w:val="20"/>
                <w:lang w:val="fr-CA"/>
              </w:rPr>
            </w:pPr>
            <w:r w:rsidRPr="00C559B3">
              <w:rPr>
                <w:sz w:val="20"/>
                <w:lang w:val="fr-CA"/>
              </w:rPr>
              <w:t>13 mars 2019</w:t>
            </w:r>
          </w:p>
          <w:p w:rsidR="00C01C92" w:rsidRPr="00C559B3" w:rsidRDefault="00C01C92" w:rsidP="009204CD">
            <w:pPr>
              <w:jc w:val="both"/>
              <w:rPr>
                <w:sz w:val="20"/>
                <w:lang w:val="fr-CA"/>
              </w:rPr>
            </w:pPr>
            <w:r w:rsidRPr="00C559B3">
              <w:rPr>
                <w:sz w:val="20"/>
                <w:lang w:val="fr-CA"/>
              </w:rPr>
              <w:t>Cour d’appel de l’Ontario</w:t>
            </w:r>
          </w:p>
          <w:p w:rsidR="00C01C92" w:rsidRPr="00C559B3" w:rsidRDefault="00C01C92" w:rsidP="009204CD">
            <w:pPr>
              <w:jc w:val="both"/>
              <w:rPr>
                <w:sz w:val="20"/>
                <w:lang w:val="fr-CA"/>
              </w:rPr>
            </w:pPr>
            <w:r w:rsidRPr="00C559B3">
              <w:rPr>
                <w:sz w:val="20"/>
                <w:lang w:val="fr-CA"/>
              </w:rPr>
              <w:t xml:space="preserve">(Juge en chef adjointe </w:t>
            </w:r>
            <w:proofErr w:type="spellStart"/>
            <w:r w:rsidRPr="00C559B3">
              <w:rPr>
                <w:sz w:val="20"/>
                <w:lang w:val="fr-CA"/>
              </w:rPr>
              <w:t>Hoy</w:t>
            </w:r>
            <w:proofErr w:type="spellEnd"/>
            <w:r w:rsidRPr="00C559B3">
              <w:rPr>
                <w:sz w:val="20"/>
                <w:lang w:val="fr-CA"/>
              </w:rPr>
              <w:t>, juges Simmons et Pardu)</w:t>
            </w:r>
          </w:p>
          <w:p w:rsidR="00C01C92" w:rsidRPr="00372F48" w:rsidRDefault="001E07E1" w:rsidP="009204CD">
            <w:pPr>
              <w:jc w:val="both"/>
              <w:rPr>
                <w:rStyle w:val="Hyperlink"/>
                <w:sz w:val="20"/>
                <w:lang w:val="fr-CA"/>
              </w:rPr>
            </w:pPr>
            <w:hyperlink r:id="rId18" w:history="1">
              <w:r w:rsidR="00C01C92" w:rsidRPr="00C559B3">
                <w:rPr>
                  <w:rStyle w:val="Hyperlink"/>
                  <w:sz w:val="20"/>
                  <w:lang w:val="fr-CA"/>
                </w:rPr>
                <w:t>2019 ONCA 197</w:t>
              </w:r>
            </w:hyperlink>
          </w:p>
          <w:p w:rsidR="00C01C92" w:rsidRPr="00C559B3" w:rsidRDefault="00C01C92" w:rsidP="009204CD">
            <w:pPr>
              <w:jc w:val="both"/>
              <w:rPr>
                <w:sz w:val="20"/>
                <w:lang w:val="fr-CA"/>
              </w:rPr>
            </w:pPr>
          </w:p>
        </w:tc>
        <w:tc>
          <w:tcPr>
            <w:tcW w:w="243" w:type="pct"/>
          </w:tcPr>
          <w:p w:rsidR="00C01C92" w:rsidRPr="00C559B3" w:rsidRDefault="00C01C92" w:rsidP="009204CD">
            <w:pPr>
              <w:jc w:val="both"/>
              <w:rPr>
                <w:sz w:val="20"/>
                <w:lang w:val="fr-CA"/>
              </w:rPr>
            </w:pPr>
          </w:p>
        </w:tc>
        <w:tc>
          <w:tcPr>
            <w:tcW w:w="2330" w:type="pct"/>
          </w:tcPr>
          <w:p w:rsidR="00C01C92" w:rsidRDefault="00C01C92" w:rsidP="009204CD">
            <w:pPr>
              <w:jc w:val="both"/>
              <w:rPr>
                <w:sz w:val="20"/>
                <w:lang w:val="fr-CA"/>
              </w:rPr>
            </w:pPr>
            <w:r w:rsidRPr="00C559B3">
              <w:rPr>
                <w:sz w:val="20"/>
                <w:lang w:val="fr-CA"/>
              </w:rPr>
              <w:t>Rejet de l’appel interjeté par la demanderesse du rejet de la demande en infliction intentionnelle de souffrances morales et rejet de l’appel incident interjeté par les intimées de la conclusion de congédiement déguisé</w:t>
            </w:r>
          </w:p>
          <w:p w:rsidR="00C01C92" w:rsidRPr="00C559B3" w:rsidRDefault="00C01C92" w:rsidP="009204CD">
            <w:pPr>
              <w:jc w:val="both"/>
              <w:rPr>
                <w:sz w:val="20"/>
                <w:lang w:val="fr-CA"/>
              </w:rPr>
            </w:pPr>
          </w:p>
        </w:tc>
      </w:tr>
      <w:tr w:rsidR="00C01C92" w:rsidRPr="009204CD" w:rsidTr="009204CD">
        <w:tc>
          <w:tcPr>
            <w:tcW w:w="2427" w:type="pct"/>
            <w:gridSpan w:val="2"/>
          </w:tcPr>
          <w:p w:rsidR="00C01C92" w:rsidRPr="00C559B3" w:rsidRDefault="00C01C92" w:rsidP="009204CD">
            <w:pPr>
              <w:jc w:val="both"/>
              <w:rPr>
                <w:sz w:val="20"/>
                <w:lang w:val="fr-CA"/>
              </w:rPr>
            </w:pPr>
            <w:r w:rsidRPr="00C559B3">
              <w:rPr>
                <w:sz w:val="20"/>
                <w:lang w:val="fr-CA"/>
              </w:rPr>
              <w:t>13 mai 2019</w:t>
            </w:r>
          </w:p>
          <w:p w:rsidR="00C01C92" w:rsidRPr="00C559B3" w:rsidRDefault="00C01C92" w:rsidP="009204CD">
            <w:pPr>
              <w:jc w:val="both"/>
              <w:rPr>
                <w:sz w:val="20"/>
                <w:lang w:val="fr-CA"/>
              </w:rPr>
            </w:pPr>
            <w:r w:rsidRPr="00C559B3">
              <w:rPr>
                <w:sz w:val="20"/>
                <w:lang w:val="fr-CA"/>
              </w:rPr>
              <w:t>Cour suprême du Canada</w:t>
            </w:r>
          </w:p>
        </w:tc>
        <w:tc>
          <w:tcPr>
            <w:tcW w:w="243" w:type="pct"/>
          </w:tcPr>
          <w:p w:rsidR="00C01C92" w:rsidRPr="00C559B3" w:rsidRDefault="00C01C92" w:rsidP="009204CD">
            <w:pPr>
              <w:jc w:val="both"/>
              <w:rPr>
                <w:sz w:val="20"/>
                <w:lang w:val="fr-CA"/>
              </w:rPr>
            </w:pPr>
          </w:p>
        </w:tc>
        <w:tc>
          <w:tcPr>
            <w:tcW w:w="2330" w:type="pct"/>
          </w:tcPr>
          <w:p w:rsidR="00C01C92" w:rsidRPr="00C559B3" w:rsidRDefault="00C01C92" w:rsidP="009204CD">
            <w:pPr>
              <w:jc w:val="both"/>
              <w:rPr>
                <w:sz w:val="20"/>
                <w:lang w:val="fr-CA"/>
              </w:rPr>
            </w:pPr>
            <w:r w:rsidRPr="00C559B3">
              <w:rPr>
                <w:sz w:val="20"/>
                <w:lang w:val="fr-CA"/>
              </w:rPr>
              <w:t>Dépôt de la demande d’autorisation d’appel</w:t>
            </w:r>
          </w:p>
          <w:p w:rsidR="00C01C92" w:rsidRPr="00C559B3" w:rsidRDefault="00C01C92" w:rsidP="009204CD">
            <w:pPr>
              <w:jc w:val="both"/>
              <w:rPr>
                <w:sz w:val="20"/>
                <w:lang w:val="fr-CA"/>
              </w:rPr>
            </w:pPr>
          </w:p>
        </w:tc>
      </w:tr>
    </w:tbl>
    <w:p w:rsidR="00C01C92" w:rsidRPr="00C559B3" w:rsidRDefault="00C01C92" w:rsidP="00C01C92">
      <w:pPr>
        <w:jc w:val="both"/>
        <w:rPr>
          <w:sz w:val="20"/>
          <w:lang w:val="fr-CA"/>
        </w:rPr>
      </w:pPr>
    </w:p>
    <w:p w:rsidR="00C01C92" w:rsidRPr="00C559B3" w:rsidRDefault="001E07E1" w:rsidP="00C01C92">
      <w:pPr>
        <w:ind w:left="142" w:hanging="142"/>
        <w:jc w:val="both"/>
        <w:rPr>
          <w:sz w:val="20"/>
          <w:lang w:val="fr-CA"/>
        </w:rPr>
      </w:pPr>
      <w:r>
        <w:rPr>
          <w:sz w:val="20"/>
        </w:rPr>
        <w:pict>
          <v:rect id="_x0000_i1029" style="width:2in;height:1pt" o:hrpct="0" o:hralign="center" o:hrstd="t" o:hrnoshade="t" o:hr="t" fillcolor="black [3213]" stroked="f"/>
        </w:pict>
      </w:r>
    </w:p>
    <w:p w:rsidR="00C01C92" w:rsidRPr="00C559B3" w:rsidRDefault="00C01C92" w:rsidP="00C01C92">
      <w:pPr>
        <w:ind w:left="142" w:hanging="142"/>
        <w:jc w:val="both"/>
        <w:rPr>
          <w:sz w:val="20"/>
          <w:lang w:val="fr-CA"/>
        </w:rPr>
      </w:pPr>
    </w:p>
    <w:p w:rsidR="00C01C92" w:rsidRDefault="00C01C9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01C92" w:rsidRPr="00C559B3" w:rsidTr="009204CD">
        <w:tc>
          <w:tcPr>
            <w:tcW w:w="543" w:type="pct"/>
          </w:tcPr>
          <w:p w:rsidR="00C01C92" w:rsidRPr="00C559B3" w:rsidRDefault="00C01C92" w:rsidP="009204CD">
            <w:pPr>
              <w:jc w:val="both"/>
              <w:rPr>
                <w:sz w:val="20"/>
              </w:rPr>
            </w:pPr>
            <w:r w:rsidRPr="00C559B3">
              <w:rPr>
                <w:rStyle w:val="SCCFileNumberChar"/>
                <w:sz w:val="20"/>
                <w:szCs w:val="20"/>
              </w:rPr>
              <w:lastRenderedPageBreak/>
              <w:t>38630</w:t>
            </w:r>
          </w:p>
        </w:tc>
        <w:tc>
          <w:tcPr>
            <w:tcW w:w="4457" w:type="pct"/>
            <w:gridSpan w:val="3"/>
          </w:tcPr>
          <w:p w:rsidR="00C01C92" w:rsidRPr="0073056C" w:rsidRDefault="00C01C92" w:rsidP="009204CD">
            <w:pPr>
              <w:pStyle w:val="SCCLsocParty"/>
              <w:jc w:val="both"/>
              <w:rPr>
                <w:b/>
                <w:sz w:val="20"/>
                <w:szCs w:val="20"/>
                <w:lang w:val="en-US"/>
              </w:rPr>
            </w:pPr>
            <w:r w:rsidRPr="0073056C">
              <w:rPr>
                <w:b/>
                <w:sz w:val="20"/>
                <w:szCs w:val="20"/>
                <w:lang w:val="en-US"/>
              </w:rPr>
              <w:t>Peter Merrifield v. Attorney General of Canada, Inspector Jamie Jagoe and Superintendent Marc Proulx</w:t>
            </w:r>
          </w:p>
          <w:p w:rsidR="00C01C92" w:rsidRPr="00C559B3" w:rsidRDefault="00C01C92" w:rsidP="009204CD">
            <w:pPr>
              <w:jc w:val="both"/>
              <w:rPr>
                <w:sz w:val="20"/>
              </w:rPr>
            </w:pPr>
            <w:r w:rsidRPr="00C559B3">
              <w:rPr>
                <w:sz w:val="20"/>
              </w:rPr>
              <w:t>(Ont.) (Civil) (By Leave)</w:t>
            </w:r>
          </w:p>
        </w:tc>
      </w:tr>
      <w:tr w:rsidR="00054B4D" w:rsidRPr="00C559B3" w:rsidTr="00054B4D">
        <w:tc>
          <w:tcPr>
            <w:tcW w:w="5000" w:type="pct"/>
            <w:gridSpan w:val="4"/>
          </w:tcPr>
          <w:p w:rsidR="00054B4D" w:rsidRPr="00FD3450" w:rsidRDefault="00054B4D" w:rsidP="00054B4D">
            <w:pPr>
              <w:rPr>
                <w:sz w:val="20"/>
              </w:rPr>
            </w:pPr>
            <w:r w:rsidRPr="00FD3450">
              <w:rPr>
                <w:sz w:val="20"/>
              </w:rPr>
              <w:t>The application for leave to appeal from the judgment of the Court of Appeal for Ontario, Number C63556, 2019 ONCA 205, dated March 15, 2019, is dismissed with costs.</w:t>
            </w:r>
          </w:p>
          <w:p w:rsidR="00054B4D" w:rsidRPr="00054B4D" w:rsidRDefault="00054B4D" w:rsidP="009204CD">
            <w:pPr>
              <w:pStyle w:val="SCCLsocParty"/>
              <w:jc w:val="both"/>
              <w:rPr>
                <w:b/>
                <w:sz w:val="20"/>
                <w:szCs w:val="20"/>
                <w:lang w:val="en-CA"/>
              </w:rPr>
            </w:pPr>
          </w:p>
        </w:tc>
      </w:tr>
      <w:tr w:rsidR="00C01C92" w:rsidRPr="00C559B3" w:rsidTr="009204CD">
        <w:tc>
          <w:tcPr>
            <w:tcW w:w="5000" w:type="pct"/>
            <w:gridSpan w:val="4"/>
          </w:tcPr>
          <w:p w:rsidR="00C01C92" w:rsidRPr="00C559B3" w:rsidRDefault="00C01C92" w:rsidP="009204CD">
            <w:pPr>
              <w:jc w:val="both"/>
              <w:rPr>
                <w:sz w:val="20"/>
              </w:rPr>
            </w:pPr>
            <w:r w:rsidRPr="00C559B3">
              <w:rPr>
                <w:sz w:val="20"/>
              </w:rPr>
              <w:t xml:space="preserve">Torts ‒ Harassment ‒ Intentional infliction of mental suffering ‒ Claims in damages for mental distress based on conduct alleged to amount to harassment and bullying in the employment context ‒ Whether recovery of damages for mental suffering from intentional and wrongful conduct should be under a single tort or separate torts of intentional infliction of mental suffering and harassment ‒ Does the tort of harassment exist? ‒ What threshold of conduct warrants the imposition of liability for damages for mental suffering arising in circumstances of intentional, wrongful conduct? ‒ What is the appropriate degree of mental culpability to give rise to liability for causing mental suffering arising out of circumstances of intentional, wrongful conduct? ‒ What are the appropriate criteria for establishing the existence of mental suffering sufficient to give rise to liability in circumstances of intentional, wrongful conduct? ‒ Should findings of fact and/or mixed fact and law based upon credibility findings be overturned on appeal where credibility findings have not been challenged? ‒ Under what circumstances, if any, may an appellate court re-weigh a trial judge’s balancing of evidence without reference to, and in a manner inconsistent with, substantial and </w:t>
            </w:r>
            <w:proofErr w:type="spellStart"/>
            <w:r w:rsidRPr="00C559B3">
              <w:rPr>
                <w:sz w:val="20"/>
              </w:rPr>
              <w:t>uncontradicted</w:t>
            </w:r>
            <w:proofErr w:type="spellEnd"/>
            <w:r w:rsidRPr="00C559B3">
              <w:rPr>
                <w:sz w:val="20"/>
              </w:rPr>
              <w:t xml:space="preserve"> trial evidence? </w:t>
            </w:r>
          </w:p>
        </w:tc>
      </w:tr>
      <w:tr w:rsidR="00C01C92" w:rsidRPr="00C559B3" w:rsidTr="009204CD">
        <w:tc>
          <w:tcPr>
            <w:tcW w:w="5000" w:type="pct"/>
            <w:gridSpan w:val="4"/>
          </w:tcPr>
          <w:p w:rsidR="00C01C92" w:rsidRPr="00C559B3" w:rsidRDefault="00C01C92" w:rsidP="009204CD">
            <w:pPr>
              <w:jc w:val="both"/>
              <w:rPr>
                <w:sz w:val="20"/>
              </w:rPr>
            </w:pPr>
          </w:p>
        </w:tc>
      </w:tr>
      <w:tr w:rsidR="00C01C92" w:rsidRPr="00C559B3" w:rsidTr="009204CD">
        <w:tc>
          <w:tcPr>
            <w:tcW w:w="5000" w:type="pct"/>
            <w:gridSpan w:val="4"/>
          </w:tcPr>
          <w:p w:rsidR="00C01C92" w:rsidRDefault="00C01C92" w:rsidP="009204CD">
            <w:pPr>
              <w:jc w:val="both"/>
              <w:rPr>
                <w:sz w:val="20"/>
              </w:rPr>
            </w:pPr>
            <w:r w:rsidRPr="00C559B3">
              <w:rPr>
                <w:sz w:val="20"/>
              </w:rPr>
              <w:t>The applicant, Mr. Peter Merrifield, has been a member of the Royal Canadian Mounted Police (RCMP) since 1998. In 2007, he commenced an action for damages against the Crown, on behalf of the RCMP, as well as against senior members of the RCMP including the respondents, Inspector James Jagoe and Superintendent Marc Proulx, for mental distress resulting from managerial harassment that occurred over a period of two years. The action for damages is based on a series of events that started in May 2005 when Mr. Merrifield decided to run as the Conservative Party’s candidate for an upcoming election without complying with the applicable RCMP regulations. The superior officers decided that Mr. Merrifield was potentially in a conflict of interest. As a result, he was transferred out the of RCMP’s Threat Assessment Group that he had joined in February 2005 to another unit. The Superior Court of Justice allowed the action. The trial judge recognized a new freestanding tort of harassment and also found that the respondents were liable for intentional inflection of mental suffering. The Court of Appeal set aside the trial judgment and found that the trial judge erred in recognizing a tort of harassment, erred in applying the test for the intentional infliction of mental suffering, and made palpable and overriding errors in much of her fact-finding. The Appeal was allowed and the cross-appeal for an increas</w:t>
            </w:r>
            <w:r>
              <w:rPr>
                <w:sz w:val="20"/>
              </w:rPr>
              <w:t>ed damage award was dismissed.</w:t>
            </w:r>
          </w:p>
          <w:p w:rsidR="00C01C92" w:rsidRPr="00C559B3" w:rsidRDefault="00C01C92" w:rsidP="009204CD">
            <w:pPr>
              <w:jc w:val="both"/>
              <w:rPr>
                <w:sz w:val="20"/>
              </w:rPr>
            </w:pPr>
          </w:p>
        </w:tc>
      </w:tr>
      <w:tr w:rsidR="00C01C92" w:rsidRPr="00C559B3" w:rsidTr="009204CD">
        <w:tc>
          <w:tcPr>
            <w:tcW w:w="2427" w:type="pct"/>
            <w:gridSpan w:val="2"/>
          </w:tcPr>
          <w:p w:rsidR="00C01C92" w:rsidRPr="00C559B3" w:rsidRDefault="00C01C92" w:rsidP="009204CD">
            <w:pPr>
              <w:jc w:val="both"/>
              <w:rPr>
                <w:sz w:val="20"/>
              </w:rPr>
            </w:pPr>
            <w:r w:rsidRPr="00C559B3">
              <w:rPr>
                <w:sz w:val="20"/>
              </w:rPr>
              <w:t>February 28, 2017</w:t>
            </w:r>
          </w:p>
          <w:p w:rsidR="00C01C92" w:rsidRPr="00C559B3" w:rsidRDefault="00C01C92" w:rsidP="009204CD">
            <w:pPr>
              <w:jc w:val="both"/>
              <w:rPr>
                <w:sz w:val="20"/>
              </w:rPr>
            </w:pPr>
            <w:r w:rsidRPr="00C559B3">
              <w:rPr>
                <w:sz w:val="20"/>
              </w:rPr>
              <w:t>Ontario Superior Court of Justice</w:t>
            </w:r>
          </w:p>
          <w:p w:rsidR="00C01C92" w:rsidRPr="00C559B3" w:rsidRDefault="00C01C92" w:rsidP="009204CD">
            <w:pPr>
              <w:jc w:val="both"/>
              <w:rPr>
                <w:sz w:val="20"/>
              </w:rPr>
            </w:pPr>
            <w:r w:rsidRPr="00C559B3">
              <w:rPr>
                <w:sz w:val="20"/>
              </w:rPr>
              <w:t>(Vallee J.)</w:t>
            </w:r>
          </w:p>
          <w:p w:rsidR="00C01C92" w:rsidRPr="00C559B3" w:rsidRDefault="001E07E1" w:rsidP="009204CD">
            <w:pPr>
              <w:jc w:val="both"/>
              <w:rPr>
                <w:sz w:val="20"/>
              </w:rPr>
            </w:pPr>
            <w:hyperlink r:id="rId19" w:history="1">
              <w:r w:rsidR="00C01C92" w:rsidRPr="00C559B3">
                <w:rPr>
                  <w:rStyle w:val="Hyperlink"/>
                  <w:sz w:val="20"/>
                </w:rPr>
                <w:t>2017 ONSC 1333</w:t>
              </w:r>
            </w:hyperlink>
            <w:r w:rsidR="00C01C92" w:rsidRPr="00C559B3">
              <w:rPr>
                <w:sz w:val="20"/>
              </w:rPr>
              <w:t xml:space="preserve"> </w:t>
            </w:r>
          </w:p>
          <w:p w:rsidR="00C01C92" w:rsidRPr="00C559B3" w:rsidRDefault="00C01C92" w:rsidP="009204CD">
            <w:pPr>
              <w:jc w:val="both"/>
              <w:rPr>
                <w:sz w:val="20"/>
              </w:rPr>
            </w:pPr>
          </w:p>
        </w:tc>
        <w:tc>
          <w:tcPr>
            <w:tcW w:w="243" w:type="pct"/>
          </w:tcPr>
          <w:p w:rsidR="00C01C92" w:rsidRPr="00C559B3" w:rsidRDefault="00C01C92" w:rsidP="009204CD">
            <w:pPr>
              <w:jc w:val="both"/>
              <w:rPr>
                <w:sz w:val="20"/>
              </w:rPr>
            </w:pPr>
          </w:p>
        </w:tc>
        <w:tc>
          <w:tcPr>
            <w:tcW w:w="2330" w:type="pct"/>
          </w:tcPr>
          <w:p w:rsidR="00C01C92" w:rsidRPr="00C559B3" w:rsidRDefault="00C01C92" w:rsidP="009204CD">
            <w:pPr>
              <w:jc w:val="both"/>
              <w:rPr>
                <w:sz w:val="20"/>
              </w:rPr>
            </w:pPr>
            <w:r w:rsidRPr="00C559B3">
              <w:rPr>
                <w:sz w:val="20"/>
              </w:rPr>
              <w:t>Action allowed.</w:t>
            </w:r>
          </w:p>
        </w:tc>
      </w:tr>
      <w:tr w:rsidR="00C01C92" w:rsidRPr="00C559B3" w:rsidTr="009204CD">
        <w:tc>
          <w:tcPr>
            <w:tcW w:w="2427" w:type="pct"/>
            <w:gridSpan w:val="2"/>
          </w:tcPr>
          <w:p w:rsidR="00C01C92" w:rsidRPr="00C559B3" w:rsidRDefault="00C01C92" w:rsidP="009204CD">
            <w:pPr>
              <w:jc w:val="both"/>
              <w:rPr>
                <w:sz w:val="20"/>
              </w:rPr>
            </w:pPr>
            <w:r w:rsidRPr="00C559B3">
              <w:rPr>
                <w:sz w:val="20"/>
              </w:rPr>
              <w:t>March 15, 2019</w:t>
            </w:r>
          </w:p>
          <w:p w:rsidR="00C01C92" w:rsidRPr="00C559B3" w:rsidRDefault="00C01C92" w:rsidP="009204CD">
            <w:pPr>
              <w:jc w:val="both"/>
              <w:rPr>
                <w:sz w:val="20"/>
              </w:rPr>
            </w:pPr>
            <w:r w:rsidRPr="00C559B3">
              <w:rPr>
                <w:sz w:val="20"/>
              </w:rPr>
              <w:t>Court of Appeal for Ontario</w:t>
            </w:r>
          </w:p>
          <w:p w:rsidR="00C01C92" w:rsidRPr="00C559B3" w:rsidRDefault="00C01C92" w:rsidP="009204CD">
            <w:pPr>
              <w:jc w:val="both"/>
              <w:rPr>
                <w:sz w:val="20"/>
              </w:rPr>
            </w:pPr>
            <w:r w:rsidRPr="00C559B3">
              <w:rPr>
                <w:sz w:val="20"/>
              </w:rPr>
              <w:t>(</w:t>
            </w:r>
            <w:proofErr w:type="spellStart"/>
            <w:r w:rsidRPr="00C559B3">
              <w:rPr>
                <w:sz w:val="20"/>
              </w:rPr>
              <w:t>Juriansz</w:t>
            </w:r>
            <w:proofErr w:type="spellEnd"/>
            <w:r w:rsidRPr="00C559B3">
              <w:rPr>
                <w:sz w:val="20"/>
              </w:rPr>
              <w:t xml:space="preserve">, Brown and </w:t>
            </w:r>
            <w:proofErr w:type="spellStart"/>
            <w:r w:rsidRPr="00C559B3">
              <w:rPr>
                <w:sz w:val="20"/>
              </w:rPr>
              <w:t>Huscroft</w:t>
            </w:r>
            <w:proofErr w:type="spellEnd"/>
            <w:r w:rsidRPr="00C559B3">
              <w:rPr>
                <w:sz w:val="20"/>
              </w:rPr>
              <w:t xml:space="preserve"> JJ.A)</w:t>
            </w:r>
          </w:p>
          <w:p w:rsidR="00C01C92" w:rsidRPr="00C559B3" w:rsidRDefault="001E07E1" w:rsidP="009204CD">
            <w:pPr>
              <w:jc w:val="both"/>
              <w:rPr>
                <w:sz w:val="20"/>
              </w:rPr>
            </w:pPr>
            <w:hyperlink r:id="rId20" w:history="1">
              <w:r w:rsidR="00C01C92" w:rsidRPr="00C559B3">
                <w:rPr>
                  <w:rStyle w:val="Hyperlink"/>
                  <w:sz w:val="20"/>
                </w:rPr>
                <w:t>2019 ONCA 205</w:t>
              </w:r>
            </w:hyperlink>
          </w:p>
          <w:p w:rsidR="00C01C92" w:rsidRPr="00C559B3" w:rsidRDefault="00C01C92" w:rsidP="009204CD">
            <w:pPr>
              <w:jc w:val="both"/>
              <w:rPr>
                <w:sz w:val="20"/>
              </w:rPr>
            </w:pPr>
          </w:p>
        </w:tc>
        <w:tc>
          <w:tcPr>
            <w:tcW w:w="243" w:type="pct"/>
          </w:tcPr>
          <w:p w:rsidR="00C01C92" w:rsidRPr="00C559B3" w:rsidRDefault="00C01C92" w:rsidP="009204CD">
            <w:pPr>
              <w:jc w:val="both"/>
              <w:rPr>
                <w:sz w:val="20"/>
              </w:rPr>
            </w:pPr>
          </w:p>
        </w:tc>
        <w:tc>
          <w:tcPr>
            <w:tcW w:w="2330" w:type="pct"/>
          </w:tcPr>
          <w:p w:rsidR="00C01C92" w:rsidRPr="00C559B3" w:rsidRDefault="00C01C92" w:rsidP="009204CD">
            <w:pPr>
              <w:jc w:val="both"/>
              <w:rPr>
                <w:sz w:val="20"/>
              </w:rPr>
            </w:pPr>
            <w:r w:rsidRPr="00C559B3">
              <w:rPr>
                <w:sz w:val="20"/>
              </w:rPr>
              <w:t>Appeal allowed and cross-appeal dismissed.</w:t>
            </w:r>
          </w:p>
          <w:p w:rsidR="00C01C92" w:rsidRPr="00C559B3" w:rsidRDefault="00C01C92" w:rsidP="009204CD">
            <w:pPr>
              <w:jc w:val="both"/>
              <w:rPr>
                <w:sz w:val="20"/>
              </w:rPr>
            </w:pPr>
          </w:p>
        </w:tc>
      </w:tr>
      <w:tr w:rsidR="00C01C92" w:rsidRPr="00C559B3" w:rsidTr="009204CD">
        <w:tc>
          <w:tcPr>
            <w:tcW w:w="2427" w:type="pct"/>
            <w:gridSpan w:val="2"/>
          </w:tcPr>
          <w:p w:rsidR="00C01C92" w:rsidRPr="00C559B3" w:rsidRDefault="00C01C92" w:rsidP="009204CD">
            <w:pPr>
              <w:jc w:val="both"/>
              <w:rPr>
                <w:sz w:val="20"/>
              </w:rPr>
            </w:pPr>
            <w:r w:rsidRPr="00C559B3">
              <w:rPr>
                <w:sz w:val="20"/>
              </w:rPr>
              <w:t>May 14, 2019</w:t>
            </w:r>
          </w:p>
          <w:p w:rsidR="00C01C92" w:rsidRPr="00C559B3" w:rsidRDefault="00C01C92" w:rsidP="009204CD">
            <w:pPr>
              <w:jc w:val="both"/>
              <w:rPr>
                <w:sz w:val="20"/>
              </w:rPr>
            </w:pPr>
            <w:r w:rsidRPr="00C559B3">
              <w:rPr>
                <w:sz w:val="20"/>
              </w:rPr>
              <w:t>Supreme Court of Canada</w:t>
            </w:r>
          </w:p>
        </w:tc>
        <w:tc>
          <w:tcPr>
            <w:tcW w:w="243" w:type="pct"/>
          </w:tcPr>
          <w:p w:rsidR="00C01C92" w:rsidRPr="00C559B3" w:rsidRDefault="00C01C92" w:rsidP="009204CD">
            <w:pPr>
              <w:jc w:val="both"/>
              <w:rPr>
                <w:sz w:val="20"/>
              </w:rPr>
            </w:pPr>
          </w:p>
        </w:tc>
        <w:tc>
          <w:tcPr>
            <w:tcW w:w="2330" w:type="pct"/>
          </w:tcPr>
          <w:p w:rsidR="00C01C92" w:rsidRPr="00C559B3" w:rsidRDefault="00C01C92" w:rsidP="009204CD">
            <w:pPr>
              <w:jc w:val="both"/>
              <w:rPr>
                <w:sz w:val="20"/>
              </w:rPr>
            </w:pPr>
            <w:r w:rsidRPr="00C559B3">
              <w:rPr>
                <w:sz w:val="20"/>
              </w:rPr>
              <w:t>Application for leave to appeal filed.</w:t>
            </w:r>
          </w:p>
          <w:p w:rsidR="00C01C92" w:rsidRPr="00C559B3" w:rsidRDefault="00C01C92" w:rsidP="009204CD">
            <w:pPr>
              <w:jc w:val="both"/>
              <w:rPr>
                <w:sz w:val="20"/>
              </w:rPr>
            </w:pPr>
          </w:p>
        </w:tc>
      </w:tr>
    </w:tbl>
    <w:p w:rsidR="00C01C92" w:rsidRDefault="00C01C92" w:rsidP="00C01C92">
      <w:pPr>
        <w:jc w:val="both"/>
        <w:rPr>
          <w:sz w:val="20"/>
        </w:rPr>
      </w:pPr>
    </w:p>
    <w:p w:rsidR="00C01C92" w:rsidRDefault="001E07E1" w:rsidP="00C01C92">
      <w:pPr>
        <w:jc w:val="both"/>
        <w:rPr>
          <w:sz w:val="20"/>
        </w:rPr>
      </w:pPr>
      <w:r>
        <w:rPr>
          <w:sz w:val="20"/>
        </w:rPr>
        <w:pict>
          <v:rect id="_x0000_i1030" style="width:2in;height:1pt" o:hrpct="0" o:hralign="center" o:hrstd="t" o:hrnoshade="t" o:hr="t" fillcolor="black [3213]" stroked="f"/>
        </w:pict>
      </w:r>
    </w:p>
    <w:p w:rsidR="00C01C92" w:rsidRPr="00C559B3" w:rsidRDefault="00C01C92" w:rsidP="00C01C92">
      <w:pPr>
        <w:jc w:val="both"/>
        <w:rPr>
          <w:sz w:val="20"/>
        </w:rPr>
      </w:pPr>
    </w:p>
    <w:p w:rsidR="00C01C92" w:rsidRDefault="00C01C9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01C92" w:rsidRPr="00C559B3" w:rsidTr="009204CD">
        <w:tc>
          <w:tcPr>
            <w:tcW w:w="543" w:type="pct"/>
          </w:tcPr>
          <w:p w:rsidR="00C01C92" w:rsidRPr="00C559B3" w:rsidRDefault="00C01C92" w:rsidP="009204CD">
            <w:pPr>
              <w:jc w:val="both"/>
              <w:rPr>
                <w:sz w:val="20"/>
                <w:lang w:val="fr-CA"/>
              </w:rPr>
            </w:pPr>
            <w:r w:rsidRPr="00C559B3">
              <w:rPr>
                <w:rStyle w:val="SCCFileNumberChar"/>
                <w:sz w:val="20"/>
                <w:szCs w:val="20"/>
                <w:lang w:val="fr-CA"/>
              </w:rPr>
              <w:lastRenderedPageBreak/>
              <w:t>38630</w:t>
            </w:r>
          </w:p>
        </w:tc>
        <w:tc>
          <w:tcPr>
            <w:tcW w:w="4457" w:type="pct"/>
            <w:gridSpan w:val="3"/>
          </w:tcPr>
          <w:p w:rsidR="00C01C92" w:rsidRPr="0073056C" w:rsidRDefault="00C01C92" w:rsidP="009204CD">
            <w:pPr>
              <w:pStyle w:val="SCCLsocParty"/>
              <w:jc w:val="both"/>
              <w:rPr>
                <w:b/>
                <w:sz w:val="20"/>
                <w:szCs w:val="20"/>
              </w:rPr>
            </w:pPr>
            <w:r w:rsidRPr="0073056C">
              <w:rPr>
                <w:b/>
                <w:sz w:val="20"/>
                <w:szCs w:val="20"/>
              </w:rPr>
              <w:t xml:space="preserve">Peter </w:t>
            </w:r>
            <w:proofErr w:type="spellStart"/>
            <w:r w:rsidRPr="0073056C">
              <w:rPr>
                <w:b/>
                <w:sz w:val="20"/>
                <w:szCs w:val="20"/>
              </w:rPr>
              <w:t>Merrifield</w:t>
            </w:r>
            <w:proofErr w:type="spellEnd"/>
            <w:r w:rsidRPr="0073056C">
              <w:rPr>
                <w:b/>
                <w:sz w:val="20"/>
                <w:szCs w:val="20"/>
              </w:rPr>
              <w:t xml:space="preserve"> c. Procureur général du Canada, inspecteur Jamie Jagoe et surintendant Marc Proulx</w:t>
            </w:r>
          </w:p>
          <w:p w:rsidR="00C01C92" w:rsidRPr="00C559B3" w:rsidRDefault="00C01C92" w:rsidP="009204CD">
            <w:pPr>
              <w:jc w:val="both"/>
              <w:rPr>
                <w:sz w:val="20"/>
                <w:lang w:val="fr-CA"/>
              </w:rPr>
            </w:pPr>
            <w:r w:rsidRPr="00C559B3">
              <w:rPr>
                <w:sz w:val="20"/>
                <w:lang w:val="fr-CA"/>
              </w:rPr>
              <w:t>(Ont.) (Civile) (Autorisation)</w:t>
            </w:r>
          </w:p>
        </w:tc>
      </w:tr>
      <w:tr w:rsidR="00054B4D" w:rsidRPr="009204CD" w:rsidTr="00054B4D">
        <w:tc>
          <w:tcPr>
            <w:tcW w:w="5000" w:type="pct"/>
            <w:gridSpan w:val="4"/>
          </w:tcPr>
          <w:p w:rsidR="00054B4D" w:rsidRDefault="00054B4D" w:rsidP="00054B4D">
            <w:pPr>
              <w:rPr>
                <w:sz w:val="20"/>
                <w:lang w:val="fr-CA"/>
              </w:rPr>
            </w:pPr>
            <w:r w:rsidRPr="00FD3450">
              <w:rPr>
                <w:sz w:val="20"/>
                <w:lang w:val="fr-CA"/>
              </w:rPr>
              <w:t>La demande d’autorisation d’appel de l’arrêt de la Cour d’appel de l’Ontario, numéro C63556, 2019 ONCA 205, daté du 15 mars 2019, est rejetée avec dépens.</w:t>
            </w:r>
          </w:p>
          <w:p w:rsidR="00054B4D" w:rsidRPr="0073056C" w:rsidRDefault="00054B4D" w:rsidP="009204CD">
            <w:pPr>
              <w:pStyle w:val="SCCLsocParty"/>
              <w:jc w:val="both"/>
              <w:rPr>
                <w:b/>
                <w:sz w:val="20"/>
                <w:szCs w:val="20"/>
              </w:rPr>
            </w:pPr>
          </w:p>
        </w:tc>
      </w:tr>
      <w:tr w:rsidR="00C01C92" w:rsidRPr="009204CD" w:rsidTr="009204CD">
        <w:tc>
          <w:tcPr>
            <w:tcW w:w="5000" w:type="pct"/>
            <w:gridSpan w:val="4"/>
          </w:tcPr>
          <w:p w:rsidR="00C01C92" w:rsidRPr="00C559B3" w:rsidRDefault="00C01C92" w:rsidP="009204CD">
            <w:pPr>
              <w:jc w:val="both"/>
              <w:rPr>
                <w:sz w:val="20"/>
                <w:lang w:val="fr-CA"/>
              </w:rPr>
            </w:pPr>
            <w:r w:rsidRPr="00C559B3">
              <w:rPr>
                <w:sz w:val="20"/>
                <w:lang w:val="fr-CA"/>
              </w:rPr>
              <w:t>Responsabilité délictuelle — Harcèlement — Infliction intentionnelle de souffrances morales —Actions en dommages</w:t>
            </w:r>
            <w:r w:rsidRPr="00C559B3">
              <w:rPr>
                <w:sz w:val="20"/>
                <w:lang w:val="fr-CA"/>
              </w:rPr>
              <w:noBreakHyphen/>
              <w:t>intérêts pour souffrances morales sur le fondement d’une conduite qui équivaudrait, allègue</w:t>
            </w:r>
            <w:r w:rsidRPr="00C559B3">
              <w:rPr>
                <w:sz w:val="20"/>
                <w:lang w:val="fr-CA"/>
              </w:rPr>
              <w:noBreakHyphen/>
              <w:t>t</w:t>
            </w:r>
            <w:r w:rsidRPr="00C559B3">
              <w:rPr>
                <w:sz w:val="20"/>
                <w:lang w:val="fr-CA"/>
              </w:rPr>
              <w:noBreakHyphen/>
              <w:t>on, à du harcèlement et à de l’intimidation dans le contexte de l’emploi — Le recouvrement de dommages</w:t>
            </w:r>
            <w:r w:rsidRPr="00C559B3">
              <w:rPr>
                <w:sz w:val="20"/>
                <w:lang w:val="fr-CA"/>
              </w:rPr>
              <w:noBreakHyphen/>
              <w:t>intérêts pour souffrances morales causées par une conduite intentionnelle et fautive doit</w:t>
            </w:r>
            <w:r w:rsidRPr="00C559B3">
              <w:rPr>
                <w:sz w:val="20"/>
                <w:lang w:val="fr-CA"/>
              </w:rPr>
              <w:noBreakHyphen/>
              <w:t>il se faire au titre d’un seul délit civil ou au titre de délits civils distincts d’infliction intentionnelle de souffrances morales et de harcèlement? — Le délit civil de harcèlement existe</w:t>
            </w:r>
            <w:r w:rsidRPr="00C559B3">
              <w:rPr>
                <w:sz w:val="20"/>
                <w:lang w:val="fr-CA"/>
              </w:rPr>
              <w:noBreakHyphen/>
              <w:t>t</w:t>
            </w:r>
            <w:r w:rsidRPr="00C559B3">
              <w:rPr>
                <w:sz w:val="20"/>
                <w:lang w:val="fr-CA"/>
              </w:rPr>
              <w:noBreakHyphen/>
              <w:t>il? — Quel seuil de conduite justifie l’imposition de la responsabilité en dommages</w:t>
            </w:r>
            <w:r w:rsidRPr="00C559B3">
              <w:rPr>
                <w:sz w:val="20"/>
                <w:lang w:val="fr-CA"/>
              </w:rPr>
              <w:noBreakHyphen/>
              <w:t>intérêts pour souffrances morales découlant de circonstances de conduite intentionnelle et fautive? — Quel est le degré approprié de culpabilité morale donnant lieu à la responsabilité pour avoir causé des souffrances morales découlant de circonstances de conduite intentionnelle et fautive? — Quels sont les critères appropriés pour établir l’existence de souffrances morales suffisantes pour donner lieu à la responsabilité dans des circonstances de conduite intentionnelle et fautive? — Des conclusions de fait ou des conclusions mixtes de fait et de droit fondées sur des conclusions sur la crédibilité doivent</w:t>
            </w:r>
            <w:r w:rsidRPr="00C559B3">
              <w:rPr>
                <w:sz w:val="20"/>
                <w:lang w:val="fr-CA"/>
              </w:rPr>
              <w:noBreakHyphen/>
              <w:t>elles être infirmées en appel lorsque les conclusions sur la crédibilité n’ont pas été contestées? — Dans quelles circonstances, s’il en est, une cour d’appel peut</w:t>
            </w:r>
            <w:r w:rsidRPr="00C559B3">
              <w:rPr>
                <w:sz w:val="20"/>
                <w:lang w:val="fr-CA"/>
              </w:rPr>
              <w:noBreakHyphen/>
              <w:t>elle évaluer de nouveau la mise en balance des éléments de preuve faite par le juge de première instance sans faire référence à des éléments de preuve importants et non contredits présentés au procès et d’une manière incompatible avec ces éléments de preuve?</w:t>
            </w:r>
          </w:p>
        </w:tc>
      </w:tr>
      <w:tr w:rsidR="00C01C92" w:rsidRPr="009204CD" w:rsidTr="009204CD">
        <w:tc>
          <w:tcPr>
            <w:tcW w:w="5000" w:type="pct"/>
            <w:gridSpan w:val="4"/>
          </w:tcPr>
          <w:p w:rsidR="00C01C92" w:rsidRPr="00C559B3" w:rsidRDefault="00C01C92" w:rsidP="009204CD">
            <w:pPr>
              <w:jc w:val="both"/>
              <w:rPr>
                <w:sz w:val="20"/>
                <w:lang w:val="fr-CA"/>
              </w:rPr>
            </w:pPr>
          </w:p>
        </w:tc>
      </w:tr>
      <w:tr w:rsidR="00C01C92" w:rsidRPr="009204CD" w:rsidTr="009204CD">
        <w:tc>
          <w:tcPr>
            <w:tcW w:w="5000" w:type="pct"/>
            <w:gridSpan w:val="4"/>
          </w:tcPr>
          <w:p w:rsidR="00C01C92" w:rsidRPr="00C559B3" w:rsidRDefault="00C01C92" w:rsidP="009204CD">
            <w:pPr>
              <w:jc w:val="both"/>
              <w:rPr>
                <w:sz w:val="20"/>
                <w:lang w:val="fr-CA"/>
              </w:rPr>
            </w:pPr>
            <w:r w:rsidRPr="00C559B3">
              <w:rPr>
                <w:sz w:val="20"/>
                <w:lang w:val="fr-CA"/>
              </w:rPr>
              <w:t xml:space="preserve">Le demandeur, M. Peter </w:t>
            </w:r>
            <w:proofErr w:type="spellStart"/>
            <w:r w:rsidRPr="00C559B3">
              <w:rPr>
                <w:sz w:val="20"/>
                <w:lang w:val="fr-CA"/>
              </w:rPr>
              <w:t>Merrifield</w:t>
            </w:r>
            <w:proofErr w:type="spellEnd"/>
            <w:r w:rsidRPr="00C559B3">
              <w:rPr>
                <w:sz w:val="20"/>
                <w:lang w:val="fr-CA"/>
              </w:rPr>
              <w:t>, est membre de la Gendarmerie royale du Canada (GRC) depuis 1998. En 2007, il a intenté une action en dommages</w:t>
            </w:r>
            <w:r w:rsidRPr="00C559B3">
              <w:rPr>
                <w:sz w:val="20"/>
                <w:lang w:val="fr-CA"/>
              </w:rPr>
              <w:noBreakHyphen/>
              <w:t>intérêts contre Sa Majesté, au nom de la GRC, et contre des cadres supérieurs de la GRC, y compris les intimés, l’inspecteur James Jagoe et le surintendant Marc Proulx, pour souffrances morales résultant de harcèlement par des membres de la direction qui s’est produit sur une période de deux ans. L’action en dommages-intérêts est fondée sur une série d’événements qui ont commencé en mai 2005 lorsque M. </w:t>
            </w:r>
            <w:proofErr w:type="spellStart"/>
            <w:r w:rsidRPr="00C559B3">
              <w:rPr>
                <w:sz w:val="20"/>
                <w:lang w:val="fr-CA"/>
              </w:rPr>
              <w:t>Merrifield</w:t>
            </w:r>
            <w:proofErr w:type="spellEnd"/>
            <w:r w:rsidRPr="00C559B3">
              <w:rPr>
                <w:sz w:val="20"/>
                <w:lang w:val="fr-CA"/>
              </w:rPr>
              <w:t xml:space="preserve"> avait décidé de se présenter comme candidat du parti conservateur à une élection à venir sans se conformer aux règlements de la GRC applicables. Les officiers supérieurs ont décidé que M. </w:t>
            </w:r>
            <w:proofErr w:type="spellStart"/>
            <w:r w:rsidRPr="00C559B3">
              <w:rPr>
                <w:sz w:val="20"/>
                <w:lang w:val="fr-CA"/>
              </w:rPr>
              <w:t>Merrifield</w:t>
            </w:r>
            <w:proofErr w:type="spellEnd"/>
            <w:r w:rsidRPr="00C559B3">
              <w:rPr>
                <w:sz w:val="20"/>
                <w:lang w:val="fr-CA"/>
              </w:rPr>
              <w:t xml:space="preserve"> se trouvait peut</w:t>
            </w:r>
            <w:r w:rsidRPr="00C559B3">
              <w:rPr>
                <w:sz w:val="20"/>
                <w:lang w:val="fr-CA"/>
              </w:rPr>
              <w:noBreakHyphen/>
              <w:t>être dans une situation de conflit d’intérêts. En conséquence, il a été muté hors du Groupe de l’évaluation des menaces de la GRC, auquel il s’était joint en février 2005, à une autre unité. La Cour supérieure de justice a accueilli l’action. La juge de première instance a reconnu un nouveau délit civil autonome de harcèlement et a conclu en outre que les intimés étaient responsables d’infliction intentionnelle de souffrances morales. La Cour d’appel a annulé le jugement de première instance et a conclu que la juge de première instance avait eu tort de reconnaître un délit civil de harcèlement, qu’elle avait commis une erreur en appliquant le critère relatif à l’infliction intentionnelle de souffrances morales et qu’elle avait commis des erreurs manifestes et dominantes dans une bonne partie de sa recherche de faits. L’appel a été accueilli et l’appel incident en vue d’obtenir une majoration des dommages-intérêts a été rejeté.</w:t>
            </w:r>
          </w:p>
          <w:p w:rsidR="00C01C92" w:rsidRPr="00C559B3" w:rsidRDefault="00C01C92" w:rsidP="009204CD">
            <w:pPr>
              <w:jc w:val="both"/>
              <w:rPr>
                <w:sz w:val="20"/>
                <w:lang w:val="fr-CA"/>
              </w:rPr>
            </w:pPr>
          </w:p>
        </w:tc>
      </w:tr>
      <w:tr w:rsidR="00C01C92" w:rsidRPr="00C559B3" w:rsidTr="009204CD">
        <w:tc>
          <w:tcPr>
            <w:tcW w:w="2427" w:type="pct"/>
            <w:gridSpan w:val="2"/>
          </w:tcPr>
          <w:p w:rsidR="00C01C92" w:rsidRPr="00C559B3" w:rsidRDefault="00C01C92" w:rsidP="009204CD">
            <w:pPr>
              <w:jc w:val="both"/>
              <w:rPr>
                <w:sz w:val="20"/>
                <w:lang w:val="fr-CA"/>
              </w:rPr>
            </w:pPr>
            <w:r w:rsidRPr="00C559B3">
              <w:rPr>
                <w:sz w:val="20"/>
                <w:lang w:val="fr-CA"/>
              </w:rPr>
              <w:t>28 février 2017</w:t>
            </w:r>
          </w:p>
          <w:p w:rsidR="00C01C92" w:rsidRPr="00C559B3" w:rsidRDefault="00C01C92" w:rsidP="009204CD">
            <w:pPr>
              <w:jc w:val="both"/>
              <w:rPr>
                <w:sz w:val="20"/>
                <w:lang w:val="fr-CA"/>
              </w:rPr>
            </w:pPr>
            <w:r w:rsidRPr="00C559B3">
              <w:rPr>
                <w:sz w:val="20"/>
                <w:lang w:val="fr-CA"/>
              </w:rPr>
              <w:t>Cour supérieure de justice de l’Ontario</w:t>
            </w:r>
          </w:p>
          <w:p w:rsidR="00C01C92" w:rsidRPr="00C559B3" w:rsidRDefault="00C01C92" w:rsidP="009204CD">
            <w:pPr>
              <w:jc w:val="both"/>
              <w:rPr>
                <w:sz w:val="20"/>
                <w:lang w:val="fr-CA"/>
              </w:rPr>
            </w:pPr>
            <w:r w:rsidRPr="00C559B3">
              <w:rPr>
                <w:sz w:val="20"/>
                <w:lang w:val="fr-CA"/>
              </w:rPr>
              <w:t xml:space="preserve">(Juge </w:t>
            </w:r>
            <w:proofErr w:type="spellStart"/>
            <w:r w:rsidRPr="00C559B3">
              <w:rPr>
                <w:sz w:val="20"/>
                <w:lang w:val="fr-CA"/>
              </w:rPr>
              <w:t>Vallee</w:t>
            </w:r>
            <w:proofErr w:type="spellEnd"/>
            <w:r w:rsidRPr="00C559B3">
              <w:rPr>
                <w:sz w:val="20"/>
                <w:lang w:val="fr-CA"/>
              </w:rPr>
              <w:t>)</w:t>
            </w:r>
          </w:p>
          <w:p w:rsidR="00C01C92" w:rsidRPr="00C559B3" w:rsidRDefault="001E07E1" w:rsidP="009204CD">
            <w:pPr>
              <w:jc w:val="both"/>
              <w:rPr>
                <w:sz w:val="20"/>
                <w:lang w:val="fr-CA"/>
              </w:rPr>
            </w:pPr>
            <w:hyperlink r:id="rId21" w:history="1">
              <w:r w:rsidR="00C01C92" w:rsidRPr="00C559B3">
                <w:rPr>
                  <w:rStyle w:val="Hyperlink"/>
                  <w:sz w:val="20"/>
                  <w:lang w:val="fr-CA"/>
                </w:rPr>
                <w:t>2017 ONSC 1333</w:t>
              </w:r>
            </w:hyperlink>
          </w:p>
          <w:p w:rsidR="00C01C92" w:rsidRPr="00C559B3" w:rsidRDefault="00C01C92" w:rsidP="009204CD">
            <w:pPr>
              <w:jc w:val="both"/>
              <w:rPr>
                <w:sz w:val="20"/>
                <w:lang w:val="fr-CA"/>
              </w:rPr>
            </w:pPr>
          </w:p>
        </w:tc>
        <w:tc>
          <w:tcPr>
            <w:tcW w:w="243" w:type="pct"/>
          </w:tcPr>
          <w:p w:rsidR="00C01C92" w:rsidRPr="00C559B3" w:rsidRDefault="00C01C92" w:rsidP="009204CD">
            <w:pPr>
              <w:jc w:val="both"/>
              <w:rPr>
                <w:sz w:val="20"/>
                <w:lang w:val="fr-CA"/>
              </w:rPr>
            </w:pPr>
          </w:p>
        </w:tc>
        <w:tc>
          <w:tcPr>
            <w:tcW w:w="2330" w:type="pct"/>
          </w:tcPr>
          <w:p w:rsidR="00C01C92" w:rsidRPr="00C559B3" w:rsidRDefault="00C01C92" w:rsidP="009204CD">
            <w:pPr>
              <w:jc w:val="both"/>
              <w:rPr>
                <w:sz w:val="20"/>
                <w:lang w:val="fr-CA"/>
              </w:rPr>
            </w:pPr>
            <w:r w:rsidRPr="00C559B3">
              <w:rPr>
                <w:sz w:val="20"/>
                <w:lang w:val="fr-CA"/>
              </w:rPr>
              <w:t>Jugement accueillant l’action.</w:t>
            </w:r>
          </w:p>
        </w:tc>
      </w:tr>
      <w:tr w:rsidR="00C01C92" w:rsidRPr="009204CD" w:rsidTr="009204CD">
        <w:tc>
          <w:tcPr>
            <w:tcW w:w="2427" w:type="pct"/>
            <w:gridSpan w:val="2"/>
          </w:tcPr>
          <w:p w:rsidR="00C01C92" w:rsidRPr="00C559B3" w:rsidRDefault="00C01C92" w:rsidP="009204CD">
            <w:pPr>
              <w:jc w:val="both"/>
              <w:rPr>
                <w:sz w:val="20"/>
                <w:lang w:val="fr-CA"/>
              </w:rPr>
            </w:pPr>
            <w:r w:rsidRPr="00C559B3">
              <w:rPr>
                <w:sz w:val="20"/>
                <w:lang w:val="fr-CA"/>
              </w:rPr>
              <w:t>15 mars 2019</w:t>
            </w:r>
          </w:p>
          <w:p w:rsidR="00C01C92" w:rsidRPr="00C559B3" w:rsidRDefault="00C01C92" w:rsidP="009204CD">
            <w:pPr>
              <w:jc w:val="both"/>
              <w:rPr>
                <w:sz w:val="20"/>
                <w:lang w:val="fr-CA"/>
              </w:rPr>
            </w:pPr>
            <w:r w:rsidRPr="00C559B3">
              <w:rPr>
                <w:sz w:val="20"/>
                <w:lang w:val="fr-CA"/>
              </w:rPr>
              <w:t>Cour d’appel de l’Ontario</w:t>
            </w:r>
          </w:p>
          <w:p w:rsidR="00C01C92" w:rsidRPr="00C559B3" w:rsidRDefault="00C01C92" w:rsidP="009204CD">
            <w:pPr>
              <w:jc w:val="both"/>
              <w:rPr>
                <w:sz w:val="20"/>
                <w:lang w:val="fr-CA"/>
              </w:rPr>
            </w:pPr>
            <w:r w:rsidRPr="00C559B3">
              <w:rPr>
                <w:sz w:val="20"/>
                <w:lang w:val="fr-CA"/>
              </w:rPr>
              <w:t xml:space="preserve">(Juges </w:t>
            </w:r>
            <w:proofErr w:type="spellStart"/>
            <w:r w:rsidRPr="00C559B3">
              <w:rPr>
                <w:sz w:val="20"/>
                <w:lang w:val="fr-CA"/>
              </w:rPr>
              <w:t>Juriansz</w:t>
            </w:r>
            <w:proofErr w:type="spellEnd"/>
            <w:r w:rsidRPr="00C559B3">
              <w:rPr>
                <w:sz w:val="20"/>
                <w:lang w:val="fr-CA"/>
              </w:rPr>
              <w:t xml:space="preserve">, Brown et </w:t>
            </w:r>
            <w:proofErr w:type="spellStart"/>
            <w:r w:rsidRPr="00C559B3">
              <w:rPr>
                <w:sz w:val="20"/>
                <w:lang w:val="fr-CA"/>
              </w:rPr>
              <w:t>Huscroft</w:t>
            </w:r>
            <w:proofErr w:type="spellEnd"/>
            <w:r w:rsidRPr="00C559B3">
              <w:rPr>
                <w:sz w:val="20"/>
                <w:lang w:val="fr-CA"/>
              </w:rPr>
              <w:t>)</w:t>
            </w:r>
          </w:p>
          <w:p w:rsidR="00C01C92" w:rsidRPr="00C559B3" w:rsidRDefault="001E07E1" w:rsidP="009204CD">
            <w:pPr>
              <w:jc w:val="both"/>
              <w:rPr>
                <w:sz w:val="20"/>
                <w:lang w:val="fr-CA"/>
              </w:rPr>
            </w:pPr>
            <w:hyperlink r:id="rId22" w:history="1">
              <w:r w:rsidR="00C01C92" w:rsidRPr="00C559B3">
                <w:rPr>
                  <w:rStyle w:val="Hyperlink"/>
                  <w:sz w:val="20"/>
                  <w:lang w:val="fr-CA"/>
                </w:rPr>
                <w:t>2019 ONCA 205</w:t>
              </w:r>
            </w:hyperlink>
          </w:p>
          <w:p w:rsidR="00C01C92" w:rsidRPr="00C559B3" w:rsidRDefault="00C01C92" w:rsidP="009204CD">
            <w:pPr>
              <w:jc w:val="both"/>
              <w:rPr>
                <w:sz w:val="20"/>
                <w:lang w:val="fr-CA"/>
              </w:rPr>
            </w:pPr>
          </w:p>
        </w:tc>
        <w:tc>
          <w:tcPr>
            <w:tcW w:w="243" w:type="pct"/>
          </w:tcPr>
          <w:p w:rsidR="00C01C92" w:rsidRPr="00C559B3" w:rsidRDefault="00C01C92" w:rsidP="009204CD">
            <w:pPr>
              <w:jc w:val="both"/>
              <w:rPr>
                <w:sz w:val="20"/>
                <w:lang w:val="fr-CA"/>
              </w:rPr>
            </w:pPr>
          </w:p>
        </w:tc>
        <w:tc>
          <w:tcPr>
            <w:tcW w:w="2330" w:type="pct"/>
          </w:tcPr>
          <w:p w:rsidR="00C01C92" w:rsidRPr="00C559B3" w:rsidRDefault="00C01C92" w:rsidP="009204CD">
            <w:pPr>
              <w:jc w:val="both"/>
              <w:rPr>
                <w:sz w:val="20"/>
                <w:lang w:val="fr-CA"/>
              </w:rPr>
            </w:pPr>
            <w:r w:rsidRPr="00C559B3">
              <w:rPr>
                <w:sz w:val="20"/>
                <w:lang w:val="fr-CA"/>
              </w:rPr>
              <w:t>Arrêt accueillant l’appel et rejetant l’appel incident.</w:t>
            </w:r>
          </w:p>
          <w:p w:rsidR="00C01C92" w:rsidRPr="00C559B3" w:rsidRDefault="00C01C92" w:rsidP="009204CD">
            <w:pPr>
              <w:jc w:val="both"/>
              <w:rPr>
                <w:sz w:val="20"/>
                <w:lang w:val="fr-CA"/>
              </w:rPr>
            </w:pPr>
          </w:p>
        </w:tc>
      </w:tr>
      <w:tr w:rsidR="00C01C92" w:rsidRPr="009204CD" w:rsidTr="009204CD">
        <w:tc>
          <w:tcPr>
            <w:tcW w:w="2427" w:type="pct"/>
            <w:gridSpan w:val="2"/>
          </w:tcPr>
          <w:p w:rsidR="00C01C92" w:rsidRPr="00C559B3" w:rsidRDefault="00C01C92" w:rsidP="009204CD">
            <w:pPr>
              <w:jc w:val="both"/>
              <w:rPr>
                <w:sz w:val="20"/>
                <w:lang w:val="fr-CA"/>
              </w:rPr>
            </w:pPr>
            <w:r w:rsidRPr="00C559B3">
              <w:rPr>
                <w:sz w:val="20"/>
                <w:lang w:val="fr-CA"/>
              </w:rPr>
              <w:t>14 mai 2019</w:t>
            </w:r>
          </w:p>
          <w:p w:rsidR="00C01C92" w:rsidRPr="00C559B3" w:rsidRDefault="00C01C92" w:rsidP="009204CD">
            <w:pPr>
              <w:jc w:val="both"/>
              <w:rPr>
                <w:sz w:val="20"/>
                <w:lang w:val="fr-CA"/>
              </w:rPr>
            </w:pPr>
            <w:r w:rsidRPr="00C559B3">
              <w:rPr>
                <w:sz w:val="20"/>
                <w:lang w:val="fr-CA"/>
              </w:rPr>
              <w:t>Cour suprême du Canada</w:t>
            </w:r>
          </w:p>
        </w:tc>
        <w:tc>
          <w:tcPr>
            <w:tcW w:w="243" w:type="pct"/>
          </w:tcPr>
          <w:p w:rsidR="00C01C92" w:rsidRPr="00C559B3" w:rsidRDefault="00C01C92" w:rsidP="009204CD">
            <w:pPr>
              <w:jc w:val="both"/>
              <w:rPr>
                <w:sz w:val="20"/>
                <w:lang w:val="fr-CA"/>
              </w:rPr>
            </w:pPr>
          </w:p>
        </w:tc>
        <w:tc>
          <w:tcPr>
            <w:tcW w:w="2330" w:type="pct"/>
          </w:tcPr>
          <w:p w:rsidR="00C01C92" w:rsidRPr="00C559B3" w:rsidRDefault="00C01C92" w:rsidP="009204CD">
            <w:pPr>
              <w:jc w:val="both"/>
              <w:rPr>
                <w:sz w:val="20"/>
                <w:lang w:val="fr-CA"/>
              </w:rPr>
            </w:pPr>
            <w:r w:rsidRPr="00C559B3">
              <w:rPr>
                <w:sz w:val="20"/>
                <w:lang w:val="fr-CA"/>
              </w:rPr>
              <w:t>Dépôt de la demande d’autorisation d’appel.</w:t>
            </w:r>
          </w:p>
          <w:p w:rsidR="00C01C92" w:rsidRPr="00C559B3" w:rsidRDefault="00C01C92" w:rsidP="009204CD">
            <w:pPr>
              <w:jc w:val="both"/>
              <w:rPr>
                <w:sz w:val="20"/>
                <w:lang w:val="fr-CA"/>
              </w:rPr>
            </w:pPr>
          </w:p>
        </w:tc>
      </w:tr>
    </w:tbl>
    <w:p w:rsidR="00890FEB" w:rsidRPr="00C50A5C" w:rsidRDefault="001E07E1" w:rsidP="004F1523">
      <w:pPr>
        <w:ind w:left="142" w:hanging="142"/>
        <w:rPr>
          <w:sz w:val="20"/>
          <w:szCs w:val="20"/>
          <w:lang w:val="fr-CA"/>
        </w:rPr>
      </w:pPr>
      <w:r>
        <w:rPr>
          <w:sz w:val="20"/>
        </w:rPr>
        <w:pict>
          <v:rect id="_x0000_i1031" style="width:2in;height:1pt" o:hrpct="0" o:hralign="center" o:hrstd="t" o:hrnoshade="t" o:hr="t" fillcolor="black [3213]" stroked="f"/>
        </w:pict>
      </w: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sz w:val="20"/>
          <w:lang w:val="en-US"/>
        </w:rPr>
      </w:pPr>
      <w:bookmarkStart w:id="4" w:name="_Toc19863880"/>
      <w:r w:rsidRPr="002D72EB">
        <w:lastRenderedPageBreak/>
        <w:t xml:space="preserve">Notices of appeal filed since </w:t>
      </w:r>
      <w:r>
        <w:t xml:space="preserve">the </w:t>
      </w:r>
      <w:r w:rsidRPr="002D72EB">
        <w:t>last issue</w:t>
      </w:r>
      <w:r w:rsidR="00271E1E">
        <w:t xml:space="preserve"> / </w:t>
      </w:r>
      <w:r w:rsidR="00567602">
        <w:br/>
      </w:r>
      <w:r>
        <w:rPr>
          <w:lang w:val="fr-CA"/>
        </w:rPr>
        <w:t>A</w:t>
      </w:r>
      <w:r w:rsidRPr="002D72EB">
        <w:rPr>
          <w:lang w:val="fr-CA"/>
        </w:rPr>
        <w:t>vis d’appel déposés depuis la dernière parution</w:t>
      </w:r>
      <w:bookmarkEnd w:id="4"/>
    </w:p>
    <w:p w:rsidR="00FB1DB6" w:rsidRPr="0056760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197666" w:rsidRDefault="00197666" w:rsidP="00197666">
            <w:pPr>
              <w:rPr>
                <w:sz w:val="20"/>
                <w:szCs w:val="20"/>
              </w:rPr>
            </w:pPr>
            <w:r>
              <w:rPr>
                <w:sz w:val="20"/>
                <w:szCs w:val="20"/>
              </w:rPr>
              <w:t>August 28, 2019</w:t>
            </w:r>
          </w:p>
          <w:p w:rsidR="00197666" w:rsidRPr="003B3977" w:rsidRDefault="00197666" w:rsidP="00197666">
            <w:pPr>
              <w:rPr>
                <w:sz w:val="20"/>
                <w:szCs w:val="20"/>
              </w:rPr>
            </w:pPr>
          </w:p>
          <w:p w:rsidR="00197666" w:rsidRPr="003B3977" w:rsidRDefault="00197666" w:rsidP="00197666">
            <w:pPr>
              <w:rPr>
                <w:b/>
                <w:sz w:val="20"/>
                <w:szCs w:val="20"/>
              </w:rPr>
            </w:pPr>
            <w:r w:rsidRPr="00ED1319">
              <w:rPr>
                <w:b/>
                <w:bCs/>
                <w:sz w:val="20"/>
                <w:szCs w:val="20"/>
              </w:rPr>
              <w:t>Attorney General of Ontario</w:t>
            </w:r>
          </w:p>
          <w:p w:rsidR="00197666" w:rsidRPr="003B3977" w:rsidRDefault="00197666" w:rsidP="00197666">
            <w:pPr>
              <w:tabs>
                <w:tab w:val="left" w:pos="1320"/>
              </w:tabs>
              <w:rPr>
                <w:b/>
                <w:sz w:val="20"/>
                <w:szCs w:val="20"/>
              </w:rPr>
            </w:pPr>
            <w:r>
              <w:rPr>
                <w:b/>
                <w:sz w:val="20"/>
                <w:szCs w:val="20"/>
              </w:rPr>
              <w:tab/>
            </w:r>
          </w:p>
          <w:p w:rsidR="00197666" w:rsidRPr="003B3977" w:rsidRDefault="00197666" w:rsidP="00197666">
            <w:pPr>
              <w:rPr>
                <w:b/>
                <w:sz w:val="20"/>
                <w:szCs w:val="20"/>
              </w:rPr>
            </w:pPr>
            <w:r w:rsidRPr="003B3977">
              <w:rPr>
                <w:b/>
                <w:sz w:val="20"/>
                <w:szCs w:val="20"/>
              </w:rPr>
              <w:tab/>
              <w:t>v. (</w:t>
            </w:r>
            <w:r>
              <w:rPr>
                <w:b/>
                <w:sz w:val="20"/>
                <w:szCs w:val="20"/>
              </w:rPr>
              <w:t>38781</w:t>
            </w:r>
            <w:r w:rsidRPr="003B3977">
              <w:rPr>
                <w:b/>
                <w:sz w:val="20"/>
                <w:szCs w:val="20"/>
              </w:rPr>
              <w:t>)</w:t>
            </w:r>
          </w:p>
          <w:p w:rsidR="00197666" w:rsidRPr="003B3977" w:rsidRDefault="00197666" w:rsidP="00197666">
            <w:pPr>
              <w:rPr>
                <w:b/>
                <w:sz w:val="20"/>
                <w:szCs w:val="20"/>
              </w:rPr>
            </w:pPr>
          </w:p>
          <w:p w:rsidR="00197666" w:rsidRPr="003B3977" w:rsidRDefault="00197666" w:rsidP="00197666">
            <w:pPr>
              <w:rPr>
                <w:b/>
                <w:sz w:val="20"/>
                <w:szCs w:val="20"/>
              </w:rPr>
            </w:pPr>
            <w:r w:rsidRPr="00ED1319">
              <w:rPr>
                <w:b/>
                <w:bCs/>
                <w:sz w:val="20"/>
                <w:szCs w:val="20"/>
              </w:rPr>
              <w:t>Attorney General of Canada</w:t>
            </w:r>
            <w:r w:rsidRPr="00ED1319">
              <w:rPr>
                <w:b/>
                <w:sz w:val="20"/>
                <w:szCs w:val="20"/>
              </w:rPr>
              <w:t xml:space="preserve"> </w:t>
            </w:r>
            <w:r w:rsidRPr="003B3977">
              <w:rPr>
                <w:b/>
                <w:sz w:val="20"/>
                <w:szCs w:val="20"/>
              </w:rPr>
              <w:t>(</w:t>
            </w:r>
            <w:r>
              <w:rPr>
                <w:b/>
                <w:sz w:val="20"/>
                <w:szCs w:val="20"/>
              </w:rPr>
              <w:t>Ont</w:t>
            </w:r>
            <w:r w:rsidRPr="003B3977">
              <w:rPr>
                <w:b/>
                <w:sz w:val="20"/>
                <w:szCs w:val="20"/>
              </w:rPr>
              <w:t>.)</w:t>
            </w:r>
          </w:p>
          <w:p w:rsidR="00197666" w:rsidRPr="003B3977" w:rsidRDefault="00197666" w:rsidP="00197666">
            <w:pPr>
              <w:rPr>
                <w:sz w:val="20"/>
                <w:szCs w:val="20"/>
              </w:rPr>
            </w:pPr>
          </w:p>
          <w:p w:rsidR="00197666" w:rsidRPr="003B3977" w:rsidRDefault="00197666" w:rsidP="00197666">
            <w:pPr>
              <w:rPr>
                <w:sz w:val="20"/>
                <w:szCs w:val="20"/>
              </w:rPr>
            </w:pPr>
            <w:r w:rsidRPr="003B3977">
              <w:rPr>
                <w:sz w:val="20"/>
                <w:szCs w:val="20"/>
              </w:rPr>
              <w:t>(</w:t>
            </w:r>
            <w:r>
              <w:rPr>
                <w:sz w:val="20"/>
                <w:szCs w:val="20"/>
              </w:rPr>
              <w:t>As of Right</w:t>
            </w:r>
            <w:r w:rsidRPr="003B3977">
              <w:rPr>
                <w:sz w:val="20"/>
                <w:szCs w:val="20"/>
              </w:rPr>
              <w:t>)</w:t>
            </w:r>
          </w:p>
          <w:p w:rsidR="00197666" w:rsidRPr="003B3977" w:rsidRDefault="00197666" w:rsidP="00197666">
            <w:pPr>
              <w:rPr>
                <w:sz w:val="20"/>
                <w:szCs w:val="20"/>
              </w:rPr>
            </w:pPr>
          </w:p>
          <w:p w:rsidR="0086340B" w:rsidRPr="003B3977" w:rsidRDefault="001E07E1" w:rsidP="00197666">
            <w:pPr>
              <w:rPr>
                <w:sz w:val="20"/>
                <w:szCs w:val="20"/>
                <w:lang w:val="fr-CA"/>
              </w:rPr>
            </w:pPr>
            <w:r>
              <w:rPr>
                <w:sz w:val="20"/>
                <w:szCs w:val="20"/>
                <w:lang w:val="fr-CA"/>
              </w:rPr>
              <w:pict>
                <v:rect id="_x0000_i1034"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197666" w:rsidRDefault="00197666" w:rsidP="00197666">
            <w:pPr>
              <w:rPr>
                <w:sz w:val="20"/>
                <w:szCs w:val="20"/>
              </w:rPr>
            </w:pPr>
            <w:r>
              <w:rPr>
                <w:sz w:val="20"/>
                <w:szCs w:val="20"/>
              </w:rPr>
              <w:t>August 27, 2019</w:t>
            </w:r>
          </w:p>
          <w:p w:rsidR="0086340B" w:rsidRPr="00197666" w:rsidRDefault="0086340B" w:rsidP="005F1ED8">
            <w:pPr>
              <w:rPr>
                <w:sz w:val="20"/>
                <w:szCs w:val="20"/>
                <w:lang w:val="en-US"/>
              </w:rPr>
            </w:pPr>
          </w:p>
          <w:p w:rsidR="0086340B" w:rsidRPr="00197666" w:rsidRDefault="00197666" w:rsidP="005F1ED8">
            <w:pPr>
              <w:rPr>
                <w:b/>
                <w:sz w:val="20"/>
                <w:szCs w:val="20"/>
                <w:lang w:val="en-US"/>
              </w:rPr>
            </w:pPr>
            <w:r w:rsidRPr="00197666">
              <w:rPr>
                <w:b/>
                <w:bCs/>
                <w:sz w:val="20"/>
                <w:szCs w:val="20"/>
              </w:rPr>
              <w:t xml:space="preserve">Claude Eric </w:t>
            </w:r>
            <w:proofErr w:type="spellStart"/>
            <w:r w:rsidRPr="00197666">
              <w:rPr>
                <w:b/>
                <w:bCs/>
                <w:sz w:val="20"/>
                <w:szCs w:val="20"/>
              </w:rPr>
              <w:t>Trachy</w:t>
            </w:r>
            <w:proofErr w:type="spellEnd"/>
            <w:r w:rsidRPr="00197666">
              <w:rPr>
                <w:b/>
                <w:sz w:val="20"/>
                <w:szCs w:val="20"/>
                <w:lang w:val="en-US"/>
              </w:rPr>
              <w:t xml:space="preserve"> </w:t>
            </w:r>
          </w:p>
          <w:p w:rsidR="00197666" w:rsidRPr="00197666" w:rsidRDefault="00197666" w:rsidP="005F1ED8">
            <w:pPr>
              <w:rPr>
                <w:b/>
                <w:sz w:val="20"/>
                <w:szCs w:val="20"/>
                <w:lang w:val="en-US"/>
              </w:rPr>
            </w:pPr>
          </w:p>
          <w:p w:rsidR="0086340B" w:rsidRPr="00197666" w:rsidRDefault="0086340B" w:rsidP="005F1ED8">
            <w:pPr>
              <w:rPr>
                <w:b/>
                <w:sz w:val="20"/>
                <w:szCs w:val="20"/>
                <w:lang w:val="en-US"/>
              </w:rPr>
            </w:pPr>
            <w:r w:rsidRPr="00197666">
              <w:rPr>
                <w:b/>
                <w:sz w:val="20"/>
                <w:szCs w:val="20"/>
                <w:lang w:val="en-US"/>
              </w:rPr>
              <w:tab/>
            </w:r>
            <w:r w:rsidR="00197666" w:rsidRPr="00197666">
              <w:rPr>
                <w:b/>
                <w:sz w:val="20"/>
                <w:szCs w:val="20"/>
                <w:lang w:val="en-US"/>
              </w:rPr>
              <w:t>v</w:t>
            </w:r>
            <w:r w:rsidRPr="00197666">
              <w:rPr>
                <w:b/>
                <w:sz w:val="20"/>
                <w:szCs w:val="20"/>
                <w:lang w:val="en-US"/>
              </w:rPr>
              <w:t>. (</w:t>
            </w:r>
            <w:r w:rsidR="00197666" w:rsidRPr="00197666">
              <w:rPr>
                <w:b/>
                <w:sz w:val="20"/>
                <w:szCs w:val="20"/>
                <w:lang w:val="en-US"/>
              </w:rPr>
              <w:t>38782</w:t>
            </w:r>
            <w:r w:rsidRPr="00197666">
              <w:rPr>
                <w:b/>
                <w:sz w:val="20"/>
                <w:szCs w:val="20"/>
                <w:lang w:val="en-US"/>
              </w:rPr>
              <w:t>)</w:t>
            </w:r>
          </w:p>
          <w:p w:rsidR="0086340B" w:rsidRPr="00197666" w:rsidRDefault="0086340B" w:rsidP="005F1ED8">
            <w:pPr>
              <w:rPr>
                <w:b/>
                <w:sz w:val="20"/>
                <w:szCs w:val="20"/>
                <w:lang w:val="en-US"/>
              </w:rPr>
            </w:pPr>
          </w:p>
          <w:p w:rsidR="0086340B" w:rsidRPr="00197666" w:rsidRDefault="00197666" w:rsidP="005F1ED8">
            <w:pPr>
              <w:rPr>
                <w:b/>
                <w:sz w:val="20"/>
                <w:szCs w:val="20"/>
                <w:lang w:val="en-US"/>
              </w:rPr>
            </w:pPr>
            <w:r w:rsidRPr="00197666">
              <w:rPr>
                <w:b/>
                <w:sz w:val="20"/>
                <w:szCs w:val="20"/>
                <w:lang w:val="en-US"/>
              </w:rPr>
              <w:t>Her Majesty the Queen (Ont.)</w:t>
            </w:r>
          </w:p>
          <w:p w:rsidR="0086340B" w:rsidRPr="00197666" w:rsidRDefault="0086340B" w:rsidP="005F1ED8">
            <w:pPr>
              <w:rPr>
                <w:sz w:val="20"/>
                <w:szCs w:val="20"/>
                <w:lang w:val="en-US"/>
              </w:rPr>
            </w:pPr>
          </w:p>
          <w:p w:rsidR="0086340B" w:rsidRPr="003B3977" w:rsidRDefault="0086340B" w:rsidP="005F1ED8">
            <w:pPr>
              <w:rPr>
                <w:sz w:val="20"/>
                <w:szCs w:val="20"/>
              </w:rPr>
            </w:pPr>
            <w:r w:rsidRPr="003B3977">
              <w:rPr>
                <w:sz w:val="20"/>
                <w:szCs w:val="20"/>
              </w:rPr>
              <w:t>(</w:t>
            </w:r>
            <w:r w:rsidR="00197666">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1E07E1" w:rsidP="005F1ED8">
            <w:pPr>
              <w:rPr>
                <w:sz w:val="20"/>
                <w:szCs w:val="20"/>
              </w:rPr>
            </w:pPr>
            <w:r>
              <w:rPr>
                <w:sz w:val="20"/>
                <w:szCs w:val="20"/>
                <w:lang w:val="fr-CA"/>
              </w:rPr>
              <w:pict>
                <v:rect id="_x0000_i1035"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197666" w:rsidRPr="00197666" w:rsidRDefault="00197666" w:rsidP="00197666">
            <w:pPr>
              <w:rPr>
                <w:sz w:val="20"/>
                <w:szCs w:val="20"/>
                <w:lang w:val="fr-CA"/>
              </w:rPr>
            </w:pPr>
            <w:r w:rsidRPr="0053618C">
              <w:rPr>
                <w:sz w:val="20"/>
                <w:szCs w:val="20"/>
                <w:lang w:val="fr-CA"/>
              </w:rPr>
              <w:t>Le 30 ao</w:t>
            </w:r>
            <w:r>
              <w:rPr>
                <w:sz w:val="20"/>
                <w:szCs w:val="20"/>
                <w:lang w:val="fr-CA"/>
              </w:rPr>
              <w:t>ût 2019</w:t>
            </w:r>
          </w:p>
          <w:p w:rsidR="00197666" w:rsidRPr="0053618C" w:rsidRDefault="00197666" w:rsidP="00197666">
            <w:pPr>
              <w:rPr>
                <w:sz w:val="20"/>
                <w:szCs w:val="20"/>
                <w:lang w:val="fr-CA"/>
              </w:rPr>
            </w:pPr>
          </w:p>
          <w:p w:rsidR="00197666" w:rsidRPr="00197666" w:rsidRDefault="00197666" w:rsidP="00197666">
            <w:pPr>
              <w:rPr>
                <w:b/>
                <w:sz w:val="20"/>
                <w:szCs w:val="20"/>
                <w:lang w:val="fr-CA"/>
              </w:rPr>
            </w:pPr>
            <w:r w:rsidRPr="00197666">
              <w:rPr>
                <w:b/>
                <w:bCs/>
                <w:sz w:val="20"/>
                <w:szCs w:val="20"/>
                <w:lang w:val="fr-CA"/>
              </w:rPr>
              <w:t>International Air Transport Association, et al.</w:t>
            </w:r>
          </w:p>
          <w:p w:rsidR="00197666" w:rsidRPr="00197666" w:rsidRDefault="00197666" w:rsidP="00197666">
            <w:pPr>
              <w:tabs>
                <w:tab w:val="left" w:pos="1320"/>
              </w:tabs>
              <w:rPr>
                <w:b/>
                <w:sz w:val="20"/>
                <w:szCs w:val="20"/>
                <w:lang w:val="fr-CA"/>
              </w:rPr>
            </w:pPr>
            <w:r w:rsidRPr="00197666">
              <w:rPr>
                <w:b/>
                <w:sz w:val="20"/>
                <w:szCs w:val="20"/>
                <w:lang w:val="fr-CA"/>
              </w:rPr>
              <w:tab/>
            </w:r>
          </w:p>
          <w:p w:rsidR="00197666" w:rsidRPr="00197666" w:rsidRDefault="00197666" w:rsidP="00197666">
            <w:pPr>
              <w:rPr>
                <w:b/>
                <w:sz w:val="20"/>
                <w:szCs w:val="20"/>
                <w:lang w:val="fr-CA"/>
              </w:rPr>
            </w:pPr>
            <w:r w:rsidRPr="00197666">
              <w:rPr>
                <w:b/>
                <w:sz w:val="20"/>
                <w:szCs w:val="20"/>
                <w:lang w:val="fr-CA"/>
              </w:rPr>
              <w:tab/>
            </w:r>
            <w:r>
              <w:rPr>
                <w:b/>
                <w:sz w:val="20"/>
                <w:szCs w:val="20"/>
                <w:lang w:val="fr-CA"/>
              </w:rPr>
              <w:t>c</w:t>
            </w:r>
            <w:r w:rsidRPr="00197666">
              <w:rPr>
                <w:b/>
                <w:sz w:val="20"/>
                <w:szCs w:val="20"/>
                <w:lang w:val="fr-CA"/>
              </w:rPr>
              <w:t>. (38562)</w:t>
            </w:r>
          </w:p>
          <w:p w:rsidR="00197666" w:rsidRPr="00197666" w:rsidRDefault="00197666" w:rsidP="00197666">
            <w:pPr>
              <w:rPr>
                <w:b/>
                <w:sz w:val="20"/>
                <w:szCs w:val="20"/>
                <w:lang w:val="fr-CA"/>
              </w:rPr>
            </w:pPr>
          </w:p>
          <w:p w:rsidR="00197666" w:rsidRPr="00197666" w:rsidRDefault="00197666" w:rsidP="00197666">
            <w:pPr>
              <w:rPr>
                <w:b/>
                <w:sz w:val="20"/>
                <w:szCs w:val="20"/>
                <w:lang w:val="fr-CA"/>
              </w:rPr>
            </w:pPr>
            <w:r w:rsidRPr="00197666">
              <w:rPr>
                <w:b/>
                <w:bCs/>
                <w:sz w:val="20"/>
                <w:szCs w:val="20"/>
                <w:lang w:val="fr-CA"/>
              </w:rPr>
              <w:t>Instrubel, N.V., et al.</w:t>
            </w:r>
            <w:r>
              <w:rPr>
                <w:b/>
                <w:bCs/>
                <w:sz w:val="20"/>
                <w:szCs w:val="20"/>
                <w:lang w:val="fr-CA"/>
              </w:rPr>
              <w:t xml:space="preserve"> </w:t>
            </w:r>
            <w:r w:rsidRPr="00197666">
              <w:rPr>
                <w:b/>
                <w:sz w:val="20"/>
                <w:szCs w:val="20"/>
                <w:lang w:val="fr-CA"/>
              </w:rPr>
              <w:t>(</w:t>
            </w:r>
            <w:r>
              <w:rPr>
                <w:b/>
                <w:sz w:val="20"/>
                <w:szCs w:val="20"/>
                <w:lang w:val="fr-CA"/>
              </w:rPr>
              <w:t>Qc</w:t>
            </w:r>
            <w:r w:rsidRPr="00197666">
              <w:rPr>
                <w:b/>
                <w:sz w:val="20"/>
                <w:szCs w:val="20"/>
                <w:lang w:val="fr-CA"/>
              </w:rPr>
              <w:t>)</w:t>
            </w:r>
          </w:p>
          <w:p w:rsidR="00197666" w:rsidRPr="00197666" w:rsidRDefault="00197666" w:rsidP="00197666">
            <w:pPr>
              <w:rPr>
                <w:sz w:val="20"/>
                <w:szCs w:val="20"/>
                <w:lang w:val="fr-CA"/>
              </w:rPr>
            </w:pPr>
          </w:p>
          <w:p w:rsidR="00197666" w:rsidRPr="003B3977" w:rsidRDefault="00197666" w:rsidP="00197666">
            <w:pPr>
              <w:rPr>
                <w:sz w:val="20"/>
                <w:szCs w:val="20"/>
              </w:rPr>
            </w:pPr>
            <w:r w:rsidRPr="003B3977">
              <w:rPr>
                <w:sz w:val="20"/>
                <w:szCs w:val="20"/>
              </w:rPr>
              <w:t>(</w:t>
            </w:r>
            <w:r>
              <w:rPr>
                <w:sz w:val="20"/>
                <w:szCs w:val="20"/>
              </w:rPr>
              <w:t>Autorisation)</w:t>
            </w:r>
          </w:p>
          <w:p w:rsidR="00197666" w:rsidRPr="003B3977" w:rsidRDefault="00197666" w:rsidP="00197666">
            <w:pPr>
              <w:rPr>
                <w:sz w:val="20"/>
                <w:szCs w:val="20"/>
              </w:rPr>
            </w:pPr>
          </w:p>
          <w:p w:rsidR="0086340B" w:rsidRDefault="001E07E1" w:rsidP="00197666">
            <w:pPr>
              <w:rPr>
                <w:sz w:val="20"/>
                <w:szCs w:val="20"/>
                <w:lang w:val="fr-CA"/>
              </w:rPr>
            </w:pPr>
            <w:r>
              <w:rPr>
                <w:sz w:val="20"/>
                <w:szCs w:val="20"/>
                <w:lang w:val="fr-CA"/>
              </w:rPr>
              <w:pict>
                <v:rect id="_x0000_i1036" style="width:106.1pt;height:1pt" o:hrpct="500" o:hralign="center" o:hrstd="t" o:hrnoshade="t" o:hr="t" fillcolor="black [3213]" stroked="f"/>
              </w:pict>
            </w:r>
          </w:p>
          <w:p w:rsidR="00197666" w:rsidRPr="003B3977" w:rsidRDefault="00197666" w:rsidP="00197666">
            <w:pPr>
              <w:rPr>
                <w:sz w:val="20"/>
                <w:szCs w:val="20"/>
              </w:rPr>
            </w:pPr>
          </w:p>
        </w:tc>
        <w:tc>
          <w:tcPr>
            <w:tcW w:w="588" w:type="pct"/>
          </w:tcPr>
          <w:p w:rsidR="0086340B" w:rsidRDefault="0086340B" w:rsidP="005F1ED8">
            <w:pPr>
              <w:jc w:val="center"/>
              <w:rPr>
                <w:sz w:val="20"/>
                <w:szCs w:val="20"/>
              </w:rPr>
            </w:pPr>
          </w:p>
          <w:p w:rsidR="00197666" w:rsidRDefault="00197666" w:rsidP="005F1ED8">
            <w:pPr>
              <w:jc w:val="center"/>
              <w:rPr>
                <w:sz w:val="20"/>
                <w:szCs w:val="20"/>
              </w:rPr>
            </w:pPr>
          </w:p>
          <w:p w:rsidR="00197666" w:rsidRPr="003B3977" w:rsidRDefault="00197666" w:rsidP="005F1ED8">
            <w:pPr>
              <w:jc w:val="center"/>
              <w:rPr>
                <w:sz w:val="20"/>
                <w:szCs w:val="20"/>
              </w:rPr>
            </w:pPr>
          </w:p>
        </w:tc>
        <w:tc>
          <w:tcPr>
            <w:tcW w:w="2206" w:type="pct"/>
          </w:tcPr>
          <w:p w:rsidR="00197666" w:rsidRDefault="00197666" w:rsidP="00197666">
            <w:pPr>
              <w:rPr>
                <w:sz w:val="20"/>
                <w:szCs w:val="20"/>
              </w:rPr>
            </w:pPr>
            <w:r>
              <w:rPr>
                <w:sz w:val="20"/>
                <w:szCs w:val="20"/>
              </w:rPr>
              <w:t>August 30, 2019</w:t>
            </w:r>
          </w:p>
          <w:p w:rsidR="00197666" w:rsidRPr="003B3977" w:rsidRDefault="00197666" w:rsidP="00197666">
            <w:pPr>
              <w:rPr>
                <w:sz w:val="20"/>
                <w:szCs w:val="20"/>
              </w:rPr>
            </w:pPr>
          </w:p>
          <w:p w:rsidR="00197666" w:rsidRDefault="00197666" w:rsidP="00197666">
            <w:pPr>
              <w:tabs>
                <w:tab w:val="left" w:pos="1320"/>
              </w:tabs>
              <w:rPr>
                <w:b/>
                <w:bCs/>
                <w:sz w:val="20"/>
                <w:szCs w:val="20"/>
              </w:rPr>
            </w:pPr>
            <w:r w:rsidRPr="00197666">
              <w:rPr>
                <w:b/>
                <w:bCs/>
                <w:sz w:val="20"/>
                <w:szCs w:val="20"/>
              </w:rPr>
              <w:t>Wastech Services Ltd.</w:t>
            </w:r>
          </w:p>
          <w:p w:rsidR="00197666" w:rsidRPr="003B3977" w:rsidRDefault="00197666" w:rsidP="00197666">
            <w:pPr>
              <w:tabs>
                <w:tab w:val="left" w:pos="1320"/>
              </w:tabs>
              <w:rPr>
                <w:b/>
                <w:sz w:val="20"/>
                <w:szCs w:val="20"/>
              </w:rPr>
            </w:pPr>
            <w:r>
              <w:rPr>
                <w:b/>
                <w:sz w:val="20"/>
                <w:szCs w:val="20"/>
              </w:rPr>
              <w:tab/>
            </w:r>
          </w:p>
          <w:p w:rsidR="00197666" w:rsidRPr="003B3977" w:rsidRDefault="00197666" w:rsidP="00197666">
            <w:pPr>
              <w:rPr>
                <w:b/>
                <w:sz w:val="20"/>
                <w:szCs w:val="20"/>
              </w:rPr>
            </w:pPr>
            <w:r w:rsidRPr="003B3977">
              <w:rPr>
                <w:b/>
                <w:sz w:val="20"/>
                <w:szCs w:val="20"/>
              </w:rPr>
              <w:tab/>
              <w:t>v. (</w:t>
            </w:r>
            <w:r>
              <w:rPr>
                <w:b/>
                <w:sz w:val="20"/>
                <w:szCs w:val="20"/>
              </w:rPr>
              <w:t>38601</w:t>
            </w:r>
            <w:r w:rsidRPr="003B3977">
              <w:rPr>
                <w:b/>
                <w:sz w:val="20"/>
                <w:szCs w:val="20"/>
              </w:rPr>
              <w:t>)</w:t>
            </w:r>
          </w:p>
          <w:p w:rsidR="00197666" w:rsidRPr="003B3977" w:rsidRDefault="00197666" w:rsidP="00197666">
            <w:pPr>
              <w:rPr>
                <w:b/>
                <w:sz w:val="20"/>
                <w:szCs w:val="20"/>
              </w:rPr>
            </w:pPr>
          </w:p>
          <w:p w:rsidR="00197666" w:rsidRPr="003B3977" w:rsidRDefault="00197666" w:rsidP="00197666">
            <w:pPr>
              <w:rPr>
                <w:b/>
                <w:sz w:val="20"/>
                <w:szCs w:val="20"/>
              </w:rPr>
            </w:pPr>
            <w:r w:rsidRPr="00197666">
              <w:rPr>
                <w:b/>
                <w:bCs/>
                <w:sz w:val="20"/>
                <w:szCs w:val="20"/>
              </w:rPr>
              <w:t xml:space="preserve">Greater Vancouver Sewerage and Drainage District </w:t>
            </w:r>
            <w:r w:rsidRPr="003B3977">
              <w:rPr>
                <w:b/>
                <w:sz w:val="20"/>
                <w:szCs w:val="20"/>
              </w:rPr>
              <w:t>(</w:t>
            </w:r>
            <w:r>
              <w:rPr>
                <w:b/>
                <w:sz w:val="20"/>
                <w:szCs w:val="20"/>
              </w:rPr>
              <w:t>B</w:t>
            </w:r>
            <w:r w:rsidRPr="003B3977">
              <w:rPr>
                <w:b/>
                <w:sz w:val="20"/>
                <w:szCs w:val="20"/>
              </w:rPr>
              <w:t>.</w:t>
            </w:r>
            <w:r>
              <w:rPr>
                <w:b/>
                <w:sz w:val="20"/>
                <w:szCs w:val="20"/>
              </w:rPr>
              <w:t>C.</w:t>
            </w:r>
            <w:r w:rsidRPr="003B3977">
              <w:rPr>
                <w:b/>
                <w:sz w:val="20"/>
                <w:szCs w:val="20"/>
              </w:rPr>
              <w:t>)</w:t>
            </w:r>
          </w:p>
          <w:p w:rsidR="00197666" w:rsidRPr="003B3977" w:rsidRDefault="00197666" w:rsidP="00197666">
            <w:pPr>
              <w:rPr>
                <w:sz w:val="20"/>
                <w:szCs w:val="20"/>
              </w:rPr>
            </w:pPr>
          </w:p>
          <w:p w:rsidR="00197666" w:rsidRPr="003B3977" w:rsidRDefault="00197666" w:rsidP="00197666">
            <w:pPr>
              <w:rPr>
                <w:sz w:val="20"/>
                <w:szCs w:val="20"/>
              </w:rPr>
            </w:pPr>
            <w:r w:rsidRPr="003B3977">
              <w:rPr>
                <w:sz w:val="20"/>
                <w:szCs w:val="20"/>
              </w:rPr>
              <w:t>(</w:t>
            </w:r>
            <w:r>
              <w:rPr>
                <w:sz w:val="20"/>
                <w:szCs w:val="20"/>
              </w:rPr>
              <w:t>By Leave</w:t>
            </w:r>
            <w:r w:rsidR="0073541A">
              <w:rPr>
                <w:sz w:val="20"/>
                <w:szCs w:val="20"/>
              </w:rPr>
              <w:t>)</w:t>
            </w:r>
          </w:p>
          <w:p w:rsidR="00197666" w:rsidRPr="003B3977" w:rsidRDefault="00197666" w:rsidP="00197666">
            <w:pPr>
              <w:rPr>
                <w:sz w:val="20"/>
                <w:szCs w:val="20"/>
              </w:rPr>
            </w:pPr>
          </w:p>
          <w:p w:rsidR="0086340B" w:rsidRDefault="001E07E1" w:rsidP="00197666">
            <w:pPr>
              <w:rPr>
                <w:sz w:val="20"/>
                <w:szCs w:val="20"/>
                <w:lang w:val="fr-CA"/>
              </w:rPr>
            </w:pPr>
            <w:r>
              <w:rPr>
                <w:sz w:val="20"/>
                <w:szCs w:val="20"/>
                <w:lang w:val="fr-CA"/>
              </w:rPr>
              <w:pict>
                <v:rect id="_x0000_i1037" style="width:106.1pt;height:1pt" o:hrpct="500" o:hralign="center" o:hrstd="t" o:hrnoshade="t" o:hr="t" fillcolor="black [3213]" stroked="f"/>
              </w:pict>
            </w:r>
          </w:p>
          <w:p w:rsidR="0073541A" w:rsidRPr="00130B0E" w:rsidRDefault="0073541A" w:rsidP="00197666">
            <w:pPr>
              <w:rPr>
                <w:sz w:val="20"/>
                <w:szCs w:val="20"/>
                <w:lang w:val="fr-CA"/>
              </w:rPr>
            </w:pPr>
          </w:p>
        </w:tc>
      </w:tr>
      <w:tr w:rsidR="0073541A" w:rsidRPr="00130B0E" w:rsidTr="005F1ED8">
        <w:trPr>
          <w:cantSplit/>
        </w:trPr>
        <w:tc>
          <w:tcPr>
            <w:tcW w:w="2206" w:type="pct"/>
            <w:tcMar>
              <w:left w:w="0" w:type="dxa"/>
              <w:right w:w="0" w:type="dxa"/>
            </w:tcMar>
          </w:tcPr>
          <w:p w:rsidR="0073541A" w:rsidRPr="0073541A" w:rsidRDefault="0073541A" w:rsidP="0073541A">
            <w:pPr>
              <w:rPr>
                <w:sz w:val="20"/>
                <w:szCs w:val="20"/>
                <w:lang w:val="en-US"/>
              </w:rPr>
            </w:pPr>
            <w:r w:rsidRPr="0073541A">
              <w:rPr>
                <w:sz w:val="20"/>
                <w:szCs w:val="20"/>
                <w:lang w:val="en-US"/>
              </w:rPr>
              <w:t>Le 29 août 2019</w:t>
            </w:r>
          </w:p>
          <w:p w:rsidR="0073541A" w:rsidRPr="0073541A" w:rsidRDefault="0073541A" w:rsidP="0073541A">
            <w:pPr>
              <w:rPr>
                <w:sz w:val="20"/>
                <w:szCs w:val="20"/>
                <w:lang w:val="en-US"/>
              </w:rPr>
            </w:pPr>
          </w:p>
          <w:p w:rsidR="0073541A" w:rsidRPr="0073541A" w:rsidRDefault="0073541A" w:rsidP="0073541A">
            <w:pPr>
              <w:rPr>
                <w:b/>
                <w:sz w:val="20"/>
                <w:szCs w:val="20"/>
                <w:lang w:val="en-US"/>
              </w:rPr>
            </w:pPr>
            <w:r w:rsidRPr="0073541A">
              <w:rPr>
                <w:b/>
                <w:bCs/>
                <w:sz w:val="20"/>
                <w:szCs w:val="20"/>
              </w:rPr>
              <w:t>Attorney General of Quebec, et al.</w:t>
            </w:r>
          </w:p>
          <w:p w:rsidR="0073541A" w:rsidRPr="0073541A" w:rsidRDefault="0073541A" w:rsidP="0073541A">
            <w:pPr>
              <w:tabs>
                <w:tab w:val="left" w:pos="1320"/>
              </w:tabs>
              <w:rPr>
                <w:b/>
                <w:sz w:val="20"/>
                <w:szCs w:val="20"/>
                <w:lang w:val="en-US"/>
              </w:rPr>
            </w:pPr>
            <w:r w:rsidRPr="0073541A">
              <w:rPr>
                <w:b/>
                <w:sz w:val="20"/>
                <w:szCs w:val="20"/>
                <w:lang w:val="en-US"/>
              </w:rPr>
              <w:tab/>
            </w:r>
          </w:p>
          <w:p w:rsidR="0073541A" w:rsidRPr="00197666" w:rsidRDefault="0073541A" w:rsidP="0073541A">
            <w:pPr>
              <w:rPr>
                <w:b/>
                <w:sz w:val="20"/>
                <w:szCs w:val="20"/>
                <w:lang w:val="fr-CA"/>
              </w:rPr>
            </w:pPr>
            <w:r w:rsidRPr="0073541A">
              <w:rPr>
                <w:b/>
                <w:sz w:val="20"/>
                <w:szCs w:val="20"/>
                <w:lang w:val="en-US"/>
              </w:rPr>
              <w:tab/>
            </w:r>
            <w:r>
              <w:rPr>
                <w:b/>
                <w:sz w:val="20"/>
                <w:szCs w:val="20"/>
                <w:lang w:val="fr-CA"/>
              </w:rPr>
              <w:t>c</w:t>
            </w:r>
            <w:r w:rsidRPr="00197666">
              <w:rPr>
                <w:b/>
                <w:sz w:val="20"/>
                <w:szCs w:val="20"/>
                <w:lang w:val="fr-CA"/>
              </w:rPr>
              <w:t>. (</w:t>
            </w:r>
            <w:r>
              <w:rPr>
                <w:b/>
                <w:sz w:val="20"/>
                <w:szCs w:val="20"/>
                <w:lang w:val="fr-CA"/>
              </w:rPr>
              <w:t>38613</w:t>
            </w:r>
            <w:r w:rsidRPr="00197666">
              <w:rPr>
                <w:b/>
                <w:sz w:val="20"/>
                <w:szCs w:val="20"/>
                <w:lang w:val="fr-CA"/>
              </w:rPr>
              <w:t>)</w:t>
            </w:r>
          </w:p>
          <w:p w:rsidR="0073541A" w:rsidRPr="00197666" w:rsidRDefault="0073541A" w:rsidP="0073541A">
            <w:pPr>
              <w:rPr>
                <w:b/>
                <w:sz w:val="20"/>
                <w:szCs w:val="20"/>
                <w:lang w:val="fr-CA"/>
              </w:rPr>
            </w:pPr>
          </w:p>
          <w:p w:rsidR="0073541A" w:rsidRPr="00197666" w:rsidRDefault="0073541A" w:rsidP="0073541A">
            <w:pPr>
              <w:rPr>
                <w:b/>
                <w:sz w:val="20"/>
                <w:szCs w:val="20"/>
                <w:lang w:val="fr-CA"/>
              </w:rPr>
            </w:pPr>
            <w:r w:rsidRPr="0073541A">
              <w:rPr>
                <w:b/>
                <w:bCs/>
                <w:sz w:val="20"/>
                <w:szCs w:val="20"/>
                <w:lang w:val="fr-CA"/>
              </w:rPr>
              <w:t>9147-0732 Québec inc.</w:t>
            </w:r>
            <w:r>
              <w:rPr>
                <w:b/>
                <w:bCs/>
                <w:sz w:val="20"/>
                <w:szCs w:val="20"/>
                <w:lang w:val="fr-CA"/>
              </w:rPr>
              <w:t xml:space="preserve"> </w:t>
            </w:r>
            <w:r w:rsidRPr="00197666">
              <w:rPr>
                <w:b/>
                <w:sz w:val="20"/>
                <w:szCs w:val="20"/>
                <w:lang w:val="fr-CA"/>
              </w:rPr>
              <w:t>(</w:t>
            </w:r>
            <w:r>
              <w:rPr>
                <w:b/>
                <w:sz w:val="20"/>
                <w:szCs w:val="20"/>
                <w:lang w:val="fr-CA"/>
              </w:rPr>
              <w:t>Qc</w:t>
            </w:r>
            <w:r w:rsidRPr="00197666">
              <w:rPr>
                <w:b/>
                <w:sz w:val="20"/>
                <w:szCs w:val="20"/>
                <w:lang w:val="fr-CA"/>
              </w:rPr>
              <w:t>)</w:t>
            </w:r>
          </w:p>
          <w:p w:rsidR="0073541A" w:rsidRPr="00197666" w:rsidRDefault="0073541A" w:rsidP="0073541A">
            <w:pPr>
              <w:rPr>
                <w:sz w:val="20"/>
                <w:szCs w:val="20"/>
                <w:lang w:val="fr-CA"/>
              </w:rPr>
            </w:pPr>
          </w:p>
          <w:p w:rsidR="0073541A" w:rsidRPr="0073541A" w:rsidRDefault="0073541A" w:rsidP="0073541A">
            <w:pPr>
              <w:rPr>
                <w:sz w:val="20"/>
                <w:szCs w:val="20"/>
                <w:lang w:val="fr-CA"/>
              </w:rPr>
            </w:pPr>
            <w:r w:rsidRPr="0073541A">
              <w:rPr>
                <w:sz w:val="20"/>
                <w:szCs w:val="20"/>
                <w:lang w:val="fr-CA"/>
              </w:rPr>
              <w:t>(Autorisation)</w:t>
            </w:r>
          </w:p>
          <w:p w:rsidR="0073541A" w:rsidRPr="0073541A" w:rsidRDefault="0073541A" w:rsidP="0073541A">
            <w:pPr>
              <w:rPr>
                <w:sz w:val="20"/>
                <w:szCs w:val="20"/>
                <w:lang w:val="fr-CA"/>
              </w:rPr>
            </w:pPr>
          </w:p>
          <w:p w:rsidR="0073541A" w:rsidRDefault="001E07E1" w:rsidP="0073541A">
            <w:pPr>
              <w:rPr>
                <w:sz w:val="20"/>
                <w:szCs w:val="20"/>
                <w:lang w:val="fr-CA"/>
              </w:rPr>
            </w:pPr>
            <w:r>
              <w:rPr>
                <w:sz w:val="20"/>
                <w:szCs w:val="20"/>
                <w:lang w:val="fr-CA"/>
              </w:rPr>
              <w:pict>
                <v:rect id="_x0000_i1038" style="width:106.1pt;height:1pt" o:hrpct="500" o:hralign="center" o:hrstd="t" o:hrnoshade="t" o:hr="t" fillcolor="black [3213]" stroked="f"/>
              </w:pict>
            </w:r>
          </w:p>
          <w:p w:rsidR="0073541A" w:rsidRDefault="0073541A" w:rsidP="00197666">
            <w:pPr>
              <w:rPr>
                <w:sz w:val="20"/>
                <w:szCs w:val="20"/>
              </w:rPr>
            </w:pPr>
          </w:p>
        </w:tc>
        <w:tc>
          <w:tcPr>
            <w:tcW w:w="588" w:type="pct"/>
          </w:tcPr>
          <w:p w:rsidR="0073541A" w:rsidRDefault="0073541A" w:rsidP="005F1ED8">
            <w:pPr>
              <w:jc w:val="center"/>
              <w:rPr>
                <w:sz w:val="20"/>
                <w:szCs w:val="20"/>
              </w:rPr>
            </w:pPr>
          </w:p>
        </w:tc>
        <w:tc>
          <w:tcPr>
            <w:tcW w:w="2206" w:type="pct"/>
          </w:tcPr>
          <w:p w:rsidR="0073541A" w:rsidRPr="0073541A" w:rsidRDefault="0073541A" w:rsidP="0073541A">
            <w:pPr>
              <w:rPr>
                <w:sz w:val="20"/>
                <w:szCs w:val="20"/>
                <w:lang w:val="fr-CA"/>
              </w:rPr>
            </w:pPr>
            <w:r w:rsidRPr="0073541A">
              <w:rPr>
                <w:sz w:val="20"/>
                <w:szCs w:val="20"/>
                <w:lang w:val="fr-CA"/>
              </w:rPr>
              <w:t>Le 26 août 2019</w:t>
            </w:r>
          </w:p>
          <w:p w:rsidR="0073541A" w:rsidRPr="0073541A" w:rsidRDefault="0073541A" w:rsidP="0073541A">
            <w:pPr>
              <w:rPr>
                <w:sz w:val="20"/>
                <w:szCs w:val="20"/>
                <w:lang w:val="fr-CA"/>
              </w:rPr>
            </w:pPr>
          </w:p>
          <w:p w:rsidR="0073541A" w:rsidRPr="0073541A" w:rsidRDefault="0073541A" w:rsidP="0073541A">
            <w:pPr>
              <w:rPr>
                <w:b/>
                <w:sz w:val="20"/>
                <w:szCs w:val="20"/>
                <w:lang w:val="fr-CA"/>
              </w:rPr>
            </w:pPr>
            <w:r w:rsidRPr="0073541A">
              <w:rPr>
                <w:b/>
                <w:bCs/>
                <w:sz w:val="20"/>
                <w:szCs w:val="20"/>
                <w:lang w:val="fr-CA"/>
              </w:rPr>
              <w:t>Hydro-Québec</w:t>
            </w:r>
          </w:p>
          <w:p w:rsidR="0073541A" w:rsidRPr="0073541A" w:rsidRDefault="0073541A" w:rsidP="0073541A">
            <w:pPr>
              <w:tabs>
                <w:tab w:val="left" w:pos="1320"/>
              </w:tabs>
              <w:rPr>
                <w:b/>
                <w:sz w:val="20"/>
                <w:szCs w:val="20"/>
                <w:lang w:val="fr-CA"/>
              </w:rPr>
            </w:pPr>
            <w:r w:rsidRPr="0073541A">
              <w:rPr>
                <w:b/>
                <w:sz w:val="20"/>
                <w:szCs w:val="20"/>
                <w:lang w:val="fr-CA"/>
              </w:rPr>
              <w:tab/>
            </w:r>
          </w:p>
          <w:p w:rsidR="0073541A" w:rsidRPr="00197666" w:rsidRDefault="0073541A" w:rsidP="0073541A">
            <w:pPr>
              <w:rPr>
                <w:b/>
                <w:sz w:val="20"/>
                <w:szCs w:val="20"/>
                <w:lang w:val="fr-CA"/>
              </w:rPr>
            </w:pPr>
            <w:r w:rsidRPr="0073541A">
              <w:rPr>
                <w:b/>
                <w:sz w:val="20"/>
                <w:szCs w:val="20"/>
                <w:lang w:val="fr-CA"/>
              </w:rPr>
              <w:tab/>
            </w:r>
            <w:r>
              <w:rPr>
                <w:b/>
                <w:sz w:val="20"/>
                <w:szCs w:val="20"/>
                <w:lang w:val="fr-CA"/>
              </w:rPr>
              <w:t>c</w:t>
            </w:r>
            <w:r w:rsidRPr="00197666">
              <w:rPr>
                <w:b/>
                <w:sz w:val="20"/>
                <w:szCs w:val="20"/>
                <w:lang w:val="fr-CA"/>
              </w:rPr>
              <w:t>. (</w:t>
            </w:r>
            <w:r>
              <w:rPr>
                <w:b/>
                <w:sz w:val="20"/>
                <w:szCs w:val="20"/>
                <w:lang w:val="fr-CA"/>
              </w:rPr>
              <w:t>38254</w:t>
            </w:r>
            <w:r w:rsidRPr="00197666">
              <w:rPr>
                <w:b/>
                <w:sz w:val="20"/>
                <w:szCs w:val="20"/>
                <w:lang w:val="fr-CA"/>
              </w:rPr>
              <w:t>)</w:t>
            </w:r>
          </w:p>
          <w:p w:rsidR="0073541A" w:rsidRPr="00197666" w:rsidRDefault="0073541A" w:rsidP="0073541A">
            <w:pPr>
              <w:rPr>
                <w:b/>
                <w:sz w:val="20"/>
                <w:szCs w:val="20"/>
                <w:lang w:val="fr-CA"/>
              </w:rPr>
            </w:pPr>
          </w:p>
          <w:p w:rsidR="0073541A" w:rsidRPr="00197666" w:rsidRDefault="0073541A" w:rsidP="0073541A">
            <w:pPr>
              <w:rPr>
                <w:b/>
                <w:sz w:val="20"/>
                <w:szCs w:val="20"/>
                <w:lang w:val="fr-CA"/>
              </w:rPr>
            </w:pPr>
            <w:r w:rsidRPr="0073541A">
              <w:rPr>
                <w:b/>
                <w:bCs/>
                <w:sz w:val="20"/>
                <w:szCs w:val="20"/>
                <w:lang w:val="fr-CA"/>
              </w:rPr>
              <w:t>Louise Matta, et al.</w:t>
            </w:r>
            <w:r>
              <w:rPr>
                <w:b/>
                <w:bCs/>
                <w:sz w:val="20"/>
                <w:szCs w:val="20"/>
                <w:lang w:val="fr-CA"/>
              </w:rPr>
              <w:t xml:space="preserve"> </w:t>
            </w:r>
            <w:r w:rsidRPr="00197666">
              <w:rPr>
                <w:b/>
                <w:sz w:val="20"/>
                <w:szCs w:val="20"/>
                <w:lang w:val="fr-CA"/>
              </w:rPr>
              <w:t>(</w:t>
            </w:r>
            <w:r>
              <w:rPr>
                <w:b/>
                <w:sz w:val="20"/>
                <w:szCs w:val="20"/>
                <w:lang w:val="fr-CA"/>
              </w:rPr>
              <w:t>Qc</w:t>
            </w:r>
            <w:r w:rsidRPr="00197666">
              <w:rPr>
                <w:b/>
                <w:sz w:val="20"/>
                <w:szCs w:val="20"/>
                <w:lang w:val="fr-CA"/>
              </w:rPr>
              <w:t>)</w:t>
            </w:r>
          </w:p>
          <w:p w:rsidR="0073541A" w:rsidRPr="00197666" w:rsidRDefault="0073541A" w:rsidP="0073541A">
            <w:pPr>
              <w:rPr>
                <w:sz w:val="20"/>
                <w:szCs w:val="20"/>
                <w:lang w:val="fr-CA"/>
              </w:rPr>
            </w:pPr>
          </w:p>
          <w:p w:rsidR="0073541A" w:rsidRPr="0073541A" w:rsidRDefault="0073541A" w:rsidP="0073541A">
            <w:pPr>
              <w:rPr>
                <w:sz w:val="20"/>
                <w:szCs w:val="20"/>
                <w:lang w:val="fr-CA"/>
              </w:rPr>
            </w:pPr>
            <w:r w:rsidRPr="0073541A">
              <w:rPr>
                <w:sz w:val="20"/>
                <w:szCs w:val="20"/>
                <w:lang w:val="fr-CA"/>
              </w:rPr>
              <w:t>(Autorisation)</w:t>
            </w:r>
          </w:p>
          <w:p w:rsidR="0073541A" w:rsidRPr="0073541A" w:rsidRDefault="0073541A" w:rsidP="0073541A">
            <w:pPr>
              <w:rPr>
                <w:sz w:val="20"/>
                <w:szCs w:val="20"/>
                <w:lang w:val="fr-CA"/>
              </w:rPr>
            </w:pPr>
          </w:p>
          <w:p w:rsidR="0073541A" w:rsidRDefault="001E07E1" w:rsidP="0073541A">
            <w:pPr>
              <w:rPr>
                <w:sz w:val="20"/>
                <w:szCs w:val="20"/>
              </w:rPr>
            </w:pPr>
            <w:r>
              <w:rPr>
                <w:sz w:val="20"/>
                <w:szCs w:val="20"/>
                <w:lang w:val="fr-CA"/>
              </w:rPr>
              <w:pict>
                <v:rect id="_x0000_i1039" style="width:106.1pt;height:1pt" o:hrpct="500" o:hralign="center" o:hrstd="t" o:hrnoshade="t" o:hr="t" fillcolor="black [3213]" stroked="f"/>
              </w:pict>
            </w:r>
          </w:p>
        </w:tc>
      </w:tr>
      <w:tr w:rsidR="008F6EA9" w:rsidRPr="00130B0E" w:rsidTr="005F1ED8">
        <w:trPr>
          <w:cantSplit/>
        </w:trPr>
        <w:tc>
          <w:tcPr>
            <w:tcW w:w="2206" w:type="pct"/>
            <w:tcMar>
              <w:left w:w="0" w:type="dxa"/>
              <w:right w:w="0" w:type="dxa"/>
            </w:tcMar>
          </w:tcPr>
          <w:p w:rsidR="008F6EA9" w:rsidRDefault="008F6EA9" w:rsidP="008F6EA9">
            <w:pPr>
              <w:rPr>
                <w:sz w:val="20"/>
                <w:szCs w:val="20"/>
              </w:rPr>
            </w:pPr>
            <w:r>
              <w:rPr>
                <w:sz w:val="20"/>
                <w:szCs w:val="20"/>
              </w:rPr>
              <w:t>August 29, 2019</w:t>
            </w:r>
          </w:p>
          <w:p w:rsidR="008F6EA9" w:rsidRPr="003B3977" w:rsidRDefault="008F6EA9" w:rsidP="008F6EA9">
            <w:pPr>
              <w:rPr>
                <w:sz w:val="20"/>
                <w:szCs w:val="20"/>
              </w:rPr>
            </w:pPr>
          </w:p>
          <w:p w:rsidR="008F6EA9" w:rsidRDefault="008F6EA9" w:rsidP="008F6EA9">
            <w:pPr>
              <w:tabs>
                <w:tab w:val="left" w:pos="1320"/>
              </w:tabs>
              <w:rPr>
                <w:b/>
                <w:bCs/>
                <w:sz w:val="20"/>
                <w:szCs w:val="20"/>
              </w:rPr>
            </w:pPr>
            <w:r w:rsidRPr="008F6EA9">
              <w:rPr>
                <w:b/>
                <w:bCs/>
                <w:sz w:val="20"/>
                <w:szCs w:val="20"/>
              </w:rPr>
              <w:t>Chandos Construction Ltd.</w:t>
            </w:r>
          </w:p>
          <w:p w:rsidR="008F6EA9" w:rsidRPr="003B3977" w:rsidRDefault="008F6EA9" w:rsidP="008F6EA9">
            <w:pPr>
              <w:tabs>
                <w:tab w:val="left" w:pos="1320"/>
              </w:tabs>
              <w:rPr>
                <w:b/>
                <w:sz w:val="20"/>
                <w:szCs w:val="20"/>
              </w:rPr>
            </w:pPr>
          </w:p>
          <w:p w:rsidR="008F6EA9" w:rsidRPr="003B3977" w:rsidRDefault="008F6EA9" w:rsidP="008F6EA9">
            <w:pPr>
              <w:rPr>
                <w:b/>
                <w:sz w:val="20"/>
                <w:szCs w:val="20"/>
              </w:rPr>
            </w:pPr>
            <w:r w:rsidRPr="003B3977">
              <w:rPr>
                <w:b/>
                <w:sz w:val="20"/>
                <w:szCs w:val="20"/>
              </w:rPr>
              <w:tab/>
              <w:t>v. (</w:t>
            </w:r>
            <w:r>
              <w:rPr>
                <w:b/>
                <w:sz w:val="20"/>
                <w:szCs w:val="20"/>
              </w:rPr>
              <w:t>38571</w:t>
            </w:r>
            <w:r w:rsidRPr="003B3977">
              <w:rPr>
                <w:b/>
                <w:sz w:val="20"/>
                <w:szCs w:val="20"/>
              </w:rPr>
              <w:t>)</w:t>
            </w:r>
          </w:p>
          <w:p w:rsidR="008F6EA9" w:rsidRPr="003B3977" w:rsidRDefault="008F6EA9" w:rsidP="008F6EA9">
            <w:pPr>
              <w:rPr>
                <w:b/>
                <w:sz w:val="20"/>
                <w:szCs w:val="20"/>
              </w:rPr>
            </w:pPr>
          </w:p>
          <w:p w:rsidR="008F6EA9" w:rsidRPr="003B3977" w:rsidRDefault="008F6EA9" w:rsidP="008F6EA9">
            <w:pPr>
              <w:rPr>
                <w:b/>
                <w:sz w:val="20"/>
                <w:szCs w:val="20"/>
              </w:rPr>
            </w:pPr>
            <w:r w:rsidRPr="008F6EA9">
              <w:rPr>
                <w:b/>
                <w:bCs/>
                <w:sz w:val="20"/>
                <w:szCs w:val="20"/>
              </w:rPr>
              <w:t xml:space="preserve">Deloitte Restructuring Inc. in its capacity as Trustee in Bankruptcy of Capital Steel Inc., a bankrupt </w:t>
            </w:r>
            <w:r w:rsidRPr="003B3977">
              <w:rPr>
                <w:b/>
                <w:sz w:val="20"/>
                <w:szCs w:val="20"/>
              </w:rPr>
              <w:t>(</w:t>
            </w:r>
            <w:r>
              <w:rPr>
                <w:b/>
                <w:sz w:val="20"/>
                <w:szCs w:val="20"/>
              </w:rPr>
              <w:t>Alta.</w:t>
            </w:r>
            <w:r w:rsidRPr="003B3977">
              <w:rPr>
                <w:b/>
                <w:sz w:val="20"/>
                <w:szCs w:val="20"/>
              </w:rPr>
              <w:t>)</w:t>
            </w:r>
          </w:p>
          <w:p w:rsidR="008F6EA9" w:rsidRPr="003B3977" w:rsidRDefault="008F6EA9" w:rsidP="008F6EA9">
            <w:pPr>
              <w:rPr>
                <w:sz w:val="20"/>
                <w:szCs w:val="20"/>
              </w:rPr>
            </w:pPr>
          </w:p>
          <w:p w:rsidR="008F6EA9" w:rsidRPr="003B3977" w:rsidRDefault="008F6EA9" w:rsidP="008F6EA9">
            <w:pPr>
              <w:rPr>
                <w:sz w:val="20"/>
                <w:szCs w:val="20"/>
              </w:rPr>
            </w:pPr>
            <w:r w:rsidRPr="003B3977">
              <w:rPr>
                <w:sz w:val="20"/>
                <w:szCs w:val="20"/>
              </w:rPr>
              <w:t>(</w:t>
            </w:r>
            <w:r>
              <w:rPr>
                <w:sz w:val="20"/>
                <w:szCs w:val="20"/>
              </w:rPr>
              <w:t>By Leave)</w:t>
            </w:r>
          </w:p>
          <w:p w:rsidR="008F6EA9" w:rsidRPr="003B3977" w:rsidRDefault="008F6EA9" w:rsidP="008F6EA9">
            <w:pPr>
              <w:rPr>
                <w:sz w:val="20"/>
                <w:szCs w:val="20"/>
              </w:rPr>
            </w:pPr>
          </w:p>
          <w:p w:rsidR="008F6EA9" w:rsidRDefault="001E07E1" w:rsidP="008F6EA9">
            <w:pPr>
              <w:rPr>
                <w:sz w:val="20"/>
                <w:szCs w:val="20"/>
                <w:lang w:val="fr-CA"/>
              </w:rPr>
            </w:pPr>
            <w:r>
              <w:rPr>
                <w:sz w:val="20"/>
                <w:szCs w:val="20"/>
                <w:lang w:val="fr-CA"/>
              </w:rPr>
              <w:pict>
                <v:rect id="_x0000_i1040" style="width:106.1pt;height:1pt" o:hrpct="500" o:hralign="center" o:hrstd="t" o:hrnoshade="t" o:hr="t" fillcolor="black [3213]" stroked="f"/>
              </w:pict>
            </w:r>
          </w:p>
          <w:p w:rsidR="008F6EA9" w:rsidRPr="0073541A" w:rsidRDefault="008F6EA9" w:rsidP="0073541A">
            <w:pPr>
              <w:rPr>
                <w:sz w:val="20"/>
                <w:szCs w:val="20"/>
                <w:lang w:val="en-US"/>
              </w:rPr>
            </w:pPr>
          </w:p>
        </w:tc>
        <w:tc>
          <w:tcPr>
            <w:tcW w:w="588" w:type="pct"/>
          </w:tcPr>
          <w:p w:rsidR="008F6EA9" w:rsidRDefault="008F6EA9" w:rsidP="005F1ED8">
            <w:pPr>
              <w:jc w:val="center"/>
              <w:rPr>
                <w:sz w:val="20"/>
                <w:szCs w:val="20"/>
              </w:rPr>
            </w:pPr>
          </w:p>
        </w:tc>
        <w:tc>
          <w:tcPr>
            <w:tcW w:w="2206" w:type="pct"/>
          </w:tcPr>
          <w:p w:rsidR="008F6EA9" w:rsidRPr="0073541A" w:rsidRDefault="008F6EA9" w:rsidP="0073541A">
            <w:pPr>
              <w:rPr>
                <w:sz w:val="20"/>
                <w:szCs w:val="20"/>
                <w:lang w:val="fr-CA"/>
              </w:rPr>
            </w:pPr>
          </w:p>
        </w:tc>
      </w:tr>
    </w:tbl>
    <w:p w:rsidR="008277C4" w:rsidRDefault="008277C4"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5" w:name="_Toc19863881"/>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5"/>
    </w:p>
    <w:p w:rsidR="00567602" w:rsidRDefault="00567602" w:rsidP="00FF6EEC">
      <w:pPr>
        <w:rPr>
          <w:b/>
          <w:sz w:val="20"/>
          <w:szCs w:val="20"/>
          <w:lang w:val="fr-CA"/>
        </w:rPr>
      </w:pPr>
    </w:p>
    <w:p w:rsidR="00102792" w:rsidRPr="0053618C" w:rsidRDefault="001B448F" w:rsidP="00102792">
      <w:pPr>
        <w:rPr>
          <w:b/>
          <w:sz w:val="20"/>
          <w:szCs w:val="20"/>
          <w:lang w:val="en-US"/>
        </w:rPr>
      </w:pPr>
      <w:r w:rsidRPr="0053618C">
        <w:rPr>
          <w:b/>
          <w:sz w:val="20"/>
          <w:szCs w:val="20"/>
          <w:lang w:val="en-US"/>
        </w:rPr>
        <w:t>SEPTEMBER 20,</w:t>
      </w:r>
      <w:r w:rsidR="00102792" w:rsidRPr="0053618C">
        <w:rPr>
          <w:b/>
          <w:sz w:val="20"/>
          <w:szCs w:val="20"/>
          <w:lang w:val="en-US"/>
        </w:rPr>
        <w:t xml:space="preserve"> </w:t>
      </w:r>
      <w:r w:rsidR="0034657E" w:rsidRPr="0053618C">
        <w:rPr>
          <w:b/>
          <w:sz w:val="20"/>
          <w:szCs w:val="20"/>
          <w:lang w:val="en-US"/>
        </w:rPr>
        <w:t>2019</w:t>
      </w:r>
      <w:r w:rsidRPr="0053618C">
        <w:rPr>
          <w:b/>
          <w:sz w:val="20"/>
          <w:szCs w:val="20"/>
          <w:lang w:val="en-US"/>
        </w:rPr>
        <w:t xml:space="preserve"> / LE 20 SEPTEMBRE 2019</w:t>
      </w:r>
    </w:p>
    <w:p w:rsidR="00102792" w:rsidRPr="0053618C" w:rsidRDefault="00102792" w:rsidP="00102792">
      <w:pPr>
        <w:rPr>
          <w:sz w:val="20"/>
          <w:szCs w:val="20"/>
          <w:lang w:val="en-US"/>
        </w:rPr>
      </w:pPr>
    </w:p>
    <w:p w:rsidR="001B448F" w:rsidRPr="00127181" w:rsidRDefault="001B448F" w:rsidP="001B448F">
      <w:pPr>
        <w:ind w:left="1440" w:hanging="1440"/>
        <w:jc w:val="both"/>
        <w:rPr>
          <w:sz w:val="20"/>
        </w:rPr>
      </w:pPr>
      <w:r w:rsidRPr="00127181">
        <w:rPr>
          <w:b/>
          <w:sz w:val="20"/>
        </w:rPr>
        <w:fldChar w:fldCharType="begin"/>
      </w:r>
      <w:r w:rsidRPr="00127181">
        <w:rPr>
          <w:b/>
          <w:sz w:val="20"/>
        </w:rPr>
        <w:instrText xml:space="preserve"> SEQ CHAPTER \h \r 1</w:instrText>
      </w:r>
      <w:r w:rsidRPr="00127181">
        <w:rPr>
          <w:b/>
          <w:sz w:val="20"/>
        </w:rPr>
        <w:fldChar w:fldCharType="end"/>
      </w:r>
      <w:r w:rsidRPr="00127181">
        <w:rPr>
          <w:b/>
          <w:sz w:val="20"/>
        </w:rPr>
        <w:t>37809</w:t>
      </w:r>
      <w:r w:rsidRPr="00127181">
        <w:rPr>
          <w:b/>
          <w:sz w:val="20"/>
        </w:rPr>
        <w:tab/>
        <w:t xml:space="preserve">Pioneer Corporation, Pioneer North America, Inc., Pioneer Electronics (USA) Inc., Pioneer High Fidelity Taiwan Co., Ltd. and Pioneer Electronics of Canada Inc. v. Neil Godfrey - and - Option consommateurs, Consumers Council of Canada, Canadian Chamber of Commerce and Consumers’ Association of Canada </w:t>
      </w:r>
      <w:r w:rsidRPr="00127181">
        <w:rPr>
          <w:sz w:val="20"/>
        </w:rPr>
        <w:t>(B.C.)</w:t>
      </w:r>
    </w:p>
    <w:p w:rsidR="001B448F" w:rsidRPr="00127181" w:rsidRDefault="001B448F" w:rsidP="001B448F">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127181">
        <w:rPr>
          <w:b/>
          <w:sz w:val="20"/>
        </w:rPr>
        <w:t>2019 SCC 42 / 2019 CSC 42</w:t>
      </w:r>
    </w:p>
    <w:p w:rsidR="001B448F" w:rsidRPr="00127181" w:rsidRDefault="001B448F" w:rsidP="001B448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B448F" w:rsidRPr="00127181" w:rsidRDefault="001B448F" w:rsidP="001B448F">
      <w:pPr>
        <w:ind w:left="1440" w:hanging="1440"/>
        <w:rPr>
          <w:sz w:val="20"/>
        </w:rPr>
      </w:pPr>
      <w:r w:rsidRPr="00127181">
        <w:rPr>
          <w:sz w:val="20"/>
        </w:rPr>
        <w:t>Coram:</w:t>
      </w:r>
      <w:r w:rsidRPr="00127181">
        <w:rPr>
          <w:sz w:val="20"/>
        </w:rPr>
        <w:tab/>
        <w:t>Wagner C.J. and Abella, Moldaver, Karakatsanis, Gascon, Côté, Brown, Rowe and Martin JJ.</w:t>
      </w:r>
    </w:p>
    <w:p w:rsidR="001B448F" w:rsidRPr="00127181" w:rsidRDefault="001B448F" w:rsidP="001B448F">
      <w:pPr>
        <w:ind w:left="1440" w:hanging="1440"/>
        <w:rPr>
          <w:sz w:val="20"/>
        </w:rPr>
      </w:pPr>
    </w:p>
    <w:p w:rsidR="001B448F" w:rsidRPr="00127181" w:rsidRDefault="001B448F" w:rsidP="001B448F">
      <w:pPr>
        <w:jc w:val="both"/>
        <w:rPr>
          <w:sz w:val="20"/>
          <w:lang w:val="fr-CA"/>
        </w:rPr>
      </w:pPr>
      <w:r w:rsidRPr="00127181">
        <w:rPr>
          <w:sz w:val="20"/>
        </w:rPr>
        <w:t xml:space="preserve">The appeal from the judgment </w:t>
      </w:r>
      <w:bookmarkStart w:id="6" w:name="BM_1_"/>
      <w:bookmarkEnd w:id="6"/>
      <w:r w:rsidRPr="00127181">
        <w:rPr>
          <w:sz w:val="20"/>
        </w:rPr>
        <w:t xml:space="preserve">of the Court of Appeal for British Columbia (Vancouver), Number CA43711, 2017 BCCA 302, dated August 18, 2017, heard on December 11, 2018, is dismissed with costs. </w:t>
      </w:r>
      <w:r w:rsidRPr="00127181">
        <w:rPr>
          <w:sz w:val="20"/>
          <w:lang w:val="fr-CA"/>
        </w:rPr>
        <w:t>Côté J. dissents in part.</w:t>
      </w:r>
    </w:p>
    <w:p w:rsidR="001B448F" w:rsidRPr="00127181" w:rsidRDefault="001B448F" w:rsidP="001B448F">
      <w:pPr>
        <w:jc w:val="both"/>
        <w:rPr>
          <w:sz w:val="20"/>
          <w:lang w:val="fr-CA"/>
        </w:rPr>
      </w:pPr>
    </w:p>
    <w:p w:rsidR="001B448F" w:rsidRPr="00127181" w:rsidRDefault="001B448F" w:rsidP="001B448F">
      <w:pPr>
        <w:jc w:val="both"/>
        <w:rPr>
          <w:sz w:val="20"/>
          <w:lang w:val="fr-CA"/>
        </w:rPr>
      </w:pPr>
      <w:r w:rsidRPr="00127181">
        <w:rPr>
          <w:sz w:val="20"/>
          <w:lang w:val="fr-CA"/>
        </w:rPr>
        <w:t>L’appel interjeté contre l’arrêt de la Cour d’appel de la Colombie-Britannique (Vancouver), numéro CA43711, 2017 BCCA 302, daté du 18 août 2017, entendu le 11 décembre 2018, est rejeté avec dépens. La juge Côté est dissidente en partie.</w:t>
      </w:r>
    </w:p>
    <w:p w:rsidR="001B448F" w:rsidRDefault="001B448F" w:rsidP="001B448F">
      <w:pPr>
        <w:ind w:left="1440" w:hanging="1440"/>
        <w:rPr>
          <w:sz w:val="20"/>
          <w:lang w:val="fr-CA"/>
        </w:rPr>
      </w:pPr>
    </w:p>
    <w:p w:rsidR="001B448F" w:rsidRDefault="001E07E1" w:rsidP="001B448F">
      <w:pPr>
        <w:ind w:left="1440" w:hanging="1440"/>
        <w:rPr>
          <w:rStyle w:val="Hyperlink"/>
          <w:sz w:val="20"/>
          <w:szCs w:val="20"/>
          <w:lang w:val="fr-CA"/>
        </w:rPr>
      </w:pPr>
      <w:hyperlink r:id="rId35" w:history="1">
        <w:r w:rsidR="001B448F" w:rsidRPr="00E1319F">
          <w:rPr>
            <w:rStyle w:val="Hyperlink"/>
            <w:sz w:val="20"/>
            <w:szCs w:val="20"/>
            <w:lang w:val="fr-CA"/>
          </w:rPr>
          <w:t>LINK TO REASONS</w:t>
        </w:r>
      </w:hyperlink>
      <w:r w:rsidR="001B448F">
        <w:rPr>
          <w:sz w:val="20"/>
          <w:szCs w:val="20"/>
          <w:lang w:val="fr-CA"/>
        </w:rPr>
        <w:t xml:space="preserve"> / </w:t>
      </w:r>
      <w:hyperlink r:id="rId36" w:history="1">
        <w:r w:rsidR="001B448F" w:rsidRPr="00E1319F">
          <w:rPr>
            <w:rStyle w:val="Hyperlink"/>
            <w:sz w:val="20"/>
            <w:szCs w:val="20"/>
            <w:lang w:val="fr-CA"/>
          </w:rPr>
          <w:t>LIEN VERS LES MOTIFS</w:t>
        </w:r>
      </w:hyperlink>
    </w:p>
    <w:p w:rsidR="001B448F" w:rsidRPr="00127181" w:rsidRDefault="001B448F" w:rsidP="001B448F">
      <w:pPr>
        <w:ind w:left="1440" w:hanging="1440"/>
        <w:rPr>
          <w:sz w:val="20"/>
          <w:lang w:val="fr-CA"/>
        </w:rPr>
      </w:pPr>
    </w:p>
    <w:p w:rsidR="001B448F" w:rsidRPr="00127181" w:rsidRDefault="001E07E1" w:rsidP="001B448F">
      <w:pPr>
        <w:rPr>
          <w:sz w:val="20"/>
        </w:rPr>
      </w:pPr>
      <w:r>
        <w:rPr>
          <w:sz w:val="20"/>
        </w:rPr>
        <w:pict>
          <v:rect id="_x0000_i1043" style="width:2in;height:1pt" o:hrpct="0" o:hralign="center" o:hrstd="t" o:hrnoshade="t" o:hr="t" fillcolor="black [3213]" stroked="f"/>
        </w:pict>
      </w:r>
    </w:p>
    <w:p w:rsidR="001B448F" w:rsidRDefault="001B448F" w:rsidP="001B448F">
      <w:pPr>
        <w:ind w:left="1440" w:hanging="1440"/>
        <w:rPr>
          <w:sz w:val="20"/>
        </w:rPr>
      </w:pPr>
    </w:p>
    <w:p w:rsidR="001B448F" w:rsidRPr="00127181" w:rsidRDefault="001B448F" w:rsidP="001B448F">
      <w:pPr>
        <w:ind w:left="1440" w:hanging="1440"/>
        <w:jc w:val="both"/>
        <w:rPr>
          <w:sz w:val="20"/>
        </w:rPr>
      </w:pPr>
      <w:r w:rsidRPr="00127181">
        <w:rPr>
          <w:b/>
          <w:sz w:val="20"/>
        </w:rPr>
        <w:fldChar w:fldCharType="begin"/>
      </w:r>
      <w:r w:rsidRPr="00127181">
        <w:rPr>
          <w:b/>
          <w:sz w:val="20"/>
        </w:rPr>
        <w:instrText xml:space="preserve"> SEQ CHAPTER \h \r 1</w:instrText>
      </w:r>
      <w:r w:rsidRPr="00127181">
        <w:rPr>
          <w:b/>
          <w:sz w:val="20"/>
        </w:rPr>
        <w:fldChar w:fldCharType="end"/>
      </w:r>
      <w:r w:rsidRPr="00127181">
        <w:rPr>
          <w:b/>
          <w:sz w:val="20"/>
        </w:rPr>
        <w:t>37810</w:t>
      </w:r>
      <w:r w:rsidRPr="00127181">
        <w:rPr>
          <w:b/>
          <w:sz w:val="20"/>
        </w:rPr>
        <w:tab/>
        <w:t xml:space="preserve">Toshiba Corporation, Toshiba Samsung Storage Technology Corp., Toshiba Samsung Storage Technology Corp. Korea, Toshiba of Canada Ltd.,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Panasonic Canada Inc., BENQ Corporation, BENQ America Corporation and BENQ Canada Corp. v. Neil Godfrey - and - Option consommateurs, Consumers Council of Canada, Canadian Chamber of Commerce and Consumers’ Association of Canada </w:t>
      </w:r>
      <w:r w:rsidRPr="00127181">
        <w:rPr>
          <w:sz w:val="20"/>
        </w:rPr>
        <w:t>(B.C.)</w:t>
      </w:r>
    </w:p>
    <w:p w:rsidR="001B448F" w:rsidRPr="00127181" w:rsidRDefault="001B448F" w:rsidP="001B448F">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127181">
        <w:rPr>
          <w:b/>
          <w:sz w:val="20"/>
        </w:rPr>
        <w:t>2019 SCC 42 / 2019 CSC 42</w:t>
      </w:r>
    </w:p>
    <w:p w:rsidR="001B448F" w:rsidRPr="00127181" w:rsidRDefault="001B448F" w:rsidP="001B448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B448F" w:rsidRPr="00127181" w:rsidRDefault="001B448F" w:rsidP="001B448F">
      <w:pPr>
        <w:ind w:left="1440" w:hanging="1440"/>
        <w:rPr>
          <w:sz w:val="20"/>
        </w:rPr>
      </w:pPr>
      <w:r w:rsidRPr="00127181">
        <w:rPr>
          <w:sz w:val="20"/>
        </w:rPr>
        <w:t>Coram:</w:t>
      </w:r>
      <w:r w:rsidRPr="00127181">
        <w:rPr>
          <w:sz w:val="20"/>
        </w:rPr>
        <w:tab/>
        <w:t>Wagner C.J. and Abella, Moldaver, Karakatsanis, Gascon, Côté, Brown, Rowe and Martin JJ.</w:t>
      </w:r>
    </w:p>
    <w:p w:rsidR="001B448F" w:rsidRPr="00127181" w:rsidRDefault="001B448F" w:rsidP="001B448F">
      <w:pPr>
        <w:ind w:left="1440" w:hanging="1440"/>
        <w:rPr>
          <w:sz w:val="20"/>
        </w:rPr>
      </w:pPr>
    </w:p>
    <w:p w:rsidR="001B448F" w:rsidRPr="00127181" w:rsidRDefault="001B448F" w:rsidP="001B448F">
      <w:pPr>
        <w:jc w:val="both"/>
        <w:rPr>
          <w:sz w:val="20"/>
          <w:lang w:val="fr-CA"/>
        </w:rPr>
      </w:pPr>
      <w:r w:rsidRPr="00127181">
        <w:rPr>
          <w:sz w:val="20"/>
        </w:rPr>
        <w:t xml:space="preserve">The appeal from the judgment of the Court of Appeal for British Columbia (Vancouver), Number CA43711, 2017 BCCA 302, dated August 18, 2017, heard on December 11, 2018, is dismissed with costs. </w:t>
      </w:r>
      <w:r w:rsidRPr="00127181">
        <w:rPr>
          <w:sz w:val="20"/>
          <w:lang w:val="fr-CA"/>
        </w:rPr>
        <w:t>Côté J. dissents in part.</w:t>
      </w:r>
    </w:p>
    <w:p w:rsidR="001B448F" w:rsidRPr="00127181" w:rsidRDefault="001B448F" w:rsidP="001B448F">
      <w:pPr>
        <w:jc w:val="both"/>
        <w:rPr>
          <w:sz w:val="20"/>
          <w:lang w:val="fr-CA"/>
        </w:rPr>
      </w:pPr>
    </w:p>
    <w:p w:rsidR="001B448F" w:rsidRPr="00127181" w:rsidRDefault="001B448F" w:rsidP="001B448F">
      <w:pPr>
        <w:jc w:val="both"/>
        <w:rPr>
          <w:sz w:val="20"/>
          <w:lang w:val="fr-CA"/>
        </w:rPr>
      </w:pPr>
      <w:r w:rsidRPr="00127181">
        <w:rPr>
          <w:sz w:val="20"/>
          <w:lang w:val="fr-CA"/>
        </w:rPr>
        <w:t>L’appel interjeté contre l’arrêt de la Cour d’appel de la Colombie-Britannique (Vancouver), numéro CA43711, 2017 BCCA 302, daté du 18 août 2017, entendu le 11 décembre 2018, est rejeté avec dépens. La juge Côté est dissidente en partie.</w:t>
      </w:r>
    </w:p>
    <w:p w:rsidR="001B448F" w:rsidRPr="00127181" w:rsidRDefault="001B448F" w:rsidP="001B448F">
      <w:pPr>
        <w:ind w:left="1440" w:hanging="1440"/>
        <w:rPr>
          <w:sz w:val="20"/>
          <w:lang w:val="fr-CA"/>
        </w:rPr>
      </w:pPr>
    </w:p>
    <w:p w:rsidR="00E1319F" w:rsidRDefault="00E1319F" w:rsidP="00E1319F">
      <w:pPr>
        <w:ind w:left="1440" w:hanging="1440"/>
        <w:rPr>
          <w:rStyle w:val="Hyperlink"/>
          <w:sz w:val="20"/>
          <w:szCs w:val="20"/>
          <w:lang w:val="fr-CA"/>
        </w:rPr>
      </w:pPr>
      <w:hyperlink r:id="rId37" w:history="1">
        <w:r w:rsidRPr="00E1319F">
          <w:rPr>
            <w:rStyle w:val="Hyperlink"/>
            <w:sz w:val="20"/>
            <w:szCs w:val="20"/>
            <w:lang w:val="fr-CA"/>
          </w:rPr>
          <w:t>LINK TO REASONS</w:t>
        </w:r>
      </w:hyperlink>
      <w:r>
        <w:rPr>
          <w:sz w:val="20"/>
          <w:szCs w:val="20"/>
          <w:lang w:val="fr-CA"/>
        </w:rPr>
        <w:t xml:space="preserve"> / </w:t>
      </w:r>
      <w:hyperlink r:id="rId38" w:history="1">
        <w:r w:rsidRPr="00E1319F">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1E07E1" w:rsidP="00102792">
      <w:pPr>
        <w:jc w:val="both"/>
        <w:rPr>
          <w:rFonts w:cs="Times New Roman"/>
          <w:b/>
          <w:sz w:val="20"/>
          <w:szCs w:val="20"/>
        </w:rPr>
      </w:pPr>
      <w:r>
        <w:rPr>
          <w:b/>
          <w:sz w:val="20"/>
          <w:szCs w:val="20"/>
        </w:rPr>
        <w:pict>
          <v:rect id="_x0000_i104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576" w:footer="960" w:gutter="0"/>
          <w:cols w:space="720"/>
          <w:titlePg/>
          <w:docGrid w:linePitch="272"/>
        </w:sectPr>
      </w:pPr>
    </w:p>
    <w:p w:rsidR="00961C83" w:rsidRDefault="0041245B" w:rsidP="00961C83">
      <w:pPr>
        <w:tabs>
          <w:tab w:val="center" w:pos="5220"/>
          <w:tab w:val="right" w:pos="10800"/>
        </w:tabs>
        <w:rPr>
          <w:rFonts w:ascii="Arial" w:hAnsi="Arial" w:cs="Arial"/>
          <w:sz w:val="16"/>
          <w:szCs w:val="18"/>
          <w:lang w:val="fr-CA"/>
        </w:rPr>
      </w:pPr>
      <w:bookmarkStart w:id="7" w:name="1"/>
      <w:bookmarkStart w:id="8" w:name="QuickMark"/>
      <w:bookmarkEnd w:id="7"/>
      <w:bookmarkEnd w:id="8"/>
      <w:r>
        <w:rPr>
          <w:rFonts w:ascii="Arial" w:hAnsi="Arial" w:cs="Arial"/>
          <w:sz w:val="20"/>
          <w:lang w:val="fr-FR"/>
        </w:rPr>
        <w:lastRenderedPageBreak/>
        <w:tab/>
      </w:r>
      <w:r w:rsidR="00961C83">
        <w:rPr>
          <w:rFonts w:ascii="Arial" w:hAnsi="Arial" w:cs="Arial"/>
          <w:b/>
          <w:i/>
          <w:szCs w:val="28"/>
          <w:lang w:val="fr-FR"/>
        </w:rPr>
        <w:t>- 2019 -</w:t>
      </w:r>
      <w:r w:rsidR="00961C83">
        <w:rPr>
          <w:rFonts w:ascii="Arial" w:hAnsi="Arial" w:cs="Arial"/>
          <w:sz w:val="18"/>
          <w:lang w:val="fr-FR"/>
        </w:rPr>
        <w:t xml:space="preserve"> </w:t>
      </w:r>
      <w:r w:rsidR="00961C83">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961C83"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jc w:val="center"/>
        <w:rPr>
          <w:rFonts w:ascii="Arial" w:hAnsi="Arial" w:cs="Arial"/>
          <w:szCs w:val="28"/>
        </w:rPr>
      </w:pPr>
      <w:r>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xml:space="preserve"> 24 </w:t>
            </w:r>
            <w:r>
              <w:rPr>
                <w:rFonts w:ascii="Arial" w:hAnsi="Arial" w:cs="Arial"/>
                <w:sz w:val="13"/>
                <w:szCs w:val="13"/>
                <w:lang w:val="en-US"/>
              </w:rPr>
              <w:t>/</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19</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r>
      <w:tr w:rsidR="00961C83"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23 /</w:t>
            </w:r>
          </w:p>
          <w:p w:rsidR="00961C83" w:rsidRDefault="00961C83">
            <w:pPr>
              <w:jc w:val="right"/>
              <w:rPr>
                <w:rFonts w:ascii="Arial" w:hAnsi="Arial" w:cs="Arial"/>
                <w:sz w:val="13"/>
                <w:szCs w:val="13"/>
              </w:rPr>
            </w:pPr>
            <w:r>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24 /</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Tr="00961C83">
        <w:tc>
          <w:tcPr>
            <w:tcW w:w="1890" w:type="dxa"/>
            <w:tcBorders>
              <w:top w:val="nil"/>
              <w:left w:val="nil"/>
              <w:bottom w:val="nil"/>
              <w:right w:val="single" w:sz="4" w:space="0" w:color="000000" w:themeColor="text1"/>
            </w:tcBorders>
            <w:vAlign w:val="center"/>
            <w:hideMark/>
          </w:tcPr>
          <w:p w:rsidR="00961C83" w:rsidRDefault="00961C83">
            <w:pPr>
              <w:rPr>
                <w:rFonts w:ascii="Arial" w:hAnsi="Arial" w:cs="Arial"/>
                <w:b/>
                <w:sz w:val="14"/>
                <w:szCs w:val="14"/>
              </w:rPr>
            </w:pPr>
            <w:r>
              <w:rPr>
                <w:rFonts w:ascii="Arial" w:hAnsi="Arial" w:cs="Arial"/>
                <w:b/>
                <w:sz w:val="14"/>
                <w:szCs w:val="14"/>
              </w:rPr>
              <w:t>Sitting of the Court /</w:t>
            </w:r>
          </w:p>
          <w:p w:rsidR="00961C83" w:rsidRDefault="00961C83">
            <w:pPr>
              <w:rPr>
                <w:rFonts w:ascii="Arial" w:hAnsi="Arial" w:cs="Arial"/>
                <w:b/>
                <w:sz w:val="14"/>
                <w:szCs w:val="14"/>
              </w:rPr>
            </w:pPr>
            <w:r>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Default="00961C83">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86</w:t>
            </w:r>
            <w:r>
              <w:rPr>
                <w:rFonts w:ascii="Arial" w:hAnsi="Arial" w:cs="Arial"/>
                <w:b/>
                <w:sz w:val="14"/>
                <w:szCs w:val="14"/>
                <w:lang w:val="fr-CA"/>
              </w:rPr>
              <w:tab/>
              <w:t xml:space="preserve"> sitting days / journées séances de la Cour</w:t>
            </w:r>
          </w:p>
        </w:tc>
        <w:tc>
          <w:tcPr>
            <w:tcW w:w="3984" w:type="dxa"/>
            <w:tcMar>
              <w:top w:w="0" w:type="dxa"/>
              <w:left w:w="58" w:type="dxa"/>
              <w:bottom w:w="0" w:type="dxa"/>
              <w:right w:w="58" w:type="dxa"/>
            </w:tcMar>
            <w:hideMark/>
          </w:tcPr>
          <w:p w:rsidR="00961C83" w:rsidRDefault="00961C83">
            <w:pPr>
              <w:spacing w:after="120"/>
              <w:rPr>
                <w:rFonts w:ascii="Arial" w:hAnsi="Arial" w:cs="Arial"/>
                <w:b/>
                <w:sz w:val="14"/>
                <w:szCs w:val="14"/>
                <w:lang w:val="fr-FR"/>
              </w:rPr>
            </w:pPr>
            <w:r>
              <w:rPr>
                <w:rFonts w:ascii="Arial" w:hAnsi="Arial" w:cs="Arial"/>
                <w:b/>
                <w:sz w:val="14"/>
                <w:szCs w:val="14"/>
                <w:lang w:val="fr-FR"/>
              </w:rPr>
              <w:t>Rosh Hashanah / Nouvel An juif</w:t>
            </w:r>
          </w:p>
          <w:p w:rsidR="00961C83" w:rsidRDefault="00961C83">
            <w:pPr>
              <w:spacing w:after="120"/>
              <w:rPr>
                <w:rFonts w:ascii="Arial" w:hAnsi="Arial" w:cs="Arial"/>
                <w:b/>
                <w:sz w:val="14"/>
                <w:szCs w:val="14"/>
                <w:lang w:val="fr-CA"/>
              </w:rPr>
            </w:pPr>
            <w:r>
              <w:rPr>
                <w:rFonts w:ascii="Arial" w:hAnsi="Arial" w:cs="Arial"/>
                <w:b/>
                <w:sz w:val="14"/>
                <w:szCs w:val="14"/>
                <w:lang w:val="fr-FR"/>
              </w:rPr>
              <w:t>Yom Kippur / Yom Kippour</w:t>
            </w:r>
          </w:p>
        </w:tc>
        <w:tc>
          <w:tcPr>
            <w:tcW w:w="450" w:type="dxa"/>
            <w:hideMark/>
          </w:tcPr>
          <w:p w:rsidR="00961C83" w:rsidRDefault="00961C83">
            <w:pPr>
              <w:spacing w:after="120"/>
              <w:jc w:val="center"/>
              <w:rPr>
                <w:rFonts w:ascii="Arial" w:hAnsi="Arial" w:cs="Arial"/>
                <w:b/>
                <w:sz w:val="14"/>
                <w:szCs w:val="14"/>
                <w:lang w:val="fr-CA"/>
              </w:rPr>
            </w:pPr>
            <w:r>
              <w:rPr>
                <w:rFonts w:ascii="Arial" w:hAnsi="Arial" w:cs="Arial"/>
                <w:b/>
                <w:sz w:val="14"/>
                <w:szCs w:val="14"/>
                <w:lang w:val="fr-CA"/>
              </w:rPr>
              <w:t>RH</w:t>
            </w:r>
          </w:p>
          <w:p w:rsidR="00961C83" w:rsidRDefault="00961C83">
            <w:pPr>
              <w:jc w:val="center"/>
              <w:rPr>
                <w:rFonts w:ascii="Arial" w:hAnsi="Arial" w:cs="Arial"/>
                <w:b/>
                <w:sz w:val="14"/>
                <w:szCs w:val="14"/>
                <w:lang w:val="fr-CA"/>
              </w:rPr>
            </w:pPr>
            <w:r>
              <w:rPr>
                <w:rFonts w:ascii="Arial" w:hAnsi="Arial" w:cs="Arial"/>
                <w:b/>
                <w:sz w:val="14"/>
                <w:szCs w:val="14"/>
                <w:lang w:val="fr-CA"/>
              </w:rPr>
              <w:t>YK</w:t>
            </w:r>
          </w:p>
        </w:tc>
      </w:tr>
      <w:tr w:rsidR="00961C83" w:rsidTr="00961C83">
        <w:tc>
          <w:tcPr>
            <w:tcW w:w="1890" w:type="dxa"/>
            <w:tcBorders>
              <w:top w:val="nil"/>
              <w:left w:val="nil"/>
              <w:bottom w:val="nil"/>
              <w:right w:val="double" w:sz="4" w:space="0" w:color="auto"/>
            </w:tcBorders>
            <w:vAlign w:val="center"/>
            <w:hideMark/>
          </w:tcPr>
          <w:p w:rsidR="00961C83" w:rsidRDefault="00961C83">
            <w:pPr>
              <w:spacing w:before="60"/>
              <w:rPr>
                <w:rFonts w:ascii="Arial" w:hAnsi="Arial" w:cs="Arial"/>
                <w:b/>
                <w:sz w:val="14"/>
                <w:szCs w:val="14"/>
                <w:lang w:val="fr-CA"/>
              </w:rPr>
            </w:pPr>
            <w:r>
              <w:rPr>
                <w:rFonts w:ascii="Arial" w:hAnsi="Arial" w:cs="Arial"/>
                <w:b/>
                <w:sz w:val="14"/>
                <w:szCs w:val="14"/>
                <w:lang w:val="fr-CA"/>
              </w:rPr>
              <w:t>Court conference /</w:t>
            </w:r>
          </w:p>
          <w:p w:rsidR="00961C83" w:rsidRDefault="00961C83">
            <w:pPr>
              <w:rPr>
                <w:rFonts w:ascii="Arial" w:hAnsi="Arial" w:cs="Arial"/>
                <w:b/>
                <w:sz w:val="14"/>
                <w:szCs w:val="14"/>
                <w:lang w:val="fr-CA"/>
              </w:rPr>
            </w:pPr>
            <w:r>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Default="00961C83">
            <w:pPr>
              <w:jc w:val="center"/>
              <w:rPr>
                <w:rFonts w:ascii="Arial" w:hAnsi="Arial" w:cs="Arial"/>
                <w:b/>
                <w:sz w:val="14"/>
                <w:szCs w:val="14"/>
                <w:lang w:val="fr-FR"/>
              </w:rPr>
            </w:pPr>
            <w:r>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Default="00961C83">
            <w:pPr>
              <w:rPr>
                <w:rFonts w:ascii="Arial" w:hAnsi="Arial" w:cs="Arial"/>
                <w:b/>
                <w:sz w:val="14"/>
                <w:szCs w:val="14"/>
                <w:lang w:val="en-US"/>
              </w:rPr>
            </w:pPr>
            <w:r>
              <w:rPr>
                <w:rFonts w:ascii="Arial" w:hAnsi="Arial" w:cs="Arial"/>
                <w:b/>
                <w:sz w:val="14"/>
                <w:szCs w:val="14"/>
                <w:lang w:val="en-US"/>
              </w:rPr>
              <w:t>Greek Orthodox Easter / Pâques orthodoxe grecque</w:t>
            </w:r>
          </w:p>
        </w:tc>
        <w:tc>
          <w:tcPr>
            <w:tcW w:w="450" w:type="dxa"/>
            <w:hideMark/>
          </w:tcPr>
          <w:p w:rsidR="00961C83" w:rsidRDefault="00961C83">
            <w:pPr>
              <w:jc w:val="center"/>
              <w:rPr>
                <w:rFonts w:ascii="Arial" w:hAnsi="Arial" w:cs="Arial"/>
                <w:b/>
                <w:sz w:val="14"/>
                <w:szCs w:val="14"/>
                <w:lang w:val="en-US"/>
              </w:rPr>
            </w:pPr>
            <w:r>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Default="00961C83">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Default="00961C83">
            <w:pPr>
              <w:jc w:val="center"/>
              <w:rPr>
                <w:rFonts w:ascii="Arial" w:hAnsi="Arial" w:cs="Arial"/>
                <w:b/>
                <w:sz w:val="14"/>
                <w:szCs w:val="14"/>
              </w:rPr>
            </w:pPr>
            <w:r>
              <w:rPr>
                <w:rFonts w:ascii="Arial" w:hAnsi="Arial" w:cs="Arial"/>
                <w:b/>
                <w:sz w:val="14"/>
                <w:szCs w:val="14"/>
              </w:rPr>
              <w:t>H</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rPr>
            </w:pPr>
            <w:r>
              <w:rPr>
                <w:rFonts w:ascii="Arial" w:hAnsi="Arial" w:cs="Arial"/>
                <w:b/>
                <w:sz w:val="14"/>
                <w:szCs w:val="14"/>
              </w:rPr>
              <w:t>4</w:t>
            </w:r>
            <w:r>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Pr>
                <w:rFonts w:ascii="Arial" w:hAnsi="Arial" w:cs="Arial"/>
                <w:b/>
                <w:sz w:val="14"/>
                <w:szCs w:val="14"/>
              </w:rPr>
              <w:tab/>
            </w:r>
            <w:r>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45"/>
      <w:footerReference w:type="default" r:id="rId4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4CD" w:rsidRDefault="009204CD" w:rsidP="00A87207">
      <w:r>
        <w:separator/>
      </w:r>
    </w:p>
  </w:endnote>
  <w:endnote w:type="continuationSeparator" w:id="0">
    <w:p w:rsidR="009204CD" w:rsidRDefault="009204C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1E07E1" w:rsidP="00A87207">
    <w:pPr>
      <w:pStyle w:val="Footer"/>
    </w:pPr>
    <w:r>
      <w:pict>
        <v:rect id="_x0000_i1026" style="width:480.95pt;height:1pt" o:hralign="center" o:hrstd="t" o:hrnoshade="t" o:hr="t" fillcolor="black [3213]" stroked="f"/>
      </w:pict>
    </w:r>
  </w:p>
  <w:p w:rsidR="009204CD" w:rsidRPr="00B7374B" w:rsidRDefault="009204C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E07E1">
      <w:rPr>
        <w:noProof/>
        <w:szCs w:val="24"/>
      </w:rPr>
      <w:t>4</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04CD" w:rsidRDefault="001E0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9204CD" w:rsidRDefault="009204C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1E07E1" w:rsidP="00782AE4">
    <w:pPr>
      <w:tabs>
        <w:tab w:val="center" w:pos="4680"/>
      </w:tabs>
    </w:pPr>
    <w:r>
      <w:pict>
        <v:rect id="_x0000_i1046" style="width:480.95pt;height:1pt" o:hralign="center" o:hrstd="t" o:hrnoshade="t" o:hr="t" fillcolor="black [3213]" stroked="f"/>
      </w:pict>
    </w:r>
  </w:p>
  <w:p w:rsidR="009204CD" w:rsidRDefault="009204C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E07E1">
      <w:rPr>
        <w:noProof/>
        <w:szCs w:val="24"/>
      </w:rPr>
      <w:t>10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Pr="00924065" w:rsidRDefault="009204C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1E07E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9204CD" w:rsidRPr="00954D22" w:rsidRDefault="009204C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E07E1">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204CD"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04CD" w:rsidRDefault="009204CD">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1E0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2" style="width:480.95pt;height:1pt" o:hralign="center" o:hrstd="t" o:hrnoshade="t" o:hr="t" fillcolor="black [3213]" stroked="f"/>
      </w:pict>
    </w:r>
  </w:p>
  <w:p w:rsidR="009204CD" w:rsidRPr="0009648D" w:rsidRDefault="009204CD" w:rsidP="00ED7E83">
    <w:pPr>
      <w:tabs>
        <w:tab w:val="center" w:pos="4680"/>
      </w:tabs>
    </w:pPr>
    <w:r>
      <w:tab/>
    </w:r>
    <w:r w:rsidRPr="0009648D">
      <w:t xml:space="preserve">- </w:t>
    </w:r>
    <w:r>
      <w:fldChar w:fldCharType="begin"/>
    </w:r>
    <w:r>
      <w:instrText xml:space="preserve"> PAGE   \* MERGEFORMAT </w:instrText>
    </w:r>
    <w:r>
      <w:fldChar w:fldCharType="separate"/>
    </w:r>
    <w:r w:rsidR="001E07E1">
      <w:rPr>
        <w:noProof/>
      </w:rPr>
      <w:t>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1E07E1">
    <w:pPr>
      <w:pStyle w:val="Footer"/>
      <w:rPr>
        <w:lang w:val="fr-CA"/>
      </w:rPr>
    </w:pPr>
    <w:r>
      <w:rPr>
        <w:lang w:val="fr-CA"/>
      </w:rPr>
      <w:pict>
        <v:rect id="_x0000_i1033" style="width:480.95pt;height:1pt" o:hralign="center" o:hrstd="t" o:hrnoshade="t" o:hr="t" fillcolor="black [3213]" stroked="f"/>
      </w:pict>
    </w:r>
  </w:p>
  <w:p w:rsidR="009204CD" w:rsidRDefault="009204CD" w:rsidP="00245129">
    <w:pPr>
      <w:tabs>
        <w:tab w:val="center" w:pos="4680"/>
      </w:tabs>
    </w:pPr>
    <w:r>
      <w:tab/>
    </w:r>
    <w:r w:rsidRPr="0009648D">
      <w:t xml:space="preserve">- </w:t>
    </w:r>
    <w:r>
      <w:fldChar w:fldCharType="begin"/>
    </w:r>
    <w:r>
      <w:instrText xml:space="preserve"> PAGE   \* MERGEFORMAT </w:instrText>
    </w:r>
    <w:r>
      <w:fldChar w:fldCharType="separate"/>
    </w:r>
    <w:r w:rsidR="001E07E1">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04CD"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04CD" w:rsidRDefault="009204CD">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1E0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9204CD" w:rsidRDefault="009204CD" w:rsidP="00EB2B90">
    <w:pPr>
      <w:tabs>
        <w:tab w:val="center" w:pos="4680"/>
      </w:tabs>
    </w:pPr>
    <w:r>
      <w:tab/>
      <w:t xml:space="preserve">- </w:t>
    </w:r>
    <w:r>
      <w:fldChar w:fldCharType="begin"/>
    </w:r>
    <w:r>
      <w:instrText xml:space="preserve"> PAGE   \* MERGEFORMAT </w:instrText>
    </w:r>
    <w:r>
      <w:fldChar w:fldCharType="separate"/>
    </w:r>
    <w:r>
      <w:rPr>
        <w:noProof/>
      </w:rPr>
      <w:t>10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1E07E1">
    <w:pPr>
      <w:pStyle w:val="Footer"/>
      <w:rPr>
        <w:lang w:val="fr-CA"/>
      </w:rPr>
    </w:pPr>
    <w:r>
      <w:rPr>
        <w:lang w:val="fr-CA"/>
      </w:rPr>
      <w:pict>
        <v:rect id="_x0000_i1042" style="width:480.95pt;height:1pt" o:hralign="center" o:hrstd="t" o:hrnoshade="t" o:hr="t" fillcolor="black [3213]" stroked="f"/>
      </w:pict>
    </w:r>
  </w:p>
  <w:p w:rsidR="009204CD" w:rsidRDefault="009204CD" w:rsidP="00EB2B90">
    <w:pPr>
      <w:tabs>
        <w:tab w:val="center" w:pos="4680"/>
      </w:tabs>
    </w:pPr>
    <w:r>
      <w:tab/>
      <w:t xml:space="preserve">- </w:t>
    </w:r>
    <w:r>
      <w:fldChar w:fldCharType="begin"/>
    </w:r>
    <w:r>
      <w:instrText xml:space="preserve"> PAGE   \* MERGEFORMAT </w:instrText>
    </w:r>
    <w:r>
      <w:fldChar w:fldCharType="separate"/>
    </w:r>
    <w:r w:rsidR="001E07E1">
      <w:rPr>
        <w:noProof/>
      </w:rPr>
      <w:t>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04CD"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04CD" w:rsidRDefault="009204CD">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4CD" w:rsidRDefault="009204CD" w:rsidP="00A87207">
      <w:r>
        <w:separator/>
      </w:r>
    </w:p>
  </w:footnote>
  <w:footnote w:type="continuationSeparator" w:id="0">
    <w:p w:rsidR="009204CD" w:rsidRDefault="009204C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204CD" w:rsidRPr="00033C1B" w:rsidTr="00245129">
      <w:tc>
        <w:tcPr>
          <w:tcW w:w="4200" w:type="dxa"/>
          <w:tcMar>
            <w:left w:w="0" w:type="dxa"/>
            <w:right w:w="0" w:type="dxa"/>
          </w:tcMar>
        </w:tcPr>
        <w:p w:rsidR="009204CD" w:rsidRPr="00D34371" w:rsidRDefault="009204CD" w:rsidP="0044776A">
          <w:pPr>
            <w:keepNext/>
            <w:keepLines/>
            <w:widowControl w:val="0"/>
            <w:rPr>
              <w:sz w:val="20"/>
              <w:szCs w:val="20"/>
              <w:lang w:val="en-US"/>
            </w:rPr>
          </w:pPr>
          <w:r w:rsidRPr="00D34371">
            <w:rPr>
              <w:sz w:val="20"/>
              <w:lang w:val="en-US"/>
            </w:rPr>
            <w:t>Applications for leave submitted to the Court since the last issue</w:t>
          </w:r>
        </w:p>
      </w:tc>
      <w:tc>
        <w:tcPr>
          <w:tcW w:w="1200" w:type="dxa"/>
          <w:tcMar>
            <w:left w:w="0" w:type="dxa"/>
            <w:right w:w="0" w:type="dxa"/>
          </w:tcMar>
        </w:tcPr>
        <w:p w:rsidR="009204CD" w:rsidRPr="0044776A" w:rsidRDefault="009204CD" w:rsidP="0044776A">
          <w:pPr>
            <w:keepNext/>
            <w:keepLines/>
            <w:widowControl w:val="0"/>
            <w:jc w:val="center"/>
            <w:rPr>
              <w:sz w:val="20"/>
              <w:szCs w:val="20"/>
            </w:rPr>
          </w:pPr>
        </w:p>
        <w:p w:rsidR="009204CD" w:rsidRPr="0044776A" w:rsidRDefault="009204CD" w:rsidP="0044776A">
          <w:pPr>
            <w:keepNext/>
            <w:keepLines/>
            <w:widowControl w:val="0"/>
            <w:jc w:val="center"/>
            <w:rPr>
              <w:sz w:val="20"/>
              <w:szCs w:val="20"/>
            </w:rPr>
          </w:pPr>
        </w:p>
        <w:p w:rsidR="009204CD" w:rsidRPr="0044776A" w:rsidRDefault="009204CD" w:rsidP="0044776A">
          <w:pPr>
            <w:keepNext/>
            <w:keepLines/>
            <w:widowControl w:val="0"/>
            <w:jc w:val="center"/>
            <w:rPr>
              <w:sz w:val="20"/>
              <w:szCs w:val="20"/>
            </w:rPr>
          </w:pPr>
        </w:p>
      </w:tc>
      <w:tc>
        <w:tcPr>
          <w:tcW w:w="4080" w:type="dxa"/>
          <w:tcMar>
            <w:left w:w="0" w:type="dxa"/>
            <w:right w:w="0" w:type="dxa"/>
          </w:tcMar>
        </w:tcPr>
        <w:p w:rsidR="009204CD" w:rsidRPr="00D34371" w:rsidRDefault="009204CD" w:rsidP="0044776A">
          <w:pPr>
            <w:widowControl w:val="0"/>
            <w:rPr>
              <w:sz w:val="20"/>
              <w:szCs w:val="20"/>
              <w:lang w:val="fr-CA"/>
            </w:rPr>
          </w:pPr>
          <w:r w:rsidRPr="00D34371">
            <w:rPr>
              <w:sz w:val="20"/>
              <w:lang w:val="fr-CA"/>
            </w:rPr>
            <w:t>Demandes soumises à la Cour depuis la dernière parution</w:t>
          </w:r>
          <w:r w:rsidRPr="00D34371">
            <w:rPr>
              <w:sz w:val="20"/>
              <w:szCs w:val="20"/>
              <w:lang w:val="fr-CA"/>
            </w:rPr>
            <w:t xml:space="preserve"> </w:t>
          </w:r>
        </w:p>
      </w:tc>
    </w:tr>
  </w:tbl>
  <w:p w:rsidR="009204CD" w:rsidRPr="002E2327" w:rsidRDefault="009204CD">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204CD" w:rsidRPr="00782AE4" w:rsidTr="00245129">
      <w:tc>
        <w:tcPr>
          <w:tcW w:w="4230" w:type="dxa"/>
          <w:tcMar>
            <w:left w:w="0" w:type="dxa"/>
            <w:right w:w="0" w:type="dxa"/>
          </w:tcMar>
        </w:tcPr>
        <w:p w:rsidR="009204CD" w:rsidRPr="00782AE4" w:rsidRDefault="009204CD" w:rsidP="00102926">
          <w:pPr>
            <w:keepNext/>
            <w:keepLines/>
            <w:tabs>
              <w:tab w:val="left" w:pos="-1440"/>
              <w:tab w:val="left" w:pos="-720"/>
            </w:tabs>
            <w:rPr>
              <w:sz w:val="20"/>
              <w:szCs w:val="20"/>
            </w:rPr>
          </w:pPr>
          <w:r w:rsidRPr="00782AE4">
            <w:rPr>
              <w:sz w:val="20"/>
              <w:szCs w:val="20"/>
            </w:rPr>
            <w:t xml:space="preserve">HEADNOTES OF RECENT </w:t>
          </w:r>
        </w:p>
        <w:p w:rsidR="009204CD" w:rsidRPr="00782AE4"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204CD" w:rsidRDefault="009204CD" w:rsidP="00102926">
          <w:pPr>
            <w:keepNext/>
            <w:keepLines/>
            <w:tabs>
              <w:tab w:val="left" w:pos="-1440"/>
              <w:tab w:val="left" w:pos="-720"/>
            </w:tabs>
            <w:jc w:val="center"/>
            <w:rPr>
              <w:sz w:val="20"/>
              <w:szCs w:val="20"/>
            </w:rPr>
          </w:pPr>
        </w:p>
        <w:p w:rsidR="009204CD" w:rsidRDefault="009204CD" w:rsidP="00102926">
          <w:pPr>
            <w:keepNext/>
            <w:keepLines/>
            <w:tabs>
              <w:tab w:val="left" w:pos="-1440"/>
              <w:tab w:val="left" w:pos="-720"/>
            </w:tabs>
            <w:jc w:val="center"/>
            <w:rPr>
              <w:sz w:val="20"/>
              <w:szCs w:val="20"/>
            </w:rPr>
          </w:pPr>
        </w:p>
        <w:p w:rsidR="009204CD" w:rsidRPr="00782AE4" w:rsidRDefault="009204CD" w:rsidP="00102926">
          <w:pPr>
            <w:keepNext/>
            <w:keepLines/>
            <w:tabs>
              <w:tab w:val="left" w:pos="-1440"/>
              <w:tab w:val="left" w:pos="-720"/>
            </w:tabs>
            <w:jc w:val="center"/>
            <w:rPr>
              <w:sz w:val="20"/>
              <w:szCs w:val="20"/>
            </w:rPr>
          </w:pPr>
        </w:p>
      </w:tc>
      <w:tc>
        <w:tcPr>
          <w:tcW w:w="4080" w:type="dxa"/>
          <w:tcMar>
            <w:left w:w="0" w:type="dxa"/>
            <w:right w:w="0" w:type="dxa"/>
          </w:tcMar>
        </w:tcPr>
        <w:p w:rsidR="009204CD" w:rsidRPr="00102926"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204CD" w:rsidRPr="00782AE4" w:rsidRDefault="009204CD" w:rsidP="00102926">
          <w:pPr>
            <w:keepLines/>
            <w:tabs>
              <w:tab w:val="left" w:pos="-1440"/>
              <w:tab w:val="left" w:pos="-720"/>
            </w:tabs>
            <w:rPr>
              <w:sz w:val="20"/>
              <w:szCs w:val="20"/>
            </w:rPr>
          </w:pPr>
          <w:r w:rsidRPr="00102926">
            <w:rPr>
              <w:sz w:val="20"/>
              <w:szCs w:val="20"/>
              <w:lang w:val="fr-CA"/>
            </w:rPr>
            <w:t>RÉCENTS</w:t>
          </w:r>
        </w:p>
      </w:tc>
    </w:tr>
  </w:tbl>
  <w:p w:rsidR="009204CD" w:rsidRDefault="009204C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9204C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920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920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204CD" w:rsidRPr="00033C1B">
      <w:tc>
        <w:tcPr>
          <w:tcW w:w="4200" w:type="dxa"/>
          <w:tcMar>
            <w:left w:w="0" w:type="dxa"/>
            <w:right w:w="0" w:type="dxa"/>
          </w:tcMar>
        </w:tcPr>
        <w:p w:rsidR="009204CD"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204CD"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204CD" w:rsidRDefault="009204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04CD" w:rsidRPr="00FF6BA5" w:rsidRDefault="009204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204CD" w:rsidRPr="00FF6BA5"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204CD" w:rsidRPr="00FF6BA5"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204CD" w:rsidRPr="00FF6BA5"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204CD" w:rsidRPr="00033C1B" w:rsidTr="00245129">
      <w:tc>
        <w:tcPr>
          <w:tcW w:w="4200" w:type="dxa"/>
          <w:tcMar>
            <w:left w:w="0" w:type="dxa"/>
            <w:right w:w="0" w:type="dxa"/>
          </w:tcMar>
        </w:tcPr>
        <w:p w:rsidR="009204CD" w:rsidRPr="00634F42" w:rsidRDefault="009204CD"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204CD" w:rsidRPr="00755F22" w:rsidRDefault="009204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204CD" w:rsidRPr="00755F22" w:rsidRDefault="009204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204CD" w:rsidRPr="00755F22" w:rsidRDefault="009204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204CD" w:rsidRPr="00755F22" w:rsidRDefault="009204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204CD" w:rsidRPr="00FF6BA5" w:rsidRDefault="009204CD"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9204C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204CD" w:rsidRPr="00033C1B">
      <w:tc>
        <w:tcPr>
          <w:tcW w:w="4200" w:type="dxa"/>
          <w:tcMar>
            <w:left w:w="0" w:type="dxa"/>
            <w:right w:w="0" w:type="dxa"/>
          </w:tcMar>
        </w:tcPr>
        <w:p w:rsidR="009204CD"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204CD"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04CD" w:rsidRPr="00B01A03" w:rsidRDefault="009204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204CD" w:rsidRPr="00B01A03"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204CD" w:rsidRPr="00B01A03"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204CD" w:rsidRPr="00033C1B" w:rsidTr="00245129">
      <w:tc>
        <w:tcPr>
          <w:tcW w:w="4200" w:type="dxa"/>
          <w:tcMar>
            <w:left w:w="0" w:type="dxa"/>
            <w:right w:w="0" w:type="dxa"/>
          </w:tcMar>
        </w:tcPr>
        <w:p w:rsidR="009204CD" w:rsidRPr="00F40249" w:rsidRDefault="009204C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204CD" w:rsidRDefault="009204CD" w:rsidP="00102926">
          <w:pPr>
            <w:keepNext/>
            <w:keepLines/>
            <w:tabs>
              <w:tab w:val="left" w:pos="-1440"/>
              <w:tab w:val="left" w:pos="-720"/>
            </w:tabs>
            <w:jc w:val="center"/>
            <w:rPr>
              <w:sz w:val="20"/>
              <w:szCs w:val="20"/>
            </w:rPr>
          </w:pPr>
        </w:p>
        <w:p w:rsidR="009204CD" w:rsidRDefault="009204CD" w:rsidP="00102926">
          <w:pPr>
            <w:keepNext/>
            <w:keepLines/>
            <w:tabs>
              <w:tab w:val="left" w:pos="-1440"/>
              <w:tab w:val="left" w:pos="-720"/>
            </w:tabs>
            <w:jc w:val="center"/>
            <w:rPr>
              <w:sz w:val="20"/>
              <w:szCs w:val="20"/>
            </w:rPr>
          </w:pPr>
        </w:p>
        <w:p w:rsidR="009204CD" w:rsidRPr="00F40249" w:rsidRDefault="009204CD" w:rsidP="00102926">
          <w:pPr>
            <w:keepNext/>
            <w:keepLines/>
            <w:tabs>
              <w:tab w:val="left" w:pos="-1440"/>
              <w:tab w:val="left" w:pos="-720"/>
            </w:tabs>
            <w:jc w:val="center"/>
            <w:rPr>
              <w:sz w:val="20"/>
              <w:szCs w:val="20"/>
            </w:rPr>
          </w:pPr>
        </w:p>
      </w:tc>
      <w:tc>
        <w:tcPr>
          <w:tcW w:w="4230" w:type="dxa"/>
          <w:tcMar>
            <w:left w:w="0" w:type="dxa"/>
            <w:right w:w="0" w:type="dxa"/>
          </w:tcMar>
        </w:tcPr>
        <w:p w:rsidR="009204CD" w:rsidRPr="00F40249" w:rsidRDefault="009204C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204CD" w:rsidRPr="00B01A03" w:rsidRDefault="009204C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D" w:rsidRDefault="009204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204CD">
      <w:tc>
        <w:tcPr>
          <w:tcW w:w="4230" w:type="dxa"/>
          <w:tcMar>
            <w:left w:w="0" w:type="dxa"/>
            <w:right w:w="0" w:type="dxa"/>
          </w:tcMar>
        </w:tcPr>
        <w:p w:rsidR="009204CD"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204CD"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204CD"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204CD"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04CD" w:rsidRDefault="009204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204CD" w:rsidRDefault="009204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204CD"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204CD" w:rsidRDefault="00920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E1"/>
    <w:rsid w:val="00002704"/>
    <w:rsid w:val="00020DC3"/>
    <w:rsid w:val="0003223B"/>
    <w:rsid w:val="000327B2"/>
    <w:rsid w:val="00033A57"/>
    <w:rsid w:val="00033C1B"/>
    <w:rsid w:val="0004528B"/>
    <w:rsid w:val="00054B4D"/>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3369E"/>
    <w:rsid w:val="0013595D"/>
    <w:rsid w:val="00142321"/>
    <w:rsid w:val="001434B9"/>
    <w:rsid w:val="00143EF6"/>
    <w:rsid w:val="00152E76"/>
    <w:rsid w:val="00164E6D"/>
    <w:rsid w:val="0016538E"/>
    <w:rsid w:val="00183454"/>
    <w:rsid w:val="0019203D"/>
    <w:rsid w:val="00195F99"/>
    <w:rsid w:val="00197666"/>
    <w:rsid w:val="001B157C"/>
    <w:rsid w:val="001B1994"/>
    <w:rsid w:val="001B4006"/>
    <w:rsid w:val="001B448F"/>
    <w:rsid w:val="001B5C23"/>
    <w:rsid w:val="001D0D5F"/>
    <w:rsid w:val="001D6B8C"/>
    <w:rsid w:val="001E07E1"/>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20762"/>
    <w:rsid w:val="003308AA"/>
    <w:rsid w:val="00331B52"/>
    <w:rsid w:val="00333403"/>
    <w:rsid w:val="003359D3"/>
    <w:rsid w:val="0034657E"/>
    <w:rsid w:val="00351475"/>
    <w:rsid w:val="00355967"/>
    <w:rsid w:val="00382C47"/>
    <w:rsid w:val="00384384"/>
    <w:rsid w:val="003866AE"/>
    <w:rsid w:val="00391FE1"/>
    <w:rsid w:val="003A4C76"/>
    <w:rsid w:val="003B3977"/>
    <w:rsid w:val="003D3B0A"/>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F090E"/>
    <w:rsid w:val="004F1523"/>
    <w:rsid w:val="00501F3C"/>
    <w:rsid w:val="00506BE1"/>
    <w:rsid w:val="00520F9E"/>
    <w:rsid w:val="0052229C"/>
    <w:rsid w:val="00523792"/>
    <w:rsid w:val="00527CC7"/>
    <w:rsid w:val="0053618C"/>
    <w:rsid w:val="00560DF1"/>
    <w:rsid w:val="0056248C"/>
    <w:rsid w:val="00564B09"/>
    <w:rsid w:val="00567602"/>
    <w:rsid w:val="00567680"/>
    <w:rsid w:val="00571CA4"/>
    <w:rsid w:val="00573AF2"/>
    <w:rsid w:val="00582136"/>
    <w:rsid w:val="005C6840"/>
    <w:rsid w:val="005F1ED8"/>
    <w:rsid w:val="005F263E"/>
    <w:rsid w:val="00600252"/>
    <w:rsid w:val="00612A40"/>
    <w:rsid w:val="0062714A"/>
    <w:rsid w:val="00634F42"/>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3541A"/>
    <w:rsid w:val="0074238B"/>
    <w:rsid w:val="00745EF7"/>
    <w:rsid w:val="00755F22"/>
    <w:rsid w:val="00766E4A"/>
    <w:rsid w:val="007820CE"/>
    <w:rsid w:val="00782AE4"/>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C2318"/>
    <w:rsid w:val="008D085E"/>
    <w:rsid w:val="008D292F"/>
    <w:rsid w:val="008D3D4B"/>
    <w:rsid w:val="008E03DC"/>
    <w:rsid w:val="008F6EA9"/>
    <w:rsid w:val="00902E51"/>
    <w:rsid w:val="009204CD"/>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C4E23"/>
    <w:rsid w:val="009D1F15"/>
    <w:rsid w:val="009D332B"/>
    <w:rsid w:val="009D555E"/>
    <w:rsid w:val="009F3024"/>
    <w:rsid w:val="009F39BA"/>
    <w:rsid w:val="00A0355E"/>
    <w:rsid w:val="00A037D6"/>
    <w:rsid w:val="00A234E1"/>
    <w:rsid w:val="00A242F4"/>
    <w:rsid w:val="00A375D1"/>
    <w:rsid w:val="00A41D2B"/>
    <w:rsid w:val="00A51D10"/>
    <w:rsid w:val="00A52A83"/>
    <w:rsid w:val="00A61252"/>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F25F3"/>
    <w:rsid w:val="00C01C92"/>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E605C"/>
    <w:rsid w:val="00CF08C8"/>
    <w:rsid w:val="00D004FC"/>
    <w:rsid w:val="00D22BC0"/>
    <w:rsid w:val="00D34371"/>
    <w:rsid w:val="00D6331A"/>
    <w:rsid w:val="00D64901"/>
    <w:rsid w:val="00D752D3"/>
    <w:rsid w:val="00D76BDF"/>
    <w:rsid w:val="00D818B6"/>
    <w:rsid w:val="00D82A57"/>
    <w:rsid w:val="00D82BFF"/>
    <w:rsid w:val="00D8443D"/>
    <w:rsid w:val="00D862C1"/>
    <w:rsid w:val="00D93B50"/>
    <w:rsid w:val="00D94028"/>
    <w:rsid w:val="00D94670"/>
    <w:rsid w:val="00DA46F6"/>
    <w:rsid w:val="00DA756F"/>
    <w:rsid w:val="00DC0577"/>
    <w:rsid w:val="00DC569E"/>
    <w:rsid w:val="00DC6B2E"/>
    <w:rsid w:val="00DD0B49"/>
    <w:rsid w:val="00DD0BDC"/>
    <w:rsid w:val="00DE0502"/>
    <w:rsid w:val="00DE349D"/>
    <w:rsid w:val="00E0270C"/>
    <w:rsid w:val="00E06DFA"/>
    <w:rsid w:val="00E1319F"/>
    <w:rsid w:val="00E20A0A"/>
    <w:rsid w:val="00E240C2"/>
    <w:rsid w:val="00E356C7"/>
    <w:rsid w:val="00E414CA"/>
    <w:rsid w:val="00E41A5A"/>
    <w:rsid w:val="00E45FE4"/>
    <w:rsid w:val="00E64FA7"/>
    <w:rsid w:val="00E65960"/>
    <w:rsid w:val="00E664DA"/>
    <w:rsid w:val="00E670F7"/>
    <w:rsid w:val="00E67592"/>
    <w:rsid w:val="00E75CFD"/>
    <w:rsid w:val="00E770CB"/>
    <w:rsid w:val="00E8544A"/>
    <w:rsid w:val="00E903A1"/>
    <w:rsid w:val="00E92A37"/>
    <w:rsid w:val="00E940EB"/>
    <w:rsid w:val="00E942C2"/>
    <w:rsid w:val="00E9703F"/>
    <w:rsid w:val="00E97984"/>
    <w:rsid w:val="00EB2B90"/>
    <w:rsid w:val="00ED078F"/>
    <w:rsid w:val="00ED1319"/>
    <w:rsid w:val="00ED7E83"/>
    <w:rsid w:val="00EE091F"/>
    <w:rsid w:val="00EF4B63"/>
    <w:rsid w:val="00F0068D"/>
    <w:rsid w:val="00F0576D"/>
    <w:rsid w:val="00F14E6D"/>
    <w:rsid w:val="00F15EA8"/>
    <w:rsid w:val="00F16063"/>
    <w:rsid w:val="00F16C8D"/>
    <w:rsid w:val="00F24E67"/>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D34371"/>
    <w:rPr>
      <w:b/>
      <w:szCs w:val="24"/>
    </w:rPr>
  </w:style>
  <w:style w:type="character" w:customStyle="1" w:styleId="SCCAppellantInfoCoramChar">
    <w:name w:val="SCC.AppellantInfo.Coram Char"/>
    <w:basedOn w:val="DefaultParagraphFont"/>
    <w:link w:val="SCCAppellantInfoCoram"/>
    <w:rsid w:val="00D34371"/>
    <w:rPr>
      <w:b/>
      <w:szCs w:val="24"/>
      <w:lang w:val="en-CA"/>
    </w:rPr>
  </w:style>
  <w:style w:type="paragraph" w:customStyle="1" w:styleId="SCCAppellantInfoTypeOfCase">
    <w:name w:val="SCC.AppellantInfo.TypeOfCase"/>
    <w:basedOn w:val="Normal"/>
    <w:next w:val="Normal"/>
    <w:link w:val="SCCAppellantInfoTypeOfCaseChar"/>
    <w:rsid w:val="00D34371"/>
    <w:rPr>
      <w:b/>
      <w:szCs w:val="24"/>
    </w:rPr>
  </w:style>
  <w:style w:type="character" w:customStyle="1" w:styleId="SCCAppellantInfoTypeOfCaseChar">
    <w:name w:val="SCC.AppellantInfo.TypeOfCase Char"/>
    <w:basedOn w:val="DefaultParagraphFont"/>
    <w:link w:val="SCCAppellantInfoTypeOfCase"/>
    <w:rsid w:val="00D34371"/>
    <w:rPr>
      <w:b/>
      <w:szCs w:val="24"/>
      <w:lang w:val="en-CA"/>
    </w:rPr>
  </w:style>
  <w:style w:type="paragraph" w:customStyle="1" w:styleId="SCCAppellantInfoAppellantInfo">
    <w:name w:val="SCC.AppellantInfo.AppellantInfo"/>
    <w:basedOn w:val="Normal"/>
    <w:next w:val="Normal"/>
    <w:link w:val="SCCAppellantInfoAppellantInfoChar"/>
    <w:rsid w:val="00D34371"/>
    <w:rPr>
      <w:szCs w:val="24"/>
    </w:rPr>
  </w:style>
  <w:style w:type="character" w:customStyle="1" w:styleId="SCCAppellantInfoAppellantInfoChar">
    <w:name w:val="SCC.AppellantInfo.AppellantInfo Char"/>
    <w:basedOn w:val="DefaultParagraphFont"/>
    <w:link w:val="SCCAppellantInfoAppellantInfo"/>
    <w:rsid w:val="00D34371"/>
    <w:rPr>
      <w:szCs w:val="24"/>
      <w:lang w:val="en-CA"/>
    </w:rPr>
  </w:style>
  <w:style w:type="paragraph" w:customStyle="1" w:styleId="aparanumbering1">
    <w:name w:val="aparanumbering1"/>
    <w:basedOn w:val="Normal"/>
    <w:rsid w:val="00C01C92"/>
    <w:pPr>
      <w:spacing w:before="120" w:after="120"/>
      <w:jc w:val="both"/>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http://canlii.ca/t/hxzt1" TargetMode="External"/><Relationship Id="rId26" Type="http://schemas.openxmlformats.org/officeDocument/2006/relationships/footer" Target="footer4.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canlii.org/en/on/onsc/doc/2017/2017onsc1333/2017onsc1333.pdf" TargetMode="External"/><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anlii.ca/t/h4bh2" TargetMode="Externa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hyperlink" Target="https://decisions.scc-csc.ca/scc-csc/scc-csc/fr/item/17917/index.do" TargetMode="Externa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canlii.ca/t/hxzt1" TargetMode="External"/><Relationship Id="rId20" Type="http://schemas.openxmlformats.org/officeDocument/2006/relationships/hyperlink" Target="https://www.canlii.org/en/on/onca/doc/2019/2019onca205/2019onca205.pdf" TargetMode="External"/><Relationship Id="rId29" Type="http://schemas.openxmlformats.org/officeDocument/2006/relationships/header" Target="head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yperlink" Target="https://decisions.scc-csc.ca/scc-csc/scc-csc/en/item/17917/index.do" TargetMode="External"/><Relationship Id="rId40" Type="http://schemas.openxmlformats.org/officeDocument/2006/relationships/header" Target="header10.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canlii.ca/t/h4bh2"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s://decisions.scc-csc.ca/scc-csc/scc-csc/fr/item/17917/index.do" TargetMode="External"/><Relationship Id="rId10" Type="http://schemas.openxmlformats.org/officeDocument/2006/relationships/hyperlink" Target="http://www.scc-csc.ca" TargetMode="External"/><Relationship Id="rId19" Type="http://schemas.openxmlformats.org/officeDocument/2006/relationships/hyperlink" Target="https://www.canlii.org/en/on/onsc/doc/2017/2017onsc1333/2017onsc1333.pdf" TargetMode="External"/><Relationship Id="rId31" Type="http://schemas.openxmlformats.org/officeDocument/2006/relationships/footer" Target="footer6.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on/onca/doc/2019/2019onca205/2019onca205.pdf"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https://decisions.scc-csc.ca/scc-csc/scc-csc/en/item/17917/index.do" TargetMode="External"/><Relationship Id="rId43" Type="http://schemas.openxmlformats.org/officeDocument/2006/relationships/header" Target="header1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8771-156D-402F-A05D-41C4D7C2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11</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2019-09-16T17:42:00Z</dcterms:created>
  <dcterms:modified xsi:type="dcterms:W3CDTF">2019-10-28T18:40:00Z</dcterms:modified>
</cp:coreProperties>
</file>