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104AB5" w:rsidRDefault="00382C47" w:rsidP="00C7556C">
      <w:pPr>
        <w:jc w:val="center"/>
      </w:pPr>
      <w:r w:rsidRPr="00104AB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104AB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104AB5" w:rsidTr="002E5576">
        <w:tc>
          <w:tcPr>
            <w:tcW w:w="4518" w:type="dxa"/>
          </w:tcPr>
          <w:p w:rsidR="00BF25F3" w:rsidRPr="00104AB5" w:rsidRDefault="00BF25F3" w:rsidP="00BF25F3">
            <w:pPr>
              <w:tabs>
                <w:tab w:val="left" w:pos="6075"/>
              </w:tabs>
              <w:jc w:val="center"/>
              <w:rPr>
                <w:b/>
                <w:sz w:val="32"/>
                <w:szCs w:val="32"/>
              </w:rPr>
            </w:pPr>
            <w:r w:rsidRPr="00104AB5">
              <w:rPr>
                <w:b/>
                <w:sz w:val="32"/>
                <w:szCs w:val="32"/>
              </w:rPr>
              <w:t>SUPREME COURT OF CANADA</w:t>
            </w:r>
          </w:p>
        </w:tc>
        <w:tc>
          <w:tcPr>
            <w:tcW w:w="630" w:type="dxa"/>
          </w:tcPr>
          <w:p w:rsidR="00BF25F3" w:rsidRPr="00104AB5" w:rsidRDefault="00BF25F3" w:rsidP="00BF25F3">
            <w:pPr>
              <w:tabs>
                <w:tab w:val="left" w:pos="6075"/>
              </w:tabs>
              <w:jc w:val="center"/>
              <w:rPr>
                <w:sz w:val="32"/>
                <w:szCs w:val="32"/>
              </w:rPr>
            </w:pPr>
          </w:p>
        </w:tc>
        <w:tc>
          <w:tcPr>
            <w:tcW w:w="4428" w:type="dxa"/>
          </w:tcPr>
          <w:p w:rsidR="00BF25F3" w:rsidRPr="00104AB5" w:rsidRDefault="00BF25F3" w:rsidP="00BF25F3">
            <w:pPr>
              <w:tabs>
                <w:tab w:val="left" w:pos="6075"/>
              </w:tabs>
              <w:jc w:val="center"/>
              <w:rPr>
                <w:b/>
                <w:sz w:val="32"/>
                <w:szCs w:val="32"/>
                <w:lang w:val="fr-CA"/>
              </w:rPr>
            </w:pPr>
            <w:r w:rsidRPr="00104AB5">
              <w:rPr>
                <w:b/>
                <w:sz w:val="32"/>
                <w:szCs w:val="32"/>
                <w:lang w:val="fr-CA"/>
              </w:rPr>
              <w:t>COUR SUPRÊME DU CANADA</w:t>
            </w:r>
          </w:p>
        </w:tc>
      </w:tr>
      <w:tr w:rsidR="00BF25F3" w:rsidRPr="00104AB5" w:rsidTr="002E5576">
        <w:tc>
          <w:tcPr>
            <w:tcW w:w="4518" w:type="dxa"/>
          </w:tcPr>
          <w:p w:rsidR="00BF25F3" w:rsidRPr="00104AB5" w:rsidRDefault="00BF25F3" w:rsidP="00BF25F3">
            <w:pPr>
              <w:tabs>
                <w:tab w:val="left" w:pos="6075"/>
              </w:tabs>
            </w:pPr>
          </w:p>
          <w:p w:rsidR="001B5C23" w:rsidRPr="00104AB5" w:rsidRDefault="001B5C23" w:rsidP="00BF25F3">
            <w:pPr>
              <w:tabs>
                <w:tab w:val="left" w:pos="6075"/>
              </w:tabs>
            </w:pPr>
          </w:p>
          <w:p w:rsidR="001B5C23" w:rsidRPr="00104AB5" w:rsidRDefault="001B5C23" w:rsidP="00BF25F3">
            <w:pPr>
              <w:tabs>
                <w:tab w:val="left" w:pos="6075"/>
              </w:tabs>
            </w:pPr>
          </w:p>
        </w:tc>
        <w:tc>
          <w:tcPr>
            <w:tcW w:w="630" w:type="dxa"/>
          </w:tcPr>
          <w:p w:rsidR="00BF25F3" w:rsidRPr="00104AB5" w:rsidRDefault="00BF25F3" w:rsidP="00BF25F3">
            <w:pPr>
              <w:tabs>
                <w:tab w:val="left" w:pos="6075"/>
              </w:tabs>
            </w:pPr>
          </w:p>
        </w:tc>
        <w:tc>
          <w:tcPr>
            <w:tcW w:w="4428" w:type="dxa"/>
          </w:tcPr>
          <w:p w:rsidR="00BF25F3" w:rsidRPr="00104AB5" w:rsidRDefault="00BF25F3" w:rsidP="00BF25F3">
            <w:pPr>
              <w:tabs>
                <w:tab w:val="left" w:pos="6075"/>
              </w:tabs>
              <w:rPr>
                <w:lang w:val="fr-CA"/>
              </w:rPr>
            </w:pPr>
          </w:p>
        </w:tc>
      </w:tr>
      <w:tr w:rsidR="00BF25F3" w:rsidRPr="00104AB5" w:rsidTr="002E5576">
        <w:tc>
          <w:tcPr>
            <w:tcW w:w="4518" w:type="dxa"/>
          </w:tcPr>
          <w:p w:rsidR="001B5C23" w:rsidRPr="00104AB5" w:rsidRDefault="00BF25F3" w:rsidP="00BF25F3">
            <w:pPr>
              <w:tabs>
                <w:tab w:val="left" w:pos="6075"/>
              </w:tabs>
              <w:jc w:val="center"/>
              <w:rPr>
                <w:sz w:val="28"/>
                <w:szCs w:val="28"/>
              </w:rPr>
            </w:pPr>
            <w:r w:rsidRPr="00104AB5">
              <w:rPr>
                <w:sz w:val="28"/>
                <w:szCs w:val="28"/>
              </w:rPr>
              <w:t>BULLETIN OF</w:t>
            </w:r>
          </w:p>
          <w:p w:rsidR="00BF25F3" w:rsidRPr="00104AB5" w:rsidRDefault="00BF25F3" w:rsidP="00BF25F3">
            <w:pPr>
              <w:tabs>
                <w:tab w:val="left" w:pos="6075"/>
              </w:tabs>
              <w:jc w:val="center"/>
              <w:rPr>
                <w:sz w:val="28"/>
                <w:szCs w:val="28"/>
              </w:rPr>
            </w:pPr>
            <w:r w:rsidRPr="00104AB5">
              <w:rPr>
                <w:sz w:val="28"/>
                <w:szCs w:val="28"/>
              </w:rPr>
              <w:t xml:space="preserve"> PROCEEDINGS</w:t>
            </w:r>
          </w:p>
        </w:tc>
        <w:tc>
          <w:tcPr>
            <w:tcW w:w="630" w:type="dxa"/>
          </w:tcPr>
          <w:p w:rsidR="00BF25F3" w:rsidRPr="00104AB5" w:rsidRDefault="00BF25F3" w:rsidP="00BF25F3">
            <w:pPr>
              <w:tabs>
                <w:tab w:val="left" w:pos="6075"/>
              </w:tabs>
            </w:pPr>
          </w:p>
        </w:tc>
        <w:tc>
          <w:tcPr>
            <w:tcW w:w="4428" w:type="dxa"/>
          </w:tcPr>
          <w:p w:rsidR="001B5C23" w:rsidRPr="00104AB5" w:rsidRDefault="00BF25F3" w:rsidP="00BF25F3">
            <w:pPr>
              <w:tabs>
                <w:tab w:val="left" w:pos="6075"/>
              </w:tabs>
              <w:jc w:val="center"/>
              <w:rPr>
                <w:sz w:val="28"/>
                <w:szCs w:val="28"/>
                <w:lang w:val="fr-CA"/>
              </w:rPr>
            </w:pPr>
            <w:r w:rsidRPr="00104AB5">
              <w:rPr>
                <w:sz w:val="28"/>
                <w:szCs w:val="28"/>
                <w:lang w:val="fr-CA"/>
              </w:rPr>
              <w:t>BULLETIN DES</w:t>
            </w:r>
          </w:p>
          <w:p w:rsidR="00BF25F3" w:rsidRPr="00104AB5" w:rsidRDefault="00BF25F3" w:rsidP="00BF25F3">
            <w:pPr>
              <w:tabs>
                <w:tab w:val="left" w:pos="6075"/>
              </w:tabs>
              <w:jc w:val="center"/>
              <w:rPr>
                <w:sz w:val="28"/>
                <w:szCs w:val="28"/>
                <w:lang w:val="fr-CA"/>
              </w:rPr>
            </w:pPr>
            <w:r w:rsidRPr="00104AB5">
              <w:rPr>
                <w:sz w:val="28"/>
                <w:szCs w:val="28"/>
                <w:lang w:val="fr-CA"/>
              </w:rPr>
              <w:t xml:space="preserve"> PROCÉDURES</w:t>
            </w:r>
          </w:p>
        </w:tc>
      </w:tr>
      <w:tr w:rsidR="00BF25F3" w:rsidRPr="00104AB5" w:rsidTr="002E5576">
        <w:tc>
          <w:tcPr>
            <w:tcW w:w="4518" w:type="dxa"/>
          </w:tcPr>
          <w:p w:rsidR="00BF25F3" w:rsidRPr="00104AB5" w:rsidRDefault="00BF25F3" w:rsidP="00BF25F3">
            <w:pPr>
              <w:tabs>
                <w:tab w:val="left" w:pos="6075"/>
              </w:tabs>
            </w:pPr>
          </w:p>
          <w:p w:rsidR="001B5C23" w:rsidRPr="00104AB5" w:rsidRDefault="001B5C23" w:rsidP="00BF25F3">
            <w:pPr>
              <w:tabs>
                <w:tab w:val="left" w:pos="6075"/>
              </w:tabs>
            </w:pPr>
          </w:p>
        </w:tc>
        <w:tc>
          <w:tcPr>
            <w:tcW w:w="630" w:type="dxa"/>
          </w:tcPr>
          <w:p w:rsidR="00BF25F3" w:rsidRPr="00104AB5" w:rsidRDefault="00BF25F3" w:rsidP="00BF25F3">
            <w:pPr>
              <w:tabs>
                <w:tab w:val="left" w:pos="6075"/>
              </w:tabs>
            </w:pPr>
          </w:p>
        </w:tc>
        <w:tc>
          <w:tcPr>
            <w:tcW w:w="4428" w:type="dxa"/>
          </w:tcPr>
          <w:p w:rsidR="00BF25F3" w:rsidRPr="00104AB5" w:rsidRDefault="00BF25F3" w:rsidP="00BF25F3">
            <w:pPr>
              <w:tabs>
                <w:tab w:val="left" w:pos="6075"/>
              </w:tabs>
              <w:rPr>
                <w:lang w:val="fr-CA"/>
              </w:rPr>
            </w:pPr>
          </w:p>
        </w:tc>
      </w:tr>
      <w:tr w:rsidR="00BF25F3" w:rsidRPr="00104AB5" w:rsidTr="002E5576">
        <w:tc>
          <w:tcPr>
            <w:tcW w:w="4518" w:type="dxa"/>
          </w:tcPr>
          <w:p w:rsidR="00BF25F3" w:rsidRPr="00104AB5" w:rsidRDefault="00BF25F3" w:rsidP="00BF25F3">
            <w:pPr>
              <w:tabs>
                <w:tab w:val="left" w:pos="6075"/>
              </w:tabs>
              <w:jc w:val="both"/>
              <w:rPr>
                <w:rFonts w:ascii="Arial" w:hAnsi="Arial" w:cs="Arial"/>
                <w:i/>
                <w:sz w:val="20"/>
                <w:szCs w:val="20"/>
              </w:rPr>
            </w:pPr>
            <w:r w:rsidRPr="00104AB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104AB5" w:rsidRDefault="00BF25F3" w:rsidP="00BF25F3">
            <w:pPr>
              <w:tabs>
                <w:tab w:val="left" w:pos="6075"/>
              </w:tabs>
              <w:jc w:val="both"/>
              <w:rPr>
                <w:rFonts w:ascii="Arial" w:hAnsi="Arial" w:cs="Arial"/>
                <w:i/>
                <w:sz w:val="20"/>
                <w:szCs w:val="20"/>
              </w:rPr>
            </w:pPr>
          </w:p>
        </w:tc>
        <w:tc>
          <w:tcPr>
            <w:tcW w:w="4428" w:type="dxa"/>
          </w:tcPr>
          <w:p w:rsidR="00BF25F3" w:rsidRPr="00104AB5" w:rsidRDefault="00BF25F3" w:rsidP="00BF25F3">
            <w:pPr>
              <w:tabs>
                <w:tab w:val="left" w:pos="6075"/>
              </w:tabs>
              <w:jc w:val="both"/>
              <w:rPr>
                <w:rFonts w:ascii="Arial" w:hAnsi="Arial" w:cs="Arial"/>
                <w:i/>
                <w:sz w:val="20"/>
                <w:szCs w:val="20"/>
                <w:lang w:val="fr-CA"/>
              </w:rPr>
            </w:pPr>
            <w:r w:rsidRPr="00104AB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04AB5" w:rsidTr="002E5576">
        <w:tc>
          <w:tcPr>
            <w:tcW w:w="4518" w:type="dxa"/>
          </w:tcPr>
          <w:p w:rsidR="00BF25F3" w:rsidRPr="00104AB5" w:rsidRDefault="00BF25F3" w:rsidP="00BF25F3">
            <w:pPr>
              <w:tabs>
                <w:tab w:val="left" w:pos="6075"/>
              </w:tabs>
              <w:rPr>
                <w:lang w:val="fr-CA"/>
              </w:rPr>
            </w:pPr>
          </w:p>
          <w:p w:rsidR="00D862C1" w:rsidRPr="00104AB5" w:rsidRDefault="00D862C1" w:rsidP="00BF25F3">
            <w:pPr>
              <w:tabs>
                <w:tab w:val="left" w:pos="6075"/>
              </w:tabs>
              <w:rPr>
                <w:lang w:val="fr-CA"/>
              </w:rPr>
            </w:pPr>
          </w:p>
        </w:tc>
        <w:tc>
          <w:tcPr>
            <w:tcW w:w="630" w:type="dxa"/>
          </w:tcPr>
          <w:p w:rsidR="00BF25F3" w:rsidRPr="00104AB5" w:rsidRDefault="00BF25F3" w:rsidP="00BF25F3">
            <w:pPr>
              <w:tabs>
                <w:tab w:val="left" w:pos="6075"/>
              </w:tabs>
              <w:rPr>
                <w:lang w:val="fr-CA"/>
              </w:rPr>
            </w:pPr>
          </w:p>
        </w:tc>
        <w:tc>
          <w:tcPr>
            <w:tcW w:w="4428" w:type="dxa"/>
          </w:tcPr>
          <w:p w:rsidR="00BF25F3" w:rsidRPr="00104AB5" w:rsidRDefault="00BF25F3" w:rsidP="00BF25F3">
            <w:pPr>
              <w:tabs>
                <w:tab w:val="left" w:pos="6075"/>
              </w:tabs>
              <w:rPr>
                <w:lang w:val="fr-CA"/>
              </w:rPr>
            </w:pPr>
          </w:p>
        </w:tc>
      </w:tr>
      <w:tr w:rsidR="00BF25F3" w:rsidRPr="00104AB5" w:rsidTr="002E5576">
        <w:tc>
          <w:tcPr>
            <w:tcW w:w="4518" w:type="dxa"/>
          </w:tcPr>
          <w:p w:rsidR="00BF25F3" w:rsidRPr="00104AB5" w:rsidRDefault="00BF25F3" w:rsidP="009F3024">
            <w:pPr>
              <w:tabs>
                <w:tab w:val="left" w:pos="6075"/>
              </w:tabs>
              <w:jc w:val="both"/>
              <w:rPr>
                <w:rFonts w:ascii="Arial" w:hAnsi="Arial" w:cs="Arial"/>
                <w:i/>
                <w:sz w:val="20"/>
                <w:szCs w:val="20"/>
              </w:rPr>
            </w:pPr>
            <w:r w:rsidRPr="00104AB5">
              <w:rPr>
                <w:rFonts w:ascii="Arial" w:hAnsi="Arial" w:cs="Arial"/>
                <w:i/>
                <w:sz w:val="20"/>
                <w:szCs w:val="20"/>
              </w:rPr>
              <w:t>During Court sessions</w:t>
            </w:r>
            <w:r w:rsidR="00845C2A" w:rsidRPr="00104AB5">
              <w:rPr>
                <w:rFonts w:ascii="Arial" w:hAnsi="Arial" w:cs="Arial"/>
                <w:i/>
                <w:sz w:val="20"/>
                <w:szCs w:val="20"/>
              </w:rPr>
              <w:t>,</w:t>
            </w:r>
            <w:r w:rsidRPr="00104AB5">
              <w:rPr>
                <w:rFonts w:ascii="Arial" w:hAnsi="Arial" w:cs="Arial"/>
                <w:i/>
                <w:sz w:val="20"/>
                <w:szCs w:val="20"/>
              </w:rPr>
              <w:t xml:space="preserve"> </w:t>
            </w:r>
            <w:r w:rsidR="009F3024" w:rsidRPr="00104AB5">
              <w:rPr>
                <w:rFonts w:ascii="Arial" w:hAnsi="Arial" w:cs="Arial"/>
                <w:i/>
                <w:sz w:val="20"/>
                <w:szCs w:val="20"/>
              </w:rPr>
              <w:t xml:space="preserve">the Bulletin </w:t>
            </w:r>
            <w:r w:rsidRPr="00104AB5">
              <w:rPr>
                <w:rFonts w:ascii="Arial" w:hAnsi="Arial" w:cs="Arial"/>
                <w:i/>
                <w:sz w:val="20"/>
                <w:szCs w:val="20"/>
              </w:rPr>
              <w:t>is usually issued weekly.</w:t>
            </w:r>
          </w:p>
        </w:tc>
        <w:tc>
          <w:tcPr>
            <w:tcW w:w="630" w:type="dxa"/>
          </w:tcPr>
          <w:p w:rsidR="00BF25F3" w:rsidRPr="00104AB5" w:rsidRDefault="00BF25F3" w:rsidP="00BF25F3">
            <w:pPr>
              <w:tabs>
                <w:tab w:val="left" w:pos="6075"/>
              </w:tabs>
              <w:jc w:val="both"/>
              <w:rPr>
                <w:rFonts w:ascii="Arial" w:hAnsi="Arial" w:cs="Arial"/>
                <w:i/>
                <w:sz w:val="20"/>
                <w:szCs w:val="20"/>
              </w:rPr>
            </w:pPr>
          </w:p>
        </w:tc>
        <w:tc>
          <w:tcPr>
            <w:tcW w:w="4428" w:type="dxa"/>
          </w:tcPr>
          <w:p w:rsidR="00BF25F3" w:rsidRPr="00104AB5" w:rsidRDefault="00BF25F3" w:rsidP="00BF25F3">
            <w:pPr>
              <w:tabs>
                <w:tab w:val="left" w:pos="6075"/>
              </w:tabs>
              <w:jc w:val="both"/>
              <w:rPr>
                <w:rFonts w:ascii="Arial" w:hAnsi="Arial" w:cs="Arial"/>
                <w:i/>
                <w:sz w:val="20"/>
                <w:szCs w:val="20"/>
                <w:lang w:val="fr-CA"/>
              </w:rPr>
            </w:pPr>
            <w:r w:rsidRPr="00104AB5">
              <w:rPr>
                <w:rFonts w:ascii="Arial" w:hAnsi="Arial" w:cs="Arial"/>
                <w:i/>
                <w:sz w:val="20"/>
                <w:szCs w:val="20"/>
                <w:lang w:val="fr-CA"/>
              </w:rPr>
              <w:t>Le Bulletin paraît en principe toutes les semaines pendant les sessions de la Cour.</w:t>
            </w:r>
          </w:p>
        </w:tc>
      </w:tr>
      <w:tr w:rsidR="00BF25F3" w:rsidRPr="00104AB5" w:rsidTr="002E5576">
        <w:tc>
          <w:tcPr>
            <w:tcW w:w="4518" w:type="dxa"/>
          </w:tcPr>
          <w:p w:rsidR="00BF25F3" w:rsidRPr="00104AB5" w:rsidRDefault="00BF25F3" w:rsidP="00BF25F3">
            <w:pPr>
              <w:tabs>
                <w:tab w:val="left" w:pos="6075"/>
              </w:tabs>
              <w:rPr>
                <w:lang w:val="fr-CA"/>
              </w:rPr>
            </w:pPr>
          </w:p>
          <w:p w:rsidR="00D862C1" w:rsidRPr="00104AB5" w:rsidRDefault="00D862C1" w:rsidP="00BF25F3">
            <w:pPr>
              <w:tabs>
                <w:tab w:val="left" w:pos="6075"/>
              </w:tabs>
              <w:rPr>
                <w:lang w:val="fr-CA"/>
              </w:rPr>
            </w:pPr>
          </w:p>
        </w:tc>
        <w:tc>
          <w:tcPr>
            <w:tcW w:w="630" w:type="dxa"/>
          </w:tcPr>
          <w:p w:rsidR="00BF25F3" w:rsidRPr="00104AB5" w:rsidRDefault="00BF25F3" w:rsidP="00BF25F3">
            <w:pPr>
              <w:tabs>
                <w:tab w:val="left" w:pos="6075"/>
              </w:tabs>
              <w:rPr>
                <w:lang w:val="fr-CA"/>
              </w:rPr>
            </w:pPr>
          </w:p>
        </w:tc>
        <w:tc>
          <w:tcPr>
            <w:tcW w:w="4428" w:type="dxa"/>
          </w:tcPr>
          <w:p w:rsidR="00BF25F3" w:rsidRPr="00104AB5" w:rsidRDefault="00BF25F3" w:rsidP="00BF25F3">
            <w:pPr>
              <w:tabs>
                <w:tab w:val="left" w:pos="6075"/>
              </w:tabs>
              <w:rPr>
                <w:lang w:val="fr-CA"/>
              </w:rPr>
            </w:pPr>
          </w:p>
        </w:tc>
      </w:tr>
      <w:tr w:rsidR="00BF25F3" w:rsidRPr="00104AB5" w:rsidTr="002E5576">
        <w:tc>
          <w:tcPr>
            <w:tcW w:w="4518" w:type="dxa"/>
          </w:tcPr>
          <w:p w:rsidR="00BF25F3" w:rsidRPr="00104AB5" w:rsidRDefault="000E27A5" w:rsidP="00BF25F3">
            <w:pPr>
              <w:tabs>
                <w:tab w:val="left" w:pos="6075"/>
              </w:tabs>
              <w:jc w:val="both"/>
              <w:rPr>
                <w:rFonts w:ascii="Arial" w:hAnsi="Arial" w:cs="Arial"/>
                <w:i/>
                <w:sz w:val="20"/>
                <w:szCs w:val="20"/>
              </w:rPr>
            </w:pPr>
            <w:r w:rsidRPr="00104AB5">
              <w:rPr>
                <w:rFonts w:ascii="Arial" w:hAnsi="Arial" w:cs="Arial"/>
                <w:i/>
                <w:sz w:val="20"/>
                <w:szCs w:val="20"/>
              </w:rPr>
              <w:fldChar w:fldCharType="begin"/>
            </w:r>
            <w:r w:rsidR="00BF25F3" w:rsidRPr="00104AB5">
              <w:rPr>
                <w:rFonts w:ascii="Arial" w:hAnsi="Arial" w:cs="Arial"/>
                <w:i/>
                <w:sz w:val="20"/>
                <w:szCs w:val="20"/>
              </w:rPr>
              <w:instrText xml:space="preserve"> SEQ CHAPTER \h \r 1</w:instrText>
            </w:r>
            <w:r w:rsidRPr="00104AB5">
              <w:rPr>
                <w:rFonts w:ascii="Arial" w:hAnsi="Arial" w:cs="Arial"/>
                <w:i/>
                <w:sz w:val="20"/>
                <w:szCs w:val="20"/>
              </w:rPr>
              <w:fldChar w:fldCharType="end"/>
            </w:r>
            <w:r w:rsidR="00BF25F3" w:rsidRPr="00104AB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104AB5" w:rsidRDefault="00BF25F3" w:rsidP="00BF25F3">
            <w:pPr>
              <w:tabs>
                <w:tab w:val="left" w:pos="6075"/>
              </w:tabs>
              <w:jc w:val="both"/>
              <w:rPr>
                <w:rFonts w:ascii="Arial" w:hAnsi="Arial" w:cs="Arial"/>
                <w:i/>
                <w:sz w:val="20"/>
                <w:szCs w:val="20"/>
              </w:rPr>
            </w:pPr>
          </w:p>
        </w:tc>
        <w:tc>
          <w:tcPr>
            <w:tcW w:w="4428" w:type="dxa"/>
          </w:tcPr>
          <w:p w:rsidR="00BF25F3" w:rsidRPr="00104AB5" w:rsidRDefault="000E27A5" w:rsidP="00BF25F3">
            <w:pPr>
              <w:tabs>
                <w:tab w:val="left" w:pos="6075"/>
              </w:tabs>
              <w:jc w:val="both"/>
              <w:rPr>
                <w:rFonts w:ascii="Arial" w:hAnsi="Arial" w:cs="Arial"/>
                <w:i/>
                <w:sz w:val="20"/>
                <w:szCs w:val="20"/>
                <w:lang w:val="fr-CA"/>
              </w:rPr>
            </w:pPr>
            <w:r w:rsidRPr="00104AB5">
              <w:rPr>
                <w:rFonts w:ascii="Arial" w:hAnsi="Arial" w:cs="Arial"/>
                <w:i/>
                <w:sz w:val="20"/>
                <w:szCs w:val="20"/>
                <w:lang w:val="fr-CA"/>
              </w:rPr>
              <w:fldChar w:fldCharType="begin"/>
            </w:r>
            <w:r w:rsidR="00BF25F3" w:rsidRPr="00104AB5">
              <w:rPr>
                <w:rFonts w:ascii="Arial" w:hAnsi="Arial" w:cs="Arial"/>
                <w:i/>
                <w:sz w:val="20"/>
                <w:szCs w:val="20"/>
                <w:lang w:val="fr-CA"/>
              </w:rPr>
              <w:instrText xml:space="preserve"> SEQ CHAPTER \h \r 1</w:instrText>
            </w:r>
            <w:r w:rsidRPr="00104AB5">
              <w:rPr>
                <w:rFonts w:ascii="Arial" w:hAnsi="Arial" w:cs="Arial"/>
                <w:i/>
                <w:sz w:val="20"/>
                <w:szCs w:val="20"/>
                <w:lang w:val="fr-CA"/>
              </w:rPr>
              <w:fldChar w:fldCharType="end"/>
            </w:r>
            <w:r w:rsidR="00BF25F3" w:rsidRPr="00104AB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04AB5" w:rsidTr="002E5576">
        <w:tc>
          <w:tcPr>
            <w:tcW w:w="4518" w:type="dxa"/>
          </w:tcPr>
          <w:p w:rsidR="009F3024" w:rsidRPr="00104AB5" w:rsidRDefault="009F3024" w:rsidP="009F3024">
            <w:pPr>
              <w:tabs>
                <w:tab w:val="left" w:pos="6075"/>
              </w:tabs>
              <w:rPr>
                <w:rFonts w:cs="Times New Roman"/>
                <w:szCs w:val="24"/>
                <w:lang w:val="fr-CA"/>
              </w:rPr>
            </w:pPr>
          </w:p>
          <w:p w:rsidR="009F3024" w:rsidRPr="00104AB5" w:rsidRDefault="009F3024" w:rsidP="009F3024">
            <w:pPr>
              <w:tabs>
                <w:tab w:val="left" w:pos="6075"/>
              </w:tabs>
              <w:rPr>
                <w:rFonts w:cs="Times New Roman"/>
                <w:szCs w:val="24"/>
                <w:lang w:val="fr-CA"/>
              </w:rPr>
            </w:pPr>
          </w:p>
        </w:tc>
        <w:tc>
          <w:tcPr>
            <w:tcW w:w="630" w:type="dxa"/>
          </w:tcPr>
          <w:p w:rsidR="009F3024" w:rsidRPr="00104AB5" w:rsidRDefault="009F3024" w:rsidP="009F3024">
            <w:pPr>
              <w:tabs>
                <w:tab w:val="left" w:pos="6075"/>
              </w:tabs>
              <w:rPr>
                <w:rFonts w:cs="Times New Roman"/>
                <w:szCs w:val="24"/>
                <w:lang w:val="fr-CA"/>
              </w:rPr>
            </w:pPr>
          </w:p>
        </w:tc>
        <w:tc>
          <w:tcPr>
            <w:tcW w:w="4428" w:type="dxa"/>
          </w:tcPr>
          <w:p w:rsidR="009F3024" w:rsidRPr="00104AB5" w:rsidRDefault="009F3024" w:rsidP="009F3024">
            <w:pPr>
              <w:tabs>
                <w:tab w:val="left" w:pos="6075"/>
              </w:tabs>
              <w:rPr>
                <w:rFonts w:cs="Times New Roman"/>
                <w:szCs w:val="24"/>
                <w:lang w:val="fr-CA"/>
              </w:rPr>
            </w:pPr>
          </w:p>
        </w:tc>
      </w:tr>
      <w:tr w:rsidR="009F3024" w:rsidRPr="00104AB5" w:rsidTr="002E5576">
        <w:tc>
          <w:tcPr>
            <w:tcW w:w="4518" w:type="dxa"/>
          </w:tcPr>
          <w:p w:rsidR="009F3024" w:rsidRPr="00104AB5" w:rsidRDefault="00845C2A" w:rsidP="00845C2A">
            <w:pPr>
              <w:tabs>
                <w:tab w:val="left" w:pos="6075"/>
              </w:tabs>
              <w:jc w:val="both"/>
              <w:rPr>
                <w:rFonts w:ascii="Arial" w:hAnsi="Arial" w:cs="Arial"/>
                <w:i/>
                <w:sz w:val="20"/>
                <w:szCs w:val="20"/>
              </w:rPr>
            </w:pPr>
            <w:r w:rsidRPr="00104AB5">
              <w:rPr>
                <w:rFonts w:ascii="Arial" w:hAnsi="Arial" w:cs="Arial"/>
                <w:i/>
                <w:sz w:val="20"/>
                <w:szCs w:val="20"/>
                <w:lang w:val="en-US"/>
              </w:rPr>
              <w:t>Please c</w:t>
            </w:r>
            <w:proofErr w:type="spellStart"/>
            <w:r w:rsidR="009F3024" w:rsidRPr="00104AB5">
              <w:rPr>
                <w:rFonts w:ascii="Arial" w:hAnsi="Arial" w:cs="Arial"/>
                <w:i/>
                <w:sz w:val="20"/>
                <w:szCs w:val="20"/>
              </w:rPr>
              <w:t>onsult</w:t>
            </w:r>
            <w:proofErr w:type="spellEnd"/>
            <w:r w:rsidR="009F3024" w:rsidRPr="00104AB5">
              <w:rPr>
                <w:rFonts w:ascii="Arial" w:hAnsi="Arial" w:cs="Arial"/>
                <w:i/>
                <w:sz w:val="20"/>
                <w:szCs w:val="20"/>
              </w:rPr>
              <w:t xml:space="preserve"> the Supreme Court of Canada website at </w:t>
            </w:r>
            <w:hyperlink r:id="rId9" w:history="1">
              <w:r w:rsidR="00E414CA" w:rsidRPr="00104AB5">
                <w:rPr>
                  <w:rStyle w:val="Hyperlink"/>
                  <w:rFonts w:ascii="Arial" w:hAnsi="Arial" w:cs="Arial"/>
                  <w:i/>
                  <w:sz w:val="20"/>
                  <w:szCs w:val="20"/>
                </w:rPr>
                <w:t>www.scc-csc.ca</w:t>
              </w:r>
            </w:hyperlink>
            <w:r w:rsidR="009F3024" w:rsidRPr="00104AB5">
              <w:rPr>
                <w:rFonts w:ascii="Arial" w:hAnsi="Arial" w:cs="Arial"/>
                <w:i/>
                <w:sz w:val="20"/>
                <w:szCs w:val="20"/>
              </w:rPr>
              <w:t xml:space="preserve"> for more information.</w:t>
            </w:r>
          </w:p>
        </w:tc>
        <w:tc>
          <w:tcPr>
            <w:tcW w:w="630" w:type="dxa"/>
          </w:tcPr>
          <w:p w:rsidR="009F3024" w:rsidRPr="00104AB5" w:rsidRDefault="009F3024" w:rsidP="00BF25F3">
            <w:pPr>
              <w:tabs>
                <w:tab w:val="left" w:pos="6075"/>
              </w:tabs>
              <w:jc w:val="both"/>
              <w:rPr>
                <w:rFonts w:ascii="Arial" w:hAnsi="Arial" w:cs="Arial"/>
                <w:i/>
                <w:sz w:val="20"/>
                <w:szCs w:val="20"/>
              </w:rPr>
            </w:pPr>
          </w:p>
        </w:tc>
        <w:tc>
          <w:tcPr>
            <w:tcW w:w="4428" w:type="dxa"/>
          </w:tcPr>
          <w:p w:rsidR="009F3024" w:rsidRPr="00104AB5" w:rsidRDefault="009F3024" w:rsidP="00E414CA">
            <w:pPr>
              <w:tabs>
                <w:tab w:val="left" w:pos="6075"/>
              </w:tabs>
              <w:jc w:val="both"/>
              <w:rPr>
                <w:rFonts w:ascii="Arial" w:hAnsi="Arial" w:cs="Arial"/>
                <w:i/>
                <w:sz w:val="20"/>
                <w:szCs w:val="20"/>
                <w:lang w:val="fr-CA"/>
              </w:rPr>
            </w:pPr>
            <w:r w:rsidRPr="00104AB5">
              <w:rPr>
                <w:rFonts w:ascii="Arial" w:hAnsi="Arial" w:cs="Arial"/>
                <w:i/>
                <w:sz w:val="20"/>
                <w:szCs w:val="20"/>
                <w:lang w:val="fr-CA"/>
              </w:rPr>
              <w:t xml:space="preserve">Pour de plus amples informations, </w:t>
            </w:r>
            <w:r w:rsidR="00845C2A" w:rsidRPr="00104AB5">
              <w:rPr>
                <w:rFonts w:ascii="Arial" w:hAnsi="Arial" w:cs="Arial"/>
                <w:i/>
                <w:sz w:val="20"/>
                <w:szCs w:val="20"/>
                <w:lang w:val="fr-CA"/>
              </w:rPr>
              <w:t xml:space="preserve">veuillez </w:t>
            </w:r>
            <w:r w:rsidRPr="00104AB5">
              <w:rPr>
                <w:rFonts w:ascii="Arial" w:hAnsi="Arial" w:cs="Arial"/>
                <w:i/>
                <w:sz w:val="20"/>
                <w:szCs w:val="20"/>
                <w:lang w:val="fr-CA"/>
              </w:rPr>
              <w:t xml:space="preserve">consulter le site Web de la Cour suprême du Canada à l’adresse suivante : </w:t>
            </w:r>
            <w:hyperlink r:id="rId10" w:history="1">
              <w:r w:rsidR="0081473A" w:rsidRPr="00104AB5">
                <w:rPr>
                  <w:rStyle w:val="Hyperlink"/>
                  <w:rFonts w:ascii="Arial" w:hAnsi="Arial" w:cs="Arial"/>
                  <w:i/>
                  <w:sz w:val="20"/>
                  <w:szCs w:val="20"/>
                  <w:lang w:val="fr-CA"/>
                </w:rPr>
                <w:t>www.scc-csc.ca</w:t>
              </w:r>
            </w:hyperlink>
            <w:r w:rsidRPr="00104AB5">
              <w:rPr>
                <w:rFonts w:ascii="Arial" w:hAnsi="Arial" w:cs="Arial"/>
                <w:i/>
                <w:sz w:val="20"/>
                <w:szCs w:val="20"/>
                <w:lang w:val="fr-CA"/>
              </w:rPr>
              <w:t xml:space="preserve"> </w:t>
            </w:r>
          </w:p>
        </w:tc>
      </w:tr>
    </w:tbl>
    <w:p w:rsidR="00BF25F3" w:rsidRPr="00104AB5" w:rsidRDefault="00BF25F3" w:rsidP="00BF25F3">
      <w:pPr>
        <w:tabs>
          <w:tab w:val="left" w:pos="6075"/>
        </w:tabs>
        <w:rPr>
          <w:lang w:val="fr-CA"/>
        </w:rPr>
      </w:pPr>
    </w:p>
    <w:p w:rsidR="00440E24" w:rsidRPr="00104AB5" w:rsidRDefault="00440E24" w:rsidP="00440E24">
      <w:pPr>
        <w:pBdr>
          <w:bottom w:val="single" w:sz="6" w:space="1" w:color="auto"/>
        </w:pBdr>
        <w:tabs>
          <w:tab w:val="left" w:pos="6075"/>
        </w:tabs>
        <w:rPr>
          <w:lang w:val="fr-CA"/>
        </w:rPr>
      </w:pPr>
    </w:p>
    <w:p w:rsidR="00440E24" w:rsidRPr="00104AB5" w:rsidRDefault="00440E24" w:rsidP="00440E24">
      <w:pPr>
        <w:rPr>
          <w:lang w:val="fr-CA"/>
        </w:rPr>
      </w:pPr>
    </w:p>
    <w:p w:rsidR="00600252" w:rsidRPr="00104AB5" w:rsidRDefault="001031F4" w:rsidP="00F0068D">
      <w:pPr>
        <w:pBdr>
          <w:bottom w:val="single" w:sz="6" w:space="1" w:color="auto"/>
        </w:pBdr>
        <w:tabs>
          <w:tab w:val="center" w:pos="4680"/>
          <w:tab w:val="right" w:pos="9360"/>
        </w:tabs>
        <w:rPr>
          <w:lang w:val="fr-CA"/>
        </w:rPr>
      </w:pPr>
      <w:r w:rsidRPr="00104AB5">
        <w:rPr>
          <w:lang w:val="fr-CA"/>
        </w:rPr>
        <w:t>October</w:t>
      </w:r>
      <w:r w:rsidR="00440E24" w:rsidRPr="00104AB5">
        <w:rPr>
          <w:lang w:val="fr-CA"/>
        </w:rPr>
        <w:t xml:space="preserve"> </w:t>
      </w:r>
      <w:r w:rsidRPr="00104AB5">
        <w:rPr>
          <w:lang w:val="fr-CA"/>
        </w:rPr>
        <w:t>25</w:t>
      </w:r>
      <w:r w:rsidR="00440E24" w:rsidRPr="00104AB5">
        <w:rPr>
          <w:lang w:val="fr-CA"/>
        </w:rPr>
        <w:t>, 201</w:t>
      </w:r>
      <w:r w:rsidR="004317DE" w:rsidRPr="00104AB5">
        <w:rPr>
          <w:lang w:val="fr-CA"/>
        </w:rPr>
        <w:t>9</w:t>
      </w:r>
      <w:r w:rsidR="00F0068D" w:rsidRPr="00104AB5">
        <w:rPr>
          <w:lang w:val="fr-CA"/>
        </w:rPr>
        <w:tab/>
        <w:t xml:space="preserve">1 - </w:t>
      </w:r>
      <w:r w:rsidR="00C14362" w:rsidRPr="00104AB5">
        <w:rPr>
          <w:lang w:val="fr-CA"/>
        </w:rPr>
        <w:t>33</w:t>
      </w:r>
      <w:r w:rsidR="00440E24" w:rsidRPr="00104AB5">
        <w:rPr>
          <w:lang w:val="fr-CA"/>
        </w:rPr>
        <w:tab/>
        <w:t>Le</w:t>
      </w:r>
      <w:r w:rsidR="00C73D06" w:rsidRPr="00104AB5">
        <w:rPr>
          <w:lang w:val="fr-CA"/>
        </w:rPr>
        <w:t xml:space="preserve"> </w:t>
      </w:r>
      <w:r w:rsidRPr="00104AB5">
        <w:rPr>
          <w:lang w:val="fr-CA"/>
        </w:rPr>
        <w:t>25</w:t>
      </w:r>
      <w:r w:rsidR="00C73D06" w:rsidRPr="00104AB5">
        <w:rPr>
          <w:lang w:val="fr-CA"/>
        </w:rPr>
        <w:t xml:space="preserve"> </w:t>
      </w:r>
      <w:r w:rsidRPr="00104AB5">
        <w:rPr>
          <w:lang w:val="fr-CA"/>
        </w:rPr>
        <w:t>octobre</w:t>
      </w:r>
      <w:r w:rsidR="00440E24" w:rsidRPr="00104AB5">
        <w:rPr>
          <w:lang w:val="fr-CA"/>
        </w:rPr>
        <w:t xml:space="preserve"> 201</w:t>
      </w:r>
      <w:r w:rsidR="004317DE" w:rsidRPr="00104AB5">
        <w:rPr>
          <w:lang w:val="fr-CA"/>
        </w:rPr>
        <w:t>9</w:t>
      </w:r>
    </w:p>
    <w:p w:rsidR="00440E24" w:rsidRPr="00104AB5" w:rsidRDefault="00440E24" w:rsidP="00440E24">
      <w:pPr>
        <w:pBdr>
          <w:bottom w:val="single" w:sz="6" w:space="1" w:color="auto"/>
        </w:pBdr>
        <w:tabs>
          <w:tab w:val="right" w:pos="9360"/>
        </w:tabs>
        <w:rPr>
          <w:lang w:val="fr-CA"/>
        </w:rPr>
      </w:pPr>
    </w:p>
    <w:p w:rsidR="00440E24" w:rsidRPr="00104AB5" w:rsidRDefault="00440E24" w:rsidP="00440E24">
      <w:pPr>
        <w:pBdr>
          <w:bottom w:val="single" w:sz="6" w:space="1" w:color="auto"/>
        </w:pBdr>
        <w:tabs>
          <w:tab w:val="right" w:pos="9360"/>
        </w:tabs>
        <w:rPr>
          <w:sz w:val="18"/>
          <w:szCs w:val="18"/>
          <w:lang w:val="fr-CA"/>
        </w:rPr>
      </w:pPr>
      <w:r w:rsidRPr="00104AB5">
        <w:rPr>
          <w:sz w:val="18"/>
          <w:szCs w:val="18"/>
          <w:lang w:val="fr-CA"/>
        </w:rPr>
        <w:t>© Supreme Court of Canada (</w:t>
      </w:r>
      <w:r w:rsidR="0030050B" w:rsidRPr="00104AB5">
        <w:rPr>
          <w:sz w:val="18"/>
          <w:szCs w:val="18"/>
          <w:lang w:val="fr-CA"/>
        </w:rPr>
        <w:t>201</w:t>
      </w:r>
      <w:r w:rsidR="004317DE" w:rsidRPr="00104AB5">
        <w:rPr>
          <w:sz w:val="18"/>
          <w:szCs w:val="18"/>
          <w:lang w:val="fr-CA"/>
        </w:rPr>
        <w:t>9</w:t>
      </w:r>
      <w:r w:rsidRPr="00104AB5">
        <w:rPr>
          <w:sz w:val="18"/>
          <w:szCs w:val="18"/>
          <w:lang w:val="fr-CA"/>
        </w:rPr>
        <w:t>)</w:t>
      </w:r>
      <w:r w:rsidRPr="00104AB5">
        <w:rPr>
          <w:sz w:val="18"/>
          <w:szCs w:val="18"/>
          <w:lang w:val="fr-CA"/>
        </w:rPr>
        <w:tab/>
        <w:t>© Cour suprême du Canada (</w:t>
      </w:r>
      <w:r w:rsidR="0030050B" w:rsidRPr="00104AB5">
        <w:rPr>
          <w:sz w:val="18"/>
          <w:szCs w:val="18"/>
          <w:lang w:val="fr-CA"/>
        </w:rPr>
        <w:t>201</w:t>
      </w:r>
      <w:r w:rsidR="004317DE" w:rsidRPr="00104AB5">
        <w:rPr>
          <w:sz w:val="18"/>
          <w:szCs w:val="18"/>
          <w:lang w:val="fr-CA"/>
        </w:rPr>
        <w:t>9</w:t>
      </w:r>
      <w:r w:rsidRPr="00104AB5">
        <w:rPr>
          <w:sz w:val="18"/>
          <w:szCs w:val="18"/>
          <w:lang w:val="fr-CA"/>
        </w:rPr>
        <w:t>)</w:t>
      </w:r>
    </w:p>
    <w:p w:rsidR="00440E24" w:rsidRPr="00104AB5" w:rsidRDefault="00440E24" w:rsidP="00440E24">
      <w:pPr>
        <w:pBdr>
          <w:bottom w:val="single" w:sz="6" w:space="1" w:color="auto"/>
        </w:pBdr>
        <w:tabs>
          <w:tab w:val="right" w:pos="9360"/>
        </w:tabs>
        <w:rPr>
          <w:sz w:val="18"/>
          <w:szCs w:val="18"/>
          <w:lang w:val="fr-CA"/>
        </w:rPr>
      </w:pPr>
      <w:r w:rsidRPr="00104AB5">
        <w:rPr>
          <w:sz w:val="18"/>
          <w:szCs w:val="18"/>
          <w:lang w:val="fr-CA"/>
        </w:rPr>
        <w:t>ISSN 1918-8358 (Online)</w:t>
      </w:r>
      <w:r w:rsidRPr="00104AB5">
        <w:rPr>
          <w:sz w:val="18"/>
          <w:szCs w:val="18"/>
          <w:lang w:val="fr-CA"/>
        </w:rPr>
        <w:tab/>
        <w:t>ISSN 1918-8358 (En ligne)</w:t>
      </w:r>
    </w:p>
    <w:p w:rsidR="00600252" w:rsidRPr="00104AB5" w:rsidRDefault="00600252" w:rsidP="00BF25F3">
      <w:pPr>
        <w:pBdr>
          <w:bottom w:val="single" w:sz="6" w:space="1" w:color="auto"/>
        </w:pBdr>
        <w:tabs>
          <w:tab w:val="left" w:pos="6075"/>
        </w:tabs>
        <w:rPr>
          <w:lang w:val="fr-CA"/>
        </w:rPr>
      </w:pPr>
    </w:p>
    <w:p w:rsidR="0030050B" w:rsidRPr="00104AB5" w:rsidRDefault="0030050B" w:rsidP="00BF25F3">
      <w:pPr>
        <w:pBdr>
          <w:bottom w:val="single" w:sz="6" w:space="1" w:color="auto"/>
        </w:pBdr>
        <w:tabs>
          <w:tab w:val="left" w:pos="6075"/>
        </w:tabs>
        <w:rPr>
          <w:lang w:val="fr-CA"/>
        </w:rPr>
      </w:pPr>
    </w:p>
    <w:p w:rsidR="00560DF1" w:rsidRPr="00104AB5"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04AB5" w:rsidRDefault="00DC6B2E" w:rsidP="00693C38">
          <w:pPr>
            <w:pStyle w:val="Title"/>
            <w:jc w:val="center"/>
            <w:rPr>
              <w:rFonts w:ascii="Times New Roman" w:hAnsi="Times New Roman" w:cs="Times New Roman"/>
              <w:b/>
              <w:sz w:val="24"/>
              <w:szCs w:val="28"/>
              <w:lang w:val="fr-CA"/>
            </w:rPr>
          </w:pPr>
          <w:r w:rsidRPr="00104AB5">
            <w:rPr>
              <w:rFonts w:ascii="Times New Roman" w:hAnsi="Times New Roman" w:cs="Times New Roman"/>
              <w:b/>
              <w:sz w:val="24"/>
              <w:szCs w:val="28"/>
              <w:lang w:val="fr-CA"/>
            </w:rPr>
            <w:t>Contents</w:t>
          </w:r>
        </w:p>
        <w:p w:rsidR="00693C38" w:rsidRPr="00104AB5" w:rsidRDefault="00DC6B2E" w:rsidP="00693C38">
          <w:pPr>
            <w:jc w:val="center"/>
            <w:rPr>
              <w:b/>
              <w:szCs w:val="28"/>
              <w:lang w:val="fr-CA"/>
            </w:rPr>
          </w:pPr>
          <w:r w:rsidRPr="00104AB5">
            <w:rPr>
              <w:b/>
              <w:szCs w:val="28"/>
              <w:lang w:val="fr-CA"/>
            </w:rPr>
            <w:t>Table des matières</w:t>
          </w:r>
        </w:p>
        <w:p w:rsidR="00693C38" w:rsidRPr="00104AB5" w:rsidRDefault="00693C38" w:rsidP="00693C38">
          <w:pPr>
            <w:rPr>
              <w:lang w:val="fr-CA"/>
            </w:rPr>
          </w:pPr>
        </w:p>
        <w:p w:rsidR="00CA63D3" w:rsidRPr="00104AB5" w:rsidRDefault="00DC6B2E">
          <w:pPr>
            <w:pStyle w:val="TOC1"/>
            <w:tabs>
              <w:tab w:val="right" w:leader="dot" w:pos="9638"/>
            </w:tabs>
            <w:rPr>
              <w:rFonts w:asciiTheme="minorHAnsi" w:eastAsiaTheme="minorEastAsia" w:hAnsiTheme="minorHAnsi"/>
              <w:noProof/>
              <w:sz w:val="22"/>
              <w:lang w:val="en-US"/>
            </w:rPr>
          </w:pPr>
          <w:r w:rsidRPr="00104AB5">
            <w:rPr>
              <w:b/>
              <w:bCs/>
              <w:noProof/>
            </w:rPr>
            <w:fldChar w:fldCharType="begin"/>
          </w:r>
          <w:r w:rsidRPr="00104AB5">
            <w:rPr>
              <w:b/>
              <w:bCs/>
              <w:noProof/>
            </w:rPr>
            <w:instrText xml:space="preserve"> TOC \o "1-3" \h \z \u </w:instrText>
          </w:r>
          <w:r w:rsidRPr="00104AB5">
            <w:rPr>
              <w:b/>
              <w:bCs/>
              <w:noProof/>
            </w:rPr>
            <w:fldChar w:fldCharType="separate"/>
          </w:r>
          <w:hyperlink w:anchor="_Toc22712734" w:history="1">
            <w:r w:rsidR="00CA63D3" w:rsidRPr="00104AB5">
              <w:rPr>
                <w:rStyle w:val="Hyperlink"/>
                <w:noProof/>
                <w:lang w:val="fr-CA"/>
              </w:rPr>
              <w:t>Applications for leave to appeal filed</w:t>
            </w:r>
            <w:r w:rsidR="00F46DAD" w:rsidRPr="00104AB5">
              <w:rPr>
                <w:rStyle w:val="Hyperlink"/>
                <w:noProof/>
                <w:lang w:val="fr-CA"/>
              </w:rPr>
              <w:t xml:space="preserve"> </w:t>
            </w:r>
            <w:r w:rsidR="00CA63D3" w:rsidRPr="00104AB5">
              <w:rPr>
                <w:rStyle w:val="Hyperlink"/>
                <w:noProof/>
                <w:lang w:val="fr-CA"/>
              </w:rPr>
              <w:t xml:space="preserve"> /  Demandes d’autorisation d’appel déposées</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_Toc22712734 \h </w:instrText>
            </w:r>
            <w:r w:rsidR="00CA63D3" w:rsidRPr="00104AB5">
              <w:rPr>
                <w:noProof/>
                <w:webHidden/>
              </w:rPr>
            </w:r>
            <w:r w:rsidR="00CA63D3" w:rsidRPr="00104AB5">
              <w:rPr>
                <w:noProof/>
                <w:webHidden/>
              </w:rPr>
              <w:fldChar w:fldCharType="separate"/>
            </w:r>
            <w:r w:rsidR="00B54B7D">
              <w:rPr>
                <w:noProof/>
                <w:webHidden/>
              </w:rPr>
              <w:t>1</w:t>
            </w:r>
            <w:r w:rsidR="00CA63D3" w:rsidRPr="00104AB5">
              <w:rPr>
                <w:noProof/>
                <w:webHidden/>
              </w:rPr>
              <w:fldChar w:fldCharType="end"/>
            </w:r>
          </w:hyperlink>
        </w:p>
        <w:p w:rsidR="00CA63D3" w:rsidRPr="00104AB5" w:rsidRDefault="00B54B7D">
          <w:pPr>
            <w:pStyle w:val="TOC1"/>
            <w:tabs>
              <w:tab w:val="right" w:leader="dot" w:pos="9638"/>
            </w:tabs>
            <w:rPr>
              <w:rFonts w:asciiTheme="minorHAnsi" w:eastAsiaTheme="minorEastAsia" w:hAnsiTheme="minorHAnsi"/>
              <w:noProof/>
              <w:sz w:val="22"/>
              <w:lang w:val="en-US"/>
            </w:rPr>
          </w:pPr>
          <w:r w:rsidRPr="00104AB5">
            <w:rPr>
              <w:rStyle w:val="Hyperlink"/>
              <w:noProof/>
              <w:lang w:val="fr-CA"/>
            </w:rPr>
            <w:fldChar w:fldCharType="begin"/>
          </w:r>
          <w:r w:rsidRPr="00104AB5">
            <w:rPr>
              <w:rStyle w:val="Hyperlink"/>
              <w:noProof/>
              <w:lang w:val="fr-CA"/>
            </w:rPr>
            <w:instrText xml:space="preserve"> HYPERLINK \l "_Toc22712735" </w:instrText>
          </w:r>
          <w:r w:rsidR="00980DDC" w:rsidRPr="00104AB5">
            <w:rPr>
              <w:rStyle w:val="Hyperlink"/>
              <w:noProof/>
              <w:lang w:val="fr-CA"/>
            </w:rPr>
          </w:r>
          <w:r w:rsidRPr="00104AB5">
            <w:rPr>
              <w:rStyle w:val="Hyperlink"/>
              <w:noProof/>
              <w:lang w:val="fr-CA"/>
            </w:rPr>
            <w:fldChar w:fldCharType="separate"/>
          </w:r>
          <w:r w:rsidR="00CA63D3" w:rsidRPr="00104AB5">
            <w:rPr>
              <w:rStyle w:val="Hyperlink"/>
              <w:noProof/>
              <w:lang w:val="fr-CA"/>
            </w:rPr>
            <w:t>Applications for leave submitted to the Court since the last issue</w:t>
          </w:r>
          <w:r w:rsidR="00F46DAD" w:rsidRPr="00104AB5">
            <w:rPr>
              <w:rStyle w:val="Hyperlink"/>
              <w:noProof/>
              <w:lang w:val="fr-CA"/>
            </w:rPr>
            <w:t xml:space="preserve"> </w:t>
          </w:r>
          <w:r w:rsidR="00CA63D3" w:rsidRPr="00104AB5">
            <w:rPr>
              <w:rStyle w:val="Hyperlink"/>
              <w:noProof/>
              <w:lang w:val="fr-CA"/>
            </w:rPr>
            <w:t xml:space="preserve"> /  </w:t>
          </w:r>
          <w:r>
            <w:rPr>
              <w:rStyle w:val="Hyperlink"/>
              <w:noProof/>
              <w:lang w:val="fr-CA"/>
            </w:rPr>
            <w:br/>
          </w:r>
          <w:bookmarkStart w:id="0" w:name="_GoBack"/>
          <w:bookmarkEnd w:id="0"/>
          <w:r w:rsidR="00CA63D3" w:rsidRPr="00104AB5">
            <w:rPr>
              <w:rStyle w:val="Hyperlink"/>
              <w:noProof/>
              <w:lang w:val="fr-CA"/>
            </w:rPr>
            <w:t>Demandes soumises à la Cour depuis la dernière parution</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_Toc22712735 \h </w:instrText>
          </w:r>
          <w:r w:rsidR="00CA63D3" w:rsidRPr="00104AB5">
            <w:rPr>
              <w:noProof/>
              <w:webHidden/>
            </w:rPr>
          </w:r>
          <w:r w:rsidR="00CA63D3" w:rsidRPr="00104AB5">
            <w:rPr>
              <w:noProof/>
              <w:webHidden/>
            </w:rPr>
            <w:fldChar w:fldCharType="separate"/>
          </w:r>
          <w:r>
            <w:rPr>
              <w:noProof/>
              <w:webHidden/>
            </w:rPr>
            <w:t>3</w:t>
          </w:r>
          <w:r w:rsidR="00CA63D3" w:rsidRPr="00104AB5">
            <w:rPr>
              <w:noProof/>
              <w:webHidden/>
            </w:rPr>
            <w:fldChar w:fldCharType="end"/>
          </w:r>
          <w:r w:rsidRPr="00104AB5">
            <w:rPr>
              <w:noProof/>
            </w:rPr>
            <w:fldChar w:fldCharType="end"/>
          </w:r>
        </w:p>
        <w:p w:rsidR="00CA63D3" w:rsidRPr="00104AB5" w:rsidRDefault="00B54B7D">
          <w:pPr>
            <w:pStyle w:val="TOC1"/>
            <w:tabs>
              <w:tab w:val="right" w:leader="dot" w:pos="9638"/>
            </w:tabs>
            <w:rPr>
              <w:rFonts w:asciiTheme="minorHAnsi" w:eastAsiaTheme="minorEastAsia" w:hAnsiTheme="minorHAnsi"/>
              <w:noProof/>
              <w:sz w:val="22"/>
              <w:lang w:val="en-US"/>
            </w:rPr>
          </w:pPr>
          <w:hyperlink w:anchor="_Toc22712736" w:history="1">
            <w:r w:rsidR="00CA63D3" w:rsidRPr="00104AB5">
              <w:rPr>
                <w:rStyle w:val="Hyperlink"/>
                <w:noProof/>
                <w:lang w:val="fr-CA"/>
              </w:rPr>
              <w:t>Judgments on applications for leave</w:t>
            </w:r>
            <w:r w:rsidR="00F46DAD" w:rsidRPr="00104AB5">
              <w:rPr>
                <w:rStyle w:val="Hyperlink"/>
                <w:noProof/>
                <w:lang w:val="fr-CA"/>
              </w:rPr>
              <w:t xml:space="preserve"> </w:t>
            </w:r>
            <w:r w:rsidR="00CA63D3" w:rsidRPr="00104AB5">
              <w:rPr>
                <w:rStyle w:val="Hyperlink"/>
                <w:noProof/>
                <w:lang w:val="fr-CA"/>
              </w:rPr>
              <w:t xml:space="preserve"> /  Jugements rendus sur les demandes d’autorisation</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_Toc22712736 \h </w:instrText>
            </w:r>
            <w:r w:rsidR="00CA63D3" w:rsidRPr="00104AB5">
              <w:rPr>
                <w:noProof/>
                <w:webHidden/>
              </w:rPr>
            </w:r>
            <w:r w:rsidR="00CA63D3" w:rsidRPr="00104AB5">
              <w:rPr>
                <w:noProof/>
                <w:webHidden/>
              </w:rPr>
              <w:fldChar w:fldCharType="separate"/>
            </w:r>
            <w:r>
              <w:rPr>
                <w:noProof/>
                <w:webHidden/>
              </w:rPr>
              <w:t>4</w:t>
            </w:r>
            <w:r w:rsidR="00CA63D3" w:rsidRPr="00104AB5">
              <w:rPr>
                <w:noProof/>
                <w:webHidden/>
              </w:rPr>
              <w:fldChar w:fldCharType="end"/>
            </w:r>
          </w:hyperlink>
        </w:p>
        <w:p w:rsidR="00CA63D3" w:rsidRPr="00104AB5" w:rsidRDefault="00B54B7D">
          <w:pPr>
            <w:pStyle w:val="TOC1"/>
            <w:tabs>
              <w:tab w:val="right" w:leader="dot" w:pos="9638"/>
            </w:tabs>
            <w:rPr>
              <w:rFonts w:asciiTheme="minorHAnsi" w:eastAsiaTheme="minorEastAsia" w:hAnsiTheme="minorHAnsi"/>
              <w:noProof/>
              <w:sz w:val="22"/>
              <w:lang w:val="en-US"/>
            </w:rPr>
          </w:pPr>
          <w:hyperlink w:anchor="_Toc22712737" w:history="1">
            <w:r w:rsidR="00CA63D3" w:rsidRPr="00104AB5">
              <w:rPr>
                <w:rStyle w:val="Hyperlink"/>
                <w:noProof/>
                <w:lang w:val="fr-CA"/>
              </w:rPr>
              <w:t>Motions</w:t>
            </w:r>
            <w:r w:rsidR="00F46DAD" w:rsidRPr="00104AB5">
              <w:rPr>
                <w:rStyle w:val="Hyperlink"/>
                <w:noProof/>
                <w:lang w:val="fr-CA"/>
              </w:rPr>
              <w:t xml:space="preserve"> </w:t>
            </w:r>
            <w:r w:rsidR="00CA63D3" w:rsidRPr="00104AB5">
              <w:rPr>
                <w:rStyle w:val="Hyperlink"/>
                <w:noProof/>
                <w:lang w:val="fr-CA"/>
              </w:rPr>
              <w:t xml:space="preserve"> /  Requêtes</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_Toc22712737 \h </w:instrText>
            </w:r>
            <w:r w:rsidR="00CA63D3" w:rsidRPr="00104AB5">
              <w:rPr>
                <w:noProof/>
                <w:webHidden/>
              </w:rPr>
            </w:r>
            <w:r w:rsidR="00CA63D3" w:rsidRPr="00104AB5">
              <w:rPr>
                <w:noProof/>
                <w:webHidden/>
              </w:rPr>
              <w:fldChar w:fldCharType="separate"/>
            </w:r>
            <w:r>
              <w:rPr>
                <w:noProof/>
                <w:webHidden/>
              </w:rPr>
              <w:t>16</w:t>
            </w:r>
            <w:r w:rsidR="00CA63D3" w:rsidRPr="00104AB5">
              <w:rPr>
                <w:noProof/>
                <w:webHidden/>
              </w:rPr>
              <w:fldChar w:fldCharType="end"/>
            </w:r>
          </w:hyperlink>
        </w:p>
        <w:p w:rsidR="00CA63D3" w:rsidRPr="00104AB5" w:rsidRDefault="00B54B7D">
          <w:pPr>
            <w:pStyle w:val="TOC1"/>
            <w:tabs>
              <w:tab w:val="right" w:leader="dot" w:pos="9638"/>
            </w:tabs>
            <w:rPr>
              <w:rFonts w:asciiTheme="minorHAnsi" w:eastAsiaTheme="minorEastAsia" w:hAnsiTheme="minorHAnsi"/>
              <w:noProof/>
              <w:sz w:val="22"/>
              <w:lang w:val="en-US"/>
            </w:rPr>
          </w:pPr>
          <w:hyperlink w:anchor="_Toc22712738" w:history="1">
            <w:r w:rsidR="00CA63D3" w:rsidRPr="00104AB5">
              <w:rPr>
                <w:rStyle w:val="Hyperlink"/>
                <w:noProof/>
                <w:lang w:val="fr-CA"/>
              </w:rPr>
              <w:t>Appeals heard since the last issue and disposition /  Appels entendus depuis la dernière parution et résultat</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_Toc22712738 \h </w:instrText>
            </w:r>
            <w:r w:rsidR="00CA63D3" w:rsidRPr="00104AB5">
              <w:rPr>
                <w:noProof/>
                <w:webHidden/>
              </w:rPr>
            </w:r>
            <w:r w:rsidR="00CA63D3" w:rsidRPr="00104AB5">
              <w:rPr>
                <w:noProof/>
                <w:webHidden/>
              </w:rPr>
              <w:fldChar w:fldCharType="separate"/>
            </w:r>
            <w:r>
              <w:rPr>
                <w:noProof/>
                <w:webHidden/>
              </w:rPr>
              <w:t>20</w:t>
            </w:r>
            <w:r w:rsidR="00CA63D3" w:rsidRPr="00104AB5">
              <w:rPr>
                <w:noProof/>
                <w:webHidden/>
              </w:rPr>
              <w:fldChar w:fldCharType="end"/>
            </w:r>
          </w:hyperlink>
        </w:p>
        <w:p w:rsidR="00CA63D3" w:rsidRPr="00104AB5" w:rsidRDefault="00B54B7D">
          <w:pPr>
            <w:pStyle w:val="TOC1"/>
            <w:tabs>
              <w:tab w:val="right" w:leader="dot" w:pos="9638"/>
            </w:tabs>
            <w:rPr>
              <w:rFonts w:asciiTheme="minorHAnsi" w:eastAsiaTheme="minorEastAsia" w:hAnsiTheme="minorHAnsi"/>
              <w:noProof/>
              <w:sz w:val="22"/>
              <w:lang w:val="en-US"/>
            </w:rPr>
          </w:pPr>
          <w:hyperlink w:anchor="_Toc22712739" w:history="1">
            <w:r w:rsidR="00CA63D3" w:rsidRPr="00104AB5">
              <w:rPr>
                <w:rStyle w:val="Hyperlink"/>
                <w:noProof/>
                <w:lang w:val="fr-CA"/>
              </w:rPr>
              <w:t xml:space="preserve">Pronouncements of reserved appeals </w:t>
            </w:r>
            <w:r w:rsidR="00F46DAD" w:rsidRPr="00104AB5">
              <w:rPr>
                <w:rStyle w:val="Hyperlink"/>
                <w:noProof/>
                <w:lang w:val="fr-CA"/>
              </w:rPr>
              <w:t xml:space="preserve"> </w:t>
            </w:r>
            <w:r w:rsidR="00CA63D3" w:rsidRPr="00104AB5">
              <w:rPr>
                <w:rStyle w:val="Hyperlink"/>
                <w:noProof/>
                <w:lang w:val="fr-CA"/>
              </w:rPr>
              <w:t>/  Jugements rendus sur les appels en délibéré</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_Toc22712739 \h </w:instrText>
            </w:r>
            <w:r w:rsidR="00CA63D3" w:rsidRPr="00104AB5">
              <w:rPr>
                <w:noProof/>
                <w:webHidden/>
              </w:rPr>
            </w:r>
            <w:r w:rsidR="00CA63D3" w:rsidRPr="00104AB5">
              <w:rPr>
                <w:noProof/>
                <w:webHidden/>
              </w:rPr>
              <w:fldChar w:fldCharType="separate"/>
            </w:r>
            <w:r>
              <w:rPr>
                <w:noProof/>
                <w:webHidden/>
              </w:rPr>
              <w:t>21</w:t>
            </w:r>
            <w:r w:rsidR="00CA63D3" w:rsidRPr="00104AB5">
              <w:rPr>
                <w:noProof/>
                <w:webHidden/>
              </w:rPr>
              <w:fldChar w:fldCharType="end"/>
            </w:r>
          </w:hyperlink>
        </w:p>
        <w:p w:rsidR="00CA63D3" w:rsidRPr="00104AB5" w:rsidRDefault="00B54B7D">
          <w:pPr>
            <w:pStyle w:val="TOC1"/>
            <w:tabs>
              <w:tab w:val="right" w:leader="dot" w:pos="9638"/>
            </w:tabs>
            <w:rPr>
              <w:rFonts w:asciiTheme="minorHAnsi" w:eastAsiaTheme="minorEastAsia" w:hAnsiTheme="minorHAnsi"/>
              <w:noProof/>
              <w:sz w:val="22"/>
              <w:lang w:val="en-US"/>
            </w:rPr>
          </w:pPr>
          <w:hyperlink w:anchor="_Toc22712740" w:history="1">
            <w:r w:rsidR="00CA63D3" w:rsidRPr="00104AB5">
              <w:rPr>
                <w:rStyle w:val="Hyperlink"/>
                <w:noProof/>
                <w:lang w:val="fr-CA"/>
              </w:rPr>
              <w:t>Agenda and case summaries for November 2019  /  Calendrier et sommaires des causes de novembre 2019</w:t>
            </w:r>
            <w:r w:rsidR="00CA63D3" w:rsidRPr="00104AB5">
              <w:rPr>
                <w:noProof/>
                <w:webHidden/>
              </w:rPr>
              <w:tab/>
            </w:r>
            <w:r w:rsidR="00CA63D3" w:rsidRPr="00104AB5">
              <w:rPr>
                <w:noProof/>
                <w:webHidden/>
              </w:rPr>
              <w:fldChar w:fldCharType="begin"/>
            </w:r>
            <w:r w:rsidR="00CA63D3" w:rsidRPr="00104AB5">
              <w:rPr>
                <w:noProof/>
                <w:webHidden/>
              </w:rPr>
              <w:instrText xml:space="preserve"> PAGEREF _Toc22712740 \h </w:instrText>
            </w:r>
            <w:r w:rsidR="00CA63D3" w:rsidRPr="00104AB5">
              <w:rPr>
                <w:noProof/>
                <w:webHidden/>
              </w:rPr>
            </w:r>
            <w:r w:rsidR="00CA63D3" w:rsidRPr="00104AB5">
              <w:rPr>
                <w:noProof/>
                <w:webHidden/>
              </w:rPr>
              <w:fldChar w:fldCharType="separate"/>
            </w:r>
            <w:r>
              <w:rPr>
                <w:noProof/>
                <w:webHidden/>
              </w:rPr>
              <w:t>22</w:t>
            </w:r>
            <w:r w:rsidR="00CA63D3" w:rsidRPr="00104AB5">
              <w:rPr>
                <w:noProof/>
                <w:webHidden/>
              </w:rPr>
              <w:fldChar w:fldCharType="end"/>
            </w:r>
          </w:hyperlink>
        </w:p>
        <w:p w:rsidR="00560DF1" w:rsidRPr="00104AB5" w:rsidRDefault="00DC6B2E">
          <w:r w:rsidRPr="00104AB5">
            <w:rPr>
              <w:b/>
              <w:bCs/>
              <w:noProof/>
              <w:sz w:val="20"/>
            </w:rPr>
            <w:fldChar w:fldCharType="end"/>
          </w:r>
        </w:p>
      </w:sdtContent>
    </w:sdt>
    <w:p w:rsidR="00560DF1" w:rsidRPr="00104AB5"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104AB5" w:rsidTr="0079724F">
        <w:tc>
          <w:tcPr>
            <w:tcW w:w="9576" w:type="dxa"/>
          </w:tcPr>
          <w:p w:rsidR="0079724F" w:rsidRPr="00104AB5" w:rsidRDefault="0079724F" w:rsidP="00215F7C">
            <w:pPr>
              <w:keepNext/>
              <w:tabs>
                <w:tab w:val="right" w:pos="9360"/>
              </w:tabs>
              <w:jc w:val="center"/>
              <w:rPr>
                <w:szCs w:val="24"/>
              </w:rPr>
            </w:pPr>
            <w:r w:rsidRPr="00104AB5">
              <w:rPr>
                <w:szCs w:val="24"/>
              </w:rPr>
              <w:t>NOTICE</w:t>
            </w:r>
          </w:p>
          <w:p w:rsidR="0079724F" w:rsidRPr="00104AB5" w:rsidRDefault="0079724F" w:rsidP="00215F7C">
            <w:pPr>
              <w:keepNext/>
              <w:tabs>
                <w:tab w:val="right" w:pos="9360"/>
              </w:tabs>
              <w:rPr>
                <w:szCs w:val="24"/>
              </w:rPr>
            </w:pPr>
          </w:p>
          <w:p w:rsidR="0079724F" w:rsidRPr="00104AB5" w:rsidRDefault="0079724F" w:rsidP="00215F7C">
            <w:pPr>
              <w:keepNext/>
              <w:tabs>
                <w:tab w:val="right" w:pos="9360"/>
              </w:tabs>
              <w:jc w:val="both"/>
              <w:rPr>
                <w:szCs w:val="24"/>
              </w:rPr>
            </w:pPr>
            <w:r w:rsidRPr="00104AB5">
              <w:rPr>
                <w:szCs w:val="24"/>
              </w:rPr>
              <w:t>Case summaries included in the Bulletin are prepared by the Office of the Registrar of the Supreme Court of Canada (Law Branch) for information purposes only.</w:t>
            </w:r>
          </w:p>
          <w:p w:rsidR="0079724F" w:rsidRPr="00104AB5" w:rsidRDefault="0079724F" w:rsidP="00215F7C">
            <w:pPr>
              <w:keepNext/>
              <w:tabs>
                <w:tab w:val="right" w:pos="9360"/>
              </w:tabs>
              <w:rPr>
                <w:szCs w:val="24"/>
              </w:rPr>
            </w:pPr>
          </w:p>
          <w:p w:rsidR="0079724F" w:rsidRPr="00104AB5" w:rsidRDefault="0079724F" w:rsidP="00215F7C">
            <w:pPr>
              <w:keepNext/>
              <w:tabs>
                <w:tab w:val="right" w:pos="9360"/>
              </w:tabs>
              <w:rPr>
                <w:szCs w:val="24"/>
              </w:rPr>
            </w:pPr>
          </w:p>
          <w:p w:rsidR="0079724F" w:rsidRPr="00104AB5" w:rsidRDefault="0079724F" w:rsidP="00215F7C">
            <w:pPr>
              <w:keepNext/>
              <w:tabs>
                <w:tab w:val="right" w:pos="9360"/>
              </w:tabs>
              <w:jc w:val="center"/>
              <w:rPr>
                <w:szCs w:val="24"/>
                <w:lang w:val="fr-CA"/>
              </w:rPr>
            </w:pPr>
            <w:r w:rsidRPr="00104AB5">
              <w:rPr>
                <w:szCs w:val="24"/>
                <w:lang w:val="fr-CA"/>
              </w:rPr>
              <w:t>AVIS</w:t>
            </w:r>
          </w:p>
          <w:p w:rsidR="0079724F" w:rsidRPr="00104AB5" w:rsidRDefault="0079724F" w:rsidP="00215F7C">
            <w:pPr>
              <w:keepNext/>
              <w:tabs>
                <w:tab w:val="right" w:pos="9360"/>
              </w:tabs>
              <w:rPr>
                <w:szCs w:val="24"/>
                <w:lang w:val="fr-CA"/>
              </w:rPr>
            </w:pPr>
          </w:p>
          <w:p w:rsidR="0079724F" w:rsidRPr="00104AB5" w:rsidRDefault="0079724F" w:rsidP="004E44A7">
            <w:pPr>
              <w:keepNext/>
              <w:tabs>
                <w:tab w:val="right" w:pos="9360"/>
              </w:tabs>
              <w:jc w:val="both"/>
              <w:rPr>
                <w:sz w:val="20"/>
                <w:szCs w:val="20"/>
                <w:lang w:val="fr-CA"/>
              </w:rPr>
            </w:pPr>
            <w:r w:rsidRPr="00104AB5">
              <w:rPr>
                <w:szCs w:val="24"/>
                <w:lang w:val="fr-CA"/>
              </w:rPr>
              <w:t>Les résumés de</w:t>
            </w:r>
            <w:r w:rsidR="004E44A7" w:rsidRPr="00104AB5">
              <w:rPr>
                <w:szCs w:val="24"/>
                <w:lang w:val="fr-CA"/>
              </w:rPr>
              <w:t>s</w:t>
            </w:r>
            <w:r w:rsidRPr="00104AB5">
              <w:rPr>
                <w:szCs w:val="24"/>
                <w:lang w:val="fr-CA"/>
              </w:rPr>
              <w:t xml:space="preserve"> </w:t>
            </w:r>
            <w:r w:rsidR="004E44A7" w:rsidRPr="00104AB5">
              <w:rPr>
                <w:szCs w:val="24"/>
                <w:lang w:val="fr-CA"/>
              </w:rPr>
              <w:t>causes</w:t>
            </w:r>
            <w:r w:rsidRPr="00104AB5">
              <w:rPr>
                <w:szCs w:val="24"/>
                <w:lang w:val="fr-CA"/>
              </w:rPr>
              <w:t xml:space="preserve"> publiés dans le bulletin sont préparés par le Bureau du registraire (Direction générale du droit) uniquement à titre d’information.</w:t>
            </w:r>
          </w:p>
        </w:tc>
      </w:tr>
    </w:tbl>
    <w:p w:rsidR="0095096B" w:rsidRPr="00104AB5" w:rsidRDefault="0095096B" w:rsidP="0095096B">
      <w:pPr>
        <w:tabs>
          <w:tab w:val="right" w:pos="9360"/>
        </w:tabs>
        <w:rPr>
          <w:lang w:val="fr-CA"/>
        </w:rPr>
      </w:pPr>
    </w:p>
    <w:p w:rsidR="00C01FCB" w:rsidRPr="00104AB5" w:rsidRDefault="00C01FCB" w:rsidP="0095096B">
      <w:pPr>
        <w:tabs>
          <w:tab w:val="right" w:pos="9360"/>
        </w:tabs>
        <w:rPr>
          <w:lang w:val="fr-CA"/>
        </w:rPr>
      </w:pPr>
    </w:p>
    <w:p w:rsidR="00A87207" w:rsidRPr="00104AB5" w:rsidRDefault="00A87207" w:rsidP="0095096B">
      <w:pPr>
        <w:tabs>
          <w:tab w:val="right" w:pos="9360"/>
        </w:tabs>
        <w:rPr>
          <w:lang w:val="fr-CA"/>
        </w:rPr>
        <w:sectPr w:rsidR="00A87207" w:rsidRPr="00104AB5" w:rsidSect="0044776A">
          <w:pgSz w:w="12240" w:h="15840"/>
          <w:pgMar w:top="720" w:right="1152" w:bottom="1080" w:left="1440" w:header="706" w:footer="706" w:gutter="0"/>
          <w:cols w:space="708"/>
          <w:titlePg/>
          <w:docGrid w:linePitch="360"/>
        </w:sectPr>
      </w:pPr>
    </w:p>
    <w:p w:rsidR="00560DF1" w:rsidRPr="00104AB5" w:rsidRDefault="00DD0BDC" w:rsidP="00567602">
      <w:pPr>
        <w:pStyle w:val="Header1StyleE"/>
        <w:pBdr>
          <w:bottom w:val="single" w:sz="12" w:space="1" w:color="auto"/>
        </w:pBdr>
        <w:rPr>
          <w:lang w:val="fr-CA"/>
        </w:rPr>
      </w:pPr>
      <w:bookmarkStart w:id="1" w:name="_Toc22712734"/>
      <w:r w:rsidRPr="00104AB5">
        <w:rPr>
          <w:lang w:val="fr-CA"/>
        </w:rPr>
        <w:lastRenderedPageBreak/>
        <w:t>Applications for leave to appeal filed</w:t>
      </w:r>
      <w:r w:rsidR="00271E1E" w:rsidRPr="00104AB5">
        <w:rPr>
          <w:lang w:val="fr-CA"/>
        </w:rPr>
        <w:t xml:space="preserve"> / </w:t>
      </w:r>
      <w:r w:rsidR="00727571" w:rsidRPr="00104AB5">
        <w:rPr>
          <w:lang w:val="fr-CA"/>
        </w:rPr>
        <w:br/>
      </w:r>
      <w:r w:rsidRPr="00104AB5">
        <w:rPr>
          <w:lang w:val="fr-CA"/>
        </w:rPr>
        <w:t>Demandes d’autorisation d’appel déposées</w:t>
      </w:r>
      <w:bookmarkEnd w:id="1"/>
    </w:p>
    <w:p w:rsidR="00FB1DB6" w:rsidRPr="00104AB5"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104AB5" w:rsidTr="003B3977">
        <w:tc>
          <w:tcPr>
            <w:tcW w:w="4320" w:type="dxa"/>
            <w:shd w:val="clear" w:color="auto" w:fill="auto"/>
          </w:tcPr>
          <w:p w:rsidR="00C21644" w:rsidRPr="00104AB5" w:rsidRDefault="00822D62" w:rsidP="005F1ED8">
            <w:pPr>
              <w:rPr>
                <w:b/>
                <w:sz w:val="20"/>
                <w:szCs w:val="20"/>
                <w:lang w:val="en-US"/>
              </w:rPr>
            </w:pPr>
            <w:r w:rsidRPr="00104AB5">
              <w:rPr>
                <w:b/>
                <w:bCs/>
                <w:sz w:val="20"/>
                <w:szCs w:val="20"/>
              </w:rPr>
              <w:t>Rawia Salman</w:t>
            </w:r>
          </w:p>
          <w:p w:rsidR="00C21644" w:rsidRPr="00104AB5" w:rsidRDefault="00C21644" w:rsidP="005F1ED8">
            <w:pPr>
              <w:tabs>
                <w:tab w:val="left" w:pos="-1440"/>
                <w:tab w:val="left" w:pos="-720"/>
              </w:tabs>
              <w:rPr>
                <w:sz w:val="20"/>
                <w:szCs w:val="20"/>
                <w:lang w:val="en-US"/>
              </w:rPr>
            </w:pPr>
            <w:r w:rsidRPr="00104AB5">
              <w:rPr>
                <w:sz w:val="20"/>
                <w:szCs w:val="20"/>
                <w:lang w:val="en-US"/>
              </w:rPr>
              <w:tab/>
            </w:r>
            <w:r w:rsidR="00C20EA4" w:rsidRPr="00104AB5">
              <w:rPr>
                <w:sz w:val="20"/>
                <w:szCs w:val="20"/>
                <w:lang w:val="en-US"/>
              </w:rPr>
              <w:t>Rawia Salman</w:t>
            </w:r>
          </w:p>
          <w:p w:rsidR="00C21644" w:rsidRPr="00104AB5" w:rsidRDefault="00C21644" w:rsidP="005F1ED8">
            <w:pPr>
              <w:tabs>
                <w:tab w:val="left" w:pos="-1440"/>
                <w:tab w:val="left" w:pos="-720"/>
              </w:tabs>
              <w:rPr>
                <w:sz w:val="20"/>
                <w:szCs w:val="20"/>
                <w:lang w:val="en-US"/>
              </w:rPr>
            </w:pPr>
          </w:p>
          <w:p w:rsidR="00C21644" w:rsidRPr="00104AB5" w:rsidRDefault="00C21644" w:rsidP="005F1ED8">
            <w:pPr>
              <w:tabs>
                <w:tab w:val="left" w:pos="-1440"/>
                <w:tab w:val="left" w:pos="-720"/>
              </w:tabs>
              <w:rPr>
                <w:sz w:val="20"/>
                <w:szCs w:val="20"/>
                <w:lang w:val="en-US"/>
              </w:rPr>
            </w:pPr>
            <w:r w:rsidRPr="00104AB5">
              <w:rPr>
                <w:sz w:val="20"/>
                <w:szCs w:val="20"/>
                <w:lang w:val="en-US"/>
              </w:rPr>
              <w:tab/>
              <w:t>v. (3</w:t>
            </w:r>
            <w:r w:rsidR="00822D62" w:rsidRPr="00104AB5">
              <w:rPr>
                <w:sz w:val="20"/>
                <w:szCs w:val="20"/>
                <w:lang w:val="en-US"/>
              </w:rPr>
              <w:t>8750</w:t>
            </w:r>
            <w:r w:rsidRPr="00104AB5">
              <w:rPr>
                <w:sz w:val="20"/>
                <w:szCs w:val="20"/>
                <w:lang w:val="en-US"/>
              </w:rPr>
              <w:t>)</w:t>
            </w:r>
          </w:p>
          <w:p w:rsidR="00C21644" w:rsidRPr="00104AB5" w:rsidRDefault="00C21644" w:rsidP="005F1ED8">
            <w:pPr>
              <w:tabs>
                <w:tab w:val="left" w:pos="-1440"/>
                <w:tab w:val="left" w:pos="-720"/>
              </w:tabs>
              <w:rPr>
                <w:sz w:val="20"/>
                <w:szCs w:val="20"/>
                <w:lang w:val="en-US"/>
              </w:rPr>
            </w:pPr>
          </w:p>
          <w:p w:rsidR="00C21644" w:rsidRPr="00104AB5" w:rsidRDefault="00822D62" w:rsidP="005F1ED8">
            <w:pPr>
              <w:tabs>
                <w:tab w:val="left" w:pos="-1440"/>
                <w:tab w:val="left" w:pos="-720"/>
              </w:tabs>
              <w:rPr>
                <w:b/>
                <w:sz w:val="20"/>
                <w:szCs w:val="20"/>
                <w:lang w:val="fr-CA"/>
              </w:rPr>
            </w:pPr>
            <w:r w:rsidRPr="00104AB5">
              <w:rPr>
                <w:b/>
                <w:bCs/>
                <w:sz w:val="20"/>
                <w:szCs w:val="20"/>
                <w:lang w:val="fr-CA"/>
              </w:rPr>
              <w:t>Shawn Patey, et al.</w:t>
            </w:r>
            <w:r w:rsidR="00C21644" w:rsidRPr="00104AB5">
              <w:rPr>
                <w:sz w:val="20"/>
                <w:szCs w:val="20"/>
                <w:lang w:val="fr-CA"/>
              </w:rPr>
              <w:t xml:space="preserve"> </w:t>
            </w:r>
            <w:r w:rsidR="00C21644" w:rsidRPr="00104AB5">
              <w:rPr>
                <w:b/>
                <w:sz w:val="20"/>
                <w:szCs w:val="20"/>
                <w:lang w:val="fr-CA"/>
              </w:rPr>
              <w:t>(Ont.)</w:t>
            </w:r>
          </w:p>
          <w:p w:rsidR="00C21644" w:rsidRPr="00104AB5" w:rsidRDefault="00C21644" w:rsidP="005F1ED8">
            <w:pPr>
              <w:tabs>
                <w:tab w:val="left" w:pos="-1440"/>
                <w:tab w:val="left" w:pos="-720"/>
              </w:tabs>
              <w:rPr>
                <w:sz w:val="20"/>
                <w:szCs w:val="20"/>
              </w:rPr>
            </w:pPr>
            <w:r w:rsidRPr="00104AB5">
              <w:rPr>
                <w:sz w:val="20"/>
                <w:szCs w:val="20"/>
                <w:lang w:val="fr-CA"/>
              </w:rPr>
              <w:tab/>
            </w:r>
            <w:r w:rsidR="00C20EA4" w:rsidRPr="00104AB5">
              <w:rPr>
                <w:sz w:val="20"/>
                <w:szCs w:val="20"/>
                <w:lang w:val="en-US"/>
              </w:rPr>
              <w:t>Sack, Susan</w:t>
            </w:r>
          </w:p>
          <w:p w:rsidR="00C21644" w:rsidRPr="00104AB5" w:rsidRDefault="00C21644" w:rsidP="005F1ED8">
            <w:pPr>
              <w:tabs>
                <w:tab w:val="left" w:pos="-1440"/>
                <w:tab w:val="left" w:pos="-720"/>
              </w:tabs>
              <w:rPr>
                <w:sz w:val="20"/>
                <w:szCs w:val="20"/>
              </w:rPr>
            </w:pPr>
            <w:r w:rsidRPr="00104AB5">
              <w:rPr>
                <w:sz w:val="20"/>
                <w:szCs w:val="20"/>
              </w:rPr>
              <w:tab/>
            </w:r>
            <w:r w:rsidR="00C20EA4" w:rsidRPr="00104AB5">
              <w:rPr>
                <w:sz w:val="20"/>
                <w:szCs w:val="20"/>
              </w:rPr>
              <w:t xml:space="preserve">Rosen Sack </w:t>
            </w:r>
            <w:r w:rsidRPr="00104AB5">
              <w:rPr>
                <w:sz w:val="20"/>
                <w:szCs w:val="20"/>
              </w:rPr>
              <w:t>LLP</w:t>
            </w:r>
          </w:p>
          <w:p w:rsidR="00C21644" w:rsidRPr="00104AB5" w:rsidRDefault="00C21644" w:rsidP="005F1ED8">
            <w:pPr>
              <w:tabs>
                <w:tab w:val="left" w:pos="-1440"/>
                <w:tab w:val="left" w:pos="-720"/>
              </w:tabs>
              <w:rPr>
                <w:sz w:val="20"/>
                <w:szCs w:val="20"/>
              </w:rPr>
            </w:pPr>
          </w:p>
          <w:p w:rsidR="00C21644" w:rsidRPr="00104AB5" w:rsidRDefault="00C21644" w:rsidP="005F1ED8">
            <w:pPr>
              <w:rPr>
                <w:sz w:val="20"/>
                <w:szCs w:val="20"/>
              </w:rPr>
            </w:pPr>
            <w:r w:rsidRPr="00104AB5">
              <w:rPr>
                <w:sz w:val="20"/>
                <w:szCs w:val="20"/>
              </w:rPr>
              <w:t xml:space="preserve">FILING DATE: </w:t>
            </w:r>
            <w:r w:rsidR="00684F23" w:rsidRPr="00104AB5">
              <w:rPr>
                <w:sz w:val="20"/>
                <w:szCs w:val="20"/>
              </w:rPr>
              <w:t>Ju</w:t>
            </w:r>
            <w:r w:rsidR="00822D62" w:rsidRPr="00104AB5">
              <w:rPr>
                <w:sz w:val="20"/>
                <w:szCs w:val="20"/>
              </w:rPr>
              <w:t>ne</w:t>
            </w:r>
            <w:r w:rsidR="00684F23" w:rsidRPr="00104AB5">
              <w:rPr>
                <w:sz w:val="20"/>
                <w:szCs w:val="20"/>
              </w:rPr>
              <w:t xml:space="preserve"> 28, 2019</w:t>
            </w:r>
          </w:p>
          <w:p w:rsidR="00C21644" w:rsidRPr="00104AB5" w:rsidRDefault="00B54B7D" w:rsidP="005F1ED8">
            <w:pPr>
              <w:rPr>
                <w:sz w:val="20"/>
                <w:szCs w:val="20"/>
              </w:rPr>
            </w:pPr>
            <w:r w:rsidRPr="00104AB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C21644" w:rsidRPr="00104AB5" w:rsidRDefault="00C21644" w:rsidP="00242AEE">
            <w:pPr>
              <w:jc w:val="center"/>
              <w:rPr>
                <w:sz w:val="20"/>
                <w:szCs w:val="20"/>
              </w:rPr>
            </w:pPr>
          </w:p>
          <w:p w:rsidR="001459B8" w:rsidRPr="00104AB5" w:rsidRDefault="001459B8" w:rsidP="00242AEE">
            <w:pPr>
              <w:jc w:val="center"/>
              <w:rPr>
                <w:sz w:val="20"/>
                <w:szCs w:val="20"/>
              </w:rPr>
            </w:pPr>
          </w:p>
          <w:p w:rsidR="00C21644" w:rsidRPr="00104AB5" w:rsidRDefault="00C21644" w:rsidP="00242AEE">
            <w:pPr>
              <w:jc w:val="center"/>
              <w:rPr>
                <w:sz w:val="20"/>
                <w:szCs w:val="20"/>
              </w:rPr>
            </w:pPr>
          </w:p>
        </w:tc>
        <w:tc>
          <w:tcPr>
            <w:tcW w:w="4320" w:type="dxa"/>
            <w:shd w:val="clear" w:color="auto" w:fill="auto"/>
          </w:tcPr>
          <w:p w:rsidR="005525BD" w:rsidRPr="00104AB5" w:rsidRDefault="005525BD" w:rsidP="005525BD">
            <w:pPr>
              <w:rPr>
                <w:b/>
                <w:sz w:val="20"/>
                <w:szCs w:val="20"/>
                <w:lang w:val="en-US"/>
              </w:rPr>
            </w:pPr>
            <w:r w:rsidRPr="00104AB5">
              <w:rPr>
                <w:b/>
                <w:bCs/>
                <w:sz w:val="20"/>
                <w:szCs w:val="20"/>
              </w:rPr>
              <w:t>James Anthony Manastersky</w:t>
            </w:r>
          </w:p>
          <w:p w:rsidR="005525BD" w:rsidRPr="00104AB5" w:rsidRDefault="005525BD" w:rsidP="005525BD">
            <w:pPr>
              <w:tabs>
                <w:tab w:val="left" w:pos="-1440"/>
                <w:tab w:val="left" w:pos="-720"/>
              </w:tabs>
              <w:rPr>
                <w:sz w:val="20"/>
                <w:szCs w:val="20"/>
                <w:lang w:val="en-US"/>
              </w:rPr>
            </w:pPr>
            <w:r w:rsidRPr="00104AB5">
              <w:rPr>
                <w:sz w:val="20"/>
                <w:szCs w:val="20"/>
                <w:lang w:val="en-US"/>
              </w:rPr>
              <w:tab/>
            </w:r>
            <w:r w:rsidR="00877FBB" w:rsidRPr="00104AB5">
              <w:rPr>
                <w:sz w:val="20"/>
                <w:szCs w:val="20"/>
                <w:lang w:val="en-US"/>
              </w:rPr>
              <w:t>Shapiro, Nancy M.</w:t>
            </w:r>
          </w:p>
          <w:p w:rsidR="00877FBB" w:rsidRPr="00104AB5" w:rsidRDefault="00877FBB" w:rsidP="00877FBB">
            <w:pPr>
              <w:tabs>
                <w:tab w:val="left" w:pos="-1440"/>
                <w:tab w:val="left" w:pos="-720"/>
              </w:tabs>
              <w:rPr>
                <w:sz w:val="20"/>
                <w:szCs w:val="20"/>
                <w:lang w:val="en-US"/>
              </w:rPr>
            </w:pPr>
            <w:r w:rsidRPr="00104AB5">
              <w:rPr>
                <w:sz w:val="20"/>
                <w:szCs w:val="20"/>
                <w:lang w:val="en-US"/>
              </w:rPr>
              <w:tab/>
              <w:t>Koskie Minsky LLP</w:t>
            </w:r>
          </w:p>
          <w:p w:rsidR="005525BD" w:rsidRPr="00104AB5" w:rsidRDefault="005525BD" w:rsidP="005525BD">
            <w:pPr>
              <w:tabs>
                <w:tab w:val="left" w:pos="-1440"/>
                <w:tab w:val="left" w:pos="-720"/>
              </w:tabs>
              <w:rPr>
                <w:sz w:val="20"/>
                <w:szCs w:val="20"/>
                <w:lang w:val="en-US"/>
              </w:rPr>
            </w:pPr>
          </w:p>
          <w:p w:rsidR="005525BD" w:rsidRPr="00104AB5" w:rsidRDefault="005525BD" w:rsidP="005525BD">
            <w:pPr>
              <w:tabs>
                <w:tab w:val="left" w:pos="-1440"/>
                <w:tab w:val="left" w:pos="-720"/>
              </w:tabs>
              <w:rPr>
                <w:sz w:val="20"/>
                <w:szCs w:val="20"/>
                <w:lang w:val="en-US"/>
              </w:rPr>
            </w:pPr>
            <w:r w:rsidRPr="00104AB5">
              <w:rPr>
                <w:sz w:val="20"/>
                <w:szCs w:val="20"/>
                <w:lang w:val="en-US"/>
              </w:rPr>
              <w:tab/>
              <w:t>v. (38788)</w:t>
            </w:r>
          </w:p>
          <w:p w:rsidR="005525BD" w:rsidRPr="00104AB5" w:rsidRDefault="005525BD" w:rsidP="005525BD">
            <w:pPr>
              <w:tabs>
                <w:tab w:val="left" w:pos="-1440"/>
                <w:tab w:val="left" w:pos="-720"/>
              </w:tabs>
              <w:rPr>
                <w:sz w:val="20"/>
                <w:szCs w:val="20"/>
                <w:lang w:val="en-US"/>
              </w:rPr>
            </w:pPr>
          </w:p>
          <w:p w:rsidR="005525BD" w:rsidRPr="00104AB5" w:rsidRDefault="005525BD" w:rsidP="005525BD">
            <w:pPr>
              <w:tabs>
                <w:tab w:val="left" w:pos="-1440"/>
                <w:tab w:val="left" w:pos="-720"/>
              </w:tabs>
              <w:rPr>
                <w:b/>
                <w:sz w:val="20"/>
                <w:szCs w:val="20"/>
                <w:lang w:val="en-US"/>
              </w:rPr>
            </w:pPr>
            <w:r w:rsidRPr="00104AB5">
              <w:rPr>
                <w:b/>
                <w:bCs/>
                <w:sz w:val="20"/>
                <w:szCs w:val="20"/>
                <w:lang w:val="en-US"/>
              </w:rPr>
              <w:t xml:space="preserve">RBC Dominion Securities Inc. </w:t>
            </w:r>
            <w:r w:rsidRPr="00104AB5">
              <w:rPr>
                <w:b/>
                <w:sz w:val="20"/>
                <w:szCs w:val="20"/>
                <w:lang w:val="en-US"/>
              </w:rPr>
              <w:t>(Ont.)</w:t>
            </w:r>
          </w:p>
          <w:p w:rsidR="005525BD" w:rsidRPr="00104AB5" w:rsidRDefault="005525BD" w:rsidP="005525BD">
            <w:pPr>
              <w:tabs>
                <w:tab w:val="left" w:pos="-1440"/>
                <w:tab w:val="left" w:pos="-720"/>
              </w:tabs>
              <w:rPr>
                <w:sz w:val="20"/>
                <w:szCs w:val="20"/>
              </w:rPr>
            </w:pPr>
            <w:r w:rsidRPr="00104AB5">
              <w:rPr>
                <w:sz w:val="20"/>
                <w:szCs w:val="20"/>
                <w:lang w:val="en-US"/>
              </w:rPr>
              <w:tab/>
            </w:r>
            <w:r w:rsidR="00877FBB" w:rsidRPr="00104AB5">
              <w:rPr>
                <w:sz w:val="20"/>
                <w:szCs w:val="20"/>
                <w:lang w:val="en-US"/>
              </w:rPr>
              <w:t>Devereux, Jeremy</w:t>
            </w:r>
          </w:p>
          <w:p w:rsidR="005525BD" w:rsidRPr="00104AB5" w:rsidRDefault="005525BD" w:rsidP="005525BD">
            <w:pPr>
              <w:tabs>
                <w:tab w:val="left" w:pos="-1440"/>
                <w:tab w:val="left" w:pos="-720"/>
              </w:tabs>
              <w:rPr>
                <w:sz w:val="20"/>
                <w:szCs w:val="20"/>
              </w:rPr>
            </w:pPr>
            <w:r w:rsidRPr="00104AB5">
              <w:rPr>
                <w:sz w:val="20"/>
                <w:szCs w:val="20"/>
              </w:rPr>
              <w:tab/>
            </w:r>
            <w:r w:rsidR="00877FBB" w:rsidRPr="00104AB5">
              <w:rPr>
                <w:sz w:val="20"/>
                <w:szCs w:val="20"/>
              </w:rPr>
              <w:t>Norton Rose Fulbright Canada LLP</w:t>
            </w:r>
          </w:p>
          <w:p w:rsidR="005525BD" w:rsidRPr="00104AB5" w:rsidRDefault="005525BD" w:rsidP="005525BD">
            <w:pPr>
              <w:tabs>
                <w:tab w:val="left" w:pos="-1440"/>
                <w:tab w:val="left" w:pos="-720"/>
              </w:tabs>
              <w:rPr>
                <w:sz w:val="20"/>
                <w:szCs w:val="20"/>
              </w:rPr>
            </w:pPr>
          </w:p>
          <w:p w:rsidR="005525BD" w:rsidRPr="00104AB5" w:rsidRDefault="005525BD" w:rsidP="005525BD">
            <w:pPr>
              <w:rPr>
                <w:sz w:val="20"/>
                <w:szCs w:val="20"/>
              </w:rPr>
            </w:pPr>
            <w:r w:rsidRPr="00104AB5">
              <w:rPr>
                <w:sz w:val="20"/>
                <w:szCs w:val="20"/>
              </w:rPr>
              <w:t>FILING DATE: August 29, 2019</w:t>
            </w:r>
          </w:p>
          <w:p w:rsidR="00C21644" w:rsidRPr="00104AB5" w:rsidRDefault="00B54B7D" w:rsidP="00E8544A">
            <w:pPr>
              <w:rPr>
                <w:sz w:val="20"/>
                <w:szCs w:val="20"/>
              </w:rPr>
            </w:pPr>
            <w:r w:rsidRPr="00104AB5">
              <w:rPr>
                <w:sz w:val="20"/>
                <w:szCs w:val="20"/>
                <w:lang w:val="fr-CA"/>
              </w:rPr>
              <w:pict>
                <v:rect id="_x0000_i1026" style="width:108pt;height:1pt" o:hrpct="0" o:hralign="center" o:hrstd="t" o:hrnoshade="t" o:hr="t" fillcolor="black [3213]" stroked="f"/>
              </w:pict>
            </w:r>
          </w:p>
        </w:tc>
      </w:tr>
      <w:tr w:rsidR="00C21644" w:rsidRPr="00104AB5" w:rsidTr="003B3977">
        <w:tc>
          <w:tcPr>
            <w:tcW w:w="4320" w:type="dxa"/>
            <w:shd w:val="clear" w:color="auto" w:fill="auto"/>
          </w:tcPr>
          <w:p w:rsidR="00610A9D" w:rsidRPr="00104AB5" w:rsidRDefault="00600B96" w:rsidP="00610A9D">
            <w:pPr>
              <w:rPr>
                <w:b/>
                <w:sz w:val="20"/>
                <w:szCs w:val="20"/>
                <w:lang w:val="en-US"/>
              </w:rPr>
            </w:pPr>
            <w:r w:rsidRPr="00104AB5">
              <w:rPr>
                <w:b/>
                <w:bCs/>
                <w:sz w:val="20"/>
                <w:szCs w:val="20"/>
              </w:rPr>
              <w:t>Kenneth Hill</w:t>
            </w:r>
          </w:p>
          <w:p w:rsidR="00610A9D" w:rsidRPr="00104AB5" w:rsidRDefault="00610A9D" w:rsidP="00610A9D">
            <w:pPr>
              <w:tabs>
                <w:tab w:val="left" w:pos="-1440"/>
                <w:tab w:val="left" w:pos="-720"/>
              </w:tabs>
              <w:rPr>
                <w:sz w:val="20"/>
                <w:szCs w:val="20"/>
                <w:lang w:val="en-US"/>
              </w:rPr>
            </w:pPr>
            <w:r w:rsidRPr="00104AB5">
              <w:rPr>
                <w:sz w:val="20"/>
                <w:szCs w:val="20"/>
                <w:lang w:val="en-US"/>
              </w:rPr>
              <w:tab/>
              <w:t>So</w:t>
            </w:r>
            <w:r w:rsidR="009C70FE" w:rsidRPr="00104AB5">
              <w:rPr>
                <w:sz w:val="20"/>
                <w:szCs w:val="20"/>
                <w:lang w:val="en-US"/>
              </w:rPr>
              <w:t>lmon, Melvyn L.</w:t>
            </w:r>
          </w:p>
          <w:p w:rsidR="00610A9D" w:rsidRPr="00104AB5" w:rsidRDefault="00610A9D" w:rsidP="00610A9D">
            <w:pPr>
              <w:tabs>
                <w:tab w:val="left" w:pos="-1440"/>
                <w:tab w:val="left" w:pos="-720"/>
              </w:tabs>
              <w:rPr>
                <w:sz w:val="20"/>
                <w:szCs w:val="20"/>
                <w:lang w:val="en-US"/>
              </w:rPr>
            </w:pPr>
            <w:r w:rsidRPr="00104AB5">
              <w:rPr>
                <w:sz w:val="20"/>
                <w:szCs w:val="20"/>
                <w:lang w:val="en-US"/>
              </w:rPr>
              <w:tab/>
            </w:r>
            <w:r w:rsidR="009C70FE" w:rsidRPr="00104AB5">
              <w:rPr>
                <w:sz w:val="20"/>
                <w:szCs w:val="20"/>
              </w:rPr>
              <w:t>Solmon Rothbart Goodman</w:t>
            </w:r>
          </w:p>
          <w:p w:rsidR="00610A9D" w:rsidRPr="00104AB5" w:rsidRDefault="00610A9D" w:rsidP="00610A9D">
            <w:pPr>
              <w:tabs>
                <w:tab w:val="left" w:pos="-1440"/>
                <w:tab w:val="left" w:pos="-720"/>
              </w:tabs>
              <w:rPr>
                <w:sz w:val="20"/>
                <w:szCs w:val="20"/>
                <w:lang w:val="en-US"/>
              </w:rPr>
            </w:pPr>
          </w:p>
          <w:p w:rsidR="00610A9D" w:rsidRPr="00104AB5" w:rsidRDefault="00610A9D" w:rsidP="00610A9D">
            <w:pPr>
              <w:tabs>
                <w:tab w:val="left" w:pos="-1440"/>
                <w:tab w:val="left" w:pos="-720"/>
              </w:tabs>
              <w:rPr>
                <w:sz w:val="20"/>
                <w:szCs w:val="20"/>
                <w:lang w:val="en-US"/>
              </w:rPr>
            </w:pPr>
            <w:r w:rsidRPr="00104AB5">
              <w:rPr>
                <w:sz w:val="20"/>
                <w:szCs w:val="20"/>
                <w:lang w:val="en-US"/>
              </w:rPr>
              <w:tab/>
              <w:t>v. (387</w:t>
            </w:r>
            <w:r w:rsidR="00600B96" w:rsidRPr="00104AB5">
              <w:rPr>
                <w:sz w:val="20"/>
                <w:szCs w:val="20"/>
                <w:lang w:val="en-US"/>
              </w:rPr>
              <w:t>92</w:t>
            </w:r>
            <w:r w:rsidRPr="00104AB5">
              <w:rPr>
                <w:sz w:val="20"/>
                <w:szCs w:val="20"/>
                <w:lang w:val="en-US"/>
              </w:rPr>
              <w:t>)</w:t>
            </w:r>
          </w:p>
          <w:p w:rsidR="00610A9D" w:rsidRPr="00104AB5" w:rsidRDefault="00610A9D" w:rsidP="00610A9D">
            <w:pPr>
              <w:tabs>
                <w:tab w:val="left" w:pos="-1440"/>
                <w:tab w:val="left" w:pos="-720"/>
              </w:tabs>
              <w:rPr>
                <w:sz w:val="20"/>
                <w:szCs w:val="20"/>
                <w:lang w:val="en-US"/>
              </w:rPr>
            </w:pPr>
          </w:p>
          <w:p w:rsidR="00610A9D" w:rsidRPr="00104AB5" w:rsidRDefault="00600B96" w:rsidP="00610A9D">
            <w:pPr>
              <w:tabs>
                <w:tab w:val="left" w:pos="-1440"/>
                <w:tab w:val="left" w:pos="-720"/>
              </w:tabs>
              <w:rPr>
                <w:b/>
                <w:sz w:val="20"/>
                <w:szCs w:val="20"/>
                <w:lang w:val="en-US"/>
              </w:rPr>
            </w:pPr>
            <w:r w:rsidRPr="00104AB5">
              <w:rPr>
                <w:b/>
                <w:bCs/>
                <w:sz w:val="20"/>
                <w:szCs w:val="20"/>
              </w:rPr>
              <w:t>Brittany Beaver</w:t>
            </w:r>
            <w:r w:rsidR="00610A9D" w:rsidRPr="00104AB5">
              <w:rPr>
                <w:b/>
                <w:bCs/>
                <w:sz w:val="20"/>
                <w:szCs w:val="20"/>
                <w:lang w:val="en-US"/>
              </w:rPr>
              <w:t xml:space="preserve"> </w:t>
            </w:r>
            <w:r w:rsidR="00610A9D" w:rsidRPr="00104AB5">
              <w:rPr>
                <w:b/>
                <w:sz w:val="20"/>
                <w:szCs w:val="20"/>
                <w:lang w:val="en-US"/>
              </w:rPr>
              <w:t>(Ont.)</w:t>
            </w:r>
          </w:p>
          <w:p w:rsidR="00610A9D" w:rsidRPr="00104AB5" w:rsidRDefault="00610A9D" w:rsidP="00610A9D">
            <w:pPr>
              <w:tabs>
                <w:tab w:val="left" w:pos="-1440"/>
                <w:tab w:val="left" w:pos="-720"/>
              </w:tabs>
              <w:rPr>
                <w:sz w:val="20"/>
                <w:szCs w:val="20"/>
              </w:rPr>
            </w:pPr>
            <w:r w:rsidRPr="00104AB5">
              <w:rPr>
                <w:sz w:val="20"/>
                <w:szCs w:val="20"/>
                <w:lang w:val="en-US"/>
              </w:rPr>
              <w:tab/>
            </w:r>
            <w:r w:rsidR="009C70FE" w:rsidRPr="00104AB5">
              <w:rPr>
                <w:sz w:val="20"/>
                <w:szCs w:val="20"/>
                <w:lang w:val="en-US"/>
              </w:rPr>
              <w:t>Niman</w:t>
            </w:r>
            <w:r w:rsidRPr="00104AB5">
              <w:rPr>
                <w:sz w:val="20"/>
                <w:szCs w:val="20"/>
                <w:lang w:val="en-US"/>
              </w:rPr>
              <w:t xml:space="preserve">, </w:t>
            </w:r>
            <w:r w:rsidR="009C70FE" w:rsidRPr="00104AB5">
              <w:rPr>
                <w:sz w:val="20"/>
                <w:szCs w:val="20"/>
                <w:lang w:val="en-US"/>
              </w:rPr>
              <w:t>Harold</w:t>
            </w:r>
          </w:p>
          <w:p w:rsidR="00610A9D" w:rsidRPr="00104AB5" w:rsidRDefault="00610A9D" w:rsidP="00610A9D">
            <w:pPr>
              <w:tabs>
                <w:tab w:val="left" w:pos="-1440"/>
                <w:tab w:val="left" w:pos="-720"/>
              </w:tabs>
              <w:rPr>
                <w:sz w:val="20"/>
                <w:szCs w:val="20"/>
              </w:rPr>
            </w:pPr>
            <w:r w:rsidRPr="00104AB5">
              <w:rPr>
                <w:sz w:val="20"/>
                <w:szCs w:val="20"/>
              </w:rPr>
              <w:tab/>
            </w:r>
            <w:r w:rsidR="009C70FE" w:rsidRPr="00104AB5">
              <w:rPr>
                <w:sz w:val="20"/>
                <w:szCs w:val="20"/>
              </w:rPr>
              <w:t>Gelgoot &amp; Partners LLP</w:t>
            </w:r>
          </w:p>
          <w:p w:rsidR="00610A9D" w:rsidRPr="00104AB5" w:rsidRDefault="00610A9D" w:rsidP="00610A9D">
            <w:pPr>
              <w:tabs>
                <w:tab w:val="left" w:pos="-1440"/>
                <w:tab w:val="left" w:pos="-720"/>
              </w:tabs>
              <w:rPr>
                <w:sz w:val="20"/>
                <w:szCs w:val="20"/>
              </w:rPr>
            </w:pPr>
          </w:p>
          <w:p w:rsidR="00610A9D" w:rsidRPr="00104AB5" w:rsidRDefault="00610A9D" w:rsidP="00610A9D">
            <w:pPr>
              <w:rPr>
                <w:sz w:val="20"/>
                <w:szCs w:val="20"/>
              </w:rPr>
            </w:pPr>
            <w:r w:rsidRPr="00104AB5">
              <w:rPr>
                <w:sz w:val="20"/>
                <w:szCs w:val="20"/>
              </w:rPr>
              <w:t xml:space="preserve">FILING DATE: </w:t>
            </w:r>
            <w:r w:rsidR="00600B96" w:rsidRPr="00104AB5">
              <w:rPr>
                <w:sz w:val="20"/>
                <w:szCs w:val="20"/>
              </w:rPr>
              <w:t>September</w:t>
            </w:r>
            <w:r w:rsidRPr="00104AB5">
              <w:rPr>
                <w:sz w:val="20"/>
                <w:szCs w:val="20"/>
              </w:rPr>
              <w:t xml:space="preserve"> </w:t>
            </w:r>
            <w:r w:rsidR="00600B96" w:rsidRPr="00104AB5">
              <w:rPr>
                <w:sz w:val="20"/>
                <w:szCs w:val="20"/>
              </w:rPr>
              <w:t>6</w:t>
            </w:r>
            <w:r w:rsidRPr="00104AB5">
              <w:rPr>
                <w:sz w:val="20"/>
                <w:szCs w:val="20"/>
              </w:rPr>
              <w:t>, 2019</w:t>
            </w:r>
          </w:p>
          <w:p w:rsidR="00C21644" w:rsidRPr="00104AB5" w:rsidRDefault="00B54B7D" w:rsidP="00610A9D">
            <w:pPr>
              <w:rPr>
                <w:sz w:val="20"/>
                <w:szCs w:val="20"/>
                <w:lang w:val="fr-CA"/>
              </w:rPr>
            </w:pPr>
            <w:r w:rsidRPr="00104AB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104AB5" w:rsidRDefault="00C21644"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610A9D" w:rsidRPr="00104AB5" w:rsidRDefault="00610A9D" w:rsidP="00242AEE">
            <w:pPr>
              <w:jc w:val="center"/>
              <w:rPr>
                <w:sz w:val="20"/>
                <w:szCs w:val="20"/>
                <w:lang w:val="fr-CA"/>
              </w:rPr>
            </w:pPr>
          </w:p>
          <w:p w:rsidR="002C6385" w:rsidRPr="00104AB5" w:rsidRDefault="002C6385" w:rsidP="00242AEE">
            <w:pPr>
              <w:jc w:val="center"/>
              <w:rPr>
                <w:sz w:val="20"/>
                <w:szCs w:val="20"/>
                <w:lang w:val="fr-CA"/>
              </w:rPr>
            </w:pPr>
          </w:p>
          <w:p w:rsidR="00610A9D" w:rsidRPr="00104AB5" w:rsidRDefault="00610A9D" w:rsidP="00242AEE">
            <w:pPr>
              <w:jc w:val="center"/>
              <w:rPr>
                <w:sz w:val="20"/>
                <w:szCs w:val="20"/>
                <w:lang w:val="fr-CA"/>
              </w:rPr>
            </w:pPr>
          </w:p>
        </w:tc>
        <w:tc>
          <w:tcPr>
            <w:tcW w:w="4320" w:type="dxa"/>
            <w:shd w:val="clear" w:color="auto" w:fill="auto"/>
          </w:tcPr>
          <w:p w:rsidR="005827DF" w:rsidRPr="00104AB5" w:rsidRDefault="00467D19" w:rsidP="005827DF">
            <w:pPr>
              <w:rPr>
                <w:b/>
                <w:sz w:val="20"/>
                <w:szCs w:val="20"/>
                <w:lang w:val="en-US"/>
              </w:rPr>
            </w:pPr>
            <w:r w:rsidRPr="00104AB5">
              <w:rPr>
                <w:b/>
                <w:bCs/>
                <w:sz w:val="20"/>
                <w:szCs w:val="20"/>
              </w:rPr>
              <w:t>Rain Coast Water Corp.</w:t>
            </w:r>
          </w:p>
          <w:p w:rsidR="005827DF" w:rsidRPr="00104AB5" w:rsidRDefault="005827DF" w:rsidP="005827DF">
            <w:pPr>
              <w:tabs>
                <w:tab w:val="left" w:pos="-1440"/>
                <w:tab w:val="left" w:pos="-720"/>
              </w:tabs>
              <w:rPr>
                <w:sz w:val="20"/>
                <w:szCs w:val="20"/>
                <w:lang w:val="en-US"/>
              </w:rPr>
            </w:pPr>
            <w:r w:rsidRPr="00104AB5">
              <w:rPr>
                <w:sz w:val="20"/>
                <w:szCs w:val="20"/>
                <w:lang w:val="en-US"/>
              </w:rPr>
              <w:tab/>
            </w:r>
            <w:r w:rsidR="00185DD4" w:rsidRPr="00104AB5">
              <w:rPr>
                <w:sz w:val="20"/>
                <w:szCs w:val="20"/>
                <w:lang w:val="en-US"/>
              </w:rPr>
              <w:t>Fairley</w:t>
            </w:r>
            <w:r w:rsidRPr="00104AB5">
              <w:rPr>
                <w:sz w:val="20"/>
                <w:szCs w:val="20"/>
                <w:lang w:val="en-US"/>
              </w:rPr>
              <w:t xml:space="preserve">, </w:t>
            </w:r>
            <w:r w:rsidR="00185DD4" w:rsidRPr="00104AB5">
              <w:rPr>
                <w:sz w:val="20"/>
                <w:szCs w:val="20"/>
                <w:lang w:val="en-US"/>
              </w:rPr>
              <w:t>H. Scott</w:t>
            </w:r>
          </w:p>
          <w:p w:rsidR="005827DF" w:rsidRPr="00104AB5" w:rsidRDefault="005827DF" w:rsidP="005827DF">
            <w:pPr>
              <w:tabs>
                <w:tab w:val="left" w:pos="-1440"/>
                <w:tab w:val="left" w:pos="-720"/>
              </w:tabs>
              <w:rPr>
                <w:sz w:val="20"/>
                <w:szCs w:val="20"/>
                <w:lang w:val="en-US"/>
              </w:rPr>
            </w:pPr>
            <w:r w:rsidRPr="00104AB5">
              <w:rPr>
                <w:sz w:val="20"/>
                <w:szCs w:val="20"/>
                <w:lang w:val="en-US"/>
              </w:rPr>
              <w:tab/>
            </w:r>
            <w:r w:rsidR="00185DD4" w:rsidRPr="00104AB5">
              <w:rPr>
                <w:sz w:val="20"/>
                <w:szCs w:val="20"/>
              </w:rPr>
              <w:t>Cambridge LLP</w:t>
            </w:r>
          </w:p>
          <w:p w:rsidR="005827DF" w:rsidRPr="00104AB5" w:rsidRDefault="005827DF" w:rsidP="005827DF">
            <w:pPr>
              <w:tabs>
                <w:tab w:val="left" w:pos="-1440"/>
                <w:tab w:val="left" w:pos="-720"/>
              </w:tabs>
              <w:rPr>
                <w:sz w:val="20"/>
                <w:szCs w:val="20"/>
                <w:lang w:val="en-US"/>
              </w:rPr>
            </w:pPr>
          </w:p>
          <w:p w:rsidR="005827DF" w:rsidRPr="00104AB5" w:rsidRDefault="005827DF" w:rsidP="005827DF">
            <w:pPr>
              <w:tabs>
                <w:tab w:val="left" w:pos="-1440"/>
                <w:tab w:val="left" w:pos="-720"/>
              </w:tabs>
              <w:rPr>
                <w:sz w:val="20"/>
                <w:szCs w:val="20"/>
                <w:lang w:val="en-US"/>
              </w:rPr>
            </w:pPr>
            <w:r w:rsidRPr="00104AB5">
              <w:rPr>
                <w:sz w:val="20"/>
                <w:szCs w:val="20"/>
                <w:lang w:val="en-US"/>
              </w:rPr>
              <w:tab/>
              <w:t>v. (3879</w:t>
            </w:r>
            <w:r w:rsidR="00516A32" w:rsidRPr="00104AB5">
              <w:rPr>
                <w:sz w:val="20"/>
                <w:szCs w:val="20"/>
                <w:lang w:val="en-US"/>
              </w:rPr>
              <w:t>1</w:t>
            </w:r>
            <w:r w:rsidRPr="00104AB5">
              <w:rPr>
                <w:sz w:val="20"/>
                <w:szCs w:val="20"/>
                <w:lang w:val="en-US"/>
              </w:rPr>
              <w:t>)</w:t>
            </w:r>
          </w:p>
          <w:p w:rsidR="005827DF" w:rsidRPr="00104AB5" w:rsidRDefault="005827DF" w:rsidP="005827DF">
            <w:pPr>
              <w:tabs>
                <w:tab w:val="left" w:pos="-1440"/>
                <w:tab w:val="left" w:pos="-720"/>
              </w:tabs>
              <w:rPr>
                <w:sz w:val="20"/>
                <w:szCs w:val="20"/>
                <w:lang w:val="en-US"/>
              </w:rPr>
            </w:pPr>
          </w:p>
          <w:p w:rsidR="005827DF" w:rsidRPr="00104AB5" w:rsidRDefault="00467D19" w:rsidP="005827DF">
            <w:pPr>
              <w:tabs>
                <w:tab w:val="left" w:pos="-1440"/>
                <w:tab w:val="left" w:pos="-720"/>
              </w:tabs>
              <w:rPr>
                <w:b/>
                <w:sz w:val="20"/>
                <w:szCs w:val="20"/>
                <w:lang w:val="en-US"/>
              </w:rPr>
            </w:pPr>
            <w:r w:rsidRPr="00104AB5">
              <w:rPr>
                <w:b/>
                <w:bCs/>
                <w:sz w:val="20"/>
                <w:szCs w:val="20"/>
              </w:rPr>
              <w:t xml:space="preserve">Her Majesty the Queen in </w:t>
            </w:r>
            <w:r w:rsidR="00F82043" w:rsidRPr="00104AB5">
              <w:rPr>
                <w:b/>
                <w:bCs/>
                <w:sz w:val="20"/>
                <w:szCs w:val="20"/>
              </w:rPr>
              <w:t>R</w:t>
            </w:r>
            <w:r w:rsidRPr="00104AB5">
              <w:rPr>
                <w:b/>
                <w:bCs/>
                <w:sz w:val="20"/>
                <w:szCs w:val="20"/>
              </w:rPr>
              <w:t xml:space="preserve">ight of the Province of British Columbia, et al. </w:t>
            </w:r>
            <w:r w:rsidR="005827DF" w:rsidRPr="00104AB5">
              <w:rPr>
                <w:b/>
                <w:sz w:val="20"/>
                <w:szCs w:val="20"/>
                <w:lang w:val="en-US"/>
              </w:rPr>
              <w:t>(</w:t>
            </w:r>
            <w:r w:rsidR="002C6385" w:rsidRPr="00104AB5">
              <w:rPr>
                <w:b/>
                <w:sz w:val="20"/>
                <w:szCs w:val="20"/>
                <w:lang w:val="en-US"/>
              </w:rPr>
              <w:t>B.C</w:t>
            </w:r>
            <w:r w:rsidR="005827DF" w:rsidRPr="00104AB5">
              <w:rPr>
                <w:b/>
                <w:sz w:val="20"/>
                <w:szCs w:val="20"/>
                <w:lang w:val="en-US"/>
              </w:rPr>
              <w:t>.)</w:t>
            </w:r>
          </w:p>
          <w:p w:rsidR="005827DF" w:rsidRPr="00104AB5" w:rsidRDefault="005827DF" w:rsidP="005827DF">
            <w:pPr>
              <w:tabs>
                <w:tab w:val="left" w:pos="-1440"/>
                <w:tab w:val="left" w:pos="-720"/>
              </w:tabs>
              <w:rPr>
                <w:sz w:val="20"/>
                <w:szCs w:val="20"/>
              </w:rPr>
            </w:pPr>
            <w:r w:rsidRPr="00104AB5">
              <w:rPr>
                <w:sz w:val="20"/>
                <w:szCs w:val="20"/>
                <w:lang w:val="en-US"/>
              </w:rPr>
              <w:tab/>
            </w:r>
            <w:r w:rsidR="00185DD4" w:rsidRPr="00104AB5">
              <w:rPr>
                <w:sz w:val="20"/>
                <w:szCs w:val="20"/>
                <w:lang w:val="en-US"/>
              </w:rPr>
              <w:t>Underwood</w:t>
            </w:r>
            <w:r w:rsidRPr="00104AB5">
              <w:rPr>
                <w:sz w:val="20"/>
                <w:szCs w:val="20"/>
                <w:lang w:val="en-US"/>
              </w:rPr>
              <w:t xml:space="preserve">, </w:t>
            </w:r>
            <w:r w:rsidR="00185DD4" w:rsidRPr="00104AB5">
              <w:rPr>
                <w:sz w:val="20"/>
                <w:szCs w:val="20"/>
                <w:lang w:val="en-US"/>
              </w:rPr>
              <w:t>Graham J.</w:t>
            </w:r>
          </w:p>
          <w:p w:rsidR="005827DF" w:rsidRPr="00104AB5" w:rsidRDefault="005827DF" w:rsidP="005827DF">
            <w:pPr>
              <w:tabs>
                <w:tab w:val="left" w:pos="-1440"/>
                <w:tab w:val="left" w:pos="-720"/>
              </w:tabs>
              <w:rPr>
                <w:sz w:val="20"/>
                <w:szCs w:val="20"/>
              </w:rPr>
            </w:pPr>
            <w:r w:rsidRPr="00104AB5">
              <w:rPr>
                <w:sz w:val="20"/>
                <w:szCs w:val="20"/>
              </w:rPr>
              <w:tab/>
            </w:r>
            <w:r w:rsidR="00185DD4" w:rsidRPr="00104AB5">
              <w:rPr>
                <w:sz w:val="20"/>
                <w:szCs w:val="20"/>
              </w:rPr>
              <w:t>Attorney General of British Columbia</w:t>
            </w:r>
          </w:p>
          <w:p w:rsidR="005827DF" w:rsidRPr="00104AB5" w:rsidRDefault="005827DF" w:rsidP="005827DF">
            <w:pPr>
              <w:tabs>
                <w:tab w:val="left" w:pos="-1440"/>
                <w:tab w:val="left" w:pos="-720"/>
              </w:tabs>
              <w:rPr>
                <w:sz w:val="20"/>
                <w:szCs w:val="20"/>
              </w:rPr>
            </w:pPr>
          </w:p>
          <w:p w:rsidR="005827DF" w:rsidRPr="00104AB5" w:rsidRDefault="005827DF" w:rsidP="005827DF">
            <w:pPr>
              <w:rPr>
                <w:sz w:val="20"/>
                <w:szCs w:val="20"/>
              </w:rPr>
            </w:pPr>
            <w:r w:rsidRPr="00104AB5">
              <w:rPr>
                <w:sz w:val="20"/>
                <w:szCs w:val="20"/>
              </w:rPr>
              <w:t xml:space="preserve">FILING DATE: September </w:t>
            </w:r>
            <w:r w:rsidR="002C6385" w:rsidRPr="00104AB5">
              <w:rPr>
                <w:sz w:val="20"/>
                <w:szCs w:val="20"/>
              </w:rPr>
              <w:t>5</w:t>
            </w:r>
            <w:r w:rsidRPr="00104AB5">
              <w:rPr>
                <w:sz w:val="20"/>
                <w:szCs w:val="20"/>
              </w:rPr>
              <w:t>, 2019</w:t>
            </w:r>
          </w:p>
          <w:p w:rsidR="00C21644" w:rsidRPr="00104AB5" w:rsidRDefault="00B54B7D" w:rsidP="005827DF">
            <w:pPr>
              <w:rPr>
                <w:sz w:val="20"/>
                <w:szCs w:val="20"/>
                <w:lang w:val="fr-CA"/>
              </w:rPr>
            </w:pPr>
            <w:r w:rsidRPr="00104AB5">
              <w:rPr>
                <w:sz w:val="20"/>
                <w:szCs w:val="20"/>
                <w:lang w:val="fr-CA"/>
              </w:rPr>
              <w:pict>
                <v:rect id="_x0000_i1028" style="width:108pt;height:1pt" o:hrpct="0" o:hralign="center" o:hrstd="t" o:hrnoshade="t" o:hr="t" fillcolor="black [3213]" stroked="f"/>
              </w:pict>
            </w:r>
          </w:p>
        </w:tc>
      </w:tr>
      <w:tr w:rsidR="00C21644" w:rsidRPr="00104AB5" w:rsidTr="003B3977">
        <w:tc>
          <w:tcPr>
            <w:tcW w:w="4320" w:type="dxa"/>
            <w:shd w:val="clear" w:color="auto" w:fill="auto"/>
          </w:tcPr>
          <w:p w:rsidR="00AF61BA" w:rsidRPr="00104AB5" w:rsidRDefault="00151DF4" w:rsidP="00AF61BA">
            <w:pPr>
              <w:rPr>
                <w:b/>
                <w:sz w:val="20"/>
                <w:szCs w:val="20"/>
                <w:lang w:val="fr-CA"/>
              </w:rPr>
            </w:pPr>
            <w:r w:rsidRPr="00104AB5">
              <w:rPr>
                <w:b/>
                <w:bCs/>
                <w:sz w:val="20"/>
                <w:szCs w:val="20"/>
                <w:lang w:val="fr-CA"/>
              </w:rPr>
              <w:t>Gize Yebeyo Araya, et al.</w:t>
            </w:r>
          </w:p>
          <w:p w:rsidR="00AF61BA" w:rsidRPr="00104AB5" w:rsidRDefault="00AF61BA" w:rsidP="00AF61BA">
            <w:pPr>
              <w:tabs>
                <w:tab w:val="left" w:pos="-1440"/>
                <w:tab w:val="left" w:pos="-720"/>
              </w:tabs>
              <w:rPr>
                <w:sz w:val="20"/>
                <w:szCs w:val="20"/>
                <w:lang w:val="fr-CA"/>
              </w:rPr>
            </w:pPr>
            <w:r w:rsidRPr="00104AB5">
              <w:rPr>
                <w:sz w:val="20"/>
                <w:szCs w:val="20"/>
                <w:lang w:val="fr-CA"/>
              </w:rPr>
              <w:tab/>
            </w:r>
            <w:r w:rsidR="00B95ED0" w:rsidRPr="00104AB5">
              <w:rPr>
                <w:sz w:val="20"/>
                <w:szCs w:val="20"/>
                <w:lang w:val="fr-CA"/>
              </w:rPr>
              <w:t>Fiorante</w:t>
            </w:r>
            <w:r w:rsidRPr="00104AB5">
              <w:rPr>
                <w:sz w:val="20"/>
                <w:szCs w:val="20"/>
                <w:lang w:val="fr-CA"/>
              </w:rPr>
              <w:t xml:space="preserve">, </w:t>
            </w:r>
            <w:r w:rsidR="00B95ED0" w:rsidRPr="00104AB5">
              <w:rPr>
                <w:sz w:val="20"/>
                <w:szCs w:val="20"/>
                <w:lang w:val="fr-CA"/>
              </w:rPr>
              <w:t>Q.C., Joe</w:t>
            </w:r>
          </w:p>
          <w:p w:rsidR="00AF61BA" w:rsidRPr="00104AB5" w:rsidRDefault="00AF61BA" w:rsidP="00AF61BA">
            <w:pPr>
              <w:tabs>
                <w:tab w:val="left" w:pos="-1440"/>
                <w:tab w:val="left" w:pos="-720"/>
              </w:tabs>
              <w:rPr>
                <w:sz w:val="20"/>
                <w:szCs w:val="20"/>
                <w:lang w:val="fr-CA"/>
              </w:rPr>
            </w:pPr>
            <w:r w:rsidRPr="00104AB5">
              <w:rPr>
                <w:sz w:val="20"/>
                <w:szCs w:val="20"/>
                <w:lang w:val="fr-CA"/>
              </w:rPr>
              <w:tab/>
            </w:r>
            <w:r w:rsidR="00B95ED0" w:rsidRPr="00104AB5">
              <w:rPr>
                <w:sz w:val="20"/>
                <w:szCs w:val="20"/>
                <w:lang w:val="fr-CA"/>
              </w:rPr>
              <w:t>Camp Fiorante Matthews Mogerman</w:t>
            </w:r>
          </w:p>
          <w:p w:rsidR="00AF61BA" w:rsidRPr="00104AB5" w:rsidRDefault="00AF61BA" w:rsidP="00AF61BA">
            <w:pPr>
              <w:tabs>
                <w:tab w:val="left" w:pos="-1440"/>
                <w:tab w:val="left" w:pos="-720"/>
              </w:tabs>
              <w:rPr>
                <w:sz w:val="20"/>
                <w:szCs w:val="20"/>
                <w:lang w:val="fr-CA"/>
              </w:rPr>
            </w:pPr>
          </w:p>
          <w:p w:rsidR="00AF61BA" w:rsidRPr="00104AB5" w:rsidRDefault="00AF61BA" w:rsidP="00AF61BA">
            <w:pPr>
              <w:tabs>
                <w:tab w:val="left" w:pos="-1440"/>
                <w:tab w:val="left" w:pos="-720"/>
              </w:tabs>
              <w:rPr>
                <w:sz w:val="20"/>
                <w:szCs w:val="20"/>
                <w:lang w:val="fr-CA"/>
              </w:rPr>
            </w:pPr>
            <w:r w:rsidRPr="00104AB5">
              <w:rPr>
                <w:sz w:val="20"/>
                <w:szCs w:val="20"/>
                <w:lang w:val="fr-CA"/>
              </w:rPr>
              <w:tab/>
              <w:t>v. (3879</w:t>
            </w:r>
            <w:r w:rsidR="00B95ED0" w:rsidRPr="00104AB5">
              <w:rPr>
                <w:sz w:val="20"/>
                <w:szCs w:val="20"/>
                <w:lang w:val="fr-CA"/>
              </w:rPr>
              <w:t>4</w:t>
            </w:r>
            <w:r w:rsidRPr="00104AB5">
              <w:rPr>
                <w:sz w:val="20"/>
                <w:szCs w:val="20"/>
                <w:lang w:val="fr-CA"/>
              </w:rPr>
              <w:t>)</w:t>
            </w:r>
          </w:p>
          <w:p w:rsidR="00AF61BA" w:rsidRPr="00104AB5" w:rsidRDefault="00AF61BA" w:rsidP="00AF61BA">
            <w:pPr>
              <w:tabs>
                <w:tab w:val="left" w:pos="-1440"/>
                <w:tab w:val="left" w:pos="-720"/>
              </w:tabs>
              <w:rPr>
                <w:sz w:val="20"/>
                <w:szCs w:val="20"/>
                <w:lang w:val="fr-CA"/>
              </w:rPr>
            </w:pPr>
          </w:p>
          <w:p w:rsidR="00AF61BA" w:rsidRPr="00104AB5" w:rsidRDefault="00151DF4" w:rsidP="00AF61BA">
            <w:pPr>
              <w:tabs>
                <w:tab w:val="left" w:pos="-1440"/>
                <w:tab w:val="left" w:pos="-720"/>
              </w:tabs>
              <w:rPr>
                <w:b/>
                <w:sz w:val="20"/>
                <w:szCs w:val="20"/>
                <w:lang w:val="fr-CA"/>
              </w:rPr>
            </w:pPr>
            <w:r w:rsidRPr="00104AB5">
              <w:rPr>
                <w:b/>
                <w:bCs/>
                <w:sz w:val="20"/>
                <w:szCs w:val="20"/>
                <w:lang w:val="fr-CA"/>
              </w:rPr>
              <w:t xml:space="preserve">Nevsun Resources Ltd. </w:t>
            </w:r>
            <w:r w:rsidR="00AF61BA" w:rsidRPr="00104AB5">
              <w:rPr>
                <w:b/>
                <w:sz w:val="20"/>
                <w:szCs w:val="20"/>
                <w:lang w:val="fr-CA"/>
              </w:rPr>
              <w:t>(</w:t>
            </w:r>
            <w:r w:rsidRPr="00104AB5">
              <w:rPr>
                <w:b/>
                <w:sz w:val="20"/>
                <w:szCs w:val="20"/>
                <w:lang w:val="fr-CA"/>
              </w:rPr>
              <w:t>B.C</w:t>
            </w:r>
            <w:r w:rsidR="00AF61BA" w:rsidRPr="00104AB5">
              <w:rPr>
                <w:b/>
                <w:sz w:val="20"/>
                <w:szCs w:val="20"/>
                <w:lang w:val="fr-CA"/>
              </w:rPr>
              <w:t>.)</w:t>
            </w:r>
          </w:p>
          <w:p w:rsidR="00AF61BA" w:rsidRPr="00104AB5" w:rsidRDefault="00AF61BA" w:rsidP="00AF61BA">
            <w:pPr>
              <w:tabs>
                <w:tab w:val="left" w:pos="-1440"/>
                <w:tab w:val="left" w:pos="-720"/>
              </w:tabs>
              <w:rPr>
                <w:sz w:val="20"/>
                <w:szCs w:val="20"/>
                <w:lang w:val="fr-CA"/>
              </w:rPr>
            </w:pPr>
            <w:r w:rsidRPr="00104AB5">
              <w:rPr>
                <w:sz w:val="20"/>
                <w:szCs w:val="20"/>
                <w:lang w:val="fr-CA"/>
              </w:rPr>
              <w:tab/>
              <w:t>Na</w:t>
            </w:r>
            <w:r w:rsidR="0025020B" w:rsidRPr="00104AB5">
              <w:rPr>
                <w:sz w:val="20"/>
                <w:szCs w:val="20"/>
                <w:lang w:val="fr-CA"/>
              </w:rPr>
              <w:t>thanson</w:t>
            </w:r>
            <w:r w:rsidRPr="00104AB5">
              <w:rPr>
                <w:sz w:val="20"/>
                <w:szCs w:val="20"/>
                <w:lang w:val="fr-CA"/>
              </w:rPr>
              <w:t xml:space="preserve">, </w:t>
            </w:r>
            <w:r w:rsidR="0025020B" w:rsidRPr="00104AB5">
              <w:rPr>
                <w:sz w:val="20"/>
                <w:szCs w:val="20"/>
                <w:lang w:val="fr-CA"/>
              </w:rPr>
              <w:t>Andrew I.</w:t>
            </w:r>
          </w:p>
          <w:p w:rsidR="00AF61BA" w:rsidRPr="00104AB5" w:rsidRDefault="00AF61BA" w:rsidP="00AF61BA">
            <w:pPr>
              <w:tabs>
                <w:tab w:val="left" w:pos="-1440"/>
                <w:tab w:val="left" w:pos="-720"/>
              </w:tabs>
              <w:rPr>
                <w:sz w:val="20"/>
                <w:szCs w:val="20"/>
                <w:lang w:val="fr-CA"/>
              </w:rPr>
            </w:pPr>
            <w:r w:rsidRPr="00104AB5">
              <w:rPr>
                <w:sz w:val="20"/>
                <w:szCs w:val="20"/>
                <w:lang w:val="fr-CA"/>
              </w:rPr>
              <w:tab/>
            </w:r>
            <w:proofErr w:type="spellStart"/>
            <w:r w:rsidR="0025020B" w:rsidRPr="00104AB5">
              <w:rPr>
                <w:sz w:val="20"/>
                <w:szCs w:val="20"/>
                <w:lang w:val="fr-CA"/>
              </w:rPr>
              <w:t>Fasken</w:t>
            </w:r>
            <w:proofErr w:type="spellEnd"/>
            <w:r w:rsidR="0025020B" w:rsidRPr="00104AB5">
              <w:rPr>
                <w:sz w:val="20"/>
                <w:szCs w:val="20"/>
                <w:lang w:val="fr-CA"/>
              </w:rPr>
              <w:t xml:space="preserve"> Martineau </w:t>
            </w:r>
            <w:proofErr w:type="spellStart"/>
            <w:r w:rsidR="0025020B" w:rsidRPr="00104AB5">
              <w:rPr>
                <w:sz w:val="20"/>
                <w:szCs w:val="20"/>
                <w:lang w:val="fr-CA"/>
              </w:rPr>
              <w:t>DuMoulin</w:t>
            </w:r>
            <w:proofErr w:type="spellEnd"/>
            <w:r w:rsidR="0025020B" w:rsidRPr="00104AB5">
              <w:rPr>
                <w:sz w:val="20"/>
                <w:szCs w:val="20"/>
                <w:lang w:val="fr-CA"/>
              </w:rPr>
              <w:t xml:space="preserve"> LLP</w:t>
            </w:r>
          </w:p>
          <w:p w:rsidR="00AF61BA" w:rsidRPr="00104AB5" w:rsidRDefault="00AF61BA" w:rsidP="00AF61BA">
            <w:pPr>
              <w:tabs>
                <w:tab w:val="left" w:pos="-1440"/>
                <w:tab w:val="left" w:pos="-720"/>
              </w:tabs>
              <w:rPr>
                <w:sz w:val="20"/>
                <w:szCs w:val="20"/>
                <w:lang w:val="fr-CA"/>
              </w:rPr>
            </w:pPr>
          </w:p>
          <w:p w:rsidR="00AF61BA" w:rsidRPr="00104AB5" w:rsidRDefault="00AF61BA" w:rsidP="00AF61BA">
            <w:pPr>
              <w:rPr>
                <w:sz w:val="20"/>
                <w:szCs w:val="20"/>
              </w:rPr>
            </w:pPr>
            <w:r w:rsidRPr="00104AB5">
              <w:rPr>
                <w:sz w:val="20"/>
                <w:szCs w:val="20"/>
              </w:rPr>
              <w:t xml:space="preserve">FILING DATE: September </w:t>
            </w:r>
            <w:r w:rsidR="00151DF4" w:rsidRPr="00104AB5">
              <w:rPr>
                <w:sz w:val="20"/>
                <w:szCs w:val="20"/>
              </w:rPr>
              <w:t>9</w:t>
            </w:r>
            <w:r w:rsidRPr="00104AB5">
              <w:rPr>
                <w:sz w:val="20"/>
                <w:szCs w:val="20"/>
              </w:rPr>
              <w:t>, 2019</w:t>
            </w:r>
          </w:p>
          <w:p w:rsidR="00C21644" w:rsidRPr="00104AB5" w:rsidRDefault="00B54B7D" w:rsidP="00AF61BA">
            <w:pPr>
              <w:rPr>
                <w:sz w:val="20"/>
                <w:szCs w:val="20"/>
                <w:lang w:val="fr-CA"/>
              </w:rPr>
            </w:pPr>
            <w:r w:rsidRPr="00104AB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602731" w:rsidRPr="00104AB5" w:rsidRDefault="00602731" w:rsidP="005827DF">
            <w:pPr>
              <w:jc w:val="center"/>
              <w:rPr>
                <w:sz w:val="20"/>
                <w:szCs w:val="20"/>
                <w:lang w:val="fr-CA"/>
              </w:rPr>
            </w:pPr>
          </w:p>
          <w:p w:rsidR="00602731" w:rsidRPr="00104AB5" w:rsidRDefault="00602731" w:rsidP="005827DF">
            <w:pPr>
              <w:jc w:val="center"/>
              <w:rPr>
                <w:sz w:val="20"/>
                <w:szCs w:val="20"/>
                <w:lang w:val="fr-CA"/>
              </w:rPr>
            </w:pPr>
          </w:p>
          <w:p w:rsidR="00602731" w:rsidRPr="00104AB5" w:rsidRDefault="00602731" w:rsidP="005827DF">
            <w:pPr>
              <w:jc w:val="center"/>
              <w:rPr>
                <w:sz w:val="20"/>
                <w:szCs w:val="20"/>
                <w:lang w:val="fr-CA"/>
              </w:rPr>
            </w:pPr>
          </w:p>
          <w:p w:rsidR="00C21644" w:rsidRPr="00104AB5" w:rsidRDefault="00C21644" w:rsidP="00242AEE">
            <w:pPr>
              <w:jc w:val="center"/>
              <w:rPr>
                <w:sz w:val="20"/>
                <w:szCs w:val="20"/>
                <w:lang w:val="fr-CA"/>
              </w:rPr>
            </w:pPr>
          </w:p>
        </w:tc>
        <w:tc>
          <w:tcPr>
            <w:tcW w:w="4320" w:type="dxa"/>
            <w:shd w:val="clear" w:color="auto" w:fill="auto"/>
          </w:tcPr>
          <w:p w:rsidR="0086262A" w:rsidRPr="00104AB5" w:rsidRDefault="0086262A" w:rsidP="0086262A">
            <w:pPr>
              <w:rPr>
                <w:b/>
                <w:sz w:val="20"/>
                <w:szCs w:val="20"/>
                <w:lang w:val="en-US"/>
              </w:rPr>
            </w:pPr>
            <w:r w:rsidRPr="00104AB5">
              <w:rPr>
                <w:b/>
                <w:bCs/>
                <w:sz w:val="20"/>
                <w:szCs w:val="20"/>
              </w:rPr>
              <w:t>Roger Southwind, for himself, and on behalf of the members of the Lac Seul Band of Indians, et al.</w:t>
            </w:r>
          </w:p>
          <w:p w:rsidR="0086262A" w:rsidRPr="00104AB5" w:rsidRDefault="0086262A" w:rsidP="0086262A">
            <w:pPr>
              <w:tabs>
                <w:tab w:val="left" w:pos="-1440"/>
                <w:tab w:val="left" w:pos="-720"/>
              </w:tabs>
              <w:rPr>
                <w:sz w:val="20"/>
                <w:szCs w:val="20"/>
                <w:lang w:val="en-US"/>
              </w:rPr>
            </w:pPr>
            <w:r w:rsidRPr="00104AB5">
              <w:rPr>
                <w:sz w:val="20"/>
                <w:szCs w:val="20"/>
                <w:lang w:val="en-US"/>
              </w:rPr>
              <w:tab/>
            </w:r>
            <w:r w:rsidR="00602731" w:rsidRPr="00104AB5">
              <w:rPr>
                <w:sz w:val="20"/>
                <w:szCs w:val="20"/>
                <w:lang w:val="en-US"/>
              </w:rPr>
              <w:t>Kyle</w:t>
            </w:r>
            <w:r w:rsidRPr="00104AB5">
              <w:rPr>
                <w:sz w:val="20"/>
                <w:szCs w:val="20"/>
                <w:lang w:val="en-US"/>
              </w:rPr>
              <w:t xml:space="preserve">, </w:t>
            </w:r>
            <w:r w:rsidR="00602731" w:rsidRPr="00104AB5">
              <w:rPr>
                <w:sz w:val="20"/>
                <w:szCs w:val="20"/>
                <w:lang w:val="en-US"/>
              </w:rPr>
              <w:t>Rosanne</w:t>
            </w:r>
          </w:p>
          <w:p w:rsidR="00602731" w:rsidRPr="00104AB5" w:rsidRDefault="0086262A" w:rsidP="00602731">
            <w:pPr>
              <w:tabs>
                <w:tab w:val="left" w:pos="-1440"/>
                <w:tab w:val="left" w:pos="-720"/>
              </w:tabs>
              <w:rPr>
                <w:sz w:val="20"/>
                <w:szCs w:val="20"/>
                <w:lang w:val="en-US"/>
              </w:rPr>
            </w:pPr>
            <w:r w:rsidRPr="00104AB5">
              <w:rPr>
                <w:sz w:val="20"/>
                <w:szCs w:val="20"/>
                <w:lang w:val="en-US"/>
              </w:rPr>
              <w:tab/>
            </w:r>
            <w:r w:rsidR="00602731" w:rsidRPr="00104AB5">
              <w:rPr>
                <w:sz w:val="20"/>
                <w:szCs w:val="20"/>
                <w:lang w:val="en-US"/>
              </w:rPr>
              <w:t xml:space="preserve">Mandell </w:t>
            </w:r>
            <w:proofErr w:type="spellStart"/>
            <w:r w:rsidR="00602731" w:rsidRPr="00104AB5">
              <w:rPr>
                <w:sz w:val="20"/>
                <w:szCs w:val="20"/>
                <w:lang w:val="en-US"/>
              </w:rPr>
              <w:t>Pinder</w:t>
            </w:r>
            <w:proofErr w:type="spellEnd"/>
            <w:r w:rsidR="00602731" w:rsidRPr="00104AB5">
              <w:rPr>
                <w:sz w:val="20"/>
                <w:szCs w:val="20"/>
                <w:lang w:val="en-US"/>
              </w:rPr>
              <w:t xml:space="preserve"> LLP</w:t>
            </w:r>
          </w:p>
          <w:p w:rsidR="0086262A" w:rsidRPr="00104AB5" w:rsidRDefault="0086262A" w:rsidP="0086262A">
            <w:pPr>
              <w:tabs>
                <w:tab w:val="left" w:pos="-1440"/>
                <w:tab w:val="left" w:pos="-720"/>
              </w:tabs>
              <w:rPr>
                <w:sz w:val="20"/>
                <w:szCs w:val="20"/>
                <w:lang w:val="en-US"/>
              </w:rPr>
            </w:pPr>
          </w:p>
          <w:p w:rsidR="0086262A" w:rsidRPr="00104AB5" w:rsidRDefault="0086262A" w:rsidP="0086262A">
            <w:pPr>
              <w:tabs>
                <w:tab w:val="left" w:pos="-1440"/>
                <w:tab w:val="left" w:pos="-720"/>
              </w:tabs>
              <w:rPr>
                <w:sz w:val="20"/>
                <w:szCs w:val="20"/>
                <w:lang w:val="en-US"/>
              </w:rPr>
            </w:pPr>
            <w:r w:rsidRPr="00104AB5">
              <w:rPr>
                <w:sz w:val="20"/>
                <w:szCs w:val="20"/>
                <w:lang w:val="en-US"/>
              </w:rPr>
              <w:tab/>
              <w:t>v. (38795)</w:t>
            </w:r>
          </w:p>
          <w:p w:rsidR="0086262A" w:rsidRPr="00104AB5" w:rsidRDefault="0086262A" w:rsidP="0086262A">
            <w:pPr>
              <w:tabs>
                <w:tab w:val="left" w:pos="-1440"/>
                <w:tab w:val="left" w:pos="-720"/>
              </w:tabs>
              <w:rPr>
                <w:sz w:val="20"/>
                <w:szCs w:val="20"/>
                <w:lang w:val="en-US"/>
              </w:rPr>
            </w:pPr>
          </w:p>
          <w:p w:rsidR="0086262A" w:rsidRPr="00104AB5" w:rsidRDefault="00F82043" w:rsidP="0086262A">
            <w:pPr>
              <w:tabs>
                <w:tab w:val="left" w:pos="-1440"/>
                <w:tab w:val="left" w:pos="-720"/>
              </w:tabs>
              <w:rPr>
                <w:b/>
                <w:sz w:val="20"/>
                <w:szCs w:val="20"/>
                <w:lang w:val="en-US"/>
              </w:rPr>
            </w:pPr>
            <w:r w:rsidRPr="00104AB5">
              <w:rPr>
                <w:b/>
                <w:bCs/>
                <w:sz w:val="20"/>
                <w:szCs w:val="20"/>
              </w:rPr>
              <w:t xml:space="preserve">Her Majesty the Queen in Right of Canada, et al. </w:t>
            </w:r>
            <w:r w:rsidR="0086262A" w:rsidRPr="00104AB5">
              <w:rPr>
                <w:b/>
                <w:sz w:val="20"/>
                <w:szCs w:val="20"/>
                <w:lang w:val="en-US"/>
              </w:rPr>
              <w:t>(F.C.)</w:t>
            </w:r>
          </w:p>
          <w:p w:rsidR="0086262A" w:rsidRPr="00104AB5" w:rsidRDefault="0086262A" w:rsidP="0086262A">
            <w:pPr>
              <w:tabs>
                <w:tab w:val="left" w:pos="-1440"/>
                <w:tab w:val="left" w:pos="-720"/>
              </w:tabs>
              <w:rPr>
                <w:sz w:val="20"/>
                <w:szCs w:val="20"/>
                <w:lang w:val="en-US"/>
              </w:rPr>
            </w:pPr>
            <w:r w:rsidRPr="00104AB5">
              <w:rPr>
                <w:sz w:val="20"/>
                <w:szCs w:val="20"/>
                <w:lang w:val="en-US"/>
              </w:rPr>
              <w:tab/>
            </w:r>
            <w:r w:rsidR="00A71801" w:rsidRPr="00104AB5">
              <w:rPr>
                <w:sz w:val="20"/>
                <w:szCs w:val="20"/>
                <w:lang w:val="en-US"/>
              </w:rPr>
              <w:t>Roach</w:t>
            </w:r>
            <w:r w:rsidRPr="00104AB5">
              <w:rPr>
                <w:sz w:val="20"/>
                <w:szCs w:val="20"/>
                <w:lang w:val="en-US"/>
              </w:rPr>
              <w:t xml:space="preserve">, </w:t>
            </w:r>
            <w:r w:rsidR="00A71801" w:rsidRPr="00104AB5">
              <w:rPr>
                <w:sz w:val="20"/>
                <w:szCs w:val="20"/>
                <w:lang w:val="en-US"/>
              </w:rPr>
              <w:t>Michael</w:t>
            </w:r>
          </w:p>
          <w:p w:rsidR="00A71801" w:rsidRPr="00104AB5" w:rsidRDefault="0086262A" w:rsidP="00A71801">
            <w:pPr>
              <w:tabs>
                <w:tab w:val="left" w:pos="-1440"/>
                <w:tab w:val="left" w:pos="-720"/>
              </w:tabs>
              <w:rPr>
                <w:sz w:val="20"/>
                <w:szCs w:val="20"/>
                <w:lang w:val="en-US"/>
              </w:rPr>
            </w:pPr>
            <w:r w:rsidRPr="00104AB5">
              <w:rPr>
                <w:sz w:val="20"/>
                <w:szCs w:val="20"/>
                <w:lang w:val="en-US"/>
              </w:rPr>
              <w:tab/>
            </w:r>
            <w:r w:rsidR="00A71801" w:rsidRPr="00104AB5">
              <w:rPr>
                <w:sz w:val="20"/>
                <w:szCs w:val="20"/>
                <w:lang w:val="en-US"/>
              </w:rPr>
              <w:t>Attorney General of Canada</w:t>
            </w:r>
          </w:p>
          <w:p w:rsidR="0086262A" w:rsidRPr="00104AB5" w:rsidRDefault="0086262A" w:rsidP="0086262A">
            <w:pPr>
              <w:tabs>
                <w:tab w:val="left" w:pos="-1440"/>
                <w:tab w:val="left" w:pos="-720"/>
              </w:tabs>
              <w:rPr>
                <w:sz w:val="20"/>
                <w:szCs w:val="20"/>
                <w:lang w:val="en-US"/>
              </w:rPr>
            </w:pPr>
          </w:p>
          <w:p w:rsidR="0086262A" w:rsidRPr="00104AB5" w:rsidRDefault="0086262A" w:rsidP="0086262A">
            <w:pPr>
              <w:rPr>
                <w:sz w:val="20"/>
                <w:szCs w:val="20"/>
              </w:rPr>
            </w:pPr>
            <w:r w:rsidRPr="00104AB5">
              <w:rPr>
                <w:sz w:val="20"/>
                <w:szCs w:val="20"/>
              </w:rPr>
              <w:t>FILING DATE: September 9, 2019</w:t>
            </w:r>
          </w:p>
          <w:p w:rsidR="00C21644" w:rsidRPr="00104AB5" w:rsidRDefault="00B54B7D" w:rsidP="0086262A">
            <w:pPr>
              <w:rPr>
                <w:sz w:val="20"/>
                <w:szCs w:val="20"/>
                <w:lang w:val="fr-CA"/>
              </w:rPr>
            </w:pPr>
            <w:r w:rsidRPr="00104AB5">
              <w:rPr>
                <w:sz w:val="20"/>
                <w:szCs w:val="20"/>
                <w:lang w:val="fr-CA"/>
              </w:rPr>
              <w:pict>
                <v:rect id="_x0000_i1030" style="width:108pt;height:1pt" o:hrpct="0" o:hralign="center" o:hrstd="t" o:hrnoshade="t" o:hr="t" fillcolor="black [3213]" stroked="f"/>
              </w:pict>
            </w:r>
          </w:p>
        </w:tc>
      </w:tr>
    </w:tbl>
    <w:p w:rsidR="00C54F58" w:rsidRPr="00104AB5" w:rsidRDefault="00C54F58">
      <w:r w:rsidRPr="00104AB5">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827DF" w:rsidRPr="00104AB5" w:rsidTr="003B3977">
        <w:tc>
          <w:tcPr>
            <w:tcW w:w="4320" w:type="dxa"/>
            <w:shd w:val="clear" w:color="auto" w:fill="auto"/>
          </w:tcPr>
          <w:p w:rsidR="00E43156" w:rsidRPr="00104AB5" w:rsidRDefault="00E43156" w:rsidP="00E43156">
            <w:pPr>
              <w:rPr>
                <w:b/>
                <w:sz w:val="20"/>
                <w:szCs w:val="20"/>
                <w:lang w:val="en-US"/>
              </w:rPr>
            </w:pPr>
            <w:r w:rsidRPr="00104AB5">
              <w:rPr>
                <w:b/>
                <w:bCs/>
                <w:sz w:val="20"/>
                <w:szCs w:val="20"/>
              </w:rPr>
              <w:lastRenderedPageBreak/>
              <w:t>Kristy Nicole Ironstand</w:t>
            </w:r>
          </w:p>
          <w:p w:rsidR="00E43156" w:rsidRPr="00104AB5" w:rsidRDefault="00E43156" w:rsidP="00E43156">
            <w:pPr>
              <w:tabs>
                <w:tab w:val="left" w:pos="-1440"/>
                <w:tab w:val="left" w:pos="-720"/>
              </w:tabs>
              <w:rPr>
                <w:sz w:val="20"/>
                <w:szCs w:val="20"/>
                <w:lang w:val="en-US"/>
              </w:rPr>
            </w:pPr>
            <w:r w:rsidRPr="00104AB5">
              <w:rPr>
                <w:sz w:val="20"/>
                <w:szCs w:val="20"/>
                <w:lang w:val="en-US"/>
              </w:rPr>
              <w:tab/>
            </w:r>
            <w:r w:rsidR="00742348" w:rsidRPr="00104AB5">
              <w:rPr>
                <w:sz w:val="20"/>
                <w:szCs w:val="20"/>
                <w:lang w:val="en-US"/>
              </w:rPr>
              <w:t>Histed</w:t>
            </w:r>
            <w:r w:rsidRPr="00104AB5">
              <w:rPr>
                <w:sz w:val="20"/>
                <w:szCs w:val="20"/>
                <w:lang w:val="en-US"/>
              </w:rPr>
              <w:t xml:space="preserve">, </w:t>
            </w:r>
            <w:r w:rsidR="00742348" w:rsidRPr="00104AB5">
              <w:rPr>
                <w:sz w:val="20"/>
                <w:szCs w:val="20"/>
                <w:lang w:val="en-US"/>
              </w:rPr>
              <w:t>R. Ian</w:t>
            </w:r>
          </w:p>
          <w:p w:rsidR="00742348" w:rsidRPr="00104AB5" w:rsidRDefault="00E43156" w:rsidP="00742348">
            <w:pPr>
              <w:tabs>
                <w:tab w:val="left" w:pos="-1440"/>
                <w:tab w:val="left" w:pos="-720"/>
              </w:tabs>
              <w:rPr>
                <w:sz w:val="20"/>
                <w:szCs w:val="20"/>
                <w:lang w:val="en-US"/>
              </w:rPr>
            </w:pPr>
            <w:r w:rsidRPr="00104AB5">
              <w:rPr>
                <w:sz w:val="20"/>
                <w:szCs w:val="20"/>
                <w:lang w:val="en-US"/>
              </w:rPr>
              <w:tab/>
            </w:r>
            <w:r w:rsidR="00742348" w:rsidRPr="00104AB5">
              <w:rPr>
                <w:sz w:val="20"/>
                <w:szCs w:val="20"/>
                <w:lang w:val="en-US"/>
              </w:rPr>
              <w:t>DownTown Legal Action</w:t>
            </w:r>
          </w:p>
          <w:p w:rsidR="00E43156" w:rsidRPr="00104AB5" w:rsidRDefault="00E43156" w:rsidP="00E43156">
            <w:pPr>
              <w:tabs>
                <w:tab w:val="left" w:pos="-1440"/>
                <w:tab w:val="left" w:pos="-720"/>
              </w:tabs>
              <w:rPr>
                <w:sz w:val="20"/>
                <w:szCs w:val="20"/>
                <w:lang w:val="en-US"/>
              </w:rPr>
            </w:pPr>
          </w:p>
          <w:p w:rsidR="00E43156" w:rsidRPr="00104AB5" w:rsidRDefault="00E43156" w:rsidP="00E43156">
            <w:pPr>
              <w:tabs>
                <w:tab w:val="left" w:pos="-1440"/>
                <w:tab w:val="left" w:pos="-720"/>
              </w:tabs>
              <w:rPr>
                <w:sz w:val="20"/>
                <w:szCs w:val="20"/>
                <w:lang w:val="en-US"/>
              </w:rPr>
            </w:pPr>
            <w:r w:rsidRPr="00104AB5">
              <w:rPr>
                <w:sz w:val="20"/>
                <w:szCs w:val="20"/>
                <w:lang w:val="en-US"/>
              </w:rPr>
              <w:tab/>
              <w:t>v. (38796)</w:t>
            </w:r>
          </w:p>
          <w:p w:rsidR="00E43156" w:rsidRPr="00104AB5" w:rsidRDefault="00E43156" w:rsidP="00E43156">
            <w:pPr>
              <w:tabs>
                <w:tab w:val="left" w:pos="-1440"/>
                <w:tab w:val="left" w:pos="-720"/>
              </w:tabs>
              <w:rPr>
                <w:sz w:val="20"/>
                <w:szCs w:val="20"/>
                <w:lang w:val="en-US"/>
              </w:rPr>
            </w:pPr>
          </w:p>
          <w:p w:rsidR="00E43156" w:rsidRPr="00104AB5" w:rsidRDefault="00E43156" w:rsidP="00E43156">
            <w:pPr>
              <w:tabs>
                <w:tab w:val="left" w:pos="-1440"/>
                <w:tab w:val="left" w:pos="-720"/>
              </w:tabs>
              <w:rPr>
                <w:b/>
                <w:sz w:val="20"/>
                <w:szCs w:val="20"/>
                <w:lang w:val="en-US"/>
              </w:rPr>
            </w:pPr>
            <w:r w:rsidRPr="00104AB5">
              <w:rPr>
                <w:b/>
                <w:bCs/>
                <w:sz w:val="20"/>
                <w:szCs w:val="20"/>
              </w:rPr>
              <w:t>City of Winnipeg, et al.</w:t>
            </w:r>
            <w:r w:rsidRPr="00104AB5">
              <w:rPr>
                <w:b/>
                <w:bCs/>
                <w:sz w:val="20"/>
                <w:szCs w:val="20"/>
                <w:lang w:val="en-US"/>
              </w:rPr>
              <w:t xml:space="preserve"> </w:t>
            </w:r>
            <w:r w:rsidRPr="00104AB5">
              <w:rPr>
                <w:b/>
                <w:sz w:val="20"/>
                <w:szCs w:val="20"/>
                <w:lang w:val="en-US"/>
              </w:rPr>
              <w:t>(Man.)</w:t>
            </w:r>
          </w:p>
          <w:p w:rsidR="00E43156" w:rsidRPr="00104AB5" w:rsidRDefault="00E43156" w:rsidP="00E43156">
            <w:pPr>
              <w:tabs>
                <w:tab w:val="left" w:pos="-1440"/>
                <w:tab w:val="left" w:pos="-720"/>
              </w:tabs>
              <w:rPr>
                <w:sz w:val="20"/>
                <w:szCs w:val="20"/>
                <w:lang w:val="en-US"/>
              </w:rPr>
            </w:pPr>
            <w:r w:rsidRPr="00104AB5">
              <w:rPr>
                <w:sz w:val="20"/>
                <w:szCs w:val="20"/>
                <w:lang w:val="en-US"/>
              </w:rPr>
              <w:tab/>
            </w:r>
            <w:r w:rsidR="00742348" w:rsidRPr="00104AB5">
              <w:rPr>
                <w:sz w:val="20"/>
                <w:szCs w:val="20"/>
                <w:lang w:val="en-US"/>
              </w:rPr>
              <w:t>Pledger</w:t>
            </w:r>
            <w:r w:rsidRPr="00104AB5">
              <w:rPr>
                <w:sz w:val="20"/>
                <w:szCs w:val="20"/>
                <w:lang w:val="en-US"/>
              </w:rPr>
              <w:t>, A</w:t>
            </w:r>
            <w:r w:rsidR="00742348" w:rsidRPr="00104AB5">
              <w:rPr>
                <w:sz w:val="20"/>
                <w:szCs w:val="20"/>
                <w:lang w:val="en-US"/>
              </w:rPr>
              <w:t>shley</w:t>
            </w:r>
          </w:p>
          <w:p w:rsidR="00E43156" w:rsidRPr="00104AB5" w:rsidRDefault="00E43156" w:rsidP="00E43156">
            <w:pPr>
              <w:tabs>
                <w:tab w:val="left" w:pos="-1440"/>
                <w:tab w:val="left" w:pos="-720"/>
              </w:tabs>
              <w:rPr>
                <w:sz w:val="20"/>
                <w:szCs w:val="20"/>
                <w:lang w:val="en-US"/>
              </w:rPr>
            </w:pPr>
            <w:r w:rsidRPr="00104AB5">
              <w:rPr>
                <w:sz w:val="20"/>
                <w:szCs w:val="20"/>
                <w:lang w:val="en-US"/>
              </w:rPr>
              <w:tab/>
            </w:r>
            <w:r w:rsidR="00742348" w:rsidRPr="00104AB5">
              <w:rPr>
                <w:sz w:val="20"/>
                <w:szCs w:val="20"/>
                <w:lang w:val="en-US"/>
              </w:rPr>
              <w:t>City of Winnipeg</w:t>
            </w:r>
          </w:p>
          <w:p w:rsidR="00E43156" w:rsidRPr="00104AB5" w:rsidRDefault="00E43156" w:rsidP="00E43156">
            <w:pPr>
              <w:tabs>
                <w:tab w:val="left" w:pos="-1440"/>
                <w:tab w:val="left" w:pos="-720"/>
              </w:tabs>
              <w:rPr>
                <w:sz w:val="20"/>
                <w:szCs w:val="20"/>
                <w:lang w:val="en-US"/>
              </w:rPr>
            </w:pPr>
          </w:p>
          <w:p w:rsidR="00E43156" w:rsidRPr="00104AB5" w:rsidRDefault="00E43156" w:rsidP="00E43156">
            <w:pPr>
              <w:rPr>
                <w:sz w:val="20"/>
                <w:szCs w:val="20"/>
              </w:rPr>
            </w:pPr>
            <w:r w:rsidRPr="00104AB5">
              <w:rPr>
                <w:sz w:val="20"/>
                <w:szCs w:val="20"/>
              </w:rPr>
              <w:t>FILING DATE: September 10, 2019</w:t>
            </w:r>
          </w:p>
          <w:p w:rsidR="005827DF" w:rsidRPr="00104AB5" w:rsidRDefault="00B54B7D" w:rsidP="00E43156">
            <w:pPr>
              <w:rPr>
                <w:sz w:val="20"/>
                <w:szCs w:val="20"/>
                <w:lang w:val="fr-CA"/>
              </w:rPr>
            </w:pPr>
            <w:r w:rsidRPr="00104AB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5827DF">
            <w:pPr>
              <w:jc w:val="center"/>
              <w:rPr>
                <w:sz w:val="20"/>
                <w:szCs w:val="20"/>
                <w:lang w:val="fr-CA"/>
              </w:rPr>
            </w:pPr>
          </w:p>
          <w:p w:rsidR="005827DF" w:rsidRPr="00104AB5" w:rsidRDefault="005827DF" w:rsidP="00242AEE">
            <w:pPr>
              <w:jc w:val="center"/>
              <w:rPr>
                <w:sz w:val="20"/>
                <w:szCs w:val="20"/>
                <w:lang w:val="fr-CA"/>
              </w:rPr>
            </w:pPr>
          </w:p>
        </w:tc>
        <w:tc>
          <w:tcPr>
            <w:tcW w:w="4320" w:type="dxa"/>
            <w:shd w:val="clear" w:color="auto" w:fill="auto"/>
          </w:tcPr>
          <w:p w:rsidR="004B7AD3" w:rsidRPr="00104AB5" w:rsidRDefault="00803A57" w:rsidP="004B7AD3">
            <w:pPr>
              <w:rPr>
                <w:b/>
                <w:sz w:val="20"/>
                <w:szCs w:val="20"/>
                <w:lang w:val="en-US"/>
              </w:rPr>
            </w:pPr>
            <w:r w:rsidRPr="00104AB5">
              <w:rPr>
                <w:b/>
                <w:bCs/>
                <w:sz w:val="20"/>
                <w:szCs w:val="20"/>
              </w:rPr>
              <w:t>MediaTube Corp.</w:t>
            </w:r>
          </w:p>
          <w:p w:rsidR="004B7AD3" w:rsidRPr="00104AB5" w:rsidRDefault="004B7AD3" w:rsidP="004B7AD3">
            <w:pPr>
              <w:tabs>
                <w:tab w:val="left" w:pos="-1440"/>
                <w:tab w:val="left" w:pos="-720"/>
              </w:tabs>
              <w:rPr>
                <w:sz w:val="20"/>
                <w:szCs w:val="20"/>
                <w:lang w:val="en-US"/>
              </w:rPr>
            </w:pPr>
            <w:r w:rsidRPr="00104AB5">
              <w:rPr>
                <w:sz w:val="20"/>
                <w:szCs w:val="20"/>
                <w:lang w:val="en-US"/>
              </w:rPr>
              <w:tab/>
            </w:r>
            <w:r w:rsidR="00CE4217" w:rsidRPr="00104AB5">
              <w:rPr>
                <w:sz w:val="20"/>
                <w:szCs w:val="20"/>
                <w:lang w:val="en-US"/>
              </w:rPr>
              <w:t>Lomic</w:t>
            </w:r>
            <w:r w:rsidRPr="00104AB5">
              <w:rPr>
                <w:sz w:val="20"/>
                <w:szCs w:val="20"/>
                <w:lang w:val="en-US"/>
              </w:rPr>
              <w:t xml:space="preserve">, </w:t>
            </w:r>
            <w:r w:rsidR="00CE4217" w:rsidRPr="00104AB5">
              <w:rPr>
                <w:sz w:val="20"/>
                <w:szCs w:val="20"/>
                <w:lang w:val="en-US"/>
              </w:rPr>
              <w:t>Paul V</w:t>
            </w:r>
            <w:r w:rsidRPr="00104AB5">
              <w:rPr>
                <w:sz w:val="20"/>
                <w:szCs w:val="20"/>
                <w:lang w:val="en-US"/>
              </w:rPr>
              <w:t>.</w:t>
            </w:r>
          </w:p>
          <w:p w:rsidR="004B7AD3" w:rsidRPr="00104AB5" w:rsidRDefault="004B7AD3" w:rsidP="004B7AD3">
            <w:pPr>
              <w:tabs>
                <w:tab w:val="left" w:pos="-1440"/>
                <w:tab w:val="left" w:pos="-720"/>
              </w:tabs>
              <w:rPr>
                <w:sz w:val="20"/>
                <w:szCs w:val="20"/>
                <w:lang w:val="en-US"/>
              </w:rPr>
            </w:pPr>
            <w:r w:rsidRPr="00104AB5">
              <w:rPr>
                <w:sz w:val="20"/>
                <w:szCs w:val="20"/>
                <w:lang w:val="en-US"/>
              </w:rPr>
              <w:tab/>
            </w:r>
            <w:r w:rsidR="00CE4217" w:rsidRPr="00104AB5">
              <w:rPr>
                <w:sz w:val="20"/>
                <w:szCs w:val="20"/>
                <w:lang w:val="en-US"/>
              </w:rPr>
              <w:t>Lomic Law</w:t>
            </w:r>
          </w:p>
          <w:p w:rsidR="004B7AD3" w:rsidRPr="00104AB5" w:rsidRDefault="004B7AD3" w:rsidP="004B7AD3">
            <w:pPr>
              <w:tabs>
                <w:tab w:val="left" w:pos="-1440"/>
                <w:tab w:val="left" w:pos="-720"/>
              </w:tabs>
              <w:rPr>
                <w:sz w:val="20"/>
                <w:szCs w:val="20"/>
                <w:lang w:val="en-US"/>
              </w:rPr>
            </w:pPr>
          </w:p>
          <w:p w:rsidR="004B7AD3" w:rsidRPr="00104AB5" w:rsidRDefault="004B7AD3" w:rsidP="004B7AD3">
            <w:pPr>
              <w:tabs>
                <w:tab w:val="left" w:pos="-1440"/>
                <w:tab w:val="left" w:pos="-720"/>
              </w:tabs>
              <w:rPr>
                <w:sz w:val="20"/>
                <w:szCs w:val="20"/>
                <w:lang w:val="en-US"/>
              </w:rPr>
            </w:pPr>
            <w:r w:rsidRPr="00104AB5">
              <w:rPr>
                <w:sz w:val="20"/>
                <w:szCs w:val="20"/>
                <w:lang w:val="en-US"/>
              </w:rPr>
              <w:tab/>
              <w:t>v. (3879</w:t>
            </w:r>
            <w:r w:rsidR="00803A57" w:rsidRPr="00104AB5">
              <w:rPr>
                <w:sz w:val="20"/>
                <w:szCs w:val="20"/>
                <w:lang w:val="en-US"/>
              </w:rPr>
              <w:t>7</w:t>
            </w:r>
            <w:r w:rsidRPr="00104AB5">
              <w:rPr>
                <w:sz w:val="20"/>
                <w:szCs w:val="20"/>
                <w:lang w:val="en-US"/>
              </w:rPr>
              <w:t>)</w:t>
            </w:r>
          </w:p>
          <w:p w:rsidR="004B7AD3" w:rsidRPr="00104AB5" w:rsidRDefault="004B7AD3" w:rsidP="004B7AD3">
            <w:pPr>
              <w:tabs>
                <w:tab w:val="left" w:pos="-1440"/>
                <w:tab w:val="left" w:pos="-720"/>
              </w:tabs>
              <w:rPr>
                <w:sz w:val="20"/>
                <w:szCs w:val="20"/>
                <w:lang w:val="en-US"/>
              </w:rPr>
            </w:pPr>
          </w:p>
          <w:p w:rsidR="004B7AD3" w:rsidRPr="00104AB5" w:rsidRDefault="00803A57" w:rsidP="004B7AD3">
            <w:pPr>
              <w:tabs>
                <w:tab w:val="left" w:pos="-1440"/>
                <w:tab w:val="left" w:pos="-720"/>
              </w:tabs>
              <w:rPr>
                <w:b/>
                <w:sz w:val="20"/>
                <w:szCs w:val="20"/>
                <w:lang w:val="en-US"/>
              </w:rPr>
            </w:pPr>
            <w:r w:rsidRPr="00104AB5">
              <w:rPr>
                <w:b/>
                <w:bCs/>
                <w:sz w:val="20"/>
                <w:szCs w:val="20"/>
              </w:rPr>
              <w:t>Bell Canada</w:t>
            </w:r>
            <w:r w:rsidR="004B7AD3" w:rsidRPr="00104AB5">
              <w:rPr>
                <w:b/>
                <w:bCs/>
                <w:sz w:val="20"/>
                <w:szCs w:val="20"/>
                <w:lang w:val="en-US"/>
              </w:rPr>
              <w:t xml:space="preserve"> </w:t>
            </w:r>
            <w:r w:rsidR="004B7AD3" w:rsidRPr="00104AB5">
              <w:rPr>
                <w:b/>
                <w:sz w:val="20"/>
                <w:szCs w:val="20"/>
                <w:lang w:val="en-US"/>
              </w:rPr>
              <w:t>(</w:t>
            </w:r>
            <w:r w:rsidRPr="00104AB5">
              <w:rPr>
                <w:b/>
                <w:sz w:val="20"/>
                <w:szCs w:val="20"/>
                <w:lang w:val="en-US"/>
              </w:rPr>
              <w:t>F.C</w:t>
            </w:r>
            <w:r w:rsidR="004B7AD3" w:rsidRPr="00104AB5">
              <w:rPr>
                <w:b/>
                <w:sz w:val="20"/>
                <w:szCs w:val="20"/>
                <w:lang w:val="en-US"/>
              </w:rPr>
              <w:t>.)</w:t>
            </w:r>
          </w:p>
          <w:p w:rsidR="004B7AD3" w:rsidRPr="00104AB5" w:rsidRDefault="004B7AD3" w:rsidP="004B7AD3">
            <w:pPr>
              <w:tabs>
                <w:tab w:val="left" w:pos="-1440"/>
                <w:tab w:val="left" w:pos="-720"/>
              </w:tabs>
              <w:rPr>
                <w:sz w:val="20"/>
                <w:szCs w:val="20"/>
                <w:lang w:val="en-US"/>
              </w:rPr>
            </w:pPr>
            <w:r w:rsidRPr="00104AB5">
              <w:rPr>
                <w:sz w:val="20"/>
                <w:szCs w:val="20"/>
                <w:lang w:val="en-US"/>
              </w:rPr>
              <w:tab/>
            </w:r>
            <w:r w:rsidR="00CE4217" w:rsidRPr="00104AB5">
              <w:rPr>
                <w:sz w:val="20"/>
                <w:szCs w:val="20"/>
                <w:lang w:val="en-US"/>
              </w:rPr>
              <w:t>Mason, Steven G.</w:t>
            </w:r>
          </w:p>
          <w:p w:rsidR="004B7AD3" w:rsidRPr="00104AB5" w:rsidRDefault="004B7AD3" w:rsidP="004B7AD3">
            <w:pPr>
              <w:tabs>
                <w:tab w:val="left" w:pos="-1440"/>
                <w:tab w:val="left" w:pos="-720"/>
              </w:tabs>
              <w:rPr>
                <w:sz w:val="20"/>
                <w:szCs w:val="20"/>
                <w:lang w:val="en-US"/>
              </w:rPr>
            </w:pPr>
            <w:r w:rsidRPr="00104AB5">
              <w:rPr>
                <w:sz w:val="20"/>
                <w:szCs w:val="20"/>
                <w:lang w:val="en-US"/>
              </w:rPr>
              <w:tab/>
            </w:r>
            <w:r w:rsidR="00CE4217" w:rsidRPr="00104AB5">
              <w:rPr>
                <w:sz w:val="20"/>
                <w:szCs w:val="20"/>
                <w:lang w:val="en-US"/>
              </w:rPr>
              <w:t>McCarthy Tétrault LLP</w:t>
            </w:r>
            <w:r w:rsidRPr="00104AB5">
              <w:rPr>
                <w:sz w:val="20"/>
                <w:szCs w:val="20"/>
                <w:lang w:val="en-US"/>
              </w:rPr>
              <w:t xml:space="preserve"> </w:t>
            </w:r>
          </w:p>
          <w:p w:rsidR="004B7AD3" w:rsidRPr="00104AB5" w:rsidRDefault="004B7AD3" w:rsidP="004B7AD3">
            <w:pPr>
              <w:tabs>
                <w:tab w:val="left" w:pos="-1440"/>
                <w:tab w:val="left" w:pos="-720"/>
              </w:tabs>
              <w:rPr>
                <w:sz w:val="20"/>
                <w:szCs w:val="20"/>
                <w:lang w:val="en-US"/>
              </w:rPr>
            </w:pPr>
          </w:p>
          <w:p w:rsidR="004B7AD3" w:rsidRPr="00104AB5" w:rsidRDefault="004B7AD3" w:rsidP="004B7AD3">
            <w:pPr>
              <w:rPr>
                <w:sz w:val="20"/>
                <w:szCs w:val="20"/>
              </w:rPr>
            </w:pPr>
            <w:r w:rsidRPr="00104AB5">
              <w:rPr>
                <w:sz w:val="20"/>
                <w:szCs w:val="20"/>
              </w:rPr>
              <w:t>FILING DATE: September 10, 2019</w:t>
            </w:r>
          </w:p>
          <w:p w:rsidR="005827DF" w:rsidRPr="00104AB5" w:rsidRDefault="00B54B7D" w:rsidP="005F1ED8">
            <w:pPr>
              <w:rPr>
                <w:sz w:val="20"/>
                <w:szCs w:val="20"/>
                <w:lang w:val="fr-CA"/>
              </w:rPr>
            </w:pPr>
            <w:r w:rsidRPr="00104AB5">
              <w:rPr>
                <w:sz w:val="20"/>
                <w:szCs w:val="20"/>
                <w:lang w:val="fr-CA"/>
              </w:rPr>
              <w:pict>
                <v:rect id="_x0000_i1032" style="width:108pt;height:1pt" o:hrpct="0" o:hralign="center" o:hrstd="t" o:hrnoshade="t" o:hr="t" fillcolor="black [3213]" stroked="f"/>
              </w:pict>
            </w:r>
          </w:p>
        </w:tc>
      </w:tr>
      <w:tr w:rsidR="005F40BA" w:rsidRPr="00104AB5" w:rsidTr="003B3977">
        <w:tc>
          <w:tcPr>
            <w:tcW w:w="4320" w:type="dxa"/>
            <w:shd w:val="clear" w:color="auto" w:fill="auto"/>
          </w:tcPr>
          <w:p w:rsidR="00D63497" w:rsidRPr="00104AB5" w:rsidRDefault="003245A2" w:rsidP="00D63497">
            <w:pPr>
              <w:rPr>
                <w:b/>
                <w:sz w:val="20"/>
                <w:szCs w:val="20"/>
                <w:lang w:val="en-US"/>
              </w:rPr>
            </w:pPr>
            <w:r w:rsidRPr="00104AB5">
              <w:rPr>
                <w:b/>
                <w:bCs/>
                <w:sz w:val="20"/>
                <w:szCs w:val="20"/>
              </w:rPr>
              <w:t>Marco Viscomi</w:t>
            </w:r>
          </w:p>
          <w:p w:rsidR="00D63497" w:rsidRPr="00104AB5" w:rsidRDefault="00D63497" w:rsidP="00D63497">
            <w:pPr>
              <w:tabs>
                <w:tab w:val="left" w:pos="-1440"/>
                <w:tab w:val="left" w:pos="-720"/>
              </w:tabs>
              <w:rPr>
                <w:sz w:val="20"/>
                <w:szCs w:val="20"/>
                <w:lang w:val="en-US"/>
              </w:rPr>
            </w:pPr>
            <w:r w:rsidRPr="00104AB5">
              <w:rPr>
                <w:sz w:val="20"/>
                <w:szCs w:val="20"/>
                <w:lang w:val="en-US"/>
              </w:rPr>
              <w:tab/>
            </w:r>
            <w:r w:rsidR="00BA64DC" w:rsidRPr="00104AB5">
              <w:rPr>
                <w:sz w:val="20"/>
                <w:szCs w:val="20"/>
                <w:lang w:val="en-US"/>
              </w:rPr>
              <w:t>Greenspan</w:t>
            </w:r>
            <w:r w:rsidRPr="00104AB5">
              <w:rPr>
                <w:sz w:val="20"/>
                <w:szCs w:val="20"/>
                <w:lang w:val="en-US"/>
              </w:rPr>
              <w:t xml:space="preserve">, </w:t>
            </w:r>
            <w:r w:rsidR="00BA64DC" w:rsidRPr="00104AB5">
              <w:rPr>
                <w:sz w:val="20"/>
                <w:szCs w:val="20"/>
                <w:lang w:val="en-US"/>
              </w:rPr>
              <w:t>Julianna A.</w:t>
            </w:r>
          </w:p>
          <w:p w:rsidR="00BA64DC" w:rsidRPr="00104AB5" w:rsidRDefault="00D63497" w:rsidP="00BA64DC">
            <w:pPr>
              <w:tabs>
                <w:tab w:val="left" w:pos="-1440"/>
                <w:tab w:val="left" w:pos="-720"/>
              </w:tabs>
              <w:rPr>
                <w:sz w:val="20"/>
                <w:szCs w:val="20"/>
                <w:lang w:val="en-US"/>
              </w:rPr>
            </w:pPr>
            <w:r w:rsidRPr="00104AB5">
              <w:rPr>
                <w:sz w:val="20"/>
                <w:szCs w:val="20"/>
                <w:lang w:val="en-US"/>
              </w:rPr>
              <w:tab/>
            </w:r>
            <w:r w:rsidR="00BA64DC" w:rsidRPr="00104AB5">
              <w:rPr>
                <w:sz w:val="20"/>
                <w:szCs w:val="20"/>
                <w:lang w:val="en-US"/>
              </w:rPr>
              <w:t xml:space="preserve">Greenspan Partners LLP </w:t>
            </w:r>
          </w:p>
          <w:p w:rsidR="00D63497" w:rsidRPr="00104AB5" w:rsidRDefault="00D63497" w:rsidP="00D63497">
            <w:pPr>
              <w:tabs>
                <w:tab w:val="left" w:pos="-1440"/>
                <w:tab w:val="left" w:pos="-720"/>
              </w:tabs>
              <w:rPr>
                <w:sz w:val="20"/>
                <w:szCs w:val="20"/>
                <w:lang w:val="en-US"/>
              </w:rPr>
            </w:pPr>
          </w:p>
          <w:p w:rsidR="00D63497" w:rsidRPr="00104AB5" w:rsidRDefault="00D63497" w:rsidP="00D63497">
            <w:pPr>
              <w:tabs>
                <w:tab w:val="left" w:pos="-1440"/>
                <w:tab w:val="left" w:pos="-720"/>
              </w:tabs>
              <w:rPr>
                <w:sz w:val="20"/>
                <w:szCs w:val="20"/>
                <w:lang w:val="en-US"/>
              </w:rPr>
            </w:pPr>
            <w:r w:rsidRPr="00104AB5">
              <w:rPr>
                <w:sz w:val="20"/>
                <w:szCs w:val="20"/>
                <w:lang w:val="en-US"/>
              </w:rPr>
              <w:tab/>
              <w:t>v. (38796)</w:t>
            </w:r>
          </w:p>
          <w:p w:rsidR="00D63497" w:rsidRPr="00104AB5" w:rsidRDefault="00D63497" w:rsidP="00D63497">
            <w:pPr>
              <w:tabs>
                <w:tab w:val="left" w:pos="-1440"/>
                <w:tab w:val="left" w:pos="-720"/>
              </w:tabs>
              <w:rPr>
                <w:sz w:val="20"/>
                <w:szCs w:val="20"/>
                <w:lang w:val="en-US"/>
              </w:rPr>
            </w:pPr>
          </w:p>
          <w:p w:rsidR="00D63497" w:rsidRPr="00104AB5" w:rsidRDefault="003245A2" w:rsidP="00D63497">
            <w:pPr>
              <w:tabs>
                <w:tab w:val="left" w:pos="-1440"/>
                <w:tab w:val="left" w:pos="-720"/>
              </w:tabs>
              <w:rPr>
                <w:b/>
                <w:sz w:val="20"/>
                <w:szCs w:val="20"/>
                <w:lang w:val="en-US"/>
              </w:rPr>
            </w:pPr>
            <w:r w:rsidRPr="00104AB5">
              <w:rPr>
                <w:b/>
                <w:bCs/>
                <w:sz w:val="20"/>
                <w:szCs w:val="20"/>
              </w:rPr>
              <w:t xml:space="preserve">The Attorney General of Canada (on behalf of the United States of America) </w:t>
            </w:r>
            <w:r w:rsidR="00D63497" w:rsidRPr="00104AB5">
              <w:rPr>
                <w:b/>
                <w:sz w:val="20"/>
                <w:szCs w:val="20"/>
                <w:lang w:val="en-US"/>
              </w:rPr>
              <w:t>(</w:t>
            </w:r>
            <w:r w:rsidRPr="00104AB5">
              <w:rPr>
                <w:b/>
                <w:sz w:val="20"/>
                <w:szCs w:val="20"/>
                <w:lang w:val="en-US"/>
              </w:rPr>
              <w:t>Ont</w:t>
            </w:r>
            <w:r w:rsidR="00D63497" w:rsidRPr="00104AB5">
              <w:rPr>
                <w:b/>
                <w:sz w:val="20"/>
                <w:szCs w:val="20"/>
                <w:lang w:val="en-US"/>
              </w:rPr>
              <w:t>.)</w:t>
            </w:r>
          </w:p>
          <w:p w:rsidR="00D63497" w:rsidRPr="00104AB5" w:rsidRDefault="00D63497" w:rsidP="00D63497">
            <w:pPr>
              <w:tabs>
                <w:tab w:val="left" w:pos="-1440"/>
                <w:tab w:val="left" w:pos="-720"/>
              </w:tabs>
              <w:rPr>
                <w:sz w:val="20"/>
                <w:szCs w:val="20"/>
                <w:lang w:val="en-US"/>
              </w:rPr>
            </w:pPr>
            <w:r w:rsidRPr="00104AB5">
              <w:rPr>
                <w:sz w:val="20"/>
                <w:szCs w:val="20"/>
                <w:lang w:val="en-US"/>
              </w:rPr>
              <w:tab/>
            </w:r>
            <w:r w:rsidR="00900C02" w:rsidRPr="00104AB5">
              <w:rPr>
                <w:sz w:val="20"/>
                <w:szCs w:val="20"/>
                <w:lang w:val="en-US"/>
              </w:rPr>
              <w:t>Johnson</w:t>
            </w:r>
            <w:r w:rsidRPr="00104AB5">
              <w:rPr>
                <w:sz w:val="20"/>
                <w:szCs w:val="20"/>
                <w:lang w:val="en-US"/>
              </w:rPr>
              <w:t xml:space="preserve">, </w:t>
            </w:r>
            <w:r w:rsidR="00900C02" w:rsidRPr="00104AB5">
              <w:rPr>
                <w:sz w:val="20"/>
                <w:szCs w:val="20"/>
                <w:lang w:val="en-US"/>
              </w:rPr>
              <w:t>Jeffrey G.</w:t>
            </w:r>
          </w:p>
          <w:p w:rsidR="00D63497" w:rsidRPr="00104AB5" w:rsidRDefault="00D63497" w:rsidP="00D63497">
            <w:pPr>
              <w:tabs>
                <w:tab w:val="left" w:pos="-1440"/>
                <w:tab w:val="left" w:pos="-720"/>
              </w:tabs>
              <w:rPr>
                <w:sz w:val="20"/>
                <w:szCs w:val="20"/>
                <w:lang w:val="en-US"/>
              </w:rPr>
            </w:pPr>
            <w:r w:rsidRPr="00104AB5">
              <w:rPr>
                <w:sz w:val="20"/>
                <w:szCs w:val="20"/>
                <w:lang w:val="en-US"/>
              </w:rPr>
              <w:tab/>
            </w:r>
            <w:r w:rsidR="00900C02" w:rsidRPr="00104AB5">
              <w:rPr>
                <w:sz w:val="20"/>
                <w:szCs w:val="20"/>
                <w:lang w:val="en-US"/>
              </w:rPr>
              <w:t>Attorney General of Canada</w:t>
            </w:r>
          </w:p>
          <w:p w:rsidR="00D63497" w:rsidRPr="00104AB5" w:rsidRDefault="00D63497" w:rsidP="00D63497">
            <w:pPr>
              <w:tabs>
                <w:tab w:val="left" w:pos="-1440"/>
                <w:tab w:val="left" w:pos="-720"/>
              </w:tabs>
              <w:rPr>
                <w:sz w:val="20"/>
                <w:szCs w:val="20"/>
                <w:lang w:val="en-US"/>
              </w:rPr>
            </w:pPr>
          </w:p>
          <w:p w:rsidR="00D63497" w:rsidRPr="00104AB5" w:rsidRDefault="00D63497" w:rsidP="00D63497">
            <w:pPr>
              <w:rPr>
                <w:sz w:val="20"/>
                <w:szCs w:val="20"/>
              </w:rPr>
            </w:pPr>
            <w:r w:rsidRPr="00104AB5">
              <w:rPr>
                <w:sz w:val="20"/>
                <w:szCs w:val="20"/>
              </w:rPr>
              <w:t>FILING DATE: September 1</w:t>
            </w:r>
            <w:r w:rsidR="003245A2" w:rsidRPr="00104AB5">
              <w:rPr>
                <w:sz w:val="20"/>
                <w:szCs w:val="20"/>
              </w:rPr>
              <w:t>3</w:t>
            </w:r>
            <w:r w:rsidRPr="00104AB5">
              <w:rPr>
                <w:sz w:val="20"/>
                <w:szCs w:val="20"/>
              </w:rPr>
              <w:t>, 2019</w:t>
            </w:r>
          </w:p>
          <w:p w:rsidR="005F40BA" w:rsidRPr="00104AB5" w:rsidRDefault="00B54B7D" w:rsidP="00D63497">
            <w:pPr>
              <w:rPr>
                <w:sz w:val="20"/>
                <w:szCs w:val="20"/>
                <w:lang w:val="fr-CA"/>
              </w:rPr>
            </w:pPr>
            <w:r w:rsidRPr="00104AB5">
              <w:rPr>
                <w:sz w:val="20"/>
                <w:szCs w:val="20"/>
                <w:lang w:val="fr-CA"/>
              </w:rPr>
              <w:pict>
                <v:rect id="_x0000_i1033" style="width:108pt;height:1pt" o:hrpct="0" o:hralign="center" o:hrstd="t" o:hrnoshade="t" o:hr="t" fillcolor="black [3213]" stroked="f"/>
              </w:pict>
            </w:r>
          </w:p>
        </w:tc>
        <w:tc>
          <w:tcPr>
            <w:tcW w:w="1181" w:type="dxa"/>
            <w:shd w:val="clear" w:color="auto" w:fill="auto"/>
          </w:tcPr>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5F40BA" w:rsidRPr="00104AB5" w:rsidRDefault="005F40BA" w:rsidP="005F40BA">
            <w:pPr>
              <w:jc w:val="center"/>
              <w:rPr>
                <w:sz w:val="20"/>
                <w:szCs w:val="20"/>
                <w:lang w:val="fr-CA"/>
              </w:rPr>
            </w:pPr>
          </w:p>
          <w:p w:rsidR="00D63497" w:rsidRPr="00104AB5" w:rsidRDefault="00D63497" w:rsidP="005F40BA">
            <w:pPr>
              <w:jc w:val="center"/>
              <w:rPr>
                <w:sz w:val="20"/>
                <w:szCs w:val="20"/>
                <w:lang w:val="fr-CA"/>
              </w:rPr>
            </w:pPr>
          </w:p>
          <w:p w:rsidR="005F40BA" w:rsidRPr="00104AB5" w:rsidRDefault="005F40BA" w:rsidP="005F40BA">
            <w:pPr>
              <w:jc w:val="center"/>
              <w:rPr>
                <w:sz w:val="20"/>
                <w:szCs w:val="20"/>
                <w:lang w:val="fr-CA"/>
              </w:rPr>
            </w:pPr>
          </w:p>
          <w:p w:rsidR="003245A2" w:rsidRPr="00104AB5" w:rsidRDefault="003245A2" w:rsidP="005F40BA">
            <w:pPr>
              <w:jc w:val="center"/>
              <w:rPr>
                <w:sz w:val="20"/>
                <w:szCs w:val="20"/>
                <w:lang w:val="fr-CA"/>
              </w:rPr>
            </w:pPr>
          </w:p>
          <w:p w:rsidR="005F40BA" w:rsidRPr="00104AB5" w:rsidRDefault="005F40BA" w:rsidP="005827DF">
            <w:pPr>
              <w:jc w:val="center"/>
              <w:rPr>
                <w:sz w:val="20"/>
                <w:szCs w:val="20"/>
                <w:lang w:val="fr-CA"/>
              </w:rPr>
            </w:pPr>
          </w:p>
        </w:tc>
        <w:tc>
          <w:tcPr>
            <w:tcW w:w="4320" w:type="dxa"/>
            <w:shd w:val="clear" w:color="auto" w:fill="auto"/>
          </w:tcPr>
          <w:p w:rsidR="00DB55CA" w:rsidRPr="00104AB5" w:rsidRDefault="00D9426E" w:rsidP="00DB55CA">
            <w:pPr>
              <w:rPr>
                <w:b/>
                <w:sz w:val="20"/>
                <w:szCs w:val="20"/>
                <w:lang w:val="en-US"/>
              </w:rPr>
            </w:pPr>
            <w:r w:rsidRPr="00104AB5">
              <w:rPr>
                <w:b/>
                <w:bCs/>
                <w:sz w:val="20"/>
                <w:szCs w:val="20"/>
              </w:rPr>
              <w:t>Deanna Passera</w:t>
            </w:r>
          </w:p>
          <w:p w:rsidR="00DB55CA" w:rsidRPr="00104AB5" w:rsidRDefault="00DB55CA" w:rsidP="00DB55CA">
            <w:pPr>
              <w:tabs>
                <w:tab w:val="left" w:pos="-1440"/>
                <w:tab w:val="left" w:pos="-720"/>
              </w:tabs>
              <w:rPr>
                <w:sz w:val="20"/>
                <w:szCs w:val="20"/>
                <w:lang w:val="en-US"/>
              </w:rPr>
            </w:pPr>
            <w:r w:rsidRPr="00104AB5">
              <w:rPr>
                <w:sz w:val="20"/>
                <w:szCs w:val="20"/>
                <w:lang w:val="en-US"/>
              </w:rPr>
              <w:tab/>
            </w:r>
            <w:r w:rsidR="00D9426E" w:rsidRPr="00104AB5">
              <w:rPr>
                <w:sz w:val="20"/>
                <w:szCs w:val="20"/>
                <w:lang w:val="en-US"/>
              </w:rPr>
              <w:t>Salih</w:t>
            </w:r>
            <w:r w:rsidRPr="00104AB5">
              <w:rPr>
                <w:sz w:val="20"/>
                <w:szCs w:val="20"/>
                <w:lang w:val="en-US"/>
              </w:rPr>
              <w:t xml:space="preserve">, </w:t>
            </w:r>
            <w:r w:rsidR="00D9426E" w:rsidRPr="00104AB5">
              <w:rPr>
                <w:sz w:val="20"/>
                <w:szCs w:val="20"/>
                <w:lang w:val="en-US"/>
              </w:rPr>
              <w:t>Marianne</w:t>
            </w:r>
          </w:p>
          <w:p w:rsidR="00D9426E" w:rsidRPr="00104AB5" w:rsidRDefault="00DB55CA" w:rsidP="00D9426E">
            <w:pPr>
              <w:tabs>
                <w:tab w:val="left" w:pos="-1440"/>
                <w:tab w:val="left" w:pos="-720"/>
              </w:tabs>
              <w:rPr>
                <w:sz w:val="20"/>
                <w:szCs w:val="20"/>
                <w:lang w:val="en-US"/>
              </w:rPr>
            </w:pPr>
            <w:r w:rsidRPr="00104AB5">
              <w:rPr>
                <w:sz w:val="20"/>
                <w:szCs w:val="20"/>
                <w:lang w:val="en-US"/>
              </w:rPr>
              <w:tab/>
            </w:r>
            <w:r w:rsidR="00D9426E" w:rsidRPr="00104AB5">
              <w:rPr>
                <w:sz w:val="20"/>
                <w:szCs w:val="20"/>
                <w:lang w:val="en-US"/>
              </w:rPr>
              <w:t>Edward H. Royle &amp; Associates</w:t>
            </w:r>
          </w:p>
          <w:p w:rsidR="00DB55CA" w:rsidRPr="00104AB5" w:rsidRDefault="00DB55CA" w:rsidP="00DB55CA">
            <w:pPr>
              <w:tabs>
                <w:tab w:val="left" w:pos="-1440"/>
                <w:tab w:val="left" w:pos="-720"/>
              </w:tabs>
              <w:rPr>
                <w:sz w:val="20"/>
                <w:szCs w:val="20"/>
                <w:lang w:val="en-US"/>
              </w:rPr>
            </w:pPr>
          </w:p>
          <w:p w:rsidR="00DB55CA" w:rsidRPr="00104AB5" w:rsidRDefault="00DB55CA" w:rsidP="00DB55CA">
            <w:pPr>
              <w:tabs>
                <w:tab w:val="left" w:pos="-1440"/>
                <w:tab w:val="left" w:pos="-720"/>
              </w:tabs>
              <w:rPr>
                <w:sz w:val="20"/>
                <w:szCs w:val="20"/>
                <w:lang w:val="en-US"/>
              </w:rPr>
            </w:pPr>
            <w:r w:rsidRPr="00104AB5">
              <w:rPr>
                <w:sz w:val="20"/>
                <w:szCs w:val="20"/>
                <w:lang w:val="en-US"/>
              </w:rPr>
              <w:tab/>
              <w:t>v. (38</w:t>
            </w:r>
            <w:r w:rsidR="00B82179" w:rsidRPr="00104AB5">
              <w:rPr>
                <w:sz w:val="20"/>
                <w:szCs w:val="20"/>
                <w:lang w:val="en-US"/>
              </w:rPr>
              <w:t>811</w:t>
            </w:r>
            <w:r w:rsidRPr="00104AB5">
              <w:rPr>
                <w:sz w:val="20"/>
                <w:szCs w:val="20"/>
                <w:lang w:val="en-US"/>
              </w:rPr>
              <w:t>)</w:t>
            </w:r>
          </w:p>
          <w:p w:rsidR="00DB55CA" w:rsidRPr="00104AB5" w:rsidRDefault="00DB55CA" w:rsidP="00DB55CA">
            <w:pPr>
              <w:tabs>
                <w:tab w:val="left" w:pos="-1440"/>
                <w:tab w:val="left" w:pos="-720"/>
              </w:tabs>
              <w:rPr>
                <w:sz w:val="20"/>
                <w:szCs w:val="20"/>
                <w:lang w:val="en-US"/>
              </w:rPr>
            </w:pPr>
          </w:p>
          <w:p w:rsidR="00DB55CA" w:rsidRPr="00104AB5" w:rsidRDefault="00D9426E" w:rsidP="00DB55CA">
            <w:pPr>
              <w:tabs>
                <w:tab w:val="left" w:pos="-1440"/>
                <w:tab w:val="left" w:pos="-720"/>
              </w:tabs>
              <w:rPr>
                <w:b/>
                <w:sz w:val="20"/>
                <w:szCs w:val="20"/>
                <w:lang w:val="en-US"/>
              </w:rPr>
            </w:pPr>
            <w:r w:rsidRPr="00104AB5">
              <w:rPr>
                <w:b/>
                <w:bCs/>
                <w:sz w:val="20"/>
                <w:szCs w:val="20"/>
              </w:rPr>
              <w:t>Her Majesty the Queen</w:t>
            </w:r>
            <w:r w:rsidR="00DB55CA" w:rsidRPr="00104AB5">
              <w:rPr>
                <w:b/>
                <w:bCs/>
                <w:sz w:val="20"/>
                <w:szCs w:val="20"/>
              </w:rPr>
              <w:t xml:space="preserve"> </w:t>
            </w:r>
            <w:r w:rsidR="00DB55CA" w:rsidRPr="00104AB5">
              <w:rPr>
                <w:b/>
                <w:sz w:val="20"/>
                <w:szCs w:val="20"/>
                <w:lang w:val="en-US"/>
              </w:rPr>
              <w:t>(Ont.)</w:t>
            </w:r>
          </w:p>
          <w:p w:rsidR="00DB55CA" w:rsidRPr="00104AB5" w:rsidRDefault="00DB55CA" w:rsidP="00DB55CA">
            <w:pPr>
              <w:tabs>
                <w:tab w:val="left" w:pos="-1440"/>
                <w:tab w:val="left" w:pos="-720"/>
              </w:tabs>
              <w:rPr>
                <w:sz w:val="20"/>
                <w:szCs w:val="20"/>
                <w:lang w:val="en-US"/>
              </w:rPr>
            </w:pPr>
            <w:r w:rsidRPr="00104AB5">
              <w:rPr>
                <w:sz w:val="20"/>
                <w:szCs w:val="20"/>
                <w:lang w:val="en-US"/>
              </w:rPr>
              <w:tab/>
            </w:r>
            <w:r w:rsidR="00DF6C40" w:rsidRPr="00104AB5">
              <w:rPr>
                <w:sz w:val="20"/>
                <w:szCs w:val="20"/>
                <w:lang w:val="en-US"/>
              </w:rPr>
              <w:t>Wilson</w:t>
            </w:r>
            <w:r w:rsidRPr="00104AB5">
              <w:rPr>
                <w:sz w:val="20"/>
                <w:szCs w:val="20"/>
                <w:lang w:val="en-US"/>
              </w:rPr>
              <w:t xml:space="preserve">, </w:t>
            </w:r>
            <w:r w:rsidR="00DF6C40" w:rsidRPr="00104AB5">
              <w:rPr>
                <w:sz w:val="20"/>
                <w:szCs w:val="20"/>
                <w:lang w:val="en-US"/>
              </w:rPr>
              <w:t>Kevin R</w:t>
            </w:r>
            <w:r w:rsidRPr="00104AB5">
              <w:rPr>
                <w:sz w:val="20"/>
                <w:szCs w:val="20"/>
                <w:lang w:val="en-US"/>
              </w:rPr>
              <w:t>.</w:t>
            </w:r>
          </w:p>
          <w:p w:rsidR="00DF6C40" w:rsidRPr="00104AB5" w:rsidRDefault="00DB55CA" w:rsidP="00DF6C40">
            <w:pPr>
              <w:tabs>
                <w:tab w:val="left" w:pos="-1440"/>
                <w:tab w:val="left" w:pos="-720"/>
              </w:tabs>
              <w:rPr>
                <w:sz w:val="20"/>
                <w:szCs w:val="20"/>
                <w:lang w:val="en-US"/>
              </w:rPr>
            </w:pPr>
            <w:r w:rsidRPr="00104AB5">
              <w:rPr>
                <w:sz w:val="20"/>
                <w:szCs w:val="20"/>
                <w:lang w:val="en-US"/>
              </w:rPr>
              <w:tab/>
            </w:r>
            <w:r w:rsidR="00DF6C40" w:rsidRPr="00104AB5">
              <w:rPr>
                <w:sz w:val="20"/>
                <w:szCs w:val="20"/>
                <w:lang w:val="en-US"/>
              </w:rPr>
              <w:t>Public Prosecution Service of Canada</w:t>
            </w:r>
          </w:p>
          <w:p w:rsidR="00DB55CA" w:rsidRPr="00104AB5" w:rsidRDefault="00DB55CA" w:rsidP="00DB55CA">
            <w:pPr>
              <w:tabs>
                <w:tab w:val="left" w:pos="-1440"/>
                <w:tab w:val="left" w:pos="-720"/>
              </w:tabs>
              <w:rPr>
                <w:sz w:val="20"/>
                <w:szCs w:val="20"/>
                <w:lang w:val="en-US"/>
              </w:rPr>
            </w:pPr>
          </w:p>
          <w:p w:rsidR="00DB55CA" w:rsidRPr="00104AB5" w:rsidRDefault="00DB55CA" w:rsidP="00DB55CA">
            <w:pPr>
              <w:rPr>
                <w:sz w:val="20"/>
                <w:szCs w:val="20"/>
              </w:rPr>
            </w:pPr>
            <w:r w:rsidRPr="00104AB5">
              <w:rPr>
                <w:sz w:val="20"/>
                <w:szCs w:val="20"/>
              </w:rPr>
              <w:t xml:space="preserve">FILING DATE: September </w:t>
            </w:r>
            <w:r w:rsidR="00D9426E" w:rsidRPr="00104AB5">
              <w:rPr>
                <w:sz w:val="20"/>
                <w:szCs w:val="20"/>
              </w:rPr>
              <w:t>2</w:t>
            </w:r>
            <w:r w:rsidRPr="00104AB5">
              <w:rPr>
                <w:sz w:val="20"/>
                <w:szCs w:val="20"/>
              </w:rPr>
              <w:t>3, 2019</w:t>
            </w:r>
          </w:p>
          <w:p w:rsidR="005F40BA" w:rsidRPr="00104AB5" w:rsidRDefault="00B54B7D" w:rsidP="00DB55CA">
            <w:pPr>
              <w:rPr>
                <w:sz w:val="20"/>
                <w:szCs w:val="20"/>
                <w:lang w:val="fr-CA"/>
              </w:rPr>
            </w:pPr>
            <w:r w:rsidRPr="00104AB5">
              <w:rPr>
                <w:sz w:val="20"/>
                <w:szCs w:val="20"/>
                <w:lang w:val="fr-CA"/>
              </w:rPr>
              <w:pict>
                <v:rect id="_x0000_i1034" style="width:108pt;height:1pt" o:hrpct="0" o:hralign="center" o:hrstd="t" o:hrnoshade="t" o:hr="t" fillcolor="black [3213]" stroked="f"/>
              </w:pict>
            </w:r>
          </w:p>
        </w:tc>
      </w:tr>
    </w:tbl>
    <w:p w:rsidR="00242AEE" w:rsidRPr="00104AB5" w:rsidRDefault="00242AEE" w:rsidP="0095096B">
      <w:pPr>
        <w:tabs>
          <w:tab w:val="right" w:pos="9360"/>
        </w:tabs>
        <w:rPr>
          <w:sz w:val="20"/>
          <w:szCs w:val="20"/>
          <w:lang w:val="fr-CA"/>
        </w:rPr>
      </w:pPr>
    </w:p>
    <w:p w:rsidR="00C01FCB" w:rsidRPr="00104AB5" w:rsidRDefault="00C01FCB" w:rsidP="0095096B">
      <w:pPr>
        <w:tabs>
          <w:tab w:val="right" w:pos="9360"/>
        </w:tabs>
        <w:rPr>
          <w:sz w:val="20"/>
          <w:szCs w:val="20"/>
          <w:lang w:val="fr-CA"/>
        </w:rPr>
      </w:pPr>
    </w:p>
    <w:p w:rsidR="00C01FCB" w:rsidRPr="00104AB5" w:rsidRDefault="00C01FCB" w:rsidP="0095096B">
      <w:pPr>
        <w:tabs>
          <w:tab w:val="right" w:pos="9360"/>
        </w:tabs>
        <w:rPr>
          <w:sz w:val="20"/>
          <w:szCs w:val="20"/>
          <w:lang w:val="fr-CA"/>
        </w:rPr>
      </w:pPr>
    </w:p>
    <w:p w:rsidR="00242AEE" w:rsidRPr="00104AB5" w:rsidRDefault="00242AEE" w:rsidP="0095096B">
      <w:pPr>
        <w:tabs>
          <w:tab w:val="right" w:pos="9360"/>
        </w:tabs>
        <w:rPr>
          <w:sz w:val="20"/>
          <w:szCs w:val="20"/>
          <w:lang w:val="fr-CA"/>
        </w:rPr>
        <w:sectPr w:rsidR="00242AEE" w:rsidRPr="00104AB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04AB5" w:rsidRDefault="00DD0BDC" w:rsidP="00567602">
      <w:pPr>
        <w:pStyle w:val="Header1StyleE"/>
        <w:pBdr>
          <w:bottom w:val="single" w:sz="12" w:space="1" w:color="auto"/>
        </w:pBdr>
        <w:rPr>
          <w:lang w:val="fr-CA"/>
        </w:rPr>
      </w:pPr>
      <w:bookmarkStart w:id="2" w:name="_Toc22712735"/>
      <w:r w:rsidRPr="00104AB5">
        <w:rPr>
          <w:lang w:val="fr-CA"/>
        </w:rPr>
        <w:lastRenderedPageBreak/>
        <w:t>Applications for leave submitted to the Court</w:t>
      </w:r>
      <w:r w:rsidR="000F2CA3" w:rsidRPr="00104AB5">
        <w:rPr>
          <w:lang w:val="fr-CA"/>
        </w:rPr>
        <w:t xml:space="preserve"> </w:t>
      </w:r>
      <w:r w:rsidRPr="00104AB5">
        <w:rPr>
          <w:lang w:val="fr-CA"/>
        </w:rPr>
        <w:t>since the last issue</w:t>
      </w:r>
      <w:r w:rsidR="000F2CA3" w:rsidRPr="00104AB5">
        <w:rPr>
          <w:lang w:val="fr-CA"/>
        </w:rPr>
        <w:t xml:space="preserve"> </w:t>
      </w:r>
      <w:r w:rsidR="00271E1E" w:rsidRPr="00104AB5">
        <w:rPr>
          <w:lang w:val="fr-CA"/>
        </w:rPr>
        <w:t xml:space="preserve">/ </w:t>
      </w:r>
      <w:r w:rsidRPr="00104AB5">
        <w:rPr>
          <w:lang w:val="fr-CA"/>
        </w:rPr>
        <w:br/>
        <w:t xml:space="preserve">Demandes soumises à la </w:t>
      </w:r>
      <w:r w:rsidR="000C1D9D" w:rsidRPr="00104AB5">
        <w:rPr>
          <w:lang w:val="fr-CA"/>
        </w:rPr>
        <w:t>C</w:t>
      </w:r>
      <w:r w:rsidRPr="00104AB5">
        <w:rPr>
          <w:lang w:val="fr-CA"/>
        </w:rPr>
        <w:t>our depuis la dernière parution</w:t>
      </w:r>
      <w:bookmarkEnd w:id="2"/>
    </w:p>
    <w:p w:rsidR="00FB1DB6" w:rsidRPr="00104AB5" w:rsidRDefault="00FB1DB6" w:rsidP="00FB1DB6">
      <w:pPr>
        <w:rPr>
          <w:sz w:val="18"/>
          <w:szCs w:val="18"/>
          <w:lang w:val="fr-CA" w:eastAsia="en-CA"/>
        </w:rPr>
      </w:pPr>
    </w:p>
    <w:p w:rsidR="00102792" w:rsidRPr="00104AB5" w:rsidRDefault="00102792" w:rsidP="00102792">
      <w:pPr>
        <w:widowControl w:val="0"/>
        <w:rPr>
          <w:b/>
          <w:sz w:val="18"/>
          <w:szCs w:val="18"/>
          <w:lang w:val="fr-CA"/>
        </w:rPr>
      </w:pPr>
      <w:r w:rsidRPr="00104AB5">
        <w:rPr>
          <w:b/>
          <w:sz w:val="18"/>
          <w:szCs w:val="18"/>
          <w:lang w:val="fr-CA"/>
        </w:rPr>
        <w:t xml:space="preserve">OCTOBER </w:t>
      </w:r>
      <w:r w:rsidR="00D4102D" w:rsidRPr="00104AB5">
        <w:rPr>
          <w:b/>
          <w:sz w:val="18"/>
          <w:szCs w:val="18"/>
          <w:lang w:val="fr-CA"/>
        </w:rPr>
        <w:t>21</w:t>
      </w:r>
      <w:r w:rsidRPr="00104AB5">
        <w:rPr>
          <w:b/>
          <w:sz w:val="18"/>
          <w:szCs w:val="18"/>
          <w:lang w:val="fr-CA"/>
        </w:rPr>
        <w:t xml:space="preserve">, </w:t>
      </w:r>
      <w:r w:rsidR="0034657E" w:rsidRPr="00104AB5">
        <w:rPr>
          <w:b/>
          <w:sz w:val="18"/>
          <w:szCs w:val="18"/>
          <w:lang w:val="fr-CA"/>
        </w:rPr>
        <w:t>2019</w:t>
      </w:r>
      <w:r w:rsidRPr="00104AB5">
        <w:rPr>
          <w:b/>
          <w:sz w:val="18"/>
          <w:szCs w:val="18"/>
          <w:lang w:val="fr-CA"/>
        </w:rPr>
        <w:t xml:space="preserve"> / LE </w:t>
      </w:r>
      <w:r w:rsidR="00D4102D" w:rsidRPr="00104AB5">
        <w:rPr>
          <w:b/>
          <w:sz w:val="18"/>
          <w:szCs w:val="18"/>
          <w:lang w:val="fr-CA"/>
        </w:rPr>
        <w:t>21</w:t>
      </w:r>
      <w:r w:rsidRPr="00104AB5">
        <w:rPr>
          <w:b/>
          <w:sz w:val="18"/>
          <w:szCs w:val="18"/>
          <w:lang w:val="fr-CA"/>
        </w:rPr>
        <w:t xml:space="preserve"> OCTOBRE </w:t>
      </w:r>
      <w:r w:rsidR="0034657E" w:rsidRPr="00104AB5">
        <w:rPr>
          <w:b/>
          <w:sz w:val="18"/>
          <w:szCs w:val="18"/>
          <w:lang w:val="fr-CA"/>
        </w:rPr>
        <w:t>2019</w:t>
      </w:r>
    </w:p>
    <w:p w:rsidR="00CF4FDF" w:rsidRPr="00104AB5" w:rsidRDefault="00CF4FDF" w:rsidP="00CF4FDF">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F4FDF" w:rsidRPr="00104AB5" w:rsidTr="0088529D">
        <w:trPr>
          <w:cantSplit/>
        </w:trPr>
        <w:tc>
          <w:tcPr>
            <w:tcW w:w="508" w:type="dxa"/>
          </w:tcPr>
          <w:p w:rsidR="00CF4FDF" w:rsidRPr="00104AB5" w:rsidRDefault="00CF4FDF" w:rsidP="00CF4FDF">
            <w:pPr>
              <w:widowControl w:val="0"/>
              <w:rPr>
                <w:b/>
                <w:sz w:val="20"/>
                <w:szCs w:val="20"/>
                <w:lang w:val="fr-CA"/>
              </w:rPr>
            </w:pPr>
          </w:p>
        </w:tc>
        <w:tc>
          <w:tcPr>
            <w:tcW w:w="810" w:type="dxa"/>
          </w:tcPr>
          <w:p w:rsidR="00CF4FDF" w:rsidRPr="00104AB5" w:rsidRDefault="00CF4FDF" w:rsidP="00CF4FDF">
            <w:pPr>
              <w:widowControl w:val="0"/>
              <w:rPr>
                <w:b/>
                <w:sz w:val="20"/>
                <w:szCs w:val="20"/>
                <w:lang w:val="fr-CA"/>
              </w:rPr>
            </w:pPr>
          </w:p>
        </w:tc>
        <w:tc>
          <w:tcPr>
            <w:tcW w:w="8258" w:type="dxa"/>
            <w:gridSpan w:val="3"/>
          </w:tcPr>
          <w:p w:rsidR="00CF4FDF" w:rsidRPr="00104AB5" w:rsidRDefault="00CF4FDF" w:rsidP="00CF4FDF">
            <w:pPr>
              <w:widowControl w:val="0"/>
              <w:jc w:val="center"/>
              <w:rPr>
                <w:b/>
                <w:sz w:val="20"/>
                <w:szCs w:val="20"/>
              </w:rPr>
            </w:pPr>
            <w:r w:rsidRPr="00104AB5">
              <w:rPr>
                <w:b/>
                <w:sz w:val="20"/>
                <w:szCs w:val="20"/>
              </w:rPr>
              <w:t>CORAM:  Chief Justice Wagner and Rowe and Kasirer JJ.</w:t>
            </w:r>
          </w:p>
          <w:p w:rsidR="00CF4FDF" w:rsidRPr="00104AB5" w:rsidRDefault="00CF4FDF" w:rsidP="00CF4FDF">
            <w:pPr>
              <w:widowControl w:val="0"/>
              <w:jc w:val="center"/>
              <w:rPr>
                <w:b/>
                <w:sz w:val="20"/>
                <w:szCs w:val="20"/>
                <w:lang w:val="fr-CA"/>
              </w:rPr>
            </w:pPr>
            <w:r w:rsidRPr="00104AB5">
              <w:rPr>
                <w:b/>
                <w:sz w:val="20"/>
                <w:szCs w:val="20"/>
                <w:lang w:val="fr-CA"/>
              </w:rPr>
              <w:t>Le juge en chef Wagner et les juges Rowe et Kasirer</w:t>
            </w:r>
          </w:p>
        </w:tc>
      </w:tr>
      <w:tr w:rsidR="00CF4FDF" w:rsidRPr="00104AB5" w:rsidTr="00CE2651">
        <w:trPr>
          <w:cantSplit/>
        </w:trPr>
        <w:tc>
          <w:tcPr>
            <w:tcW w:w="508" w:type="dxa"/>
          </w:tcPr>
          <w:p w:rsidR="00CF4FDF" w:rsidRPr="00104AB5" w:rsidRDefault="00CF4FDF" w:rsidP="00CF4FDF">
            <w:pPr>
              <w:widowControl w:val="0"/>
              <w:rPr>
                <w:b/>
                <w:sz w:val="20"/>
                <w:szCs w:val="20"/>
                <w:lang w:val="fr-CA"/>
              </w:rPr>
            </w:pPr>
          </w:p>
        </w:tc>
        <w:tc>
          <w:tcPr>
            <w:tcW w:w="810" w:type="dxa"/>
          </w:tcPr>
          <w:p w:rsidR="00CF4FDF" w:rsidRPr="00104AB5" w:rsidRDefault="00CF4FDF" w:rsidP="00CF4FDF">
            <w:pPr>
              <w:widowControl w:val="0"/>
              <w:rPr>
                <w:b/>
                <w:sz w:val="20"/>
                <w:szCs w:val="20"/>
                <w:lang w:val="fr-CA"/>
              </w:rPr>
            </w:pPr>
          </w:p>
        </w:tc>
        <w:tc>
          <w:tcPr>
            <w:tcW w:w="4050" w:type="dxa"/>
          </w:tcPr>
          <w:p w:rsidR="00CF4FDF" w:rsidRPr="00104AB5" w:rsidRDefault="00CF4FDF" w:rsidP="00CF4FDF">
            <w:pPr>
              <w:widowControl w:val="0"/>
              <w:rPr>
                <w:b/>
                <w:sz w:val="20"/>
                <w:szCs w:val="20"/>
              </w:rPr>
            </w:pPr>
            <w:r w:rsidRPr="00104AB5">
              <w:rPr>
                <w:b/>
                <w:sz w:val="20"/>
                <w:szCs w:val="20"/>
              </w:rPr>
              <w:t>Criminal / Criminelle</w:t>
            </w:r>
          </w:p>
        </w:tc>
        <w:tc>
          <w:tcPr>
            <w:tcW w:w="360" w:type="dxa"/>
          </w:tcPr>
          <w:p w:rsidR="00CF4FDF" w:rsidRPr="00104AB5" w:rsidRDefault="00CF4FDF" w:rsidP="00CF4FDF">
            <w:pPr>
              <w:widowControl w:val="0"/>
              <w:rPr>
                <w:b/>
                <w:sz w:val="20"/>
                <w:szCs w:val="20"/>
              </w:rPr>
            </w:pPr>
          </w:p>
        </w:tc>
        <w:tc>
          <w:tcPr>
            <w:tcW w:w="3848" w:type="dxa"/>
          </w:tcPr>
          <w:p w:rsidR="00CF4FDF" w:rsidRPr="00104AB5" w:rsidRDefault="00CF4FDF" w:rsidP="00CF4FDF">
            <w:pPr>
              <w:widowControl w:val="0"/>
              <w:rPr>
                <w:b/>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1.</w:t>
            </w:r>
          </w:p>
        </w:tc>
        <w:tc>
          <w:tcPr>
            <w:tcW w:w="810" w:type="dxa"/>
          </w:tcPr>
          <w:p w:rsidR="00CF4FDF" w:rsidRPr="00104AB5" w:rsidRDefault="00CF4FDF" w:rsidP="00CF4FDF">
            <w:pPr>
              <w:widowControl w:val="0"/>
              <w:rPr>
                <w:sz w:val="20"/>
                <w:szCs w:val="20"/>
              </w:rPr>
            </w:pPr>
            <w:r w:rsidRPr="00104AB5">
              <w:rPr>
                <w:sz w:val="20"/>
                <w:szCs w:val="20"/>
              </w:rPr>
              <w:t>38743</w:t>
            </w:r>
          </w:p>
        </w:tc>
        <w:tc>
          <w:tcPr>
            <w:tcW w:w="4050" w:type="dxa"/>
          </w:tcPr>
          <w:p w:rsidR="00CF4FDF" w:rsidRPr="00104AB5" w:rsidRDefault="00CF4FDF" w:rsidP="00CF4FDF">
            <w:pPr>
              <w:widowControl w:val="0"/>
              <w:rPr>
                <w:sz w:val="20"/>
                <w:szCs w:val="20"/>
              </w:rPr>
            </w:pPr>
            <w:r w:rsidRPr="00104AB5">
              <w:rPr>
                <w:sz w:val="20"/>
                <w:szCs w:val="20"/>
              </w:rPr>
              <w:t>E. O.</w:t>
            </w:r>
          </w:p>
          <w:p w:rsidR="00CF4FDF" w:rsidRPr="00104AB5" w:rsidRDefault="00CF4FDF" w:rsidP="00CF4FDF">
            <w:pPr>
              <w:widowControl w:val="0"/>
              <w:rPr>
                <w:sz w:val="20"/>
                <w:szCs w:val="20"/>
              </w:rPr>
            </w:pPr>
            <w:r w:rsidRPr="00104AB5">
              <w:rPr>
                <w:sz w:val="20"/>
                <w:szCs w:val="20"/>
              </w:rPr>
              <w:t>(Y.T.) (Criminal)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Her Majesty the Queen</w:t>
            </w:r>
          </w:p>
        </w:tc>
      </w:tr>
      <w:tr w:rsidR="00CF4FDF" w:rsidRPr="00104AB5" w:rsidTr="00CE2651">
        <w:trPr>
          <w:cantSplit/>
        </w:trPr>
        <w:tc>
          <w:tcPr>
            <w:tcW w:w="508" w:type="dxa"/>
          </w:tcPr>
          <w:p w:rsidR="00CF4FDF" w:rsidRPr="00104AB5" w:rsidRDefault="00CF4FDF" w:rsidP="00CF4FDF">
            <w:pPr>
              <w:widowControl w:val="0"/>
              <w:rPr>
                <w:sz w:val="20"/>
                <w:szCs w:val="20"/>
              </w:rPr>
            </w:pPr>
          </w:p>
        </w:tc>
        <w:tc>
          <w:tcPr>
            <w:tcW w:w="810" w:type="dxa"/>
          </w:tcPr>
          <w:p w:rsidR="00CF4FDF" w:rsidRPr="00104AB5" w:rsidRDefault="00CF4FDF" w:rsidP="00CF4FDF">
            <w:pPr>
              <w:widowControl w:val="0"/>
              <w:rPr>
                <w:sz w:val="20"/>
                <w:szCs w:val="20"/>
              </w:rPr>
            </w:pPr>
          </w:p>
        </w:tc>
        <w:tc>
          <w:tcPr>
            <w:tcW w:w="4050" w:type="dxa"/>
          </w:tcPr>
          <w:p w:rsidR="00CF4FDF" w:rsidRPr="00104AB5" w:rsidRDefault="00CF4FDF" w:rsidP="00CF4FDF">
            <w:pPr>
              <w:widowControl w:val="0"/>
              <w:rPr>
                <w:b/>
                <w:sz w:val="20"/>
                <w:szCs w:val="20"/>
              </w:rPr>
            </w:pPr>
            <w:r w:rsidRPr="00104AB5">
              <w:rPr>
                <w:b/>
                <w:sz w:val="20"/>
                <w:szCs w:val="20"/>
              </w:rPr>
              <w:t>Civil / Civile</w:t>
            </w:r>
          </w:p>
        </w:tc>
        <w:tc>
          <w:tcPr>
            <w:tcW w:w="360" w:type="dxa"/>
          </w:tcPr>
          <w:p w:rsidR="00CF4FDF" w:rsidRPr="00104AB5" w:rsidRDefault="00CF4FDF" w:rsidP="00CF4FDF">
            <w:pPr>
              <w:widowControl w:val="0"/>
              <w:rPr>
                <w:sz w:val="20"/>
                <w:szCs w:val="20"/>
              </w:rPr>
            </w:pPr>
          </w:p>
        </w:tc>
        <w:tc>
          <w:tcPr>
            <w:tcW w:w="3848" w:type="dxa"/>
          </w:tcPr>
          <w:p w:rsidR="00CF4FDF" w:rsidRPr="00104AB5" w:rsidRDefault="00CF4FDF" w:rsidP="00CF4FDF">
            <w:pPr>
              <w:widowControl w:val="0"/>
              <w:rPr>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2.</w:t>
            </w:r>
          </w:p>
        </w:tc>
        <w:tc>
          <w:tcPr>
            <w:tcW w:w="810" w:type="dxa"/>
          </w:tcPr>
          <w:p w:rsidR="00CF4FDF" w:rsidRPr="00104AB5" w:rsidRDefault="00CF4FDF" w:rsidP="00CF4FDF">
            <w:pPr>
              <w:widowControl w:val="0"/>
              <w:rPr>
                <w:sz w:val="20"/>
                <w:szCs w:val="20"/>
              </w:rPr>
            </w:pPr>
            <w:r w:rsidRPr="00104AB5">
              <w:rPr>
                <w:sz w:val="20"/>
                <w:szCs w:val="20"/>
              </w:rPr>
              <w:t>38754</w:t>
            </w:r>
          </w:p>
        </w:tc>
        <w:tc>
          <w:tcPr>
            <w:tcW w:w="4050" w:type="dxa"/>
          </w:tcPr>
          <w:p w:rsidR="00CF4FDF" w:rsidRPr="00104AB5" w:rsidRDefault="00CF4FDF" w:rsidP="00CF4FDF">
            <w:pPr>
              <w:widowControl w:val="0"/>
              <w:rPr>
                <w:sz w:val="20"/>
                <w:szCs w:val="20"/>
              </w:rPr>
            </w:pPr>
            <w:r w:rsidRPr="00104AB5">
              <w:rPr>
                <w:sz w:val="20"/>
                <w:szCs w:val="20"/>
              </w:rPr>
              <w:t>Andrzej Kajetanowicz</w:t>
            </w:r>
          </w:p>
          <w:p w:rsidR="00CF4FDF" w:rsidRPr="00104AB5" w:rsidRDefault="00CF4FDF" w:rsidP="00CF4FDF">
            <w:pPr>
              <w:widowControl w:val="0"/>
              <w:rPr>
                <w:sz w:val="20"/>
                <w:szCs w:val="20"/>
              </w:rPr>
            </w:pPr>
            <w:r w:rsidRPr="00104AB5">
              <w:rPr>
                <w:sz w:val="20"/>
                <w:szCs w:val="20"/>
              </w:rPr>
              <w:t>(N.S.)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Alexander MacNeil, by his litigation guardian Tania Bond-MacNeil</w:t>
            </w: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3.</w:t>
            </w:r>
          </w:p>
        </w:tc>
        <w:tc>
          <w:tcPr>
            <w:tcW w:w="810" w:type="dxa"/>
          </w:tcPr>
          <w:p w:rsidR="00CF4FDF" w:rsidRPr="00104AB5" w:rsidRDefault="00CF4FDF" w:rsidP="00CF4FDF">
            <w:pPr>
              <w:widowControl w:val="0"/>
              <w:rPr>
                <w:sz w:val="20"/>
                <w:szCs w:val="20"/>
              </w:rPr>
            </w:pPr>
            <w:r w:rsidRPr="00104AB5">
              <w:rPr>
                <w:sz w:val="20"/>
                <w:szCs w:val="20"/>
              </w:rPr>
              <w:t>38687</w:t>
            </w:r>
          </w:p>
        </w:tc>
        <w:tc>
          <w:tcPr>
            <w:tcW w:w="4050" w:type="dxa"/>
          </w:tcPr>
          <w:p w:rsidR="00CF4FDF" w:rsidRPr="00104AB5" w:rsidRDefault="00CF4FDF" w:rsidP="00CF4FDF">
            <w:pPr>
              <w:widowControl w:val="0"/>
              <w:rPr>
                <w:sz w:val="20"/>
                <w:szCs w:val="20"/>
              </w:rPr>
            </w:pPr>
            <w:r w:rsidRPr="00104AB5">
              <w:rPr>
                <w:sz w:val="20"/>
                <w:szCs w:val="20"/>
              </w:rPr>
              <w:t>Attorney General of Ontario</w:t>
            </w:r>
          </w:p>
          <w:p w:rsidR="00CF4FDF" w:rsidRPr="00104AB5" w:rsidRDefault="00CF4FDF" w:rsidP="00CF4FDF">
            <w:pPr>
              <w:widowControl w:val="0"/>
              <w:rPr>
                <w:sz w:val="20"/>
                <w:szCs w:val="20"/>
              </w:rPr>
            </w:pPr>
            <w:r w:rsidRPr="00104AB5">
              <w:rPr>
                <w:sz w:val="20"/>
                <w:szCs w:val="20"/>
              </w:rPr>
              <w:t>(Ont.)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Jamie Clark, et al.</w:t>
            </w:r>
          </w:p>
        </w:tc>
      </w:tr>
      <w:tr w:rsidR="00CF4FDF" w:rsidRPr="00104AB5" w:rsidTr="00FE1495">
        <w:trPr>
          <w:cantSplit/>
        </w:trPr>
        <w:tc>
          <w:tcPr>
            <w:tcW w:w="508" w:type="dxa"/>
          </w:tcPr>
          <w:p w:rsidR="00CF4FDF" w:rsidRPr="00104AB5" w:rsidRDefault="00CF4FDF" w:rsidP="00CF4FDF">
            <w:pPr>
              <w:widowControl w:val="0"/>
              <w:rPr>
                <w:b/>
                <w:sz w:val="20"/>
                <w:szCs w:val="20"/>
              </w:rPr>
            </w:pPr>
          </w:p>
        </w:tc>
        <w:tc>
          <w:tcPr>
            <w:tcW w:w="810" w:type="dxa"/>
          </w:tcPr>
          <w:p w:rsidR="00CF4FDF" w:rsidRPr="00104AB5" w:rsidRDefault="00CF4FDF" w:rsidP="00CF4FDF">
            <w:pPr>
              <w:widowControl w:val="0"/>
              <w:rPr>
                <w:b/>
                <w:sz w:val="20"/>
                <w:szCs w:val="20"/>
              </w:rPr>
            </w:pPr>
          </w:p>
        </w:tc>
        <w:tc>
          <w:tcPr>
            <w:tcW w:w="8258" w:type="dxa"/>
            <w:gridSpan w:val="3"/>
          </w:tcPr>
          <w:p w:rsidR="00CF4FDF" w:rsidRPr="00104AB5" w:rsidRDefault="00CF4FDF" w:rsidP="00CF4FDF">
            <w:pPr>
              <w:widowControl w:val="0"/>
              <w:jc w:val="center"/>
              <w:rPr>
                <w:b/>
                <w:sz w:val="20"/>
                <w:szCs w:val="20"/>
                <w:lang w:val="en-US"/>
              </w:rPr>
            </w:pPr>
            <w:r w:rsidRPr="00104AB5">
              <w:rPr>
                <w:b/>
                <w:sz w:val="20"/>
                <w:szCs w:val="20"/>
                <w:lang w:val="en-US"/>
              </w:rPr>
              <w:t>CORAM: Abella, Karakatsanis and Brown JJ.</w:t>
            </w:r>
          </w:p>
          <w:p w:rsidR="00CF4FDF" w:rsidRPr="00104AB5" w:rsidRDefault="00CF4FDF" w:rsidP="00CF4FDF">
            <w:pPr>
              <w:widowControl w:val="0"/>
              <w:jc w:val="center"/>
              <w:rPr>
                <w:b/>
                <w:sz w:val="20"/>
                <w:szCs w:val="20"/>
                <w:lang w:val="fr-CA"/>
              </w:rPr>
            </w:pPr>
            <w:r w:rsidRPr="00104AB5">
              <w:rPr>
                <w:b/>
                <w:sz w:val="20"/>
                <w:szCs w:val="20"/>
                <w:lang w:val="fr-CA"/>
              </w:rPr>
              <w:t>Les juges Abella, Karakatsanis et Brown</w:t>
            </w:r>
          </w:p>
        </w:tc>
      </w:tr>
      <w:tr w:rsidR="00CF4FDF" w:rsidRPr="00104AB5" w:rsidTr="00CE2651">
        <w:trPr>
          <w:cantSplit/>
        </w:trPr>
        <w:tc>
          <w:tcPr>
            <w:tcW w:w="508" w:type="dxa"/>
          </w:tcPr>
          <w:p w:rsidR="00CF4FDF" w:rsidRPr="00104AB5" w:rsidRDefault="00CF4FDF" w:rsidP="00CF4FDF">
            <w:pPr>
              <w:widowControl w:val="0"/>
              <w:rPr>
                <w:b/>
                <w:sz w:val="20"/>
                <w:szCs w:val="20"/>
                <w:lang w:val="fr-CA"/>
              </w:rPr>
            </w:pPr>
          </w:p>
        </w:tc>
        <w:tc>
          <w:tcPr>
            <w:tcW w:w="810" w:type="dxa"/>
          </w:tcPr>
          <w:p w:rsidR="00CF4FDF" w:rsidRPr="00104AB5" w:rsidRDefault="00CF4FDF" w:rsidP="00CF4FDF">
            <w:pPr>
              <w:widowControl w:val="0"/>
              <w:rPr>
                <w:b/>
                <w:sz w:val="20"/>
                <w:szCs w:val="20"/>
                <w:lang w:val="fr-CA"/>
              </w:rPr>
            </w:pPr>
          </w:p>
        </w:tc>
        <w:tc>
          <w:tcPr>
            <w:tcW w:w="4050" w:type="dxa"/>
          </w:tcPr>
          <w:p w:rsidR="00CF4FDF" w:rsidRPr="00104AB5" w:rsidRDefault="00CF4FDF" w:rsidP="00CF4FDF">
            <w:pPr>
              <w:widowControl w:val="0"/>
              <w:rPr>
                <w:b/>
                <w:sz w:val="20"/>
                <w:szCs w:val="20"/>
              </w:rPr>
            </w:pPr>
            <w:r w:rsidRPr="00104AB5">
              <w:rPr>
                <w:b/>
                <w:sz w:val="20"/>
                <w:szCs w:val="20"/>
              </w:rPr>
              <w:t>Criminal / Criminelle</w:t>
            </w:r>
          </w:p>
        </w:tc>
        <w:tc>
          <w:tcPr>
            <w:tcW w:w="360" w:type="dxa"/>
          </w:tcPr>
          <w:p w:rsidR="00CF4FDF" w:rsidRPr="00104AB5" w:rsidRDefault="00CF4FDF" w:rsidP="00CF4FDF">
            <w:pPr>
              <w:widowControl w:val="0"/>
              <w:rPr>
                <w:b/>
                <w:sz w:val="20"/>
                <w:szCs w:val="20"/>
              </w:rPr>
            </w:pPr>
          </w:p>
        </w:tc>
        <w:tc>
          <w:tcPr>
            <w:tcW w:w="3848" w:type="dxa"/>
          </w:tcPr>
          <w:p w:rsidR="00CF4FDF" w:rsidRPr="00104AB5" w:rsidRDefault="00CF4FDF" w:rsidP="00CF4FDF">
            <w:pPr>
              <w:widowControl w:val="0"/>
              <w:rPr>
                <w:b/>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4.</w:t>
            </w:r>
          </w:p>
        </w:tc>
        <w:tc>
          <w:tcPr>
            <w:tcW w:w="810" w:type="dxa"/>
          </w:tcPr>
          <w:p w:rsidR="00CF4FDF" w:rsidRPr="00104AB5" w:rsidRDefault="00CF4FDF" w:rsidP="00CF4FDF">
            <w:pPr>
              <w:widowControl w:val="0"/>
              <w:rPr>
                <w:sz w:val="20"/>
                <w:szCs w:val="20"/>
              </w:rPr>
            </w:pPr>
            <w:r w:rsidRPr="00104AB5">
              <w:rPr>
                <w:sz w:val="20"/>
                <w:szCs w:val="20"/>
              </w:rPr>
              <w:t>38764</w:t>
            </w:r>
          </w:p>
        </w:tc>
        <w:tc>
          <w:tcPr>
            <w:tcW w:w="4050" w:type="dxa"/>
          </w:tcPr>
          <w:p w:rsidR="00CF4FDF" w:rsidRPr="00104AB5" w:rsidRDefault="00CF4FDF" w:rsidP="00CF4FDF">
            <w:pPr>
              <w:widowControl w:val="0"/>
              <w:rPr>
                <w:sz w:val="20"/>
                <w:szCs w:val="20"/>
              </w:rPr>
            </w:pPr>
            <w:r w:rsidRPr="00104AB5">
              <w:rPr>
                <w:sz w:val="20"/>
                <w:szCs w:val="20"/>
              </w:rPr>
              <w:t>Travis Edward Vader</w:t>
            </w:r>
          </w:p>
          <w:p w:rsidR="00CF4FDF" w:rsidRPr="00104AB5" w:rsidRDefault="00CF4FDF" w:rsidP="00CF4FDF">
            <w:pPr>
              <w:widowControl w:val="0"/>
              <w:rPr>
                <w:sz w:val="20"/>
                <w:szCs w:val="20"/>
              </w:rPr>
            </w:pPr>
            <w:r w:rsidRPr="00104AB5">
              <w:rPr>
                <w:sz w:val="20"/>
                <w:szCs w:val="20"/>
              </w:rPr>
              <w:t>(Alta.) (Criminal)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Her Majesty the Queen</w:t>
            </w:r>
          </w:p>
        </w:tc>
      </w:tr>
      <w:tr w:rsidR="00CF4FDF" w:rsidRPr="00104AB5" w:rsidTr="00CE2651">
        <w:trPr>
          <w:cantSplit/>
        </w:trPr>
        <w:tc>
          <w:tcPr>
            <w:tcW w:w="508" w:type="dxa"/>
          </w:tcPr>
          <w:p w:rsidR="00CF4FDF" w:rsidRPr="00104AB5" w:rsidRDefault="00CF4FDF" w:rsidP="00CF4FDF">
            <w:pPr>
              <w:widowControl w:val="0"/>
              <w:rPr>
                <w:sz w:val="20"/>
                <w:szCs w:val="20"/>
              </w:rPr>
            </w:pPr>
          </w:p>
        </w:tc>
        <w:tc>
          <w:tcPr>
            <w:tcW w:w="810" w:type="dxa"/>
          </w:tcPr>
          <w:p w:rsidR="00CF4FDF" w:rsidRPr="00104AB5" w:rsidRDefault="00CF4FDF" w:rsidP="00CF4FDF">
            <w:pPr>
              <w:widowControl w:val="0"/>
              <w:rPr>
                <w:sz w:val="20"/>
                <w:szCs w:val="20"/>
              </w:rPr>
            </w:pPr>
          </w:p>
        </w:tc>
        <w:tc>
          <w:tcPr>
            <w:tcW w:w="4050" w:type="dxa"/>
          </w:tcPr>
          <w:p w:rsidR="00CF4FDF" w:rsidRPr="00104AB5" w:rsidRDefault="00CF4FDF" w:rsidP="00CF4FDF">
            <w:pPr>
              <w:widowControl w:val="0"/>
              <w:rPr>
                <w:b/>
                <w:sz w:val="20"/>
                <w:szCs w:val="20"/>
              </w:rPr>
            </w:pPr>
            <w:r w:rsidRPr="00104AB5">
              <w:rPr>
                <w:b/>
                <w:sz w:val="20"/>
                <w:szCs w:val="20"/>
              </w:rPr>
              <w:t>Civil / Civile</w:t>
            </w:r>
          </w:p>
        </w:tc>
        <w:tc>
          <w:tcPr>
            <w:tcW w:w="360" w:type="dxa"/>
          </w:tcPr>
          <w:p w:rsidR="00CF4FDF" w:rsidRPr="00104AB5" w:rsidRDefault="00CF4FDF" w:rsidP="00CF4FDF">
            <w:pPr>
              <w:widowControl w:val="0"/>
              <w:rPr>
                <w:sz w:val="20"/>
                <w:szCs w:val="20"/>
              </w:rPr>
            </w:pPr>
          </w:p>
        </w:tc>
        <w:tc>
          <w:tcPr>
            <w:tcW w:w="3848" w:type="dxa"/>
          </w:tcPr>
          <w:p w:rsidR="00CF4FDF" w:rsidRPr="00104AB5" w:rsidRDefault="00CF4FDF" w:rsidP="00CF4FDF">
            <w:pPr>
              <w:widowControl w:val="0"/>
              <w:rPr>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5.</w:t>
            </w:r>
          </w:p>
        </w:tc>
        <w:tc>
          <w:tcPr>
            <w:tcW w:w="810" w:type="dxa"/>
          </w:tcPr>
          <w:p w:rsidR="00CF4FDF" w:rsidRPr="00104AB5" w:rsidRDefault="00CF4FDF" w:rsidP="00CF4FDF">
            <w:pPr>
              <w:widowControl w:val="0"/>
              <w:rPr>
                <w:sz w:val="20"/>
                <w:szCs w:val="20"/>
              </w:rPr>
            </w:pPr>
            <w:r w:rsidRPr="00104AB5">
              <w:rPr>
                <w:sz w:val="20"/>
                <w:szCs w:val="20"/>
              </w:rPr>
              <w:t>38750</w:t>
            </w:r>
          </w:p>
        </w:tc>
        <w:tc>
          <w:tcPr>
            <w:tcW w:w="4050" w:type="dxa"/>
          </w:tcPr>
          <w:p w:rsidR="00CF4FDF" w:rsidRPr="00104AB5" w:rsidRDefault="00CF4FDF" w:rsidP="00CF4FDF">
            <w:pPr>
              <w:widowControl w:val="0"/>
              <w:rPr>
                <w:sz w:val="20"/>
                <w:szCs w:val="20"/>
              </w:rPr>
            </w:pPr>
            <w:r w:rsidRPr="00104AB5">
              <w:rPr>
                <w:sz w:val="20"/>
                <w:szCs w:val="20"/>
              </w:rPr>
              <w:t>Rawia Salman</w:t>
            </w:r>
          </w:p>
          <w:p w:rsidR="00CF4FDF" w:rsidRPr="00104AB5" w:rsidRDefault="00CF4FDF" w:rsidP="00CF4FDF">
            <w:pPr>
              <w:widowControl w:val="0"/>
              <w:rPr>
                <w:sz w:val="20"/>
                <w:szCs w:val="20"/>
              </w:rPr>
            </w:pPr>
            <w:r w:rsidRPr="00104AB5">
              <w:rPr>
                <w:sz w:val="20"/>
                <w:szCs w:val="20"/>
              </w:rPr>
              <w:t>(Ont.)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Shawn Patey, et al.</w:t>
            </w: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6.</w:t>
            </w:r>
          </w:p>
        </w:tc>
        <w:tc>
          <w:tcPr>
            <w:tcW w:w="810" w:type="dxa"/>
          </w:tcPr>
          <w:p w:rsidR="00CF4FDF" w:rsidRPr="00104AB5" w:rsidRDefault="00CF4FDF" w:rsidP="00CF4FDF">
            <w:pPr>
              <w:widowControl w:val="0"/>
              <w:rPr>
                <w:sz w:val="20"/>
                <w:szCs w:val="20"/>
              </w:rPr>
            </w:pPr>
            <w:r w:rsidRPr="00104AB5">
              <w:rPr>
                <w:sz w:val="20"/>
                <w:szCs w:val="20"/>
              </w:rPr>
              <w:t>38762</w:t>
            </w:r>
          </w:p>
        </w:tc>
        <w:tc>
          <w:tcPr>
            <w:tcW w:w="4050" w:type="dxa"/>
          </w:tcPr>
          <w:p w:rsidR="00CF4FDF" w:rsidRPr="00104AB5" w:rsidRDefault="00CF4FDF" w:rsidP="00CF4FDF">
            <w:pPr>
              <w:widowControl w:val="0"/>
              <w:rPr>
                <w:sz w:val="20"/>
                <w:szCs w:val="20"/>
              </w:rPr>
            </w:pPr>
            <w:r w:rsidRPr="00104AB5">
              <w:rPr>
                <w:sz w:val="20"/>
                <w:szCs w:val="20"/>
              </w:rPr>
              <w:t>Eric Van Steenis</w:t>
            </w:r>
          </w:p>
          <w:p w:rsidR="00CF4FDF" w:rsidRPr="00104AB5" w:rsidRDefault="00CF4FDF" w:rsidP="00CF4FDF">
            <w:pPr>
              <w:widowControl w:val="0"/>
              <w:rPr>
                <w:sz w:val="20"/>
                <w:szCs w:val="20"/>
              </w:rPr>
            </w:pPr>
            <w:r w:rsidRPr="00104AB5">
              <w:rPr>
                <w:sz w:val="20"/>
                <w:szCs w:val="20"/>
              </w:rPr>
              <w:t>(F.C.)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Her Majesty the Queen</w:t>
            </w:r>
          </w:p>
        </w:tc>
      </w:tr>
      <w:tr w:rsidR="00CF4FDF" w:rsidRPr="00104AB5" w:rsidTr="00B23BCB">
        <w:trPr>
          <w:cantSplit/>
        </w:trPr>
        <w:tc>
          <w:tcPr>
            <w:tcW w:w="508" w:type="dxa"/>
          </w:tcPr>
          <w:p w:rsidR="00CF4FDF" w:rsidRPr="00104AB5" w:rsidRDefault="00CF4FDF" w:rsidP="00CF4FDF">
            <w:pPr>
              <w:widowControl w:val="0"/>
              <w:rPr>
                <w:b/>
                <w:sz w:val="20"/>
                <w:szCs w:val="20"/>
              </w:rPr>
            </w:pPr>
          </w:p>
        </w:tc>
        <w:tc>
          <w:tcPr>
            <w:tcW w:w="810" w:type="dxa"/>
          </w:tcPr>
          <w:p w:rsidR="00CF4FDF" w:rsidRPr="00104AB5" w:rsidRDefault="00CF4FDF" w:rsidP="00CF4FDF">
            <w:pPr>
              <w:widowControl w:val="0"/>
              <w:rPr>
                <w:b/>
                <w:sz w:val="20"/>
                <w:szCs w:val="20"/>
              </w:rPr>
            </w:pPr>
          </w:p>
        </w:tc>
        <w:tc>
          <w:tcPr>
            <w:tcW w:w="8258" w:type="dxa"/>
            <w:gridSpan w:val="3"/>
          </w:tcPr>
          <w:p w:rsidR="00CF4FDF" w:rsidRPr="00104AB5" w:rsidRDefault="00CF4FDF" w:rsidP="00CF4FDF">
            <w:pPr>
              <w:widowControl w:val="0"/>
              <w:jc w:val="center"/>
              <w:rPr>
                <w:b/>
                <w:sz w:val="20"/>
                <w:szCs w:val="20"/>
              </w:rPr>
            </w:pPr>
            <w:r w:rsidRPr="00104AB5">
              <w:rPr>
                <w:b/>
                <w:sz w:val="20"/>
                <w:szCs w:val="20"/>
              </w:rPr>
              <w:t>CORAM: Moldaver, Côté and Martin JJ.</w:t>
            </w:r>
          </w:p>
          <w:p w:rsidR="00CF4FDF" w:rsidRPr="00104AB5" w:rsidRDefault="00CF4FDF" w:rsidP="00CF4FDF">
            <w:pPr>
              <w:widowControl w:val="0"/>
              <w:jc w:val="center"/>
              <w:rPr>
                <w:b/>
                <w:sz w:val="20"/>
                <w:szCs w:val="20"/>
                <w:lang w:val="fr-CA"/>
              </w:rPr>
            </w:pPr>
            <w:r w:rsidRPr="00104AB5">
              <w:rPr>
                <w:b/>
                <w:sz w:val="20"/>
                <w:szCs w:val="20"/>
                <w:lang w:val="fr-CA"/>
              </w:rPr>
              <w:t>Les juges Moldaver, Côté et Martin</w:t>
            </w:r>
          </w:p>
        </w:tc>
      </w:tr>
      <w:tr w:rsidR="00CF4FDF" w:rsidRPr="00104AB5" w:rsidTr="00CE2651">
        <w:trPr>
          <w:cantSplit/>
        </w:trPr>
        <w:tc>
          <w:tcPr>
            <w:tcW w:w="508" w:type="dxa"/>
          </w:tcPr>
          <w:p w:rsidR="00CF4FDF" w:rsidRPr="00104AB5" w:rsidRDefault="00CF4FDF" w:rsidP="00CF4FDF">
            <w:pPr>
              <w:widowControl w:val="0"/>
              <w:rPr>
                <w:b/>
                <w:sz w:val="20"/>
                <w:szCs w:val="20"/>
                <w:lang w:val="fr-CA"/>
              </w:rPr>
            </w:pPr>
          </w:p>
        </w:tc>
        <w:tc>
          <w:tcPr>
            <w:tcW w:w="810" w:type="dxa"/>
          </w:tcPr>
          <w:p w:rsidR="00CF4FDF" w:rsidRPr="00104AB5" w:rsidRDefault="00CF4FDF" w:rsidP="00CF4FDF">
            <w:pPr>
              <w:widowControl w:val="0"/>
              <w:rPr>
                <w:b/>
                <w:sz w:val="20"/>
                <w:szCs w:val="20"/>
                <w:lang w:val="fr-CA"/>
              </w:rPr>
            </w:pPr>
          </w:p>
        </w:tc>
        <w:tc>
          <w:tcPr>
            <w:tcW w:w="4050" w:type="dxa"/>
          </w:tcPr>
          <w:p w:rsidR="00CF4FDF" w:rsidRPr="00104AB5" w:rsidRDefault="00CF4FDF" w:rsidP="00CF4FDF">
            <w:pPr>
              <w:widowControl w:val="0"/>
              <w:rPr>
                <w:b/>
                <w:sz w:val="20"/>
                <w:szCs w:val="20"/>
              </w:rPr>
            </w:pPr>
            <w:r w:rsidRPr="00104AB5">
              <w:rPr>
                <w:b/>
                <w:sz w:val="20"/>
                <w:szCs w:val="20"/>
              </w:rPr>
              <w:t>Criminal / Criminelle</w:t>
            </w:r>
          </w:p>
        </w:tc>
        <w:tc>
          <w:tcPr>
            <w:tcW w:w="360" w:type="dxa"/>
          </w:tcPr>
          <w:p w:rsidR="00CF4FDF" w:rsidRPr="00104AB5" w:rsidRDefault="00CF4FDF" w:rsidP="00CF4FDF">
            <w:pPr>
              <w:widowControl w:val="0"/>
              <w:rPr>
                <w:b/>
                <w:sz w:val="20"/>
                <w:szCs w:val="20"/>
              </w:rPr>
            </w:pPr>
          </w:p>
        </w:tc>
        <w:tc>
          <w:tcPr>
            <w:tcW w:w="3848" w:type="dxa"/>
          </w:tcPr>
          <w:p w:rsidR="00CF4FDF" w:rsidRPr="00104AB5" w:rsidRDefault="00CF4FDF" w:rsidP="00CF4FDF">
            <w:pPr>
              <w:widowControl w:val="0"/>
              <w:rPr>
                <w:b/>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7.</w:t>
            </w:r>
          </w:p>
        </w:tc>
        <w:tc>
          <w:tcPr>
            <w:tcW w:w="810" w:type="dxa"/>
          </w:tcPr>
          <w:p w:rsidR="00CF4FDF" w:rsidRPr="00104AB5" w:rsidRDefault="00CF4FDF" w:rsidP="00CF4FDF">
            <w:pPr>
              <w:widowControl w:val="0"/>
              <w:rPr>
                <w:sz w:val="20"/>
                <w:szCs w:val="20"/>
              </w:rPr>
            </w:pPr>
            <w:r w:rsidRPr="00104AB5">
              <w:rPr>
                <w:sz w:val="20"/>
                <w:szCs w:val="20"/>
              </w:rPr>
              <w:t>38778</w:t>
            </w:r>
          </w:p>
        </w:tc>
        <w:tc>
          <w:tcPr>
            <w:tcW w:w="4050" w:type="dxa"/>
          </w:tcPr>
          <w:p w:rsidR="00CF4FDF" w:rsidRPr="00104AB5" w:rsidRDefault="00CF4FDF" w:rsidP="00CF4FDF">
            <w:pPr>
              <w:widowControl w:val="0"/>
              <w:rPr>
                <w:sz w:val="20"/>
                <w:szCs w:val="20"/>
              </w:rPr>
            </w:pPr>
            <w:r w:rsidRPr="00104AB5">
              <w:rPr>
                <w:sz w:val="20"/>
                <w:szCs w:val="20"/>
              </w:rPr>
              <w:t>Derek Shawn Froese</w:t>
            </w:r>
          </w:p>
          <w:p w:rsidR="00CF4FDF" w:rsidRPr="00104AB5" w:rsidRDefault="00CF4FDF" w:rsidP="00CF4FDF">
            <w:pPr>
              <w:widowControl w:val="0"/>
              <w:rPr>
                <w:sz w:val="20"/>
                <w:szCs w:val="20"/>
              </w:rPr>
            </w:pPr>
            <w:r w:rsidRPr="00104AB5">
              <w:rPr>
                <w:sz w:val="20"/>
                <w:szCs w:val="20"/>
              </w:rPr>
              <w:t>(Man.) (Criminal)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Her Majesty the Queen</w:t>
            </w:r>
          </w:p>
        </w:tc>
      </w:tr>
      <w:tr w:rsidR="00CF4FDF" w:rsidRPr="00104AB5" w:rsidTr="00CE2651">
        <w:trPr>
          <w:cantSplit/>
        </w:trPr>
        <w:tc>
          <w:tcPr>
            <w:tcW w:w="508" w:type="dxa"/>
          </w:tcPr>
          <w:p w:rsidR="00CF4FDF" w:rsidRPr="00104AB5" w:rsidRDefault="00CF4FDF" w:rsidP="00CF4FDF">
            <w:pPr>
              <w:widowControl w:val="0"/>
              <w:rPr>
                <w:sz w:val="20"/>
                <w:szCs w:val="20"/>
              </w:rPr>
            </w:pPr>
          </w:p>
        </w:tc>
        <w:tc>
          <w:tcPr>
            <w:tcW w:w="810" w:type="dxa"/>
          </w:tcPr>
          <w:p w:rsidR="00CF4FDF" w:rsidRPr="00104AB5" w:rsidRDefault="00CF4FDF" w:rsidP="00CF4FDF">
            <w:pPr>
              <w:widowControl w:val="0"/>
              <w:rPr>
                <w:sz w:val="20"/>
                <w:szCs w:val="20"/>
              </w:rPr>
            </w:pPr>
          </w:p>
        </w:tc>
        <w:tc>
          <w:tcPr>
            <w:tcW w:w="4050" w:type="dxa"/>
          </w:tcPr>
          <w:p w:rsidR="00CF4FDF" w:rsidRPr="00104AB5" w:rsidRDefault="00CF4FDF" w:rsidP="00CF4FDF">
            <w:pPr>
              <w:widowControl w:val="0"/>
              <w:rPr>
                <w:b/>
                <w:sz w:val="20"/>
                <w:szCs w:val="20"/>
              </w:rPr>
            </w:pPr>
            <w:r w:rsidRPr="00104AB5">
              <w:rPr>
                <w:b/>
                <w:sz w:val="20"/>
                <w:szCs w:val="20"/>
              </w:rPr>
              <w:t>Civil / Civile</w:t>
            </w:r>
          </w:p>
        </w:tc>
        <w:tc>
          <w:tcPr>
            <w:tcW w:w="360" w:type="dxa"/>
          </w:tcPr>
          <w:p w:rsidR="00CF4FDF" w:rsidRPr="00104AB5" w:rsidRDefault="00CF4FDF" w:rsidP="00CF4FDF">
            <w:pPr>
              <w:widowControl w:val="0"/>
              <w:rPr>
                <w:sz w:val="20"/>
                <w:szCs w:val="20"/>
              </w:rPr>
            </w:pPr>
          </w:p>
        </w:tc>
        <w:tc>
          <w:tcPr>
            <w:tcW w:w="3848" w:type="dxa"/>
          </w:tcPr>
          <w:p w:rsidR="00CF4FDF" w:rsidRPr="00104AB5" w:rsidRDefault="00CF4FDF" w:rsidP="00CF4FDF">
            <w:pPr>
              <w:widowControl w:val="0"/>
              <w:rPr>
                <w:sz w:val="20"/>
                <w:szCs w:val="20"/>
              </w:rPr>
            </w:pP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8.</w:t>
            </w:r>
          </w:p>
        </w:tc>
        <w:tc>
          <w:tcPr>
            <w:tcW w:w="810" w:type="dxa"/>
          </w:tcPr>
          <w:p w:rsidR="00CF4FDF" w:rsidRPr="00104AB5" w:rsidRDefault="00CF4FDF" w:rsidP="00CF4FDF">
            <w:pPr>
              <w:widowControl w:val="0"/>
              <w:rPr>
                <w:sz w:val="20"/>
                <w:szCs w:val="20"/>
              </w:rPr>
            </w:pPr>
            <w:r w:rsidRPr="00104AB5">
              <w:rPr>
                <w:sz w:val="20"/>
                <w:szCs w:val="20"/>
              </w:rPr>
              <w:t>38722</w:t>
            </w:r>
          </w:p>
        </w:tc>
        <w:tc>
          <w:tcPr>
            <w:tcW w:w="4050" w:type="dxa"/>
          </w:tcPr>
          <w:p w:rsidR="00CF4FDF" w:rsidRPr="00104AB5" w:rsidRDefault="00CF4FDF" w:rsidP="00CF4FDF">
            <w:pPr>
              <w:widowControl w:val="0"/>
              <w:rPr>
                <w:sz w:val="20"/>
                <w:szCs w:val="20"/>
              </w:rPr>
            </w:pPr>
            <w:r w:rsidRPr="00104AB5">
              <w:rPr>
                <w:sz w:val="20"/>
                <w:szCs w:val="20"/>
              </w:rPr>
              <w:t>A</w:t>
            </w:r>
          </w:p>
          <w:p w:rsidR="00CF4FDF" w:rsidRPr="00104AB5" w:rsidRDefault="00CF4FDF" w:rsidP="00CF4FDF">
            <w:pPr>
              <w:widowControl w:val="0"/>
              <w:rPr>
                <w:sz w:val="20"/>
                <w:szCs w:val="20"/>
              </w:rPr>
            </w:pPr>
            <w:r w:rsidRPr="00104AB5">
              <w:rPr>
                <w:sz w:val="20"/>
                <w:szCs w:val="20"/>
              </w:rPr>
              <w:t>(Que.)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C, et al.</w:t>
            </w:r>
          </w:p>
        </w:tc>
      </w:tr>
      <w:tr w:rsidR="00CF4FDF" w:rsidRPr="00104AB5" w:rsidTr="00CE2651">
        <w:trPr>
          <w:cantSplit/>
        </w:trPr>
        <w:tc>
          <w:tcPr>
            <w:tcW w:w="508" w:type="dxa"/>
          </w:tcPr>
          <w:p w:rsidR="00CF4FDF" w:rsidRPr="00104AB5" w:rsidRDefault="00CF4FDF" w:rsidP="00CF4FDF">
            <w:pPr>
              <w:widowControl w:val="0"/>
              <w:rPr>
                <w:sz w:val="20"/>
                <w:szCs w:val="20"/>
              </w:rPr>
            </w:pPr>
            <w:r w:rsidRPr="00104AB5">
              <w:rPr>
                <w:sz w:val="20"/>
                <w:szCs w:val="20"/>
              </w:rPr>
              <w:t>9.</w:t>
            </w:r>
          </w:p>
        </w:tc>
        <w:tc>
          <w:tcPr>
            <w:tcW w:w="810" w:type="dxa"/>
          </w:tcPr>
          <w:p w:rsidR="00CF4FDF" w:rsidRPr="00104AB5" w:rsidRDefault="00CF4FDF" w:rsidP="00CF4FDF">
            <w:pPr>
              <w:widowControl w:val="0"/>
              <w:rPr>
                <w:sz w:val="20"/>
                <w:szCs w:val="20"/>
              </w:rPr>
            </w:pPr>
            <w:r w:rsidRPr="00104AB5">
              <w:rPr>
                <w:sz w:val="20"/>
                <w:szCs w:val="20"/>
              </w:rPr>
              <w:t>38787</w:t>
            </w:r>
          </w:p>
        </w:tc>
        <w:tc>
          <w:tcPr>
            <w:tcW w:w="4050" w:type="dxa"/>
          </w:tcPr>
          <w:p w:rsidR="00CF4FDF" w:rsidRPr="00104AB5" w:rsidRDefault="00CF4FDF" w:rsidP="00CF4FDF">
            <w:pPr>
              <w:widowControl w:val="0"/>
              <w:rPr>
                <w:sz w:val="20"/>
                <w:szCs w:val="20"/>
              </w:rPr>
            </w:pPr>
            <w:r w:rsidRPr="00104AB5">
              <w:rPr>
                <w:sz w:val="20"/>
                <w:szCs w:val="20"/>
              </w:rPr>
              <w:t>CIBC World Markets Inc./Marches Mondiaux CIBC Inc., carrying on business as CIBC Wood Gundy</w:t>
            </w:r>
          </w:p>
          <w:p w:rsidR="00CF4FDF" w:rsidRPr="00104AB5" w:rsidRDefault="00CF4FDF" w:rsidP="00CF4FDF">
            <w:pPr>
              <w:widowControl w:val="0"/>
              <w:rPr>
                <w:sz w:val="20"/>
                <w:szCs w:val="20"/>
              </w:rPr>
            </w:pPr>
            <w:r w:rsidRPr="00104AB5">
              <w:rPr>
                <w:sz w:val="20"/>
                <w:szCs w:val="20"/>
              </w:rPr>
              <w:t>(N.S.) (Civil) (By Leave)</w:t>
            </w:r>
          </w:p>
        </w:tc>
        <w:tc>
          <w:tcPr>
            <w:tcW w:w="360" w:type="dxa"/>
          </w:tcPr>
          <w:p w:rsidR="00CF4FDF" w:rsidRPr="00104AB5" w:rsidRDefault="00CF4FDF" w:rsidP="00CF4FDF">
            <w:pPr>
              <w:widowControl w:val="0"/>
              <w:rPr>
                <w:sz w:val="20"/>
                <w:szCs w:val="20"/>
              </w:rPr>
            </w:pPr>
            <w:r w:rsidRPr="00104AB5">
              <w:rPr>
                <w:sz w:val="20"/>
                <w:szCs w:val="20"/>
              </w:rPr>
              <w:t>v.</w:t>
            </w:r>
          </w:p>
        </w:tc>
        <w:tc>
          <w:tcPr>
            <w:tcW w:w="3848" w:type="dxa"/>
          </w:tcPr>
          <w:p w:rsidR="00CF4FDF" w:rsidRPr="00104AB5" w:rsidRDefault="00CF4FDF" w:rsidP="00CF4FDF">
            <w:pPr>
              <w:widowControl w:val="0"/>
              <w:rPr>
                <w:sz w:val="20"/>
                <w:szCs w:val="20"/>
              </w:rPr>
            </w:pPr>
            <w:r w:rsidRPr="00104AB5">
              <w:rPr>
                <w:sz w:val="20"/>
                <w:szCs w:val="20"/>
              </w:rPr>
              <w:t>Gayle Crooks, et al.</w:t>
            </w:r>
          </w:p>
        </w:tc>
      </w:tr>
    </w:tbl>
    <w:p w:rsidR="00CF4FDF" w:rsidRPr="00104AB5" w:rsidRDefault="00CF4FDF" w:rsidP="00CF4FDF">
      <w:pPr>
        <w:widowControl w:val="0"/>
        <w:rPr>
          <w:sz w:val="20"/>
          <w:szCs w:val="20"/>
        </w:rPr>
      </w:pPr>
    </w:p>
    <w:p w:rsidR="00D94028" w:rsidRPr="00104AB5" w:rsidRDefault="00B54B7D" w:rsidP="002E2327">
      <w:pPr>
        <w:widowControl w:val="0"/>
        <w:rPr>
          <w:sz w:val="20"/>
          <w:szCs w:val="20"/>
        </w:rPr>
      </w:pPr>
      <w:r w:rsidRPr="00104AB5">
        <w:rPr>
          <w:sz w:val="20"/>
          <w:szCs w:val="20"/>
        </w:rPr>
        <w:pict>
          <v:rect id="_x0000_i1037" style="width:2in;height:1pt" o:hrpct="0" o:hralign="center" o:hrstd="t" o:hrnoshade="t" o:hr="t" fillcolor="black [3213]" stroked="f"/>
        </w:pict>
      </w:r>
    </w:p>
    <w:p w:rsidR="001031F4" w:rsidRPr="00104AB5" w:rsidRDefault="001031F4" w:rsidP="002E2327">
      <w:pPr>
        <w:widowControl w:val="0"/>
        <w:rPr>
          <w:sz w:val="20"/>
          <w:szCs w:val="20"/>
        </w:rPr>
      </w:pPr>
    </w:p>
    <w:p w:rsidR="0044776A" w:rsidRPr="00104AB5" w:rsidRDefault="0044776A" w:rsidP="002E2327">
      <w:pPr>
        <w:widowControl w:val="0"/>
        <w:spacing w:line="0" w:lineRule="atLeast"/>
        <w:rPr>
          <w:sz w:val="20"/>
          <w:szCs w:val="20"/>
        </w:rPr>
      </w:pPr>
    </w:p>
    <w:p w:rsidR="00B500C5" w:rsidRPr="00104AB5" w:rsidRDefault="00B500C5" w:rsidP="002E2327">
      <w:pPr>
        <w:widowControl w:val="0"/>
        <w:spacing w:line="0" w:lineRule="atLeast"/>
        <w:rPr>
          <w:sz w:val="20"/>
          <w:szCs w:val="20"/>
        </w:rPr>
        <w:sectPr w:rsidR="00B500C5" w:rsidRPr="00104AB5"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04AB5" w:rsidRDefault="00DD0BDC" w:rsidP="00567602">
      <w:pPr>
        <w:pStyle w:val="Header1StyleE"/>
        <w:pBdr>
          <w:bottom w:val="single" w:sz="12" w:space="1" w:color="auto"/>
        </w:pBdr>
        <w:rPr>
          <w:lang w:val="fr-CA"/>
        </w:rPr>
      </w:pPr>
      <w:bookmarkStart w:id="3" w:name="QuickMark_1"/>
      <w:bookmarkStart w:id="4" w:name="_Toc22712736"/>
      <w:bookmarkEnd w:id="3"/>
      <w:r w:rsidRPr="00104AB5">
        <w:rPr>
          <w:lang w:val="fr-CA"/>
        </w:rPr>
        <w:lastRenderedPageBreak/>
        <w:t>Judgments on applications</w:t>
      </w:r>
      <w:r w:rsidR="000C1D9D" w:rsidRPr="00104AB5">
        <w:rPr>
          <w:lang w:val="fr-CA"/>
        </w:rPr>
        <w:t xml:space="preserve"> </w:t>
      </w:r>
      <w:r w:rsidRPr="00104AB5">
        <w:rPr>
          <w:lang w:val="fr-CA"/>
        </w:rPr>
        <w:t>for leave</w:t>
      </w:r>
      <w:r w:rsidR="00693C38" w:rsidRPr="00104AB5">
        <w:rPr>
          <w:noProof/>
          <w:sz w:val="20"/>
          <w:lang w:val="fr-CA"/>
        </w:rPr>
        <w:t xml:space="preserve"> </w:t>
      </w:r>
      <w:r w:rsidR="00271E1E" w:rsidRPr="00104AB5">
        <w:rPr>
          <w:noProof/>
          <w:sz w:val="20"/>
          <w:lang w:val="fr-CA"/>
        </w:rPr>
        <w:t xml:space="preserve">/ </w:t>
      </w:r>
      <w:r w:rsidR="00693C38" w:rsidRPr="00104AB5">
        <w:rPr>
          <w:noProof/>
          <w:sz w:val="20"/>
          <w:lang w:val="fr-CA"/>
        </w:rPr>
        <w:br/>
      </w:r>
      <w:r w:rsidRPr="00104AB5">
        <w:rPr>
          <w:lang w:val="fr-CA"/>
        </w:rPr>
        <w:t>Jugements rendus sur les demandes d’autorisation</w:t>
      </w:r>
      <w:bookmarkEnd w:id="4"/>
    </w:p>
    <w:p w:rsidR="00FB1DB6" w:rsidRPr="00104AB5" w:rsidRDefault="00FB1DB6" w:rsidP="00693C38">
      <w:pPr>
        <w:rPr>
          <w:sz w:val="20"/>
          <w:szCs w:val="20"/>
          <w:lang w:val="fr-CA"/>
        </w:rPr>
      </w:pPr>
    </w:p>
    <w:p w:rsidR="00F16063" w:rsidRPr="00104AB5" w:rsidRDefault="001031F4" w:rsidP="00F16063">
      <w:pPr>
        <w:rPr>
          <w:b/>
          <w:sz w:val="20"/>
          <w:szCs w:val="20"/>
        </w:rPr>
      </w:pPr>
      <w:r w:rsidRPr="00104AB5">
        <w:rPr>
          <w:b/>
          <w:sz w:val="20"/>
          <w:szCs w:val="20"/>
          <w:lang w:val="fr-CA"/>
        </w:rPr>
        <w:t>OCTOBER</w:t>
      </w:r>
      <w:r w:rsidR="00F16063" w:rsidRPr="00104AB5">
        <w:rPr>
          <w:b/>
          <w:sz w:val="20"/>
          <w:szCs w:val="20"/>
        </w:rPr>
        <w:t xml:space="preserve"> </w:t>
      </w:r>
      <w:r w:rsidRPr="00104AB5">
        <w:rPr>
          <w:b/>
          <w:sz w:val="20"/>
          <w:szCs w:val="20"/>
        </w:rPr>
        <w:t>24</w:t>
      </w:r>
      <w:r w:rsidR="00F16063" w:rsidRPr="00104AB5">
        <w:rPr>
          <w:b/>
          <w:sz w:val="20"/>
          <w:szCs w:val="20"/>
        </w:rPr>
        <w:t xml:space="preserve">, </w:t>
      </w:r>
      <w:r w:rsidR="0034657E" w:rsidRPr="00104AB5">
        <w:rPr>
          <w:b/>
          <w:sz w:val="20"/>
          <w:szCs w:val="20"/>
        </w:rPr>
        <w:t>2019</w:t>
      </w:r>
      <w:r w:rsidR="00F16063" w:rsidRPr="00104AB5">
        <w:rPr>
          <w:b/>
          <w:sz w:val="20"/>
          <w:szCs w:val="20"/>
        </w:rPr>
        <w:t xml:space="preserve"> / LE 2</w:t>
      </w:r>
      <w:r w:rsidRPr="00104AB5">
        <w:rPr>
          <w:b/>
          <w:sz w:val="20"/>
          <w:szCs w:val="20"/>
        </w:rPr>
        <w:t>4 OCTOBRE</w:t>
      </w:r>
      <w:r w:rsidR="00F16063" w:rsidRPr="00104AB5">
        <w:rPr>
          <w:b/>
          <w:sz w:val="20"/>
          <w:szCs w:val="20"/>
        </w:rPr>
        <w:t xml:space="preserve"> </w:t>
      </w:r>
      <w:r w:rsidR="0034657E" w:rsidRPr="00104AB5">
        <w:rPr>
          <w:b/>
          <w:sz w:val="20"/>
          <w:szCs w:val="20"/>
        </w:rPr>
        <w:t>2019</w:t>
      </w:r>
    </w:p>
    <w:p w:rsidR="008D175B" w:rsidRPr="00104AB5" w:rsidRDefault="008D175B" w:rsidP="008D175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t>38639</w:t>
            </w:r>
          </w:p>
        </w:tc>
        <w:tc>
          <w:tcPr>
            <w:tcW w:w="4457" w:type="pct"/>
            <w:gridSpan w:val="3"/>
          </w:tcPr>
          <w:p w:rsidR="008D175B" w:rsidRPr="00104AB5" w:rsidRDefault="002A0FFA" w:rsidP="00DB0C96">
            <w:pPr>
              <w:pStyle w:val="SCCLsocParty"/>
              <w:jc w:val="both"/>
              <w:rPr>
                <w:b/>
                <w:sz w:val="20"/>
                <w:szCs w:val="20"/>
                <w:lang w:val="en-US"/>
              </w:rPr>
            </w:pPr>
            <w:r w:rsidRPr="00104AB5">
              <w:rPr>
                <w:b/>
                <w:sz w:val="20"/>
                <w:szCs w:val="20"/>
                <w:lang w:val="en-US"/>
              </w:rPr>
              <w:t>IN THE MATTER OF an application in the Supreme Court of Newfoundland and Labrador for an order in the nature of certiorari, and mandamus seeking to quash the refusal by a Provincial Court Judge to issue a section 487.02 Criminal Code assistance order, sought by the Crown to give effect to a section 492.2(1) Criminal Code transmission data recorder warrant</w:t>
            </w:r>
          </w:p>
          <w:p w:rsidR="008D175B" w:rsidRPr="00104AB5" w:rsidRDefault="008D175B" w:rsidP="00DB0C96">
            <w:pPr>
              <w:jc w:val="both"/>
              <w:rPr>
                <w:sz w:val="20"/>
              </w:rPr>
            </w:pPr>
            <w:r w:rsidRPr="00104AB5">
              <w:rPr>
                <w:sz w:val="20"/>
              </w:rPr>
              <w:t>(N.L.) (Criminal) (By Leave)</w:t>
            </w:r>
          </w:p>
        </w:tc>
      </w:tr>
      <w:tr w:rsidR="002A0FFA" w:rsidRPr="00104AB5" w:rsidTr="00DB0C96">
        <w:tc>
          <w:tcPr>
            <w:tcW w:w="5000" w:type="pct"/>
            <w:gridSpan w:val="4"/>
          </w:tcPr>
          <w:p w:rsidR="002A0FFA" w:rsidRPr="00104AB5" w:rsidRDefault="002A0FFA" w:rsidP="00DB0C96">
            <w:pPr>
              <w:jc w:val="both"/>
              <w:rPr>
                <w:sz w:val="20"/>
              </w:rPr>
            </w:pPr>
            <w:r w:rsidRPr="00104AB5">
              <w:rPr>
                <w:sz w:val="20"/>
              </w:rPr>
              <w:t>The motion for leave to be added as a party to serve and file an application for leave to appeal from the judgment of the</w:t>
            </w:r>
            <w:bookmarkStart w:id="5" w:name="BM_1_"/>
            <w:bookmarkEnd w:id="5"/>
            <w:r w:rsidRPr="00104AB5">
              <w:rPr>
                <w:sz w:val="20"/>
              </w:rPr>
              <w:t xml:space="preserve"> Court of Appeal of Newfoundland and Labrador, Number 201801H0043, 2019 NLCA 6, dated January 25, 2019, is dismissed.</w:t>
            </w:r>
          </w:p>
          <w:p w:rsidR="002A0FFA" w:rsidRPr="00104AB5" w:rsidRDefault="002A0FFA"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 xml:space="preserve">Criminal law — Warrants — Transmission data recorder warrants — Assistance orders — Scope — What is the correct interpretation of s. 487.02 of the </w:t>
            </w:r>
            <w:r w:rsidRPr="00104AB5">
              <w:rPr>
                <w:i/>
                <w:sz w:val="20"/>
              </w:rPr>
              <w:t>Criminal Code</w:t>
            </w:r>
            <w:r w:rsidRPr="00104AB5">
              <w:rPr>
                <w:sz w:val="20"/>
              </w:rPr>
              <w:t xml:space="preserve"> which enables the police to apply for assistance orders when they are required to give effect to previously granted judicial authorizations? — When and how should courts appoint </w:t>
            </w:r>
            <w:r w:rsidRPr="00104AB5">
              <w:rPr>
                <w:i/>
                <w:sz w:val="20"/>
              </w:rPr>
              <w:t>amici curiae</w:t>
            </w:r>
            <w:r w:rsidRPr="00104AB5">
              <w:rPr>
                <w:sz w:val="20"/>
              </w:rPr>
              <w:t xml:space="preserve"> in </w:t>
            </w:r>
            <w:r w:rsidRPr="00104AB5">
              <w:rPr>
                <w:i/>
                <w:sz w:val="20"/>
              </w:rPr>
              <w:t>ex parte</w:t>
            </w:r>
            <w:r w:rsidRPr="00104AB5">
              <w:rPr>
                <w:sz w:val="20"/>
              </w:rPr>
              <w:t xml:space="preserve"> Crown applications regarding judicial authorizations with broad impact on the criminal justice system and its participants? — </w:t>
            </w:r>
            <w:r w:rsidRPr="00104AB5">
              <w:rPr>
                <w:i/>
                <w:sz w:val="20"/>
              </w:rPr>
              <w:t>Criminal Code</w:t>
            </w:r>
            <w:r w:rsidRPr="00104AB5">
              <w:rPr>
                <w:sz w:val="20"/>
              </w:rPr>
              <w:t>, R.S.C. 1985, c. C</w:t>
            </w:r>
            <w:r w:rsidRPr="00104AB5">
              <w:rPr>
                <w:sz w:val="20"/>
              </w:rPr>
              <w:noBreakHyphen/>
              <w:t>46, ss. 487.02, 492.2.</w:t>
            </w:r>
          </w:p>
        </w:tc>
      </w:tr>
      <w:tr w:rsidR="008D175B" w:rsidRPr="00104AB5" w:rsidTr="00DB0C96">
        <w:tc>
          <w:tcPr>
            <w:tcW w:w="5000" w:type="pct"/>
            <w:gridSpan w:val="4"/>
          </w:tcPr>
          <w:p w:rsidR="008D175B" w:rsidRPr="00104AB5" w:rsidRDefault="008D175B"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 xml:space="preserve">The RCMP applied for a transmission data warrant (“TDR warrant”) under s. 492.2(1) of the </w:t>
            </w:r>
            <w:r w:rsidRPr="00104AB5">
              <w:rPr>
                <w:i/>
                <w:sz w:val="20"/>
              </w:rPr>
              <w:t>Criminal Code</w:t>
            </w:r>
            <w:r w:rsidRPr="00104AB5">
              <w:rPr>
                <w:sz w:val="20"/>
              </w:rPr>
              <w:t xml:space="preserve">, in the course of a drug investigation. They were looking for information on unknown telephone numbers associated with an identified telephone number, but the TDR warrant would only capture the unknown numbers and not the names and addresses associated with those numbers. As a result, the RCMP sought an assistance order pursuant to s. 487.02 of the </w:t>
            </w:r>
            <w:r w:rsidRPr="00104AB5">
              <w:rPr>
                <w:i/>
                <w:sz w:val="20"/>
              </w:rPr>
              <w:t>Criminal Code</w:t>
            </w:r>
            <w:r w:rsidRPr="00104AB5">
              <w:rPr>
                <w:sz w:val="20"/>
              </w:rPr>
              <w:t>, which, it argued, would require telecommunications service providers (“</w:t>
            </w:r>
            <w:proofErr w:type="spellStart"/>
            <w:r w:rsidRPr="00104AB5">
              <w:rPr>
                <w:sz w:val="20"/>
              </w:rPr>
              <w:t>telcos</w:t>
            </w:r>
            <w:proofErr w:type="spellEnd"/>
            <w:r w:rsidRPr="00104AB5">
              <w:rPr>
                <w:sz w:val="20"/>
              </w:rPr>
              <w:t xml:space="preserve">”) to give the police the subscriber information. The Provincial Court judge refused to issue the assistance order for want of jurisdiction, finding that subscriber information was not “transmission data” within the meaning of s. 492.2 of the </w:t>
            </w:r>
            <w:r w:rsidRPr="00104AB5">
              <w:rPr>
                <w:i/>
                <w:sz w:val="20"/>
              </w:rPr>
              <w:t>Criminal Code</w:t>
            </w:r>
            <w:r w:rsidRPr="00104AB5">
              <w:rPr>
                <w:sz w:val="20"/>
              </w:rPr>
              <w:t xml:space="preserve"> and could therefore not be accessed through an assistance order for a TDR warrant. The Superior Court agreed and dismissed the Crown’s application for </w:t>
            </w:r>
            <w:r w:rsidRPr="00104AB5">
              <w:rPr>
                <w:i/>
                <w:sz w:val="20"/>
              </w:rPr>
              <w:t xml:space="preserve">certiorari </w:t>
            </w:r>
            <w:r w:rsidRPr="00104AB5">
              <w:rPr>
                <w:sz w:val="20"/>
              </w:rPr>
              <w:t xml:space="preserve">and </w:t>
            </w:r>
            <w:r w:rsidRPr="00104AB5">
              <w:rPr>
                <w:i/>
                <w:sz w:val="20"/>
              </w:rPr>
              <w:t>mandamus</w:t>
            </w:r>
            <w:r w:rsidRPr="00104AB5">
              <w:rPr>
                <w:sz w:val="20"/>
              </w:rPr>
              <w:t>. A majority of the Court of Appeal allowed the appeal and remitted the matter to the Provincial Court. Green J.A., dissenting, would have dismissed the appeal.</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March 12, 2018</w:t>
            </w:r>
          </w:p>
          <w:p w:rsidR="008D175B" w:rsidRPr="00104AB5" w:rsidRDefault="008D175B" w:rsidP="00DB0C96">
            <w:pPr>
              <w:jc w:val="both"/>
              <w:rPr>
                <w:sz w:val="20"/>
              </w:rPr>
            </w:pPr>
            <w:r w:rsidRPr="00104AB5">
              <w:rPr>
                <w:sz w:val="20"/>
              </w:rPr>
              <w:t>Provincial Court of Newfoundland and Labrador</w:t>
            </w:r>
          </w:p>
          <w:p w:rsidR="008D175B" w:rsidRPr="00104AB5" w:rsidRDefault="008D175B" w:rsidP="00DB0C96">
            <w:pPr>
              <w:jc w:val="both"/>
              <w:rPr>
                <w:sz w:val="20"/>
              </w:rPr>
            </w:pPr>
            <w:r w:rsidRPr="00104AB5">
              <w:rPr>
                <w:sz w:val="20"/>
              </w:rPr>
              <w:t>(Flynn J.)</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 xml:space="preserve">Application for assistance order (s. 487.02 of the </w:t>
            </w:r>
            <w:r w:rsidRPr="00104AB5">
              <w:rPr>
                <w:i/>
                <w:sz w:val="20"/>
              </w:rPr>
              <w:t>Criminal Code</w:t>
            </w:r>
            <w:r w:rsidRPr="00104AB5">
              <w:rPr>
                <w:sz w:val="20"/>
              </w:rPr>
              <w:t>)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April 13, 2018</w:t>
            </w:r>
          </w:p>
          <w:p w:rsidR="008D175B" w:rsidRPr="00104AB5" w:rsidRDefault="008D175B" w:rsidP="00DB0C96">
            <w:pPr>
              <w:jc w:val="both"/>
              <w:rPr>
                <w:sz w:val="20"/>
              </w:rPr>
            </w:pPr>
            <w:r w:rsidRPr="00104AB5">
              <w:rPr>
                <w:sz w:val="20"/>
              </w:rPr>
              <w:t>Supreme Court of Newfoundland &amp; Labrador, Trial Division</w:t>
            </w:r>
          </w:p>
          <w:p w:rsidR="008D175B" w:rsidRPr="00104AB5" w:rsidRDefault="008D175B" w:rsidP="00DB0C96">
            <w:pPr>
              <w:jc w:val="both"/>
              <w:rPr>
                <w:sz w:val="20"/>
              </w:rPr>
            </w:pPr>
            <w:r w:rsidRPr="00104AB5">
              <w:rPr>
                <w:sz w:val="20"/>
              </w:rPr>
              <w:t>(Marshall J.)</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i/>
                <w:sz w:val="20"/>
              </w:rPr>
              <w:t xml:space="preserve">Certiorari </w:t>
            </w:r>
            <w:r w:rsidRPr="00104AB5">
              <w:rPr>
                <w:sz w:val="20"/>
              </w:rPr>
              <w:t xml:space="preserve">and </w:t>
            </w:r>
            <w:r w:rsidRPr="00104AB5">
              <w:rPr>
                <w:i/>
                <w:sz w:val="20"/>
              </w:rPr>
              <w:t>mandamus</w:t>
            </w:r>
            <w:r w:rsidRPr="00104AB5">
              <w:rPr>
                <w:sz w:val="20"/>
              </w:rPr>
              <w:t xml:space="preserve"> applications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January 25, 2019</w:t>
            </w:r>
          </w:p>
          <w:p w:rsidR="008D175B" w:rsidRPr="00104AB5" w:rsidRDefault="008D175B" w:rsidP="00DB0C96">
            <w:pPr>
              <w:jc w:val="both"/>
              <w:rPr>
                <w:sz w:val="20"/>
              </w:rPr>
            </w:pPr>
            <w:r w:rsidRPr="00104AB5">
              <w:rPr>
                <w:sz w:val="20"/>
              </w:rPr>
              <w:t>Court of Appeal of Newfoundland and Labrador</w:t>
            </w:r>
          </w:p>
          <w:p w:rsidR="008D175B" w:rsidRPr="00104AB5" w:rsidRDefault="008D175B" w:rsidP="00DB0C96">
            <w:pPr>
              <w:jc w:val="both"/>
              <w:rPr>
                <w:sz w:val="20"/>
              </w:rPr>
            </w:pPr>
            <w:r w:rsidRPr="00104AB5">
              <w:rPr>
                <w:sz w:val="20"/>
              </w:rPr>
              <w:t xml:space="preserve">(Green [dissenting] and Welsh and </w:t>
            </w:r>
            <w:proofErr w:type="spellStart"/>
            <w:r w:rsidRPr="00104AB5">
              <w:rPr>
                <w:sz w:val="20"/>
              </w:rPr>
              <w:t>Hoegg</w:t>
            </w:r>
            <w:proofErr w:type="spellEnd"/>
            <w:r w:rsidRPr="00104AB5">
              <w:rPr>
                <w:sz w:val="20"/>
              </w:rPr>
              <w:t xml:space="preserve"> JJ.A.)</w:t>
            </w:r>
          </w:p>
          <w:p w:rsidR="008D175B" w:rsidRPr="00104AB5" w:rsidRDefault="00B54B7D" w:rsidP="00DB0C96">
            <w:pPr>
              <w:jc w:val="both"/>
              <w:rPr>
                <w:sz w:val="20"/>
              </w:rPr>
            </w:pPr>
            <w:hyperlink r:id="rId19" w:history="1">
              <w:r w:rsidR="008D175B" w:rsidRPr="00104AB5">
                <w:rPr>
                  <w:rStyle w:val="Hyperlink"/>
                  <w:sz w:val="20"/>
                </w:rPr>
                <w:t>2019 NLCA 6</w:t>
              </w:r>
            </w:hyperlink>
          </w:p>
          <w:p w:rsidR="008D175B" w:rsidRPr="00104AB5" w:rsidRDefault="008D175B" w:rsidP="00DB0C96">
            <w:pPr>
              <w:jc w:val="both"/>
              <w:rPr>
                <w:sz w:val="20"/>
              </w:rPr>
            </w:pPr>
          </w:p>
          <w:p w:rsidR="008D175B" w:rsidRPr="00104AB5" w:rsidRDefault="008D175B" w:rsidP="00DB0C96">
            <w:pPr>
              <w:jc w:val="both"/>
              <w:rPr>
                <w:sz w:val="20"/>
              </w:rPr>
            </w:pPr>
            <w:r w:rsidRPr="00104AB5">
              <w:rPr>
                <w:sz w:val="20"/>
              </w:rPr>
              <w:t>May 2, 2019</w:t>
            </w:r>
          </w:p>
          <w:p w:rsidR="008D175B" w:rsidRPr="00104AB5" w:rsidRDefault="008D175B" w:rsidP="00DB0C96">
            <w:pPr>
              <w:jc w:val="both"/>
              <w:rPr>
                <w:sz w:val="20"/>
              </w:rPr>
            </w:pPr>
            <w:r w:rsidRPr="00104AB5">
              <w:rPr>
                <w:sz w:val="20"/>
              </w:rPr>
              <w:t>Supreme Court of Canada</w:t>
            </w:r>
          </w:p>
          <w:p w:rsidR="008D175B" w:rsidRPr="00104AB5" w:rsidRDefault="008D175B" w:rsidP="00DB0C96">
            <w:pPr>
              <w:jc w:val="both"/>
              <w:rPr>
                <w:sz w:val="20"/>
              </w:rPr>
            </w:pPr>
          </w:p>
          <w:p w:rsidR="008D175B" w:rsidRPr="00104AB5" w:rsidRDefault="008D175B" w:rsidP="00DB0C96">
            <w:pPr>
              <w:jc w:val="both"/>
              <w:rPr>
                <w:sz w:val="20"/>
              </w:rPr>
            </w:pPr>
            <w:r w:rsidRPr="00104AB5">
              <w:rPr>
                <w:sz w:val="20"/>
              </w:rPr>
              <w:t>May 23,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Appeal allowed; matter remitted to Provincial Court</w:t>
            </w:r>
          </w:p>
          <w:p w:rsidR="008D175B" w:rsidRPr="00104AB5" w:rsidRDefault="008D175B" w:rsidP="00DB0C96">
            <w:pPr>
              <w:jc w:val="both"/>
              <w:rPr>
                <w:sz w:val="20"/>
              </w:rPr>
            </w:pPr>
          </w:p>
          <w:p w:rsidR="008D175B" w:rsidRPr="00104AB5" w:rsidRDefault="008D175B" w:rsidP="00DB0C96">
            <w:pPr>
              <w:jc w:val="both"/>
              <w:rPr>
                <w:sz w:val="20"/>
              </w:rPr>
            </w:pPr>
          </w:p>
          <w:p w:rsidR="008D175B" w:rsidRPr="00104AB5" w:rsidRDefault="008D175B" w:rsidP="00DB0C96">
            <w:pPr>
              <w:jc w:val="both"/>
              <w:rPr>
                <w:sz w:val="20"/>
              </w:rPr>
            </w:pPr>
          </w:p>
          <w:p w:rsidR="008D175B" w:rsidRPr="00104AB5" w:rsidRDefault="008D175B" w:rsidP="00DB0C96">
            <w:pPr>
              <w:jc w:val="both"/>
              <w:rPr>
                <w:sz w:val="20"/>
              </w:rPr>
            </w:pPr>
          </w:p>
          <w:p w:rsidR="008D175B" w:rsidRPr="00104AB5" w:rsidRDefault="008D175B" w:rsidP="00DB0C96">
            <w:pPr>
              <w:jc w:val="both"/>
              <w:rPr>
                <w:sz w:val="20"/>
              </w:rPr>
            </w:pPr>
            <w:r w:rsidRPr="00104AB5">
              <w:rPr>
                <w:sz w:val="20"/>
              </w:rPr>
              <w:t>Motion to extend time and application for leave to appeal filed</w:t>
            </w:r>
          </w:p>
          <w:p w:rsidR="008D175B" w:rsidRPr="00104AB5" w:rsidRDefault="008D175B" w:rsidP="00DB0C96">
            <w:pPr>
              <w:jc w:val="both"/>
              <w:rPr>
                <w:sz w:val="20"/>
              </w:rPr>
            </w:pPr>
          </w:p>
          <w:p w:rsidR="008D175B" w:rsidRPr="00104AB5" w:rsidRDefault="008D175B" w:rsidP="00DB0C96">
            <w:pPr>
              <w:jc w:val="both"/>
              <w:rPr>
                <w:sz w:val="20"/>
              </w:rPr>
            </w:pPr>
            <w:r w:rsidRPr="00104AB5">
              <w:rPr>
                <w:sz w:val="20"/>
              </w:rPr>
              <w:t>Motion to be added as a party to bring application for leave to appeal filed</w:t>
            </w:r>
          </w:p>
        </w:tc>
      </w:tr>
    </w:tbl>
    <w:p w:rsidR="008D175B" w:rsidRPr="00104AB5" w:rsidRDefault="008D175B" w:rsidP="008D175B">
      <w:pPr>
        <w:jc w:val="both"/>
        <w:rPr>
          <w:sz w:val="20"/>
        </w:rPr>
      </w:pPr>
    </w:p>
    <w:p w:rsidR="008D175B" w:rsidRPr="00104AB5" w:rsidRDefault="00B54B7D" w:rsidP="008D175B">
      <w:pPr>
        <w:jc w:val="both"/>
        <w:rPr>
          <w:sz w:val="20"/>
        </w:rPr>
      </w:pPr>
      <w:r w:rsidRPr="00104AB5">
        <w:rPr>
          <w:sz w:val="20"/>
        </w:rPr>
        <w:pict>
          <v:rect id="_x0000_i1040" style="width:2in;height:1pt" o:hrpct="0" o:hralign="center" o:hrstd="t" o:hrnoshade="t" o:hr="t" fillcolor="black [3213]" stroked="f"/>
        </w:pict>
      </w:r>
    </w:p>
    <w:p w:rsidR="008D175B" w:rsidRPr="00104AB5" w:rsidRDefault="008D175B" w:rsidP="008D17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lastRenderedPageBreak/>
              <w:t>38639</w:t>
            </w:r>
          </w:p>
        </w:tc>
        <w:tc>
          <w:tcPr>
            <w:tcW w:w="4457" w:type="pct"/>
            <w:gridSpan w:val="3"/>
          </w:tcPr>
          <w:p w:rsidR="008D175B" w:rsidRPr="00104AB5" w:rsidRDefault="002A0FFA" w:rsidP="00DB0C96">
            <w:pPr>
              <w:pStyle w:val="SCCLsocParty"/>
              <w:jc w:val="both"/>
              <w:rPr>
                <w:b/>
                <w:sz w:val="20"/>
                <w:szCs w:val="20"/>
              </w:rPr>
            </w:pPr>
            <w:r w:rsidRPr="00104AB5">
              <w:rPr>
                <w:b/>
                <w:sz w:val="20"/>
                <w:szCs w:val="20"/>
              </w:rPr>
              <w:t xml:space="preserve">DANS L’AFFAIRE d’une demande présentée à la Cour suprême de Terre-Neuve et Labrador en vue d’obtenir une ordonnance de la nature d’un </w:t>
            </w:r>
            <w:r w:rsidRPr="00104AB5">
              <w:rPr>
                <w:b/>
                <w:i/>
                <w:iCs/>
                <w:sz w:val="20"/>
                <w:szCs w:val="20"/>
              </w:rPr>
              <w:t>certiorari</w:t>
            </w:r>
            <w:r w:rsidRPr="00104AB5">
              <w:rPr>
                <w:b/>
                <w:sz w:val="20"/>
                <w:szCs w:val="20"/>
              </w:rPr>
              <w:t xml:space="preserve"> ainsi que de </w:t>
            </w:r>
            <w:r w:rsidRPr="00104AB5">
              <w:rPr>
                <w:b/>
                <w:i/>
                <w:iCs/>
                <w:sz w:val="20"/>
                <w:szCs w:val="20"/>
              </w:rPr>
              <w:t>mandamus</w:t>
            </w:r>
            <w:r w:rsidRPr="00104AB5">
              <w:rPr>
                <w:b/>
                <w:sz w:val="20"/>
                <w:szCs w:val="20"/>
              </w:rPr>
              <w:t xml:space="preserve"> pour faire annuler le refus par un juge de la Cour provinciale de prononcer une ordonnance d’assistance en vertu de l’art. 487.02 du </w:t>
            </w:r>
            <w:r w:rsidRPr="00104AB5">
              <w:rPr>
                <w:b/>
                <w:i/>
                <w:iCs/>
                <w:sz w:val="20"/>
                <w:szCs w:val="20"/>
              </w:rPr>
              <w:t>Code criminel</w:t>
            </w:r>
            <w:r w:rsidRPr="00104AB5">
              <w:rPr>
                <w:b/>
                <w:sz w:val="20"/>
                <w:szCs w:val="20"/>
              </w:rPr>
              <w:t xml:space="preserve">, qu’avait sollicitée la Couronne pour donner effet à un mandat autorisant les autorités compétentes à obtenir des renseignements au moyen d’un enregistreur de données de transmission délivré en application du par. 492.2(1) du </w:t>
            </w:r>
            <w:r w:rsidRPr="00104AB5">
              <w:rPr>
                <w:b/>
                <w:i/>
                <w:iCs/>
                <w:sz w:val="20"/>
                <w:szCs w:val="20"/>
              </w:rPr>
              <w:t>Code criminel</w:t>
            </w:r>
            <w:r w:rsidRPr="00104AB5">
              <w:rPr>
                <w:b/>
                <w:sz w:val="20"/>
                <w:szCs w:val="20"/>
              </w:rPr>
              <w:t>.</w:t>
            </w:r>
          </w:p>
          <w:p w:rsidR="008D175B" w:rsidRPr="00104AB5" w:rsidRDefault="008D175B" w:rsidP="00DB0C96">
            <w:pPr>
              <w:jc w:val="both"/>
              <w:rPr>
                <w:sz w:val="20"/>
                <w:lang w:val="fr-CA"/>
              </w:rPr>
            </w:pPr>
            <w:r w:rsidRPr="00104AB5">
              <w:rPr>
                <w:sz w:val="20"/>
                <w:lang w:val="fr-CA"/>
              </w:rPr>
              <w:t>(T.-N.-L.) (Criminel) (Sur autorisation)</w:t>
            </w:r>
          </w:p>
        </w:tc>
      </w:tr>
      <w:tr w:rsidR="002A0FFA" w:rsidRPr="00104AB5" w:rsidTr="00DB0C96">
        <w:tc>
          <w:tcPr>
            <w:tcW w:w="5000" w:type="pct"/>
            <w:gridSpan w:val="4"/>
          </w:tcPr>
          <w:p w:rsidR="002A0FFA" w:rsidRPr="00104AB5" w:rsidRDefault="002A0FFA" w:rsidP="00DB0C96">
            <w:pPr>
              <w:jc w:val="both"/>
              <w:rPr>
                <w:sz w:val="20"/>
                <w:lang w:val="fr-CA"/>
              </w:rPr>
            </w:pPr>
            <w:r w:rsidRPr="00104AB5">
              <w:rPr>
                <w:sz w:val="20"/>
                <w:lang w:val="fr-CA"/>
              </w:rPr>
              <w:t xml:space="preserve">La requête en autorisation pour être ajouté en tant que partie afin de pouvoir signifier et déposer une demande d’autorisation d’appel de l’arrêt de la </w:t>
            </w:r>
            <w:r w:rsidRPr="00104AB5">
              <w:rPr>
                <w:sz w:val="20"/>
                <w:lang w:val="fr-FR"/>
              </w:rPr>
              <w:t>Cour d’appel de Terre-Neuve et Labrador</w:t>
            </w:r>
            <w:r w:rsidRPr="00104AB5">
              <w:rPr>
                <w:sz w:val="20"/>
                <w:lang w:val="fr-CA"/>
              </w:rPr>
              <w:t xml:space="preserve">, numéro </w:t>
            </w:r>
            <w:r w:rsidRPr="00104AB5">
              <w:rPr>
                <w:sz w:val="20"/>
                <w:lang w:val="fr-FR"/>
              </w:rPr>
              <w:t>201801H0043, 2019 NLCA 6</w:t>
            </w:r>
            <w:r w:rsidRPr="00104AB5">
              <w:rPr>
                <w:sz w:val="20"/>
                <w:lang w:val="fr-CA"/>
              </w:rPr>
              <w:t xml:space="preserve">, daté du </w:t>
            </w:r>
            <w:r w:rsidRPr="00104AB5">
              <w:rPr>
                <w:sz w:val="20"/>
                <w:lang w:val="fr-FR"/>
              </w:rPr>
              <w:t>25 janvier 2019</w:t>
            </w:r>
            <w:r w:rsidRPr="00104AB5">
              <w:rPr>
                <w:sz w:val="20"/>
                <w:lang w:val="fr-CA"/>
              </w:rPr>
              <w:t>, est rejetée.</w:t>
            </w:r>
          </w:p>
          <w:p w:rsidR="002A0FFA" w:rsidRPr="00104AB5" w:rsidRDefault="002A0FFA"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t xml:space="preserve">Droit criminel — Mandats — Mandats relatifs à un enregistreur de données de transmission — Ordonnances d’assistance — Portée — Quelle est l’interprétation correcte de l’art. 487.02 du </w:t>
            </w:r>
            <w:r w:rsidRPr="00104AB5">
              <w:rPr>
                <w:i/>
                <w:sz w:val="20"/>
                <w:lang w:val="fr-CA"/>
              </w:rPr>
              <w:t xml:space="preserve">Code criminel </w:t>
            </w:r>
            <w:r w:rsidRPr="00104AB5">
              <w:rPr>
                <w:sz w:val="20"/>
                <w:lang w:val="fr-CA"/>
              </w:rPr>
              <w:t>qui permet à la police de demander une ordonnance d’assistance lorsqu’elle doit donner effet à des autorisations judiciaires déjà accordées ? — Quand et comment les tribunaux devraient</w:t>
            </w:r>
            <w:r w:rsidRPr="00104AB5">
              <w:rPr>
                <w:sz w:val="20"/>
                <w:lang w:val="fr-CA"/>
              </w:rPr>
              <w:noBreakHyphen/>
              <w:t xml:space="preserve">ils </w:t>
            </w:r>
            <w:proofErr w:type="gramStart"/>
            <w:r w:rsidRPr="00104AB5">
              <w:rPr>
                <w:sz w:val="20"/>
                <w:lang w:val="fr-CA"/>
              </w:rPr>
              <w:t>nommer</w:t>
            </w:r>
            <w:proofErr w:type="gramEnd"/>
            <w:r w:rsidRPr="00104AB5">
              <w:rPr>
                <w:sz w:val="20"/>
                <w:lang w:val="fr-CA"/>
              </w:rPr>
              <w:t xml:space="preserve"> des </w:t>
            </w:r>
            <w:proofErr w:type="spellStart"/>
            <w:r w:rsidRPr="00104AB5">
              <w:rPr>
                <w:i/>
                <w:sz w:val="20"/>
                <w:lang w:val="fr-CA"/>
              </w:rPr>
              <w:t>amici</w:t>
            </w:r>
            <w:proofErr w:type="spellEnd"/>
            <w:r w:rsidRPr="00104AB5">
              <w:rPr>
                <w:i/>
                <w:sz w:val="20"/>
                <w:lang w:val="fr-CA"/>
              </w:rPr>
              <w:t xml:space="preserve"> </w:t>
            </w:r>
            <w:proofErr w:type="spellStart"/>
            <w:r w:rsidRPr="00104AB5">
              <w:rPr>
                <w:i/>
                <w:sz w:val="20"/>
                <w:lang w:val="fr-CA"/>
              </w:rPr>
              <w:t>curiae</w:t>
            </w:r>
            <w:proofErr w:type="spellEnd"/>
            <w:r w:rsidRPr="00104AB5">
              <w:rPr>
                <w:sz w:val="20"/>
                <w:lang w:val="fr-CA"/>
              </w:rPr>
              <w:t xml:space="preserve"> dans les demandes du ministère public </w:t>
            </w:r>
            <w:r w:rsidRPr="00104AB5">
              <w:rPr>
                <w:i/>
                <w:sz w:val="20"/>
                <w:lang w:val="fr-CA"/>
              </w:rPr>
              <w:t>ex parte</w:t>
            </w:r>
            <w:r w:rsidRPr="00104AB5">
              <w:rPr>
                <w:sz w:val="20"/>
                <w:lang w:val="fr-CA"/>
              </w:rPr>
              <w:t xml:space="preserve"> concernant les autorisations judiciaires ayant une incidence générale sur le système de justice pénale et ses participants ? — </w:t>
            </w:r>
            <w:r w:rsidRPr="00104AB5">
              <w:rPr>
                <w:i/>
                <w:sz w:val="20"/>
                <w:lang w:val="fr-CA"/>
              </w:rPr>
              <w:t>Code criminel</w:t>
            </w:r>
            <w:r w:rsidRPr="00104AB5">
              <w:rPr>
                <w:sz w:val="20"/>
                <w:lang w:val="fr-CA"/>
              </w:rPr>
              <w:t>, L.R.C. 1985, c. C</w:t>
            </w:r>
            <w:r w:rsidRPr="00104AB5">
              <w:rPr>
                <w:sz w:val="20"/>
                <w:lang w:val="fr-CA"/>
              </w:rPr>
              <w:noBreakHyphen/>
              <w:t>46, art. 487.02, 492.2.</w:t>
            </w:r>
          </w:p>
        </w:tc>
      </w:tr>
      <w:tr w:rsidR="008D175B" w:rsidRPr="00104AB5" w:rsidTr="00DB0C96">
        <w:tc>
          <w:tcPr>
            <w:tcW w:w="5000" w:type="pct"/>
            <w:gridSpan w:val="4"/>
          </w:tcPr>
          <w:p w:rsidR="008D175B" w:rsidRPr="00104AB5" w:rsidRDefault="008D175B"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t xml:space="preserve">La GRC a demandé un mandat autorisant l’enregistrement de données de transmission en application du par. 492.2(1) du </w:t>
            </w:r>
            <w:r w:rsidRPr="00104AB5">
              <w:rPr>
                <w:i/>
                <w:sz w:val="20"/>
                <w:lang w:val="fr-CA"/>
              </w:rPr>
              <w:t>Code criminel</w:t>
            </w:r>
            <w:r w:rsidRPr="00104AB5">
              <w:rPr>
                <w:sz w:val="20"/>
                <w:lang w:val="fr-CA"/>
              </w:rPr>
              <w:t xml:space="preserve">, dans le cadre d’une enquête en matière de drogue. Elle cherchait des renseignements sur les numéros de téléphone inconnus associés à un numéro de téléphone identifié, mais le mandat ne visait que les numéros inconnus et non les noms et adresses associés à ces numéros. Par conséquent, la GRC a demandé une ordonnance d’assistance en vertu de l’art. 487.02 du </w:t>
            </w:r>
            <w:r w:rsidRPr="00104AB5">
              <w:rPr>
                <w:i/>
                <w:sz w:val="20"/>
                <w:lang w:val="fr-CA"/>
              </w:rPr>
              <w:t>Code criminel</w:t>
            </w:r>
            <w:r w:rsidRPr="00104AB5">
              <w:rPr>
                <w:sz w:val="20"/>
                <w:lang w:val="fr-CA"/>
              </w:rPr>
              <w:t xml:space="preserve">, qui, selon elle, obligerait les fournisseurs de services de télécommunication (« compagnies de téléphone ») à fournir à la police les renseignements sur les abonnés visés. Le juge de la Cour provinciale a refusé d’émettre l’ordonnance d’assistance pour défaut de compétence, concluant que les renseignements sur les abonnés n’étaient pas des « données de transmission » au sens de l’art. 492.2 du </w:t>
            </w:r>
            <w:r w:rsidRPr="00104AB5">
              <w:rPr>
                <w:i/>
                <w:sz w:val="20"/>
                <w:lang w:val="fr-CA"/>
              </w:rPr>
              <w:t>Code criminel</w:t>
            </w:r>
            <w:r w:rsidRPr="00104AB5">
              <w:rPr>
                <w:sz w:val="20"/>
                <w:lang w:val="fr-CA"/>
              </w:rPr>
              <w:t xml:space="preserve"> et qu’ils ne pouvaient </w:t>
            </w:r>
            <w:proofErr w:type="gramStart"/>
            <w:r w:rsidRPr="00104AB5">
              <w:rPr>
                <w:sz w:val="20"/>
                <w:lang w:val="fr-CA"/>
              </w:rPr>
              <w:t>donc pas</w:t>
            </w:r>
            <w:proofErr w:type="gramEnd"/>
            <w:r w:rsidRPr="00104AB5">
              <w:rPr>
                <w:sz w:val="20"/>
                <w:lang w:val="fr-CA"/>
              </w:rPr>
              <w:t xml:space="preserve"> être obtenus au moyen d’une ordonnance d’assistance à un mandat autorisant l’enregistrement de données de transmission. La Cour supérieure a accepté et rejeté les demandes de </w:t>
            </w:r>
            <w:r w:rsidRPr="00104AB5">
              <w:rPr>
                <w:i/>
                <w:sz w:val="20"/>
                <w:lang w:val="fr-CA"/>
              </w:rPr>
              <w:t>certiorari</w:t>
            </w:r>
            <w:r w:rsidRPr="00104AB5">
              <w:rPr>
                <w:sz w:val="20"/>
                <w:lang w:val="fr-CA"/>
              </w:rPr>
              <w:t xml:space="preserve"> et de </w:t>
            </w:r>
            <w:r w:rsidRPr="00104AB5">
              <w:rPr>
                <w:i/>
                <w:sz w:val="20"/>
                <w:lang w:val="fr-CA"/>
              </w:rPr>
              <w:t>mandamus</w:t>
            </w:r>
            <w:r w:rsidRPr="00104AB5">
              <w:rPr>
                <w:sz w:val="20"/>
                <w:lang w:val="fr-CA"/>
              </w:rPr>
              <w:t xml:space="preserve"> du ministère public. Les juges majoritaires de la Cour d’appel ont accueilli l’appel et ont renvoyé l’affaire à la Cour provinciale. Le juge Green, dissident, aurait rejeté l’appel.</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12 mars 2018</w:t>
            </w:r>
          </w:p>
          <w:p w:rsidR="008D175B" w:rsidRPr="00104AB5" w:rsidRDefault="008D175B" w:rsidP="00DB0C96">
            <w:pPr>
              <w:jc w:val="both"/>
              <w:rPr>
                <w:sz w:val="20"/>
                <w:lang w:val="fr-CA"/>
              </w:rPr>
            </w:pPr>
            <w:r w:rsidRPr="00104AB5">
              <w:rPr>
                <w:sz w:val="20"/>
                <w:lang w:val="fr-CA"/>
              </w:rPr>
              <w:t>Cour provinciale de Terre</w:t>
            </w:r>
            <w:r w:rsidRPr="00104AB5">
              <w:rPr>
                <w:sz w:val="20"/>
                <w:lang w:val="fr-CA"/>
              </w:rPr>
              <w:noBreakHyphen/>
              <w:t>Neuve</w:t>
            </w:r>
            <w:r w:rsidRPr="00104AB5">
              <w:rPr>
                <w:sz w:val="20"/>
                <w:lang w:val="fr-CA"/>
              </w:rPr>
              <w:noBreakHyphen/>
              <w:t>et</w:t>
            </w:r>
            <w:r w:rsidRPr="00104AB5">
              <w:rPr>
                <w:sz w:val="20"/>
                <w:lang w:val="fr-CA"/>
              </w:rPr>
              <w:noBreakHyphen/>
              <w:t>Labrador</w:t>
            </w:r>
          </w:p>
          <w:p w:rsidR="008D175B" w:rsidRPr="00104AB5" w:rsidRDefault="008D175B" w:rsidP="00DB0C96">
            <w:pPr>
              <w:jc w:val="both"/>
              <w:rPr>
                <w:sz w:val="20"/>
              </w:rPr>
            </w:pPr>
            <w:r w:rsidRPr="00104AB5">
              <w:rPr>
                <w:sz w:val="20"/>
              </w:rPr>
              <w:t>(Juge Flynn)</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lang w:val="fr-CA"/>
              </w:rPr>
            </w:pPr>
            <w:r w:rsidRPr="00104AB5">
              <w:rPr>
                <w:sz w:val="20"/>
                <w:lang w:val="fr-CA"/>
              </w:rPr>
              <w:t xml:space="preserve">Demande en vue d’obtenir une ordonnance d’assistance (art 487.02 du </w:t>
            </w:r>
            <w:r w:rsidRPr="00104AB5">
              <w:rPr>
                <w:i/>
                <w:sz w:val="20"/>
                <w:lang w:val="fr-CA"/>
              </w:rPr>
              <w:t>Code criminel</w:t>
            </w:r>
            <w:r w:rsidRPr="00104AB5">
              <w:rPr>
                <w:sz w:val="20"/>
                <w:lang w:val="fr-CA"/>
              </w:rPr>
              <w:t>) rejetée</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13 avril 2018</w:t>
            </w:r>
          </w:p>
          <w:p w:rsidR="008D175B" w:rsidRPr="00104AB5" w:rsidRDefault="008D175B" w:rsidP="00DB0C96">
            <w:pPr>
              <w:jc w:val="both"/>
              <w:rPr>
                <w:sz w:val="20"/>
                <w:lang w:val="fr-CA"/>
              </w:rPr>
            </w:pPr>
            <w:r w:rsidRPr="00104AB5">
              <w:rPr>
                <w:sz w:val="20"/>
                <w:lang w:val="fr-CA"/>
              </w:rPr>
              <w:t>Cour suprême de Terre</w:t>
            </w:r>
            <w:r w:rsidRPr="00104AB5">
              <w:rPr>
                <w:sz w:val="20"/>
                <w:lang w:val="fr-CA"/>
              </w:rPr>
              <w:noBreakHyphen/>
              <w:t>Neuve</w:t>
            </w:r>
            <w:r w:rsidRPr="00104AB5">
              <w:rPr>
                <w:sz w:val="20"/>
                <w:lang w:val="fr-CA"/>
              </w:rPr>
              <w:noBreakHyphen/>
              <w:t>et</w:t>
            </w:r>
            <w:r w:rsidRPr="00104AB5">
              <w:rPr>
                <w:sz w:val="20"/>
                <w:lang w:val="fr-CA"/>
              </w:rPr>
              <w:noBreakHyphen/>
              <w:t>Labrador, Division de première instance</w:t>
            </w:r>
          </w:p>
          <w:p w:rsidR="008D175B" w:rsidRPr="00104AB5" w:rsidRDefault="008D175B" w:rsidP="00DB0C96">
            <w:pPr>
              <w:jc w:val="both"/>
              <w:rPr>
                <w:sz w:val="20"/>
              </w:rPr>
            </w:pPr>
            <w:r w:rsidRPr="00104AB5">
              <w:rPr>
                <w:sz w:val="20"/>
              </w:rPr>
              <w:t>(Juge Marshall)</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lang w:val="fr-CA"/>
              </w:rPr>
            </w:pPr>
            <w:r w:rsidRPr="00104AB5">
              <w:rPr>
                <w:sz w:val="20"/>
                <w:lang w:val="fr-CA"/>
              </w:rPr>
              <w:t>Demandes de</w:t>
            </w:r>
            <w:r w:rsidRPr="00104AB5">
              <w:rPr>
                <w:i/>
                <w:sz w:val="20"/>
                <w:lang w:val="fr-CA"/>
              </w:rPr>
              <w:t xml:space="preserve"> certiorari </w:t>
            </w:r>
            <w:r w:rsidRPr="00104AB5">
              <w:rPr>
                <w:sz w:val="20"/>
                <w:lang w:val="fr-CA"/>
              </w:rPr>
              <w:t xml:space="preserve">et de </w:t>
            </w:r>
            <w:r w:rsidRPr="00104AB5">
              <w:rPr>
                <w:i/>
                <w:sz w:val="20"/>
                <w:lang w:val="fr-CA"/>
              </w:rPr>
              <w:t>mandamus</w:t>
            </w:r>
            <w:r w:rsidRPr="00104AB5">
              <w:rPr>
                <w:sz w:val="20"/>
                <w:lang w:val="fr-CA"/>
              </w:rPr>
              <w:t xml:space="preserve"> rejetées</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25 janvier 2019</w:t>
            </w:r>
          </w:p>
          <w:p w:rsidR="008D175B" w:rsidRPr="00104AB5" w:rsidRDefault="008D175B" w:rsidP="00DB0C96">
            <w:pPr>
              <w:jc w:val="both"/>
              <w:rPr>
                <w:sz w:val="20"/>
                <w:lang w:val="fr-CA"/>
              </w:rPr>
            </w:pPr>
            <w:r w:rsidRPr="00104AB5">
              <w:rPr>
                <w:sz w:val="20"/>
                <w:lang w:val="fr-CA"/>
              </w:rPr>
              <w:t>Cour d’appel de Terre</w:t>
            </w:r>
            <w:r w:rsidRPr="00104AB5">
              <w:rPr>
                <w:sz w:val="20"/>
                <w:lang w:val="fr-CA"/>
              </w:rPr>
              <w:noBreakHyphen/>
              <w:t>Neuve</w:t>
            </w:r>
            <w:r w:rsidRPr="00104AB5">
              <w:rPr>
                <w:sz w:val="20"/>
                <w:lang w:val="fr-CA"/>
              </w:rPr>
              <w:noBreakHyphen/>
              <w:t>et</w:t>
            </w:r>
            <w:r w:rsidRPr="00104AB5">
              <w:rPr>
                <w:sz w:val="20"/>
                <w:lang w:val="fr-CA"/>
              </w:rPr>
              <w:noBreakHyphen/>
              <w:t xml:space="preserve">Labrador (Juge Green [dissident] et juges </w:t>
            </w:r>
            <w:proofErr w:type="spellStart"/>
            <w:r w:rsidRPr="00104AB5">
              <w:rPr>
                <w:sz w:val="20"/>
                <w:lang w:val="fr-CA"/>
              </w:rPr>
              <w:t>Welsh</w:t>
            </w:r>
            <w:proofErr w:type="spellEnd"/>
            <w:r w:rsidRPr="00104AB5">
              <w:rPr>
                <w:sz w:val="20"/>
                <w:lang w:val="fr-CA"/>
              </w:rPr>
              <w:t xml:space="preserve"> et </w:t>
            </w:r>
            <w:proofErr w:type="spellStart"/>
            <w:r w:rsidRPr="00104AB5">
              <w:rPr>
                <w:sz w:val="20"/>
                <w:lang w:val="fr-CA"/>
              </w:rPr>
              <w:t>Hoegg</w:t>
            </w:r>
            <w:proofErr w:type="spellEnd"/>
            <w:r w:rsidRPr="00104AB5">
              <w:rPr>
                <w:sz w:val="20"/>
                <w:lang w:val="fr-CA"/>
              </w:rPr>
              <w:t>)</w:t>
            </w:r>
          </w:p>
          <w:p w:rsidR="008D175B" w:rsidRPr="00104AB5" w:rsidRDefault="00B54B7D" w:rsidP="00DB0C96">
            <w:pPr>
              <w:jc w:val="both"/>
              <w:rPr>
                <w:sz w:val="20"/>
                <w:lang w:val="fr-CA"/>
              </w:rPr>
            </w:pPr>
            <w:hyperlink r:id="rId20" w:history="1">
              <w:r w:rsidR="008D175B" w:rsidRPr="00104AB5">
                <w:rPr>
                  <w:rStyle w:val="Hyperlink"/>
                  <w:sz w:val="20"/>
                  <w:lang w:val="fr-CA"/>
                </w:rPr>
                <w:t>2019 NLCA 6</w:t>
              </w:r>
            </w:hyperlink>
          </w:p>
          <w:p w:rsidR="008D175B" w:rsidRPr="00104AB5" w:rsidRDefault="008D175B" w:rsidP="00DB0C96">
            <w:pPr>
              <w:jc w:val="both"/>
              <w:rPr>
                <w:sz w:val="20"/>
                <w:lang w:val="fr-CA"/>
              </w:rPr>
            </w:pPr>
          </w:p>
          <w:p w:rsidR="008D175B" w:rsidRPr="00104AB5" w:rsidRDefault="008D175B" w:rsidP="00DB0C96">
            <w:pPr>
              <w:jc w:val="both"/>
              <w:rPr>
                <w:sz w:val="20"/>
                <w:lang w:val="fr-CA"/>
              </w:rPr>
            </w:pPr>
            <w:r w:rsidRPr="00104AB5">
              <w:rPr>
                <w:sz w:val="20"/>
                <w:lang w:val="fr-CA"/>
              </w:rPr>
              <w:t>2 mai 2019</w:t>
            </w:r>
          </w:p>
          <w:p w:rsidR="008D175B" w:rsidRPr="00104AB5" w:rsidRDefault="008D175B" w:rsidP="00DB0C96">
            <w:pPr>
              <w:jc w:val="both"/>
              <w:rPr>
                <w:sz w:val="20"/>
                <w:lang w:val="fr-CA"/>
              </w:rPr>
            </w:pPr>
            <w:r w:rsidRPr="00104AB5">
              <w:rPr>
                <w:sz w:val="20"/>
                <w:lang w:val="fr-CA"/>
              </w:rPr>
              <w:t>Cour suprême du Canada</w:t>
            </w:r>
          </w:p>
          <w:p w:rsidR="008D175B" w:rsidRPr="00104AB5" w:rsidRDefault="008D175B" w:rsidP="00DB0C96">
            <w:pPr>
              <w:jc w:val="both"/>
              <w:rPr>
                <w:sz w:val="20"/>
                <w:lang w:val="fr-CA"/>
              </w:rPr>
            </w:pPr>
          </w:p>
          <w:p w:rsidR="008D175B" w:rsidRPr="00104AB5" w:rsidRDefault="008D175B" w:rsidP="00DB0C96">
            <w:pPr>
              <w:jc w:val="both"/>
              <w:rPr>
                <w:sz w:val="20"/>
                <w:lang w:val="fr-CA"/>
              </w:rPr>
            </w:pPr>
            <w:r w:rsidRPr="00104AB5">
              <w:rPr>
                <w:sz w:val="20"/>
                <w:lang w:val="fr-CA"/>
              </w:rPr>
              <w:t>23 mai 2019</w:t>
            </w:r>
          </w:p>
          <w:p w:rsidR="008D175B" w:rsidRPr="00104AB5" w:rsidRDefault="008D175B" w:rsidP="00DB0C96">
            <w:pPr>
              <w:jc w:val="both"/>
              <w:rPr>
                <w:sz w:val="20"/>
                <w:lang w:val="fr-CA"/>
              </w:rPr>
            </w:pPr>
            <w:r w:rsidRPr="00104AB5">
              <w:rPr>
                <w:sz w:val="20"/>
                <w:lang w:val="fr-CA"/>
              </w:rPr>
              <w:t>Cour suprême du Canada</w:t>
            </w: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accueilli; dossier renvoyé à la Cour provinciale</w:t>
            </w:r>
          </w:p>
          <w:p w:rsidR="008D175B" w:rsidRPr="00104AB5" w:rsidRDefault="008D175B" w:rsidP="00DB0C96">
            <w:pPr>
              <w:jc w:val="both"/>
              <w:rPr>
                <w:sz w:val="20"/>
                <w:lang w:val="fr-CA"/>
              </w:rPr>
            </w:pPr>
          </w:p>
          <w:p w:rsidR="008D175B" w:rsidRPr="00104AB5" w:rsidRDefault="008D175B" w:rsidP="00DB0C96">
            <w:pPr>
              <w:jc w:val="both"/>
              <w:rPr>
                <w:sz w:val="20"/>
                <w:lang w:val="fr-CA"/>
              </w:rPr>
            </w:pPr>
          </w:p>
          <w:p w:rsidR="008D175B" w:rsidRPr="00104AB5" w:rsidRDefault="008D175B" w:rsidP="00DB0C96">
            <w:pPr>
              <w:jc w:val="both"/>
              <w:rPr>
                <w:sz w:val="20"/>
                <w:lang w:val="fr-CA"/>
              </w:rPr>
            </w:pPr>
          </w:p>
          <w:p w:rsidR="008D175B" w:rsidRPr="00104AB5" w:rsidRDefault="008D175B" w:rsidP="00DB0C96">
            <w:pPr>
              <w:jc w:val="both"/>
              <w:rPr>
                <w:sz w:val="20"/>
                <w:lang w:val="fr-CA"/>
              </w:rPr>
            </w:pPr>
          </w:p>
          <w:p w:rsidR="008D175B" w:rsidRPr="00104AB5" w:rsidRDefault="008D175B" w:rsidP="00DB0C96">
            <w:pPr>
              <w:jc w:val="both"/>
              <w:rPr>
                <w:sz w:val="20"/>
                <w:lang w:val="fr-CA"/>
              </w:rPr>
            </w:pPr>
            <w:r w:rsidRPr="00104AB5">
              <w:rPr>
                <w:sz w:val="20"/>
                <w:lang w:val="fr-CA"/>
              </w:rPr>
              <w:t>Requête en prorogation et en autorisation d’appel déposée</w:t>
            </w:r>
          </w:p>
          <w:p w:rsidR="008D175B" w:rsidRPr="00104AB5" w:rsidRDefault="008D175B" w:rsidP="00DB0C96">
            <w:pPr>
              <w:jc w:val="both"/>
              <w:rPr>
                <w:sz w:val="20"/>
                <w:lang w:val="fr-CA"/>
              </w:rPr>
            </w:pPr>
          </w:p>
          <w:p w:rsidR="008D175B" w:rsidRPr="00104AB5" w:rsidRDefault="008D175B" w:rsidP="00DB0C96">
            <w:pPr>
              <w:jc w:val="both"/>
              <w:rPr>
                <w:sz w:val="20"/>
                <w:lang w:val="fr-CA"/>
              </w:rPr>
            </w:pPr>
            <w:r w:rsidRPr="00104AB5">
              <w:rPr>
                <w:sz w:val="20"/>
                <w:lang w:val="fr-CA"/>
              </w:rPr>
              <w:t>Requête en adjonction d’une partie à la demande d’autorisation d’appel déposée</w:t>
            </w:r>
          </w:p>
        </w:tc>
      </w:tr>
    </w:tbl>
    <w:p w:rsidR="008D175B" w:rsidRPr="00104AB5" w:rsidRDefault="008D175B" w:rsidP="008D175B">
      <w:pPr>
        <w:jc w:val="both"/>
        <w:rPr>
          <w:sz w:val="20"/>
          <w:lang w:val="fr-CA"/>
        </w:rPr>
      </w:pPr>
    </w:p>
    <w:p w:rsidR="008D175B" w:rsidRPr="00104AB5" w:rsidRDefault="00B54B7D" w:rsidP="008D175B">
      <w:pPr>
        <w:ind w:left="142" w:hanging="142"/>
        <w:jc w:val="both"/>
        <w:rPr>
          <w:sz w:val="20"/>
          <w:lang w:val="fr-CA"/>
        </w:rPr>
      </w:pPr>
      <w:r w:rsidRPr="00104AB5">
        <w:rPr>
          <w:sz w:val="20"/>
        </w:rPr>
        <w:lastRenderedPageBreak/>
        <w:pict>
          <v:rect id="_x0000_i1041" style="width:2in;height:1pt" o:hrpct="0" o:hralign="center" o:hrstd="t" o:hrnoshade="t" o:hr="t" fillcolor="black [3213]" stroked="f"/>
        </w:pict>
      </w:r>
    </w:p>
    <w:p w:rsidR="008D175B" w:rsidRPr="00104AB5" w:rsidRDefault="008D175B" w:rsidP="008D175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t>38734</w:t>
            </w:r>
          </w:p>
        </w:tc>
        <w:tc>
          <w:tcPr>
            <w:tcW w:w="4457" w:type="pct"/>
            <w:gridSpan w:val="3"/>
          </w:tcPr>
          <w:p w:rsidR="008D175B" w:rsidRPr="00104AB5" w:rsidRDefault="008D175B" w:rsidP="00DB0C96">
            <w:pPr>
              <w:pStyle w:val="SCCLsocParty"/>
              <w:jc w:val="both"/>
              <w:rPr>
                <w:b/>
                <w:sz w:val="20"/>
                <w:szCs w:val="20"/>
                <w:lang w:val="en-US"/>
              </w:rPr>
            </w:pPr>
            <w:r w:rsidRPr="00104AB5">
              <w:rPr>
                <w:b/>
                <w:sz w:val="20"/>
                <w:szCs w:val="20"/>
                <w:lang w:val="en-US"/>
              </w:rPr>
              <w:t>Her Majesty the Queen v. Richard Lee Desautel</w:t>
            </w:r>
          </w:p>
          <w:p w:rsidR="008D175B" w:rsidRPr="00104AB5" w:rsidRDefault="008D175B" w:rsidP="00DB0C96">
            <w:pPr>
              <w:jc w:val="both"/>
              <w:rPr>
                <w:sz w:val="20"/>
              </w:rPr>
            </w:pPr>
            <w:r w:rsidRPr="00104AB5">
              <w:rPr>
                <w:sz w:val="20"/>
              </w:rPr>
              <w:t>(B.C.) (Criminal) (By Leave)</w:t>
            </w:r>
          </w:p>
        </w:tc>
      </w:tr>
      <w:tr w:rsidR="00EA2EA2" w:rsidRPr="00104AB5" w:rsidTr="00DB0C96">
        <w:tc>
          <w:tcPr>
            <w:tcW w:w="5000" w:type="pct"/>
            <w:gridSpan w:val="4"/>
          </w:tcPr>
          <w:p w:rsidR="00EA2EA2" w:rsidRPr="00104AB5" w:rsidRDefault="001F794D" w:rsidP="00DB0C96">
            <w:pPr>
              <w:jc w:val="both"/>
              <w:rPr>
                <w:sz w:val="20"/>
              </w:rPr>
            </w:pPr>
            <w:r w:rsidRPr="00104AB5">
              <w:rPr>
                <w:sz w:val="20"/>
              </w:rPr>
              <w:t xml:space="preserve">The application for leave to appeal from the judgment of the Court of Appeal for British Columbia (Vancouver), Number CA45055, 2019 BCCA 151, dated May 2, 2019, is granted. The schedule for serving and filing materials will be set </w:t>
            </w:r>
            <w:r w:rsidRPr="00104AB5">
              <w:rPr>
                <w:sz w:val="20"/>
                <w:lang w:val="en-US"/>
              </w:rPr>
              <w:t>by the Registrar.</w:t>
            </w:r>
          </w:p>
          <w:p w:rsidR="00EA2EA2" w:rsidRPr="00104AB5" w:rsidRDefault="00EA2EA2"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 xml:space="preserve">Constitutional law — Aboriginal law — Aboriginal rights — Hunting — Mobility rights —Whether the constitutional protection of Aboriginal rights contained in s. 35 of the </w:t>
            </w:r>
            <w:r w:rsidRPr="00104AB5">
              <w:rPr>
                <w:i/>
                <w:sz w:val="20"/>
              </w:rPr>
              <w:t>Constitution Act, 1982</w:t>
            </w:r>
            <w:r w:rsidRPr="00104AB5">
              <w:rPr>
                <w:sz w:val="20"/>
              </w:rPr>
              <w:t xml:space="preserve"> extends to an Aboriginal group that does not reside in Canada — Whether it is a requirement of the test for proving an Aboriginal right protected by s. 35 of the </w:t>
            </w:r>
            <w:r w:rsidRPr="00104AB5">
              <w:rPr>
                <w:i/>
                <w:sz w:val="20"/>
              </w:rPr>
              <w:t>Constitution Act, 1982</w:t>
            </w:r>
            <w:r w:rsidRPr="00104AB5">
              <w:rPr>
                <w:sz w:val="20"/>
              </w:rPr>
              <w:t xml:space="preserve"> that there be a present day community in the geographic area where the claimed right was exercised — Whether, in order to determine whether an Aboriginal person who is not a citizen or resident of Canada has an Aboriginal right to hunt in Canada, it is necessary to consider the incidental mobility right of the individual and the compatibility of that right with sovereignty?</w:t>
            </w:r>
          </w:p>
        </w:tc>
      </w:tr>
      <w:tr w:rsidR="008D175B" w:rsidRPr="00104AB5" w:rsidTr="00DB0C96">
        <w:tc>
          <w:tcPr>
            <w:tcW w:w="5000" w:type="pct"/>
            <w:gridSpan w:val="4"/>
          </w:tcPr>
          <w:p w:rsidR="008D175B" w:rsidRPr="00104AB5" w:rsidRDefault="008D175B"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 xml:space="preserve">Mr. Desautel shot and killed an elk in the Arrow Lakes region near Castlegar, British Columbia. He did not have a hunting license and he is not a resident of Canada. He is a member of the American Lakes Tribe of the Confederated Tribes of the Colville Reservation, a citizen of the United States and he lives on the Colville Indian Reserve in Washington State. He was charged with hunting without a licence and hunting big game while not being a resident of British Columbia, contrary to </w:t>
            </w:r>
            <w:hyperlink r:id="rId21" w:anchor="sec11subsec1_smooth" w:history="1">
              <w:r w:rsidRPr="00104AB5">
                <w:rPr>
                  <w:sz w:val="20"/>
                </w:rPr>
                <w:t>ss. 11(1)</w:t>
              </w:r>
            </w:hyperlink>
            <w:r w:rsidRPr="00104AB5">
              <w:rPr>
                <w:sz w:val="20"/>
              </w:rPr>
              <w:t xml:space="preserve"> and </w:t>
            </w:r>
            <w:hyperlink r:id="rId22" w:anchor="sec47_smooth" w:history="1">
              <w:r w:rsidRPr="00104AB5">
                <w:rPr>
                  <w:sz w:val="20"/>
                </w:rPr>
                <w:t>47</w:t>
              </w:r>
            </w:hyperlink>
            <w:r w:rsidRPr="00104AB5">
              <w:rPr>
                <w:sz w:val="20"/>
              </w:rPr>
              <w:t xml:space="preserve">(a) of the </w:t>
            </w:r>
            <w:hyperlink r:id="rId23" w:history="1">
              <w:r w:rsidRPr="00104AB5">
                <w:rPr>
                  <w:i/>
                  <w:sz w:val="20"/>
                </w:rPr>
                <w:t>Wildlife Act</w:t>
              </w:r>
              <w:r w:rsidRPr="00104AB5">
                <w:rPr>
                  <w:sz w:val="20"/>
                </w:rPr>
                <w:t>, R.S.B.C. 1996, c. 488</w:t>
              </w:r>
            </w:hyperlink>
            <w:r w:rsidRPr="00104AB5">
              <w:rPr>
                <w:sz w:val="20"/>
              </w:rPr>
              <w:t>. At trial, he maintained that he was exercising an Aboriginal right to hunt for ceremonial purposes in the traditional territory of his ancestors. The Provincial Court acquitted Mr. Desautel. A summary conviction appeal was dismissed. An appeal to the Court of Appeal was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lang w:val="en"/>
              </w:rPr>
            </w:pPr>
            <w:r w:rsidRPr="00104AB5">
              <w:rPr>
                <w:sz w:val="20"/>
                <w:lang w:val="en"/>
              </w:rPr>
              <w:t>March 27, 2017</w:t>
            </w:r>
          </w:p>
          <w:p w:rsidR="008D175B" w:rsidRPr="00104AB5" w:rsidRDefault="008D175B" w:rsidP="00DB0C96">
            <w:pPr>
              <w:jc w:val="both"/>
              <w:rPr>
                <w:sz w:val="20"/>
                <w:lang w:val="en"/>
              </w:rPr>
            </w:pPr>
            <w:r w:rsidRPr="00104AB5">
              <w:rPr>
                <w:sz w:val="20"/>
                <w:lang w:val="en"/>
              </w:rPr>
              <w:t>Provincial Court of British Columbia</w:t>
            </w:r>
          </w:p>
          <w:p w:rsidR="008D175B" w:rsidRPr="00104AB5" w:rsidRDefault="008D175B" w:rsidP="00DB0C96">
            <w:pPr>
              <w:jc w:val="both"/>
              <w:rPr>
                <w:sz w:val="20"/>
                <w:lang w:val="en"/>
              </w:rPr>
            </w:pPr>
            <w:r w:rsidRPr="00104AB5">
              <w:rPr>
                <w:sz w:val="20"/>
                <w:lang w:val="en"/>
              </w:rPr>
              <w:t>(</w:t>
            </w:r>
            <w:proofErr w:type="spellStart"/>
            <w:r w:rsidRPr="00104AB5">
              <w:rPr>
                <w:sz w:val="20"/>
                <w:lang w:val="en"/>
              </w:rPr>
              <w:t>Mrozinski</w:t>
            </w:r>
            <w:proofErr w:type="spellEnd"/>
            <w:r w:rsidRPr="00104AB5">
              <w:rPr>
                <w:sz w:val="20"/>
                <w:lang w:val="en"/>
              </w:rPr>
              <w:t xml:space="preserve"> J.)</w:t>
            </w:r>
          </w:p>
          <w:p w:rsidR="008D175B" w:rsidRPr="00104AB5" w:rsidRDefault="00B54B7D" w:rsidP="00DB0C96">
            <w:pPr>
              <w:jc w:val="both"/>
              <w:rPr>
                <w:sz w:val="20"/>
                <w:lang w:val="en"/>
              </w:rPr>
            </w:pPr>
            <w:hyperlink r:id="rId24" w:history="1">
              <w:r w:rsidR="008D175B" w:rsidRPr="00104AB5">
                <w:rPr>
                  <w:rStyle w:val="Hyperlink"/>
                  <w:sz w:val="20"/>
                  <w:lang w:val="en"/>
                </w:rPr>
                <w:t>2017 BCPC 84</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Acquittal on charges of hunting without a license and hunting big game while not being a resident of British Columbia</w:t>
            </w:r>
          </w:p>
        </w:tc>
      </w:tr>
      <w:tr w:rsidR="008D175B" w:rsidRPr="00104AB5" w:rsidTr="00DB0C96">
        <w:trPr>
          <w:trHeight w:val="315"/>
        </w:trPr>
        <w:tc>
          <w:tcPr>
            <w:tcW w:w="2427" w:type="pct"/>
            <w:gridSpan w:val="2"/>
          </w:tcPr>
          <w:p w:rsidR="008D175B" w:rsidRPr="00104AB5" w:rsidRDefault="008D175B" w:rsidP="00DB0C96">
            <w:pPr>
              <w:jc w:val="both"/>
              <w:rPr>
                <w:sz w:val="20"/>
                <w:lang w:val="en"/>
              </w:rPr>
            </w:pPr>
            <w:r w:rsidRPr="00104AB5">
              <w:rPr>
                <w:sz w:val="20"/>
                <w:lang w:val="en"/>
              </w:rPr>
              <w:t>December 28, 2017</w:t>
            </w:r>
          </w:p>
          <w:p w:rsidR="008D175B" w:rsidRPr="00104AB5" w:rsidRDefault="008D175B" w:rsidP="00DB0C96">
            <w:pPr>
              <w:jc w:val="both"/>
              <w:rPr>
                <w:sz w:val="20"/>
                <w:lang w:val="en"/>
              </w:rPr>
            </w:pPr>
            <w:r w:rsidRPr="00104AB5">
              <w:rPr>
                <w:sz w:val="20"/>
                <w:lang w:val="en"/>
              </w:rPr>
              <w:t>Supreme Court of British Columbia</w:t>
            </w:r>
          </w:p>
          <w:p w:rsidR="008D175B" w:rsidRPr="00104AB5" w:rsidRDefault="008D175B" w:rsidP="00DB0C96">
            <w:pPr>
              <w:jc w:val="both"/>
              <w:rPr>
                <w:sz w:val="20"/>
                <w:lang w:val="en"/>
              </w:rPr>
            </w:pPr>
            <w:r w:rsidRPr="00104AB5">
              <w:rPr>
                <w:sz w:val="20"/>
                <w:lang w:val="en"/>
              </w:rPr>
              <w:t>(Sewell J.)</w:t>
            </w:r>
          </w:p>
          <w:p w:rsidR="008D175B" w:rsidRPr="00104AB5" w:rsidRDefault="00B54B7D" w:rsidP="00DB0C96">
            <w:pPr>
              <w:jc w:val="both"/>
              <w:rPr>
                <w:rStyle w:val="reflex3-block"/>
                <w:sz w:val="20"/>
                <w:lang w:val="en"/>
              </w:rPr>
            </w:pPr>
            <w:hyperlink r:id="rId25" w:history="1">
              <w:r w:rsidR="008D175B" w:rsidRPr="00104AB5">
                <w:rPr>
                  <w:rStyle w:val="Hyperlink"/>
                  <w:sz w:val="20"/>
                  <w:lang w:val="en"/>
                </w:rPr>
                <w:t>2017 BCSC 2389</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Summary conviction appeal dismissed</w:t>
            </w:r>
          </w:p>
        </w:tc>
      </w:tr>
      <w:tr w:rsidR="008D175B" w:rsidRPr="00104AB5" w:rsidTr="00DB0C96">
        <w:trPr>
          <w:trHeight w:val="315"/>
        </w:trPr>
        <w:tc>
          <w:tcPr>
            <w:tcW w:w="2427" w:type="pct"/>
            <w:gridSpan w:val="2"/>
          </w:tcPr>
          <w:p w:rsidR="008D175B" w:rsidRPr="00104AB5" w:rsidRDefault="008D175B" w:rsidP="00DB0C96">
            <w:pPr>
              <w:jc w:val="both"/>
              <w:rPr>
                <w:sz w:val="20"/>
              </w:rPr>
            </w:pPr>
            <w:r w:rsidRPr="00104AB5">
              <w:rPr>
                <w:sz w:val="20"/>
              </w:rPr>
              <w:t>May 2, 2019</w:t>
            </w:r>
          </w:p>
          <w:p w:rsidR="008D175B" w:rsidRPr="00104AB5" w:rsidRDefault="008D175B" w:rsidP="00DB0C96">
            <w:pPr>
              <w:jc w:val="both"/>
              <w:rPr>
                <w:sz w:val="20"/>
              </w:rPr>
            </w:pPr>
            <w:r w:rsidRPr="00104AB5">
              <w:rPr>
                <w:sz w:val="20"/>
              </w:rPr>
              <w:t>Court of Appeal for British Columbia</w:t>
            </w:r>
          </w:p>
          <w:p w:rsidR="008D175B" w:rsidRPr="00104AB5" w:rsidRDefault="008D175B" w:rsidP="00DB0C96">
            <w:pPr>
              <w:jc w:val="both"/>
              <w:rPr>
                <w:sz w:val="20"/>
              </w:rPr>
            </w:pPr>
            <w:r w:rsidRPr="00104AB5">
              <w:rPr>
                <w:sz w:val="20"/>
              </w:rPr>
              <w:t>(Vancouver)</w:t>
            </w:r>
          </w:p>
          <w:p w:rsidR="008D175B" w:rsidRPr="00104AB5" w:rsidRDefault="008D175B" w:rsidP="00DB0C96">
            <w:pPr>
              <w:jc w:val="both"/>
              <w:rPr>
                <w:sz w:val="20"/>
              </w:rPr>
            </w:pPr>
            <w:r w:rsidRPr="00104AB5">
              <w:rPr>
                <w:sz w:val="20"/>
              </w:rPr>
              <w:t>(Smith, Willcock, Fitch JJ.A.)</w:t>
            </w:r>
          </w:p>
          <w:p w:rsidR="008D175B" w:rsidRPr="00104AB5" w:rsidRDefault="00B54B7D" w:rsidP="00DB0C96">
            <w:pPr>
              <w:jc w:val="both"/>
              <w:rPr>
                <w:sz w:val="20"/>
              </w:rPr>
            </w:pPr>
            <w:hyperlink r:id="rId26" w:history="1">
              <w:r w:rsidR="008D175B" w:rsidRPr="00104AB5">
                <w:rPr>
                  <w:rStyle w:val="Hyperlink"/>
                  <w:sz w:val="20"/>
                </w:rPr>
                <w:t>2019 BCCA 151</w:t>
              </w:r>
            </w:hyperlink>
            <w:r w:rsidR="008D175B" w:rsidRPr="00104AB5">
              <w:rPr>
                <w:sz w:val="20"/>
              </w:rPr>
              <w:t>; CA45055</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Appeal dismissed</w:t>
            </w:r>
          </w:p>
        </w:tc>
      </w:tr>
      <w:tr w:rsidR="008D175B" w:rsidRPr="00104AB5" w:rsidTr="00DB0C96">
        <w:trPr>
          <w:trHeight w:val="315"/>
        </w:trPr>
        <w:tc>
          <w:tcPr>
            <w:tcW w:w="2427" w:type="pct"/>
            <w:gridSpan w:val="2"/>
          </w:tcPr>
          <w:p w:rsidR="008D175B" w:rsidRPr="00104AB5" w:rsidRDefault="008D175B" w:rsidP="00DB0C96">
            <w:pPr>
              <w:jc w:val="both"/>
              <w:rPr>
                <w:sz w:val="20"/>
              </w:rPr>
            </w:pPr>
            <w:r w:rsidRPr="00104AB5">
              <w:rPr>
                <w:sz w:val="20"/>
              </w:rPr>
              <w:t>July 30,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w:t>
            </w:r>
          </w:p>
          <w:p w:rsidR="008D175B" w:rsidRPr="00104AB5" w:rsidRDefault="008D175B" w:rsidP="00DB0C96">
            <w:pPr>
              <w:jc w:val="both"/>
              <w:rPr>
                <w:sz w:val="20"/>
              </w:rPr>
            </w:pPr>
          </w:p>
        </w:tc>
      </w:tr>
    </w:tbl>
    <w:p w:rsidR="008D175B" w:rsidRPr="00104AB5" w:rsidRDefault="008D175B" w:rsidP="008D175B">
      <w:pPr>
        <w:ind w:left="142" w:hanging="142"/>
        <w:jc w:val="both"/>
        <w:rPr>
          <w:sz w:val="20"/>
        </w:rPr>
      </w:pPr>
    </w:p>
    <w:p w:rsidR="008D175B" w:rsidRPr="00104AB5" w:rsidRDefault="00B54B7D" w:rsidP="008D175B">
      <w:pPr>
        <w:ind w:left="142" w:hanging="142"/>
        <w:jc w:val="both"/>
        <w:rPr>
          <w:sz w:val="20"/>
        </w:rPr>
      </w:pPr>
      <w:r w:rsidRPr="00104AB5">
        <w:rPr>
          <w:sz w:val="20"/>
        </w:rPr>
        <w:pict>
          <v:rect id="_x0000_i1042" style="width:2in;height:1pt" o:hrpct="0" o:hralign="center" o:hrstd="t" o:hrnoshade="t" o:hr="t" fillcolor="black [3213]" stroked="f"/>
        </w:pict>
      </w:r>
    </w:p>
    <w:p w:rsidR="007B31F0" w:rsidRPr="00104AB5" w:rsidRDefault="007B31F0">
      <w:pPr>
        <w:rPr>
          <w:sz w:val="20"/>
        </w:rPr>
      </w:pPr>
    </w:p>
    <w:p w:rsidR="007B31F0" w:rsidRPr="00104AB5" w:rsidRDefault="007B31F0">
      <w:pPr>
        <w:rPr>
          <w:sz w:val="20"/>
        </w:rPr>
      </w:pPr>
      <w:r w:rsidRPr="00104AB5">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lang w:val="fr-CA"/>
              </w:rPr>
            </w:pPr>
            <w:r w:rsidRPr="00104AB5">
              <w:rPr>
                <w:rStyle w:val="SCCFileNumberChar"/>
                <w:sz w:val="20"/>
                <w:szCs w:val="20"/>
                <w:lang w:val="fr-CA"/>
              </w:rPr>
              <w:lastRenderedPageBreak/>
              <w:t>38734</w:t>
            </w:r>
          </w:p>
        </w:tc>
        <w:tc>
          <w:tcPr>
            <w:tcW w:w="4457" w:type="pct"/>
            <w:gridSpan w:val="3"/>
          </w:tcPr>
          <w:p w:rsidR="008D175B" w:rsidRPr="00104AB5" w:rsidRDefault="008D175B" w:rsidP="00DB0C96">
            <w:pPr>
              <w:pStyle w:val="SCCLsocParty"/>
              <w:jc w:val="both"/>
              <w:rPr>
                <w:b/>
                <w:sz w:val="20"/>
                <w:szCs w:val="20"/>
              </w:rPr>
            </w:pPr>
            <w:r w:rsidRPr="00104AB5">
              <w:rPr>
                <w:b/>
                <w:sz w:val="20"/>
                <w:szCs w:val="20"/>
              </w:rPr>
              <w:t>Sa Majesté la Reine c. Richard Lee Desautel</w:t>
            </w:r>
          </w:p>
          <w:p w:rsidR="008D175B" w:rsidRPr="00104AB5" w:rsidRDefault="008D175B" w:rsidP="00DB0C96">
            <w:pPr>
              <w:jc w:val="both"/>
              <w:rPr>
                <w:sz w:val="20"/>
                <w:lang w:val="fr-CA"/>
              </w:rPr>
            </w:pPr>
            <w:r w:rsidRPr="00104AB5">
              <w:rPr>
                <w:sz w:val="20"/>
                <w:lang w:val="fr-CA"/>
              </w:rPr>
              <w:t>(C.-B) (Criminelle) (Sur autorisation)</w:t>
            </w:r>
          </w:p>
        </w:tc>
      </w:tr>
      <w:tr w:rsidR="00EA2EA2" w:rsidRPr="00104AB5" w:rsidTr="00DB0C96">
        <w:tc>
          <w:tcPr>
            <w:tcW w:w="5000" w:type="pct"/>
            <w:gridSpan w:val="4"/>
          </w:tcPr>
          <w:p w:rsidR="00EA2EA2" w:rsidRPr="00104AB5" w:rsidRDefault="001F794D" w:rsidP="00DB0C96">
            <w:pPr>
              <w:jc w:val="both"/>
              <w:rPr>
                <w:sz w:val="20"/>
                <w:lang w:val="fr-CA"/>
              </w:rPr>
            </w:pPr>
            <w:r w:rsidRPr="00104AB5">
              <w:rPr>
                <w:sz w:val="20"/>
                <w:lang w:val="fr-CA"/>
              </w:rPr>
              <w:t xml:space="preserve">La demande d’autorisation d’appel de l’arrêt de la </w:t>
            </w:r>
            <w:r w:rsidRPr="00104AB5">
              <w:rPr>
                <w:sz w:val="20"/>
                <w:lang w:val="fr-FR"/>
              </w:rPr>
              <w:t>Cour d’appel de la Colombie-Britannique (Vancouver)</w:t>
            </w:r>
            <w:r w:rsidRPr="00104AB5">
              <w:rPr>
                <w:sz w:val="20"/>
                <w:lang w:val="fr-CA"/>
              </w:rPr>
              <w:t xml:space="preserve">, numéro </w:t>
            </w:r>
            <w:r w:rsidRPr="00104AB5">
              <w:rPr>
                <w:sz w:val="20"/>
                <w:lang w:val="fr-FR"/>
              </w:rPr>
              <w:t>CA45055, 2019 BCCA 151</w:t>
            </w:r>
            <w:r w:rsidRPr="00104AB5">
              <w:rPr>
                <w:sz w:val="20"/>
                <w:lang w:val="fr-CA"/>
              </w:rPr>
              <w:t xml:space="preserve">, daté du </w:t>
            </w:r>
            <w:r w:rsidRPr="00104AB5">
              <w:rPr>
                <w:sz w:val="20"/>
                <w:lang w:val="fr-FR"/>
              </w:rPr>
              <w:t>2 mai 2019</w:t>
            </w:r>
            <w:r w:rsidRPr="00104AB5">
              <w:rPr>
                <w:sz w:val="20"/>
                <w:lang w:val="fr-CA"/>
              </w:rPr>
              <w:t>, est accueillie. L’échéancier pour la signification et le dépôt des documents sera fixé par le registraire.</w:t>
            </w:r>
          </w:p>
          <w:p w:rsidR="00EA2EA2" w:rsidRPr="00104AB5" w:rsidRDefault="00EA2EA2"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t>Droit constitutionnel — Droit des autochtones — Droits ancestraux — Chasse — Droit de circulation et d’établissement — Un groupe autochtone ne résidant pas au Canada peut</w:t>
            </w:r>
            <w:r w:rsidRPr="00104AB5">
              <w:rPr>
                <w:sz w:val="20"/>
                <w:lang w:val="fr-CA"/>
              </w:rPr>
              <w:noBreakHyphen/>
              <w:t xml:space="preserve">il bénéficier de la protection constitutionnelle accordée aux droits ancestraux par l'art. 35 de la </w:t>
            </w:r>
            <w:r w:rsidRPr="00104AB5">
              <w:rPr>
                <w:i/>
                <w:iCs/>
                <w:sz w:val="20"/>
                <w:lang w:val="fr-CA"/>
              </w:rPr>
              <w:t>Loi constitutionnelle de 1982</w:t>
            </w:r>
            <w:r w:rsidRPr="00104AB5">
              <w:rPr>
                <w:sz w:val="20"/>
                <w:lang w:val="fr-CA"/>
              </w:rPr>
              <w:t>? — La présence de nos jours d’une collectivité dans la région géographique où le droit revendiqué a été exercé constitue</w:t>
            </w:r>
            <w:r w:rsidRPr="00104AB5">
              <w:rPr>
                <w:sz w:val="20"/>
                <w:lang w:val="fr-CA"/>
              </w:rPr>
              <w:noBreakHyphen/>
              <w:t>t</w:t>
            </w:r>
            <w:r w:rsidRPr="00104AB5">
              <w:rPr>
                <w:sz w:val="20"/>
                <w:lang w:val="fr-CA"/>
              </w:rPr>
              <w:noBreakHyphen/>
              <w:t>elle une exigence du critère à respecter pour prouver l’existence d’un droit ancestral protégé par cet article? — Pour déterminer si un Autochtone qui n'est pas citoyen ou résident du Canada a un droit ancestral de chasser au Canada, est</w:t>
            </w:r>
            <w:r w:rsidRPr="00104AB5">
              <w:rPr>
                <w:sz w:val="20"/>
                <w:lang w:val="fr-CA"/>
              </w:rPr>
              <w:noBreakHyphen/>
              <w:t>il nécessaire de tenir compte du droit accessoire de circulation et d’établissement mobilité de cette personne et de la compatibilité de ce droit avec la souveraineté?</w:t>
            </w:r>
          </w:p>
        </w:tc>
      </w:tr>
      <w:tr w:rsidR="008D175B" w:rsidRPr="00104AB5" w:rsidTr="00DB0C96">
        <w:tc>
          <w:tcPr>
            <w:tcW w:w="5000" w:type="pct"/>
            <w:gridSpan w:val="4"/>
          </w:tcPr>
          <w:p w:rsidR="008D175B" w:rsidRPr="00104AB5" w:rsidRDefault="008D175B"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t>M. Desautel a abattu un wapiti dans la région des lacs Arrow, près de Castlegar, en Colombie</w:t>
            </w:r>
            <w:r w:rsidRPr="00104AB5">
              <w:rPr>
                <w:sz w:val="20"/>
                <w:lang w:val="fr-CA"/>
              </w:rPr>
              <w:noBreakHyphen/>
              <w:t>Britannique. Il n’avait pas de permis de chasse et il n’est pas un résident canadien. Il est membre de l’American Lakes Tribe, des Tribus confédérées de la réserve de Colville. Il est citoyen américain et il vit dans la réserve indienne de Colville, dans l’État de Washington. Il a été accusé d’avoir chassé sans permis et d’avoir chassé le gros gibier alors qu’il n’était pas un résident de la Colombie</w:t>
            </w:r>
            <w:r w:rsidRPr="00104AB5">
              <w:rPr>
                <w:sz w:val="20"/>
                <w:lang w:val="fr-CA"/>
              </w:rPr>
              <w:noBreakHyphen/>
              <w:t xml:space="preserve">Britannique, contrairement au </w:t>
            </w:r>
            <w:proofErr w:type="spellStart"/>
            <w:r w:rsidRPr="00104AB5">
              <w:rPr>
                <w:sz w:val="20"/>
                <w:lang w:val="fr-CA"/>
              </w:rPr>
              <w:t>par</w:t>
            </w:r>
            <w:proofErr w:type="spellEnd"/>
            <w:r w:rsidRPr="00104AB5">
              <w:rPr>
                <w:sz w:val="20"/>
                <w:lang w:val="fr-CA"/>
              </w:rPr>
              <w:t xml:space="preserve">. 11(1) et à l’al. 47a) de la </w:t>
            </w:r>
            <w:proofErr w:type="spellStart"/>
            <w:r w:rsidRPr="00104AB5">
              <w:rPr>
                <w:i/>
                <w:iCs/>
                <w:sz w:val="20"/>
                <w:lang w:val="fr-CA"/>
              </w:rPr>
              <w:t>Wildlife</w:t>
            </w:r>
            <w:proofErr w:type="spellEnd"/>
            <w:r w:rsidRPr="00104AB5">
              <w:rPr>
                <w:i/>
                <w:iCs/>
                <w:sz w:val="20"/>
                <w:lang w:val="fr-CA"/>
              </w:rPr>
              <w:t xml:space="preserve"> </w:t>
            </w:r>
            <w:proofErr w:type="spellStart"/>
            <w:r w:rsidRPr="00104AB5">
              <w:rPr>
                <w:i/>
                <w:iCs/>
                <w:sz w:val="20"/>
                <w:lang w:val="fr-CA"/>
              </w:rPr>
              <w:t>Act</w:t>
            </w:r>
            <w:proofErr w:type="spellEnd"/>
            <w:r w:rsidRPr="00104AB5">
              <w:rPr>
                <w:sz w:val="20"/>
                <w:lang w:val="fr-CA"/>
              </w:rPr>
              <w:t>, R.S.B.C. 1996, c. 488. Au procès, il a soutenu qu'il exerçait son droit ancestral de chasse à des fins rituelles sur le territoire traditionnel de ses ancêtres. La Cour provinciale a acquitté M. Desautel. La Cour suprême de la Colombie</w:t>
            </w:r>
            <w:r w:rsidRPr="00104AB5">
              <w:rPr>
                <w:sz w:val="20"/>
                <w:lang w:val="fr-CA"/>
              </w:rPr>
              <w:noBreakHyphen/>
              <w:t>Britannique a rejeté l’appel de la déclaration de culpabilité par procédure sommaire. La Cour d'appel a rejeté l’appel de cette décision.</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27 mars 2017</w:t>
            </w:r>
          </w:p>
          <w:p w:rsidR="008D175B" w:rsidRPr="00104AB5" w:rsidRDefault="008D175B" w:rsidP="00DB0C96">
            <w:pPr>
              <w:jc w:val="both"/>
              <w:rPr>
                <w:sz w:val="20"/>
                <w:lang w:val="fr-CA"/>
              </w:rPr>
            </w:pPr>
            <w:r w:rsidRPr="00104AB5">
              <w:rPr>
                <w:sz w:val="20"/>
                <w:lang w:val="fr-CA"/>
              </w:rPr>
              <w:t>Cour provinciale de la Colombie</w:t>
            </w:r>
            <w:r w:rsidRPr="00104AB5">
              <w:rPr>
                <w:sz w:val="20"/>
                <w:lang w:val="fr-CA"/>
              </w:rPr>
              <w:noBreakHyphen/>
              <w:t>Britannique</w:t>
            </w:r>
          </w:p>
          <w:p w:rsidR="008D175B" w:rsidRPr="00104AB5" w:rsidRDefault="008D175B" w:rsidP="00DB0C96">
            <w:pPr>
              <w:jc w:val="both"/>
              <w:rPr>
                <w:sz w:val="20"/>
                <w:lang w:val="fr-CA"/>
              </w:rPr>
            </w:pPr>
            <w:r w:rsidRPr="00104AB5">
              <w:rPr>
                <w:sz w:val="20"/>
                <w:lang w:val="fr-CA"/>
              </w:rPr>
              <w:t xml:space="preserve">(juge </w:t>
            </w:r>
            <w:proofErr w:type="spellStart"/>
            <w:r w:rsidRPr="00104AB5">
              <w:rPr>
                <w:sz w:val="20"/>
                <w:lang w:val="fr-CA"/>
              </w:rPr>
              <w:t>Mrozinski</w:t>
            </w:r>
            <w:proofErr w:type="spellEnd"/>
            <w:r w:rsidRPr="00104AB5">
              <w:rPr>
                <w:sz w:val="20"/>
                <w:lang w:val="fr-CA"/>
              </w:rPr>
              <w:t>)</w:t>
            </w:r>
          </w:p>
          <w:p w:rsidR="008D175B" w:rsidRPr="00104AB5" w:rsidRDefault="00B54B7D" w:rsidP="00DB0C96">
            <w:pPr>
              <w:jc w:val="both"/>
              <w:rPr>
                <w:sz w:val="20"/>
                <w:lang w:val="fr-CA"/>
              </w:rPr>
            </w:pPr>
            <w:hyperlink r:id="rId27" w:history="1">
              <w:r w:rsidR="008D175B" w:rsidRPr="00104AB5">
                <w:rPr>
                  <w:rStyle w:val="Hyperlink"/>
                  <w:sz w:val="20"/>
                  <w:lang w:val="fr-CA"/>
                </w:rPr>
                <w:t>2017 BCPC 84</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Acquittement des accusations d’avoir chassé sans permis et d’avoir chassé le gros gibier sans être un résident de la Colombie-Britannique</w:t>
            </w:r>
          </w:p>
        </w:tc>
      </w:tr>
      <w:tr w:rsidR="008D175B" w:rsidRPr="00104AB5" w:rsidTr="00DB0C96">
        <w:trPr>
          <w:trHeight w:val="315"/>
        </w:trPr>
        <w:tc>
          <w:tcPr>
            <w:tcW w:w="2427" w:type="pct"/>
            <w:gridSpan w:val="2"/>
          </w:tcPr>
          <w:p w:rsidR="008D175B" w:rsidRPr="00104AB5" w:rsidRDefault="008D175B" w:rsidP="00DB0C96">
            <w:pPr>
              <w:jc w:val="both"/>
              <w:rPr>
                <w:sz w:val="20"/>
                <w:lang w:val="fr-CA"/>
              </w:rPr>
            </w:pPr>
            <w:r w:rsidRPr="00104AB5">
              <w:rPr>
                <w:sz w:val="20"/>
                <w:lang w:val="fr-CA"/>
              </w:rPr>
              <w:t>28 décembre 2017</w:t>
            </w:r>
          </w:p>
          <w:p w:rsidR="008D175B" w:rsidRPr="00104AB5" w:rsidRDefault="008D175B" w:rsidP="00DB0C96">
            <w:pPr>
              <w:jc w:val="both"/>
              <w:rPr>
                <w:sz w:val="20"/>
                <w:lang w:val="fr-CA"/>
              </w:rPr>
            </w:pPr>
            <w:r w:rsidRPr="00104AB5">
              <w:rPr>
                <w:sz w:val="20"/>
                <w:lang w:val="fr-CA"/>
              </w:rPr>
              <w:t>Cour suprême de la Colombie</w:t>
            </w:r>
            <w:r w:rsidRPr="00104AB5">
              <w:rPr>
                <w:sz w:val="20"/>
                <w:lang w:val="fr-CA"/>
              </w:rPr>
              <w:noBreakHyphen/>
              <w:t>Britannique</w:t>
            </w:r>
          </w:p>
          <w:p w:rsidR="008D175B" w:rsidRPr="00104AB5" w:rsidRDefault="008D175B" w:rsidP="00DB0C96">
            <w:pPr>
              <w:jc w:val="both"/>
              <w:rPr>
                <w:sz w:val="20"/>
                <w:lang w:val="fr-CA"/>
              </w:rPr>
            </w:pPr>
            <w:r w:rsidRPr="00104AB5">
              <w:rPr>
                <w:sz w:val="20"/>
                <w:lang w:val="fr-CA"/>
              </w:rPr>
              <w:t>(juge Sewell)</w:t>
            </w:r>
          </w:p>
          <w:p w:rsidR="008D175B" w:rsidRPr="00104AB5" w:rsidRDefault="00B54B7D" w:rsidP="00DB0C96">
            <w:pPr>
              <w:jc w:val="both"/>
              <w:rPr>
                <w:rStyle w:val="reflex3-block"/>
                <w:sz w:val="20"/>
                <w:lang w:val="fr-CA"/>
              </w:rPr>
            </w:pPr>
            <w:hyperlink r:id="rId28" w:history="1">
              <w:r w:rsidR="008D175B" w:rsidRPr="00104AB5">
                <w:rPr>
                  <w:rStyle w:val="Hyperlink"/>
                  <w:sz w:val="20"/>
                  <w:lang w:val="fr-CA"/>
                </w:rPr>
                <w:t>2017 BCSC 2389</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de la déclaration de culpabilité par procédure sommaire rejeté</w:t>
            </w:r>
          </w:p>
        </w:tc>
      </w:tr>
      <w:tr w:rsidR="008D175B" w:rsidRPr="00104AB5" w:rsidTr="00DB0C96">
        <w:trPr>
          <w:trHeight w:val="315"/>
        </w:trPr>
        <w:tc>
          <w:tcPr>
            <w:tcW w:w="2427" w:type="pct"/>
            <w:gridSpan w:val="2"/>
          </w:tcPr>
          <w:p w:rsidR="008D175B" w:rsidRPr="00104AB5" w:rsidRDefault="008D175B" w:rsidP="00DB0C96">
            <w:pPr>
              <w:jc w:val="both"/>
              <w:rPr>
                <w:sz w:val="20"/>
                <w:lang w:val="fr-CA"/>
              </w:rPr>
            </w:pPr>
            <w:r w:rsidRPr="00104AB5">
              <w:rPr>
                <w:sz w:val="20"/>
                <w:lang w:val="fr-CA"/>
              </w:rPr>
              <w:t>2 mai 2019</w:t>
            </w:r>
          </w:p>
          <w:p w:rsidR="008D175B" w:rsidRPr="00104AB5" w:rsidRDefault="008D175B" w:rsidP="00DB0C96">
            <w:pPr>
              <w:jc w:val="both"/>
              <w:rPr>
                <w:sz w:val="20"/>
                <w:lang w:val="fr-CA"/>
              </w:rPr>
            </w:pPr>
            <w:r w:rsidRPr="00104AB5">
              <w:rPr>
                <w:sz w:val="20"/>
                <w:lang w:val="fr-CA"/>
              </w:rPr>
              <w:t>Cour d’appel de la Colombie</w:t>
            </w:r>
            <w:r w:rsidRPr="00104AB5">
              <w:rPr>
                <w:sz w:val="20"/>
                <w:lang w:val="fr-CA"/>
              </w:rPr>
              <w:noBreakHyphen/>
              <w:t>Britannique</w:t>
            </w:r>
          </w:p>
          <w:p w:rsidR="008D175B" w:rsidRPr="00104AB5" w:rsidRDefault="008D175B" w:rsidP="00DB0C96">
            <w:pPr>
              <w:jc w:val="both"/>
              <w:rPr>
                <w:sz w:val="20"/>
                <w:lang w:val="fr-CA"/>
              </w:rPr>
            </w:pPr>
            <w:r w:rsidRPr="00104AB5">
              <w:rPr>
                <w:sz w:val="20"/>
                <w:lang w:val="fr-CA"/>
              </w:rPr>
              <w:t>(Vancouver)</w:t>
            </w:r>
          </w:p>
          <w:p w:rsidR="008D175B" w:rsidRPr="00104AB5" w:rsidRDefault="008D175B" w:rsidP="00DB0C96">
            <w:pPr>
              <w:jc w:val="both"/>
              <w:rPr>
                <w:sz w:val="20"/>
                <w:lang w:val="fr-CA"/>
              </w:rPr>
            </w:pPr>
            <w:r w:rsidRPr="00104AB5">
              <w:rPr>
                <w:sz w:val="20"/>
                <w:lang w:val="fr-CA"/>
              </w:rPr>
              <w:t xml:space="preserve">(les juges Smith, </w:t>
            </w:r>
            <w:proofErr w:type="spellStart"/>
            <w:r w:rsidRPr="00104AB5">
              <w:rPr>
                <w:sz w:val="20"/>
                <w:lang w:val="fr-CA"/>
              </w:rPr>
              <w:t>Willcock</w:t>
            </w:r>
            <w:proofErr w:type="spellEnd"/>
            <w:r w:rsidRPr="00104AB5">
              <w:rPr>
                <w:sz w:val="20"/>
                <w:lang w:val="fr-CA"/>
              </w:rPr>
              <w:t xml:space="preserve"> et </w:t>
            </w:r>
            <w:proofErr w:type="spellStart"/>
            <w:r w:rsidRPr="00104AB5">
              <w:rPr>
                <w:sz w:val="20"/>
                <w:lang w:val="fr-CA"/>
              </w:rPr>
              <w:t>Fitch</w:t>
            </w:r>
            <w:proofErr w:type="spellEnd"/>
            <w:r w:rsidRPr="00104AB5">
              <w:rPr>
                <w:sz w:val="20"/>
                <w:lang w:val="fr-CA"/>
              </w:rPr>
              <w:t>)</w:t>
            </w:r>
          </w:p>
          <w:p w:rsidR="008D175B" w:rsidRPr="00104AB5" w:rsidRDefault="00B54B7D" w:rsidP="00DB0C96">
            <w:pPr>
              <w:jc w:val="both"/>
              <w:rPr>
                <w:sz w:val="20"/>
                <w:lang w:val="fr-CA"/>
              </w:rPr>
            </w:pPr>
            <w:hyperlink r:id="rId29" w:history="1">
              <w:r w:rsidR="008D175B" w:rsidRPr="00104AB5">
                <w:rPr>
                  <w:rStyle w:val="Hyperlink"/>
                  <w:sz w:val="20"/>
                  <w:lang w:val="fr-CA"/>
                </w:rPr>
                <w:t>2019 BCCA 151</w:t>
              </w:r>
            </w:hyperlink>
            <w:r w:rsidR="008D175B" w:rsidRPr="00104AB5">
              <w:rPr>
                <w:sz w:val="20"/>
                <w:lang w:val="fr-CA"/>
              </w:rPr>
              <w:t>; CA45055</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rejeté</w:t>
            </w:r>
          </w:p>
        </w:tc>
      </w:tr>
      <w:tr w:rsidR="008D175B" w:rsidRPr="00104AB5" w:rsidTr="00DB0C96">
        <w:trPr>
          <w:trHeight w:val="315"/>
        </w:trPr>
        <w:tc>
          <w:tcPr>
            <w:tcW w:w="2427" w:type="pct"/>
            <w:gridSpan w:val="2"/>
          </w:tcPr>
          <w:p w:rsidR="008D175B" w:rsidRPr="00104AB5" w:rsidRDefault="008D175B" w:rsidP="00DB0C96">
            <w:pPr>
              <w:jc w:val="both"/>
              <w:rPr>
                <w:sz w:val="20"/>
                <w:lang w:val="fr-CA"/>
              </w:rPr>
            </w:pPr>
            <w:r w:rsidRPr="00104AB5">
              <w:rPr>
                <w:sz w:val="20"/>
                <w:lang w:val="fr-CA"/>
              </w:rPr>
              <w:t>30 juillet 2019</w:t>
            </w:r>
          </w:p>
          <w:p w:rsidR="008D175B" w:rsidRPr="00104AB5" w:rsidRDefault="008D175B" w:rsidP="00DB0C96">
            <w:pPr>
              <w:jc w:val="both"/>
              <w:rPr>
                <w:sz w:val="20"/>
                <w:lang w:val="fr-CA"/>
              </w:rPr>
            </w:pPr>
            <w:r w:rsidRPr="00104AB5">
              <w:rPr>
                <w:sz w:val="20"/>
                <w:lang w:val="fr-CA"/>
              </w:rPr>
              <w:t>Cour suprême du Canada</w:t>
            </w: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déposée</w:t>
            </w:r>
          </w:p>
          <w:p w:rsidR="008D175B" w:rsidRPr="00104AB5" w:rsidRDefault="008D175B" w:rsidP="00DB0C96">
            <w:pPr>
              <w:jc w:val="both"/>
              <w:rPr>
                <w:sz w:val="20"/>
                <w:lang w:val="fr-CA"/>
              </w:rPr>
            </w:pPr>
          </w:p>
        </w:tc>
      </w:tr>
    </w:tbl>
    <w:p w:rsidR="008D175B" w:rsidRPr="00104AB5" w:rsidRDefault="008D175B" w:rsidP="008D175B">
      <w:pPr>
        <w:jc w:val="both"/>
        <w:rPr>
          <w:sz w:val="20"/>
          <w:lang w:val="fr-CA"/>
        </w:rPr>
      </w:pPr>
    </w:p>
    <w:p w:rsidR="008D175B" w:rsidRPr="00104AB5" w:rsidRDefault="00B54B7D" w:rsidP="008D175B">
      <w:pPr>
        <w:ind w:left="142" w:hanging="142"/>
        <w:jc w:val="both"/>
        <w:rPr>
          <w:sz w:val="20"/>
        </w:rPr>
      </w:pPr>
      <w:r w:rsidRPr="00104AB5">
        <w:rPr>
          <w:sz w:val="20"/>
        </w:rPr>
        <w:pict>
          <v:rect id="_x0000_i1043" style="width:2in;height:1pt" o:hrpct="0" o:hralign="center" o:hrstd="t" o:hrnoshade="t" o:hr="t" fillcolor="black [3213]" stroked="f"/>
        </w:pict>
      </w:r>
    </w:p>
    <w:p w:rsidR="008D175B" w:rsidRPr="00104AB5" w:rsidRDefault="008D175B" w:rsidP="008D175B">
      <w:pPr>
        <w:ind w:left="142" w:hanging="142"/>
        <w:jc w:val="both"/>
        <w:rPr>
          <w:sz w:val="20"/>
        </w:rPr>
      </w:pPr>
    </w:p>
    <w:p w:rsidR="007B31F0" w:rsidRPr="00104AB5" w:rsidRDefault="007B31F0">
      <w:r w:rsidRPr="00104A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lastRenderedPageBreak/>
              <w:t>38685</w:t>
            </w:r>
          </w:p>
        </w:tc>
        <w:tc>
          <w:tcPr>
            <w:tcW w:w="4457" w:type="pct"/>
            <w:gridSpan w:val="3"/>
          </w:tcPr>
          <w:p w:rsidR="008D175B" w:rsidRPr="00104AB5" w:rsidRDefault="008D175B" w:rsidP="00DB0C96">
            <w:pPr>
              <w:pStyle w:val="SCCLsocParty"/>
              <w:jc w:val="both"/>
              <w:rPr>
                <w:b/>
                <w:sz w:val="20"/>
                <w:szCs w:val="20"/>
                <w:lang w:val="en-US"/>
              </w:rPr>
            </w:pPr>
            <w:r w:rsidRPr="00104AB5">
              <w:rPr>
                <w:b/>
                <w:sz w:val="20"/>
                <w:szCs w:val="20"/>
                <w:lang w:val="en-US"/>
              </w:rPr>
              <w:t>Jaden Joshua Omeasoo v. Her Majesty the Queen</w:t>
            </w:r>
          </w:p>
          <w:p w:rsidR="008D175B" w:rsidRPr="00104AB5" w:rsidRDefault="008D175B" w:rsidP="00DB0C96">
            <w:pPr>
              <w:pStyle w:val="SCCLsocSubfileSeparator0"/>
              <w:rPr>
                <w:sz w:val="20"/>
                <w:szCs w:val="20"/>
              </w:rPr>
            </w:pPr>
            <w:r w:rsidRPr="00104AB5">
              <w:rPr>
                <w:sz w:val="20"/>
                <w:szCs w:val="20"/>
              </w:rPr>
              <w:t>- and between -</w:t>
            </w:r>
          </w:p>
          <w:p w:rsidR="008D175B" w:rsidRPr="00104AB5" w:rsidRDefault="008D175B" w:rsidP="00DB0C96">
            <w:pPr>
              <w:pStyle w:val="SCCLsocParty"/>
              <w:jc w:val="both"/>
              <w:rPr>
                <w:b/>
                <w:sz w:val="20"/>
                <w:szCs w:val="20"/>
                <w:lang w:val="en-US"/>
              </w:rPr>
            </w:pPr>
            <w:r w:rsidRPr="00104AB5">
              <w:rPr>
                <w:b/>
                <w:sz w:val="20"/>
                <w:szCs w:val="20"/>
                <w:lang w:val="en-US"/>
              </w:rPr>
              <w:t>Benjamin White v. Her Majesty the Queen</w:t>
            </w:r>
          </w:p>
          <w:p w:rsidR="008D175B" w:rsidRPr="00104AB5" w:rsidRDefault="008D175B" w:rsidP="00DB0C96">
            <w:pPr>
              <w:jc w:val="both"/>
              <w:rPr>
                <w:sz w:val="20"/>
              </w:rPr>
            </w:pPr>
            <w:r w:rsidRPr="00104AB5">
              <w:rPr>
                <w:sz w:val="20"/>
              </w:rPr>
              <w:t>(Man.) (Criminal) (By Leave)</w:t>
            </w:r>
          </w:p>
        </w:tc>
      </w:tr>
      <w:tr w:rsidR="007E7732" w:rsidRPr="00104AB5" w:rsidTr="00DB0C96">
        <w:tc>
          <w:tcPr>
            <w:tcW w:w="5000" w:type="pct"/>
            <w:gridSpan w:val="4"/>
          </w:tcPr>
          <w:p w:rsidR="007E7732" w:rsidRPr="00104AB5" w:rsidRDefault="007E7732" w:rsidP="00DB0C96">
            <w:pPr>
              <w:jc w:val="both"/>
              <w:rPr>
                <w:sz w:val="20"/>
              </w:rPr>
            </w:pPr>
            <w:r w:rsidRPr="00104AB5">
              <w:rPr>
                <w:sz w:val="20"/>
              </w:rPr>
              <w:t>The applications for leave to appeal from the judgment of the Court of Appeal of Manitoba, Numbers AR17-30-08898 and AR17-30-08899, 2019 MBCA 43, dated April 12, 2019, are dismissed.</w:t>
            </w:r>
          </w:p>
          <w:p w:rsidR="007E7732" w:rsidRPr="00104AB5" w:rsidRDefault="007E7732"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lang w:val="en"/>
              </w:rPr>
            </w:pPr>
            <w:r w:rsidRPr="00104AB5">
              <w:rPr>
                <w:i/>
                <w:sz w:val="20"/>
              </w:rPr>
              <w:t>Charter of Rights</w:t>
            </w:r>
            <w:r w:rsidRPr="00104AB5">
              <w:rPr>
                <w:sz w:val="20"/>
              </w:rPr>
              <w:t xml:space="preserve"> — Search and seizure — Arbitrary detention — Right to counsel — Exclusion of evidence — </w:t>
            </w:r>
            <w:r w:rsidRPr="00104AB5">
              <w:rPr>
                <w:sz w:val="20"/>
                <w:lang w:val="en"/>
              </w:rPr>
              <w:t>Court of Appeal allowed the Crown appeals and ordered a new trial</w:t>
            </w:r>
            <w:r w:rsidRPr="00104AB5">
              <w:rPr>
                <w:sz w:val="20"/>
              </w:rPr>
              <w:t xml:space="preserve"> — Whether the Court of Appeal exceeded its jurisdiction by rehearing the case before it rather than performing the appropriate function of an appellate court which is to review for error — Whether the Court of Appeal erred in showing no deference to the factual findings of the trial judge and by re</w:t>
            </w:r>
            <w:r w:rsidRPr="00104AB5">
              <w:rPr>
                <w:sz w:val="20"/>
              </w:rPr>
              <w:noBreakHyphen/>
              <w:t xml:space="preserve">characterizing evidence contrary to those findings in order to find error and substitute their own view — Whether the Court of Appeal erred by finding error in the trial judge's reasons where there was none — Sections 8, 9, 10, 24(2) of the </w:t>
            </w:r>
            <w:r w:rsidRPr="00104AB5">
              <w:rPr>
                <w:i/>
                <w:sz w:val="20"/>
              </w:rPr>
              <w:t>Charter of Rights and Freedoms</w:t>
            </w:r>
            <w:r w:rsidRPr="00104AB5">
              <w:rPr>
                <w:sz w:val="20"/>
              </w:rPr>
              <w:t>.</w:t>
            </w:r>
          </w:p>
        </w:tc>
      </w:tr>
      <w:tr w:rsidR="008D175B" w:rsidRPr="00104AB5" w:rsidTr="00DB0C96">
        <w:tc>
          <w:tcPr>
            <w:tcW w:w="5000" w:type="pct"/>
            <w:gridSpan w:val="4"/>
          </w:tcPr>
          <w:p w:rsidR="008D175B" w:rsidRPr="00104AB5" w:rsidRDefault="008D175B" w:rsidP="00DB0C96">
            <w:pPr>
              <w:jc w:val="both"/>
              <w:rPr>
                <w:sz w:val="20"/>
                <w:lang w:val="en"/>
              </w:rPr>
            </w:pPr>
          </w:p>
          <w:p w:rsidR="008D175B" w:rsidRPr="00104AB5" w:rsidRDefault="008D175B" w:rsidP="002B3AEB">
            <w:pPr>
              <w:jc w:val="both"/>
              <w:rPr>
                <w:sz w:val="20"/>
                <w:lang w:val="en"/>
              </w:rPr>
            </w:pPr>
            <w:r w:rsidRPr="00104AB5">
              <w:rPr>
                <w:sz w:val="20"/>
                <w:lang w:val="en"/>
              </w:rPr>
              <w:t>Police received a 911 call regarding a road</w:t>
            </w:r>
            <w:r w:rsidRPr="00104AB5">
              <w:rPr>
                <w:sz w:val="20"/>
                <w:lang w:val="en"/>
              </w:rPr>
              <w:noBreakHyphen/>
              <w:t xml:space="preserve">rage incident involving firearms. The information provided by the caller, who was not involved in the firearms incident, was that a red “Chevy” Silverado truck had cut off the driver of another vehicle after he drove up beside the truck and gestured at its driver. Two males exited the truck armed with handguns. There were no shots fired. The caller also provided a description of the men. The officers testified that they believed they had reasonable grounds to arrest Omeasoo and White because the truck was found in the area of the firearms incident, it matched the general description of the suspect vehicle, there were two male occupants and they found the bullet in the washroom where the passenger had just been. The officers arrested Omeasoo and White for a firearms investigation and the officers conducted a search. Omeasoo and White were charged with possession of cocaine, methamphetamine and ecstasy for the purpose of trafficking (section 5(2) of the </w:t>
            </w:r>
            <w:r w:rsidRPr="00104AB5">
              <w:rPr>
                <w:i/>
                <w:sz w:val="20"/>
                <w:lang w:val="en"/>
              </w:rPr>
              <w:t>Controlled Drugs and Substances Act</w:t>
            </w:r>
            <w:r w:rsidRPr="00104AB5">
              <w:rPr>
                <w:sz w:val="20"/>
                <w:lang w:val="en"/>
              </w:rPr>
              <w:t xml:space="preserve">, SC 1996 c. 19), and firearms offences pursuant to ss. 86(2), 88, 90(1) and 94 of the </w:t>
            </w:r>
            <w:r w:rsidRPr="00104AB5">
              <w:rPr>
                <w:i/>
                <w:sz w:val="20"/>
                <w:lang w:val="en"/>
              </w:rPr>
              <w:t>Criminal Code</w:t>
            </w:r>
            <w:r w:rsidRPr="00104AB5">
              <w:rPr>
                <w:sz w:val="20"/>
                <w:lang w:val="en"/>
              </w:rPr>
              <w:t>. White was charged with additional weapons offences pursuant to ss. 92 (1</w:t>
            </w:r>
            <w:proofErr w:type="gramStart"/>
            <w:r w:rsidRPr="00104AB5">
              <w:rPr>
                <w:sz w:val="20"/>
                <w:lang w:val="en"/>
              </w:rPr>
              <w:t>)</w:t>
            </w:r>
            <w:r w:rsidRPr="00104AB5">
              <w:rPr>
                <w:sz w:val="20"/>
                <w:lang w:val="en"/>
              </w:rPr>
              <w:noBreakHyphen/>
            </w:r>
            <w:proofErr w:type="gramEnd"/>
            <w:r w:rsidRPr="00104AB5">
              <w:rPr>
                <w:sz w:val="20"/>
                <w:lang w:val="en"/>
              </w:rPr>
              <w:t xml:space="preserve">(2) and 117.01(1) of the </w:t>
            </w:r>
            <w:r w:rsidRPr="00104AB5">
              <w:rPr>
                <w:i/>
                <w:sz w:val="20"/>
                <w:lang w:val="en"/>
              </w:rPr>
              <w:t>Criminal Code</w:t>
            </w:r>
            <w:r w:rsidRPr="00104AB5">
              <w:rPr>
                <w:sz w:val="20"/>
                <w:lang w:val="en"/>
              </w:rPr>
              <w:t xml:space="preserve">. At the conclusion of a </w:t>
            </w:r>
            <w:proofErr w:type="spellStart"/>
            <w:r w:rsidRPr="00104AB5">
              <w:rPr>
                <w:i/>
                <w:iCs/>
                <w:sz w:val="20"/>
                <w:lang w:val="en"/>
              </w:rPr>
              <w:t>voir</w:t>
            </w:r>
            <w:proofErr w:type="spellEnd"/>
            <w:r w:rsidRPr="00104AB5">
              <w:rPr>
                <w:i/>
                <w:iCs/>
                <w:sz w:val="20"/>
                <w:lang w:val="en"/>
              </w:rPr>
              <w:t xml:space="preserve"> dire</w:t>
            </w:r>
            <w:r w:rsidRPr="00104AB5">
              <w:rPr>
                <w:sz w:val="20"/>
                <w:lang w:val="en"/>
              </w:rPr>
              <w:t xml:space="preserve">, the trial judge found that the rights of Omeasoo and White under sections 8, 9 and 10 of the </w:t>
            </w:r>
            <w:r w:rsidRPr="00104AB5">
              <w:rPr>
                <w:i/>
                <w:sz w:val="20"/>
                <w:lang w:val="en"/>
              </w:rPr>
              <w:t>Charter</w:t>
            </w:r>
            <w:r w:rsidRPr="00104AB5">
              <w:rPr>
                <w:sz w:val="20"/>
                <w:lang w:val="en"/>
              </w:rPr>
              <w:t xml:space="preserve"> were breached, excluded the evidence seized by the police pursuant to s. 24(2) of the </w:t>
            </w:r>
            <w:r w:rsidRPr="00104AB5">
              <w:rPr>
                <w:i/>
                <w:sz w:val="20"/>
                <w:lang w:val="en"/>
              </w:rPr>
              <w:t>Charter</w:t>
            </w:r>
            <w:r w:rsidRPr="00104AB5">
              <w:rPr>
                <w:sz w:val="20"/>
                <w:lang w:val="en"/>
              </w:rPr>
              <w:t>, and summarily dismissed the charges. The Court of Appeal allowed the Crown appeals and ordered a new trial.</w:t>
            </w:r>
          </w:p>
        </w:tc>
      </w:tr>
      <w:tr w:rsidR="008D175B" w:rsidRPr="00104AB5" w:rsidTr="00DB0C96">
        <w:tc>
          <w:tcPr>
            <w:tcW w:w="5000" w:type="pct"/>
            <w:gridSpan w:val="4"/>
          </w:tcPr>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19, 2017</w:t>
            </w:r>
          </w:p>
          <w:p w:rsidR="008D175B" w:rsidRPr="00104AB5" w:rsidRDefault="008D175B" w:rsidP="00DB0C96">
            <w:pPr>
              <w:jc w:val="both"/>
              <w:rPr>
                <w:sz w:val="20"/>
              </w:rPr>
            </w:pPr>
            <w:r w:rsidRPr="00104AB5">
              <w:rPr>
                <w:sz w:val="20"/>
              </w:rPr>
              <w:t>Court of Queen’s Bench of Manitoba</w:t>
            </w:r>
          </w:p>
          <w:p w:rsidR="008D175B" w:rsidRPr="00104AB5" w:rsidRDefault="008D175B" w:rsidP="00DB0C96">
            <w:pPr>
              <w:jc w:val="both"/>
              <w:rPr>
                <w:sz w:val="20"/>
              </w:rPr>
            </w:pPr>
            <w:r w:rsidRPr="00104AB5">
              <w:rPr>
                <w:sz w:val="20"/>
              </w:rPr>
              <w:t>(</w:t>
            </w:r>
            <w:proofErr w:type="spellStart"/>
            <w:r w:rsidRPr="00104AB5">
              <w:rPr>
                <w:sz w:val="20"/>
              </w:rPr>
              <w:t>Lanchbery</w:t>
            </w:r>
            <w:proofErr w:type="spellEnd"/>
            <w:r w:rsidRPr="00104AB5">
              <w:rPr>
                <w:sz w:val="20"/>
              </w:rPr>
              <w:t xml:space="preserve"> J.)</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 xml:space="preserve">Ruling: ss. 8, 9, 10 of the </w:t>
            </w:r>
            <w:r w:rsidRPr="00104AB5">
              <w:rPr>
                <w:i/>
                <w:sz w:val="20"/>
              </w:rPr>
              <w:t>Charter</w:t>
            </w:r>
            <w:r w:rsidRPr="00104AB5">
              <w:rPr>
                <w:sz w:val="20"/>
              </w:rPr>
              <w:t xml:space="preserve"> violated, evidence excluded pursuant to s. 24(2); charges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April 12, 2019</w:t>
            </w:r>
          </w:p>
          <w:p w:rsidR="008D175B" w:rsidRPr="00104AB5" w:rsidRDefault="008D175B" w:rsidP="00DB0C96">
            <w:pPr>
              <w:jc w:val="both"/>
              <w:rPr>
                <w:sz w:val="20"/>
              </w:rPr>
            </w:pPr>
            <w:r w:rsidRPr="00104AB5">
              <w:rPr>
                <w:sz w:val="20"/>
              </w:rPr>
              <w:t>Court of Appeal of Manitoba</w:t>
            </w:r>
          </w:p>
          <w:p w:rsidR="008D175B" w:rsidRPr="00104AB5" w:rsidRDefault="008D175B" w:rsidP="00DB0C96">
            <w:pPr>
              <w:jc w:val="both"/>
              <w:rPr>
                <w:sz w:val="20"/>
              </w:rPr>
            </w:pPr>
            <w:r w:rsidRPr="00104AB5">
              <w:rPr>
                <w:sz w:val="20"/>
              </w:rPr>
              <w:t xml:space="preserve">(Steel, Beard, </w:t>
            </w:r>
            <w:proofErr w:type="spellStart"/>
            <w:r w:rsidRPr="00104AB5">
              <w:rPr>
                <w:sz w:val="20"/>
              </w:rPr>
              <w:t>leMaistre</w:t>
            </w:r>
            <w:proofErr w:type="spellEnd"/>
            <w:r w:rsidRPr="00104AB5">
              <w:rPr>
                <w:sz w:val="20"/>
              </w:rPr>
              <w:t xml:space="preserve"> JJ.A.)</w:t>
            </w:r>
          </w:p>
          <w:p w:rsidR="008D175B" w:rsidRPr="00104AB5" w:rsidRDefault="008D175B" w:rsidP="00DB0C96">
            <w:pPr>
              <w:jc w:val="both"/>
              <w:rPr>
                <w:sz w:val="20"/>
              </w:rPr>
            </w:pPr>
            <w:r w:rsidRPr="00104AB5">
              <w:rPr>
                <w:sz w:val="20"/>
              </w:rPr>
              <w:t>AR17</w:t>
            </w:r>
            <w:r w:rsidRPr="00104AB5">
              <w:rPr>
                <w:sz w:val="20"/>
              </w:rPr>
              <w:noBreakHyphen/>
              <w:t>30</w:t>
            </w:r>
            <w:r w:rsidRPr="00104AB5">
              <w:rPr>
                <w:sz w:val="20"/>
              </w:rPr>
              <w:noBreakHyphen/>
              <w:t>08898;</w:t>
            </w:r>
            <w:hyperlink r:id="rId30" w:history="1">
              <w:r w:rsidRPr="00104AB5">
                <w:rPr>
                  <w:rStyle w:val="Hyperlink"/>
                  <w:sz w:val="20"/>
                </w:rPr>
                <w:t>2019 MBCA 43</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Appeals allowed: new trial ordered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11, 2019</w:t>
            </w:r>
          </w:p>
          <w:p w:rsidR="008D175B" w:rsidRPr="00104AB5" w:rsidRDefault="008D175B" w:rsidP="00DB0C96">
            <w:pPr>
              <w:jc w:val="both"/>
              <w:rPr>
                <w:sz w:val="20"/>
              </w:rPr>
            </w:pPr>
            <w:r w:rsidRPr="00104AB5">
              <w:rPr>
                <w:sz w:val="20"/>
              </w:rPr>
              <w:t>Supreme Court of Canada</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11,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w:t>
            </w:r>
          </w:p>
          <w:p w:rsidR="008D175B" w:rsidRPr="00104AB5" w:rsidRDefault="008D175B" w:rsidP="00DB0C96">
            <w:pPr>
              <w:jc w:val="both"/>
              <w:rPr>
                <w:sz w:val="20"/>
              </w:rPr>
            </w:pPr>
          </w:p>
        </w:tc>
      </w:tr>
    </w:tbl>
    <w:p w:rsidR="008D175B" w:rsidRPr="00104AB5" w:rsidRDefault="008D175B" w:rsidP="008D175B">
      <w:pPr>
        <w:jc w:val="both"/>
        <w:rPr>
          <w:sz w:val="20"/>
        </w:rPr>
      </w:pPr>
    </w:p>
    <w:p w:rsidR="008D175B" w:rsidRPr="00104AB5" w:rsidRDefault="00B54B7D" w:rsidP="008D175B">
      <w:pPr>
        <w:jc w:val="both"/>
        <w:rPr>
          <w:sz w:val="20"/>
        </w:rPr>
      </w:pPr>
      <w:r w:rsidRPr="00104AB5">
        <w:rPr>
          <w:sz w:val="20"/>
        </w:rPr>
        <w:pict>
          <v:rect id="_x0000_i1044" style="width:2in;height:1pt" o:hrpct="0" o:hralign="center" o:hrstd="t" o:hrnoshade="t" o:hr="t" fillcolor="black [3213]" stroked="f"/>
        </w:pict>
      </w:r>
    </w:p>
    <w:p w:rsidR="008D175B" w:rsidRPr="00104AB5" w:rsidRDefault="008D175B" w:rsidP="008D175B">
      <w:pPr>
        <w:jc w:val="both"/>
        <w:rPr>
          <w:sz w:val="20"/>
        </w:rPr>
      </w:pPr>
    </w:p>
    <w:p w:rsidR="007B31F0" w:rsidRPr="00104AB5" w:rsidRDefault="007B31F0">
      <w:r w:rsidRPr="00104AB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lang w:val="fr-CA"/>
              </w:rPr>
            </w:pPr>
            <w:r w:rsidRPr="00104AB5">
              <w:rPr>
                <w:rStyle w:val="SCCFileNumberChar"/>
                <w:sz w:val="20"/>
                <w:szCs w:val="20"/>
                <w:lang w:val="fr-CA"/>
              </w:rPr>
              <w:lastRenderedPageBreak/>
              <w:t>38685</w:t>
            </w:r>
          </w:p>
        </w:tc>
        <w:tc>
          <w:tcPr>
            <w:tcW w:w="4457" w:type="pct"/>
            <w:gridSpan w:val="3"/>
          </w:tcPr>
          <w:p w:rsidR="008D175B" w:rsidRPr="00104AB5" w:rsidRDefault="008D175B" w:rsidP="00DB0C96">
            <w:pPr>
              <w:pStyle w:val="SCCLsocParty"/>
              <w:jc w:val="both"/>
              <w:rPr>
                <w:b/>
                <w:sz w:val="20"/>
                <w:szCs w:val="20"/>
              </w:rPr>
            </w:pPr>
            <w:r w:rsidRPr="00104AB5">
              <w:rPr>
                <w:b/>
                <w:sz w:val="20"/>
                <w:szCs w:val="20"/>
              </w:rPr>
              <w:t>Jaden Joshua Omeasoo c. Sa Majesté la Reine</w:t>
            </w:r>
          </w:p>
          <w:p w:rsidR="008D175B" w:rsidRPr="00104AB5" w:rsidRDefault="008D175B" w:rsidP="00DB0C96">
            <w:pPr>
              <w:pStyle w:val="SCCLsocSubfileSeparator0"/>
              <w:rPr>
                <w:sz w:val="20"/>
                <w:szCs w:val="20"/>
                <w:lang w:val="fr-CA"/>
              </w:rPr>
            </w:pPr>
            <w:r w:rsidRPr="00104AB5">
              <w:rPr>
                <w:sz w:val="20"/>
                <w:szCs w:val="20"/>
                <w:lang w:val="fr-CA"/>
              </w:rPr>
              <w:t>- et entre -</w:t>
            </w:r>
          </w:p>
          <w:p w:rsidR="008D175B" w:rsidRPr="00104AB5" w:rsidRDefault="008D175B" w:rsidP="00DB0C96">
            <w:pPr>
              <w:pStyle w:val="SCCLsocParty"/>
              <w:jc w:val="both"/>
              <w:rPr>
                <w:b/>
                <w:sz w:val="20"/>
                <w:szCs w:val="20"/>
              </w:rPr>
            </w:pPr>
            <w:r w:rsidRPr="00104AB5">
              <w:rPr>
                <w:b/>
                <w:sz w:val="20"/>
                <w:szCs w:val="20"/>
              </w:rPr>
              <w:t>Benjamin White c. Sa Majesté la Reine</w:t>
            </w:r>
          </w:p>
          <w:p w:rsidR="008D175B" w:rsidRPr="00104AB5" w:rsidRDefault="008D175B" w:rsidP="00DB0C96">
            <w:pPr>
              <w:jc w:val="both"/>
              <w:rPr>
                <w:sz w:val="20"/>
                <w:lang w:val="fr-CA"/>
              </w:rPr>
            </w:pPr>
            <w:r w:rsidRPr="00104AB5">
              <w:rPr>
                <w:sz w:val="20"/>
                <w:lang w:val="fr-CA"/>
              </w:rPr>
              <w:t>(Man.) (Criminelle) (Sur autorisation)</w:t>
            </w:r>
          </w:p>
        </w:tc>
      </w:tr>
      <w:tr w:rsidR="007E7732" w:rsidRPr="00104AB5" w:rsidTr="00DB0C96">
        <w:tc>
          <w:tcPr>
            <w:tcW w:w="5000" w:type="pct"/>
            <w:gridSpan w:val="4"/>
          </w:tcPr>
          <w:p w:rsidR="007E7732" w:rsidRPr="00104AB5" w:rsidRDefault="007E7732" w:rsidP="00DB0C96">
            <w:pPr>
              <w:jc w:val="both"/>
              <w:rPr>
                <w:sz w:val="20"/>
                <w:lang w:val="fr-CA"/>
              </w:rPr>
            </w:pPr>
            <w:r w:rsidRPr="00104AB5">
              <w:rPr>
                <w:sz w:val="20"/>
                <w:lang w:val="fr-CA"/>
              </w:rPr>
              <w:t xml:space="preserve">Les demandes d’autorisation d’appel de l’arrêt de la </w:t>
            </w:r>
            <w:r w:rsidRPr="00104AB5">
              <w:rPr>
                <w:sz w:val="20"/>
                <w:lang w:val="fr-FR"/>
              </w:rPr>
              <w:t>Cour d’appel du Manitoba</w:t>
            </w:r>
            <w:r w:rsidRPr="00104AB5">
              <w:rPr>
                <w:sz w:val="20"/>
                <w:lang w:val="fr-CA"/>
              </w:rPr>
              <w:t xml:space="preserve">, numéros </w:t>
            </w:r>
            <w:r w:rsidRPr="00104AB5">
              <w:rPr>
                <w:sz w:val="20"/>
                <w:lang w:val="fr-FR"/>
              </w:rPr>
              <w:t>2019 MBCA 43 et AR17-30-08898, AR17-30-08899</w:t>
            </w:r>
            <w:r w:rsidRPr="00104AB5">
              <w:rPr>
                <w:sz w:val="20"/>
                <w:lang w:val="fr-CA"/>
              </w:rPr>
              <w:t xml:space="preserve">, daté du </w:t>
            </w:r>
            <w:r w:rsidRPr="00104AB5">
              <w:rPr>
                <w:sz w:val="20"/>
                <w:lang w:val="fr-FR"/>
              </w:rPr>
              <w:t>12 avril 2019</w:t>
            </w:r>
            <w:r w:rsidRPr="00104AB5">
              <w:rPr>
                <w:sz w:val="20"/>
                <w:lang w:val="fr-CA"/>
              </w:rPr>
              <w:t>, sont rejetées.</w:t>
            </w:r>
          </w:p>
          <w:p w:rsidR="007E7732" w:rsidRPr="00104AB5" w:rsidRDefault="007E7732"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i/>
                <w:sz w:val="20"/>
                <w:lang w:val="fr-CA"/>
              </w:rPr>
              <w:t xml:space="preserve">Charte des droits </w:t>
            </w:r>
            <w:r w:rsidRPr="00104AB5">
              <w:rPr>
                <w:sz w:val="20"/>
                <w:lang w:val="fr-CA"/>
              </w:rPr>
              <w:t>— Fouilles, perquisitions et saisies — Détention arbitraire — Droit à l’assistance d’un avocat — Exclusion d’éléments de preuve — La Cour d’appel a accueilli les appels interjetés par le ministère public et ordonné un nouveau procès — La Cour d'appel a</w:t>
            </w:r>
            <w:r w:rsidRPr="00104AB5">
              <w:rPr>
                <w:sz w:val="20"/>
                <w:lang w:val="fr-CA"/>
              </w:rPr>
              <w:noBreakHyphen/>
              <w:t>t</w:t>
            </w:r>
            <w:r w:rsidRPr="00104AB5">
              <w:rPr>
                <w:sz w:val="20"/>
                <w:lang w:val="fr-CA"/>
              </w:rPr>
              <w:noBreakHyphen/>
              <w:t>elle outrepassé sa compétence en réentendant l’affaire plutôt qu’en exerçant la fonction du contrôle d’erreur dont les juridictions d’appel sont investies? — La Cour d'appel a</w:t>
            </w:r>
            <w:r w:rsidRPr="00104AB5">
              <w:rPr>
                <w:sz w:val="20"/>
                <w:lang w:val="fr-CA"/>
              </w:rPr>
              <w:noBreakHyphen/>
              <w:t>t</w:t>
            </w:r>
            <w:r w:rsidRPr="00104AB5">
              <w:rPr>
                <w:sz w:val="20"/>
                <w:lang w:val="fr-CA"/>
              </w:rPr>
              <w:noBreakHyphen/>
              <w:t>elle eu tort de ne faire montre d’aucune retenue à l’égard des conclusions de fait du juge du procès et d’analyser à nouveau la preuve d’une façon contraire à ces conclusions afin de conclure à une erreur et de substituer sa propre opinion? — La Cour d'appel a</w:t>
            </w:r>
            <w:r w:rsidRPr="00104AB5">
              <w:rPr>
                <w:sz w:val="20"/>
                <w:lang w:val="fr-CA"/>
              </w:rPr>
              <w:noBreakHyphen/>
              <w:t>t</w:t>
            </w:r>
            <w:r w:rsidRPr="00104AB5">
              <w:rPr>
                <w:sz w:val="20"/>
                <w:lang w:val="fr-CA"/>
              </w:rPr>
              <w:noBreakHyphen/>
              <w:t xml:space="preserve">elle eu tort de conclure à une erreur dans les motifs du jugement du juge du procès alors qu’il n’y en avait pas? — Articles 8, 9, 10, 24(2) de la </w:t>
            </w:r>
            <w:r w:rsidRPr="00104AB5">
              <w:rPr>
                <w:i/>
                <w:sz w:val="20"/>
                <w:lang w:val="fr-CA"/>
              </w:rPr>
              <w:t>Charte canadienne des droits et libertés.</w:t>
            </w:r>
          </w:p>
        </w:tc>
      </w:tr>
      <w:tr w:rsidR="008D175B" w:rsidRPr="00104AB5" w:rsidTr="00DB0C96">
        <w:tc>
          <w:tcPr>
            <w:tcW w:w="5000" w:type="pct"/>
            <w:gridSpan w:val="4"/>
          </w:tcPr>
          <w:p w:rsidR="008D175B" w:rsidRPr="00104AB5" w:rsidRDefault="008D175B" w:rsidP="00DB0C96">
            <w:pPr>
              <w:jc w:val="both"/>
              <w:rPr>
                <w:sz w:val="20"/>
                <w:lang w:val="fr-CA"/>
              </w:rPr>
            </w:pPr>
          </w:p>
          <w:p w:rsidR="008D175B" w:rsidRPr="00104AB5" w:rsidRDefault="008D175B" w:rsidP="007B31F0">
            <w:pPr>
              <w:jc w:val="both"/>
              <w:rPr>
                <w:sz w:val="20"/>
                <w:lang w:val="fr-CA"/>
              </w:rPr>
            </w:pPr>
            <w:r w:rsidRPr="00104AB5">
              <w:rPr>
                <w:sz w:val="20"/>
                <w:lang w:val="fr-CA"/>
              </w:rPr>
              <w:t xml:space="preserve">La police a reçu un appel 911 au sujet d’un incident de rage au volant mettant en cause des armes à feu. Selon les renseignements fournis par l’appelant, qui n’était pas impliqué dans l’incident des armes à feu, un camion </w:t>
            </w:r>
            <w:proofErr w:type="spellStart"/>
            <w:r w:rsidRPr="00104AB5">
              <w:rPr>
                <w:sz w:val="20"/>
                <w:lang w:val="fr-CA"/>
              </w:rPr>
              <w:t>Silverado</w:t>
            </w:r>
            <w:proofErr w:type="spellEnd"/>
            <w:r w:rsidRPr="00104AB5">
              <w:rPr>
                <w:sz w:val="20"/>
                <w:lang w:val="fr-CA"/>
              </w:rPr>
              <w:t xml:space="preserve"> « </w:t>
            </w:r>
            <w:proofErr w:type="spellStart"/>
            <w:r w:rsidRPr="00104AB5">
              <w:rPr>
                <w:sz w:val="20"/>
                <w:lang w:val="fr-CA"/>
              </w:rPr>
              <w:t>Chevy</w:t>
            </w:r>
            <w:proofErr w:type="spellEnd"/>
            <w:r w:rsidRPr="00104AB5">
              <w:rPr>
                <w:sz w:val="20"/>
                <w:lang w:val="fr-CA"/>
              </w:rPr>
              <w:t xml:space="preserve"> » de couleur rouge avait coupé un autre véhicule après être parvenu nez à nez avec le camion et avoir gesticulé à l’endroit du chauffeur. Deux hommes munis d’armes de poing sont sortis du camion. Aucun coup de feu n’a été tiré. L’appelant a également donné une description des armes. Dans leur témoignage, les agents ont affirmé qu’ils croyaient qu’ils avaient des motifs raisonnables d’arrêter Omeasoo et White parce que le camion avait été trouvé dans la région de l’incident des armes à feu et correspondait à la description générale du véhicule suspect, qu’il y avait deux occupants de sexe masculin et qu’ils ont trouvé la balle dans la salle de toilette d’où le passager venait de sortir. Les agents ont arrêté Omeasoo et White pour mener une enquête en matière d’armes à feu et ont procédé à une fouille. Omeasoo et White ont été accusés de possession de cocaïne, de </w:t>
            </w:r>
            <w:proofErr w:type="spellStart"/>
            <w:r w:rsidRPr="00104AB5">
              <w:rPr>
                <w:sz w:val="20"/>
                <w:lang w:val="fr-CA"/>
              </w:rPr>
              <w:t>méthamphétamine</w:t>
            </w:r>
            <w:proofErr w:type="spellEnd"/>
            <w:r w:rsidRPr="00104AB5">
              <w:rPr>
                <w:sz w:val="20"/>
                <w:lang w:val="fr-CA"/>
              </w:rPr>
              <w:t xml:space="preserve"> et d’ecstasy en vue d’en faire le trafic (par. 5(2) de la </w:t>
            </w:r>
            <w:r w:rsidRPr="00104AB5">
              <w:rPr>
                <w:i/>
                <w:sz w:val="20"/>
                <w:lang w:val="fr-CA"/>
              </w:rPr>
              <w:t>Loi réglementant certaines drogues et autres substances,</w:t>
            </w:r>
            <w:r w:rsidRPr="00104AB5">
              <w:rPr>
                <w:sz w:val="20"/>
                <w:lang w:val="fr-CA"/>
              </w:rPr>
              <w:t xml:space="preserve"> LC 1996, ch. 19), et d’infractions liées aux armes à feu au titre des art. 88 et 94 et des par. 86(1) et 90(1) du </w:t>
            </w:r>
            <w:r w:rsidRPr="00104AB5">
              <w:rPr>
                <w:i/>
                <w:sz w:val="20"/>
                <w:lang w:val="fr-CA"/>
              </w:rPr>
              <w:t>Code criminel</w:t>
            </w:r>
            <w:r w:rsidRPr="00104AB5">
              <w:rPr>
                <w:sz w:val="20"/>
                <w:lang w:val="fr-CA"/>
              </w:rPr>
              <w:t>. White a été accusé d’infractions additionnel</w:t>
            </w:r>
            <w:r w:rsidR="007B31F0" w:rsidRPr="00104AB5">
              <w:rPr>
                <w:sz w:val="20"/>
                <w:lang w:val="fr-CA"/>
              </w:rPr>
              <w:t xml:space="preserve">les liées aux armes au titre des </w:t>
            </w:r>
            <w:r w:rsidRPr="00104AB5">
              <w:rPr>
                <w:sz w:val="20"/>
                <w:lang w:val="fr-CA"/>
              </w:rPr>
              <w:t xml:space="preserve">par. 92 (1) et (2) et 117.01(1) du </w:t>
            </w:r>
            <w:r w:rsidRPr="00104AB5">
              <w:rPr>
                <w:i/>
                <w:sz w:val="20"/>
                <w:lang w:val="fr-CA"/>
              </w:rPr>
              <w:t>Code criminel.</w:t>
            </w:r>
            <w:r w:rsidRPr="00104AB5">
              <w:rPr>
                <w:sz w:val="20"/>
                <w:lang w:val="fr-CA"/>
              </w:rPr>
              <w:t xml:space="preserve"> À l’issue d’un voir</w:t>
            </w:r>
            <w:r w:rsidRPr="00104AB5">
              <w:rPr>
                <w:sz w:val="20"/>
                <w:lang w:val="fr-CA"/>
              </w:rPr>
              <w:noBreakHyphen/>
              <w:t xml:space="preserve">dire, après avoir conclu qu’il y avait eu atteinte aux droits que les articles 8, 9 et 10 de la Charte reconnaissent à Omeasoo et White, le juge du procès a exclu les éléments de preuve saisis par la police conformément au </w:t>
            </w:r>
            <w:proofErr w:type="spellStart"/>
            <w:r w:rsidRPr="00104AB5">
              <w:rPr>
                <w:sz w:val="20"/>
                <w:lang w:val="fr-CA"/>
              </w:rPr>
              <w:t>par</w:t>
            </w:r>
            <w:proofErr w:type="spellEnd"/>
            <w:r w:rsidRPr="00104AB5">
              <w:rPr>
                <w:sz w:val="20"/>
                <w:lang w:val="fr-CA"/>
              </w:rPr>
              <w:t xml:space="preserve">. 24(2) de la </w:t>
            </w:r>
            <w:r w:rsidRPr="00104AB5">
              <w:rPr>
                <w:i/>
                <w:sz w:val="20"/>
                <w:lang w:val="fr-CA"/>
              </w:rPr>
              <w:t>Charte</w:t>
            </w:r>
            <w:r w:rsidRPr="00104AB5">
              <w:rPr>
                <w:sz w:val="20"/>
                <w:lang w:val="fr-CA"/>
              </w:rPr>
              <w:t xml:space="preserve"> et rejeté sommairement les accusations. La Cour d'appel a accueilli les appels de la Couronne et ordonné un nouveau procès.</w:t>
            </w:r>
          </w:p>
        </w:tc>
      </w:tr>
      <w:tr w:rsidR="008D175B" w:rsidRPr="00104AB5" w:rsidTr="00DB0C96">
        <w:tc>
          <w:tcPr>
            <w:tcW w:w="5000" w:type="pct"/>
            <w:gridSpan w:val="4"/>
          </w:tcPr>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19 juin 2017</w:t>
            </w:r>
          </w:p>
          <w:p w:rsidR="008D175B" w:rsidRPr="00104AB5" w:rsidRDefault="008D175B" w:rsidP="00DB0C96">
            <w:pPr>
              <w:jc w:val="both"/>
              <w:rPr>
                <w:sz w:val="20"/>
                <w:lang w:val="fr-CA"/>
              </w:rPr>
            </w:pPr>
            <w:r w:rsidRPr="00104AB5">
              <w:rPr>
                <w:sz w:val="20"/>
                <w:lang w:val="fr-CA"/>
              </w:rPr>
              <w:t>Cour du Banc de la Reine du Manitoba</w:t>
            </w:r>
          </w:p>
          <w:p w:rsidR="008D175B" w:rsidRPr="00104AB5" w:rsidRDefault="008D175B" w:rsidP="00DB0C96">
            <w:pPr>
              <w:jc w:val="both"/>
              <w:rPr>
                <w:sz w:val="20"/>
                <w:lang w:val="fr-CA"/>
              </w:rPr>
            </w:pPr>
            <w:r w:rsidRPr="00104AB5">
              <w:rPr>
                <w:sz w:val="20"/>
                <w:lang w:val="fr-CA"/>
              </w:rPr>
              <w:t xml:space="preserve">(Juge </w:t>
            </w:r>
            <w:proofErr w:type="spellStart"/>
            <w:r w:rsidRPr="00104AB5">
              <w:rPr>
                <w:sz w:val="20"/>
                <w:lang w:val="fr-CA"/>
              </w:rPr>
              <w:t>Lanchbery</w:t>
            </w:r>
            <w:proofErr w:type="spellEnd"/>
            <w:r w:rsidRPr="00104AB5">
              <w:rPr>
                <w:sz w:val="20"/>
                <w:lang w:val="fr-CA"/>
              </w:rPr>
              <w:t>)</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Décision : art. 8, 9 et 10 de la Charte violés</w:t>
            </w:r>
            <w:r w:rsidRPr="00104AB5">
              <w:rPr>
                <w:i/>
                <w:sz w:val="20"/>
                <w:lang w:val="fr-CA"/>
              </w:rPr>
              <w:t>,</w:t>
            </w:r>
            <w:r w:rsidRPr="00104AB5">
              <w:rPr>
                <w:sz w:val="20"/>
                <w:lang w:val="fr-CA"/>
              </w:rPr>
              <w:t xml:space="preserve"> éléments de preuve exclus conformément au </w:t>
            </w:r>
            <w:proofErr w:type="spellStart"/>
            <w:r w:rsidRPr="00104AB5">
              <w:rPr>
                <w:sz w:val="20"/>
                <w:lang w:val="fr-CA"/>
              </w:rPr>
              <w:t>par</w:t>
            </w:r>
            <w:proofErr w:type="spellEnd"/>
            <w:r w:rsidRPr="00104AB5">
              <w:rPr>
                <w:sz w:val="20"/>
                <w:lang w:val="fr-CA"/>
              </w:rPr>
              <w:t>. 24(2); accusations rejetées</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12 avril 2019</w:t>
            </w:r>
          </w:p>
          <w:p w:rsidR="008D175B" w:rsidRPr="00104AB5" w:rsidRDefault="008D175B" w:rsidP="00DB0C96">
            <w:pPr>
              <w:jc w:val="both"/>
              <w:rPr>
                <w:sz w:val="20"/>
                <w:lang w:val="fr-CA"/>
              </w:rPr>
            </w:pPr>
            <w:r w:rsidRPr="00104AB5">
              <w:rPr>
                <w:sz w:val="20"/>
                <w:lang w:val="fr-CA"/>
              </w:rPr>
              <w:t>Cour du Banc de la Reine du Manitoba</w:t>
            </w:r>
          </w:p>
          <w:p w:rsidR="008D175B" w:rsidRPr="00104AB5" w:rsidRDefault="008D175B" w:rsidP="00DB0C96">
            <w:pPr>
              <w:jc w:val="both"/>
              <w:rPr>
                <w:sz w:val="20"/>
                <w:lang w:val="fr-CA"/>
              </w:rPr>
            </w:pPr>
            <w:r w:rsidRPr="00104AB5">
              <w:rPr>
                <w:sz w:val="20"/>
                <w:lang w:val="fr-CA"/>
              </w:rPr>
              <w:t xml:space="preserve">(Juges </w:t>
            </w:r>
            <w:proofErr w:type="spellStart"/>
            <w:r w:rsidRPr="00104AB5">
              <w:rPr>
                <w:sz w:val="20"/>
                <w:lang w:val="fr-CA"/>
              </w:rPr>
              <w:t>Steel</w:t>
            </w:r>
            <w:proofErr w:type="spellEnd"/>
            <w:r w:rsidRPr="00104AB5">
              <w:rPr>
                <w:sz w:val="20"/>
                <w:lang w:val="fr-CA"/>
              </w:rPr>
              <w:t xml:space="preserve">, </w:t>
            </w:r>
            <w:proofErr w:type="spellStart"/>
            <w:r w:rsidRPr="00104AB5">
              <w:rPr>
                <w:sz w:val="20"/>
                <w:lang w:val="fr-CA"/>
              </w:rPr>
              <w:t>Beard</w:t>
            </w:r>
            <w:proofErr w:type="spellEnd"/>
            <w:r w:rsidRPr="00104AB5">
              <w:rPr>
                <w:sz w:val="20"/>
                <w:lang w:val="fr-CA"/>
              </w:rPr>
              <w:t xml:space="preserve">, </w:t>
            </w:r>
            <w:proofErr w:type="spellStart"/>
            <w:r w:rsidRPr="00104AB5">
              <w:rPr>
                <w:sz w:val="20"/>
                <w:lang w:val="fr-CA"/>
              </w:rPr>
              <w:t>leMaistre</w:t>
            </w:r>
            <w:proofErr w:type="spellEnd"/>
            <w:r w:rsidRPr="00104AB5">
              <w:rPr>
                <w:sz w:val="20"/>
                <w:lang w:val="fr-CA"/>
              </w:rPr>
              <w:t>)</w:t>
            </w:r>
          </w:p>
          <w:p w:rsidR="008D175B" w:rsidRPr="00104AB5" w:rsidRDefault="008D175B" w:rsidP="00DB0C96">
            <w:pPr>
              <w:jc w:val="both"/>
              <w:rPr>
                <w:rStyle w:val="Hyperlink"/>
                <w:sz w:val="20"/>
                <w:lang w:val="fr-CA"/>
              </w:rPr>
            </w:pPr>
            <w:r w:rsidRPr="00104AB5">
              <w:rPr>
                <w:sz w:val="20"/>
                <w:lang w:val="fr-CA"/>
              </w:rPr>
              <w:t>AR17</w:t>
            </w:r>
            <w:r w:rsidRPr="00104AB5">
              <w:rPr>
                <w:sz w:val="20"/>
                <w:lang w:val="fr-CA"/>
              </w:rPr>
              <w:noBreakHyphen/>
              <w:t>30</w:t>
            </w:r>
            <w:r w:rsidRPr="00104AB5">
              <w:rPr>
                <w:sz w:val="20"/>
                <w:lang w:val="fr-CA"/>
              </w:rPr>
              <w:noBreakHyphen/>
              <w:t>08898;</w:t>
            </w:r>
            <w:hyperlink r:id="rId31" w:history="1">
              <w:r w:rsidRPr="00104AB5">
                <w:rPr>
                  <w:rStyle w:val="Hyperlink"/>
                  <w:sz w:val="20"/>
                  <w:lang w:val="fr-CA"/>
                </w:rPr>
                <w:t>2019 MBCA 43</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Appels accueillis; nouveau procès ordonné</w:t>
            </w: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11 juin 2019</w:t>
            </w:r>
          </w:p>
          <w:p w:rsidR="008D175B" w:rsidRPr="00104AB5" w:rsidRDefault="008D175B" w:rsidP="00DB0C96">
            <w:pPr>
              <w:jc w:val="both"/>
              <w:rPr>
                <w:sz w:val="20"/>
                <w:lang w:val="fr-CA"/>
              </w:rPr>
            </w:pPr>
            <w:r w:rsidRPr="00104AB5">
              <w:rPr>
                <w:sz w:val="20"/>
                <w:lang w:val="fr-CA"/>
              </w:rPr>
              <w:t xml:space="preserve">Cour suprême du Canada </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déposée</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11 juin 2019</w:t>
            </w:r>
          </w:p>
          <w:p w:rsidR="008D175B" w:rsidRPr="00104AB5" w:rsidRDefault="008D175B" w:rsidP="00DB0C96">
            <w:pPr>
              <w:jc w:val="both"/>
              <w:rPr>
                <w:sz w:val="20"/>
                <w:lang w:val="fr-CA"/>
              </w:rPr>
            </w:pPr>
            <w:r w:rsidRPr="00104AB5">
              <w:rPr>
                <w:sz w:val="20"/>
                <w:lang w:val="fr-CA"/>
              </w:rPr>
              <w:t xml:space="preserve">Cour suprême du Canada </w:t>
            </w: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déposée</w:t>
            </w:r>
          </w:p>
          <w:p w:rsidR="008D175B" w:rsidRPr="00104AB5" w:rsidRDefault="008D175B" w:rsidP="00DB0C96">
            <w:pPr>
              <w:jc w:val="both"/>
              <w:rPr>
                <w:sz w:val="20"/>
                <w:lang w:val="fr-CA"/>
              </w:rPr>
            </w:pPr>
          </w:p>
        </w:tc>
      </w:tr>
    </w:tbl>
    <w:p w:rsidR="008D175B" w:rsidRPr="00104AB5" w:rsidRDefault="008D175B" w:rsidP="008D175B">
      <w:pPr>
        <w:jc w:val="both"/>
        <w:rPr>
          <w:sz w:val="20"/>
          <w:lang w:val="fr-CA"/>
        </w:rPr>
      </w:pPr>
    </w:p>
    <w:p w:rsidR="008D175B" w:rsidRPr="00104AB5" w:rsidRDefault="00B54B7D" w:rsidP="008D175B">
      <w:pPr>
        <w:ind w:left="142" w:hanging="142"/>
        <w:jc w:val="both"/>
        <w:rPr>
          <w:sz w:val="20"/>
        </w:rPr>
      </w:pPr>
      <w:r w:rsidRPr="00104AB5">
        <w:rPr>
          <w:sz w:val="20"/>
        </w:rPr>
        <w:pict>
          <v:rect id="_x0000_i1045" style="width:2in;height:1pt" o:hrpct="0" o:hralign="center" o:hrstd="t" o:hrnoshade="t" o:hr="t" fillcolor="black [3213]" stroked="f"/>
        </w:pict>
      </w:r>
    </w:p>
    <w:p w:rsidR="008D175B" w:rsidRPr="00104AB5" w:rsidRDefault="008D175B" w:rsidP="008D175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lastRenderedPageBreak/>
              <w:t>38675</w:t>
            </w:r>
          </w:p>
        </w:tc>
        <w:tc>
          <w:tcPr>
            <w:tcW w:w="4457" w:type="pct"/>
            <w:gridSpan w:val="3"/>
          </w:tcPr>
          <w:p w:rsidR="008D175B" w:rsidRPr="00104AB5" w:rsidRDefault="008D175B" w:rsidP="00DB0C96">
            <w:pPr>
              <w:pStyle w:val="SCCLsocParty"/>
              <w:jc w:val="both"/>
              <w:rPr>
                <w:b/>
                <w:sz w:val="20"/>
                <w:szCs w:val="20"/>
                <w:lang w:val="en-US"/>
              </w:rPr>
            </w:pPr>
            <w:r w:rsidRPr="00104AB5">
              <w:rPr>
                <w:b/>
                <w:sz w:val="20"/>
                <w:szCs w:val="20"/>
                <w:lang w:val="en-US"/>
              </w:rPr>
              <w:t>Canadian Broadcasting Corporation, Gillian Findlay, Morris Karp and David Studer v. AARC Society (Alberta Adolescent Recovery Centre)</w:t>
            </w:r>
          </w:p>
          <w:p w:rsidR="008D175B" w:rsidRPr="00104AB5" w:rsidRDefault="008D175B" w:rsidP="00DB0C96">
            <w:pPr>
              <w:jc w:val="both"/>
              <w:rPr>
                <w:sz w:val="20"/>
              </w:rPr>
            </w:pPr>
            <w:r w:rsidRPr="00104AB5">
              <w:rPr>
                <w:sz w:val="20"/>
              </w:rPr>
              <w:t>(Alta.) (Civil) (By Leave)</w:t>
            </w:r>
          </w:p>
        </w:tc>
      </w:tr>
      <w:tr w:rsidR="00F655E3" w:rsidRPr="00104AB5" w:rsidTr="00DB0C96">
        <w:tc>
          <w:tcPr>
            <w:tcW w:w="5000" w:type="pct"/>
            <w:gridSpan w:val="4"/>
          </w:tcPr>
          <w:p w:rsidR="00F655E3" w:rsidRPr="00104AB5" w:rsidRDefault="00F655E3" w:rsidP="00F655E3">
            <w:pPr>
              <w:jc w:val="both"/>
              <w:rPr>
                <w:sz w:val="20"/>
              </w:rPr>
            </w:pPr>
            <w:r w:rsidRPr="00104AB5">
              <w:rPr>
                <w:sz w:val="20"/>
              </w:rPr>
              <w:t>The application for leave to appeal from the judgment of the Court of Appeal of Alberta (Calgary), Number 1801-0257-AC, 2019 ABCA 125, dated April 8, 2019, is dismissed with costs.  It is not necessary to decide the applicants’ motion to strike.</w:t>
            </w:r>
          </w:p>
          <w:p w:rsidR="00F655E3" w:rsidRPr="00104AB5" w:rsidRDefault="00F655E3" w:rsidP="00F655E3">
            <w:pPr>
              <w:jc w:val="both"/>
              <w:rPr>
                <w:sz w:val="20"/>
              </w:rPr>
            </w:pPr>
          </w:p>
          <w:p w:rsidR="00F655E3" w:rsidRPr="00104AB5" w:rsidRDefault="00F655E3" w:rsidP="00F655E3">
            <w:pPr>
              <w:jc w:val="both"/>
              <w:rPr>
                <w:sz w:val="20"/>
              </w:rPr>
            </w:pPr>
            <w:r w:rsidRPr="00104AB5">
              <w:rPr>
                <w:sz w:val="20"/>
              </w:rPr>
              <w:t>Martin J. took no part in the judgment.</w:t>
            </w:r>
          </w:p>
          <w:p w:rsidR="00F655E3" w:rsidRPr="00104AB5" w:rsidRDefault="00F655E3" w:rsidP="00F655E3">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Limitation of actions — Defamation — Cause of action — Whether a new cause of action arises each and every time an allegedly defamatory publication is accessed on the internet — If the answer is no, whether a reposting of the same allegedly defamatory publication in the same place online gives rise to a new cause of action.</w:t>
            </w:r>
          </w:p>
        </w:tc>
      </w:tr>
      <w:tr w:rsidR="008D175B" w:rsidRPr="00104AB5" w:rsidTr="00DB0C96">
        <w:tc>
          <w:tcPr>
            <w:tcW w:w="5000" w:type="pct"/>
            <w:gridSpan w:val="4"/>
          </w:tcPr>
          <w:p w:rsidR="008D175B" w:rsidRPr="00104AB5" w:rsidRDefault="008D175B"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 xml:space="preserve">The respondent AARC provides treatment for addicted adolescents. The applicants are the CBC and three of its employees. In 2009, CBC broadcast a Fifth Estate program entitled “Powerless”, which criticized AARC. Shortly after the broadcast, CBC posted the “Powerless” program on its webpage. An action in defamation was commenced by AARC against CBC et al. in 2011. The program remained on the webpage until sometime in March 2017 when it was removed. CBC reposted the program later in 2017. After this reposting, AARC filed an application seeking an order granting it permission to amend its claim. The Court of Queen’s Bench of Alberta denied some of the amendments on the basis that they represented a marked departure from AARC’s original strategy. The Court of Appeal was divided. </w:t>
            </w:r>
            <w:proofErr w:type="spellStart"/>
            <w:r w:rsidRPr="00104AB5">
              <w:rPr>
                <w:sz w:val="20"/>
              </w:rPr>
              <w:t>Wakeling</w:t>
            </w:r>
            <w:proofErr w:type="spellEnd"/>
            <w:r w:rsidRPr="00104AB5">
              <w:rPr>
                <w:sz w:val="20"/>
              </w:rPr>
              <w:t xml:space="preserve"> J.A. allowed the appeal. In his view the chambers judge made reversible errors. </w:t>
            </w:r>
            <w:proofErr w:type="spellStart"/>
            <w:r w:rsidRPr="00104AB5">
              <w:rPr>
                <w:sz w:val="20"/>
              </w:rPr>
              <w:t>Pentelechuk</w:t>
            </w:r>
            <w:proofErr w:type="spellEnd"/>
            <w:r w:rsidRPr="00104AB5">
              <w:rPr>
                <w:sz w:val="20"/>
              </w:rPr>
              <w:t xml:space="preserve"> J.A. concurred in the result, and McDonald J.A. dissented.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15, 2018</w:t>
            </w:r>
          </w:p>
          <w:p w:rsidR="008D175B" w:rsidRPr="00104AB5" w:rsidRDefault="008D175B" w:rsidP="00DB0C96">
            <w:pPr>
              <w:jc w:val="both"/>
              <w:rPr>
                <w:sz w:val="20"/>
              </w:rPr>
            </w:pPr>
            <w:r w:rsidRPr="00104AB5">
              <w:rPr>
                <w:sz w:val="20"/>
              </w:rPr>
              <w:t>Court of Queen’s Bench of Alberta</w:t>
            </w:r>
          </w:p>
          <w:p w:rsidR="008D175B" w:rsidRPr="00104AB5" w:rsidRDefault="008D175B" w:rsidP="00DB0C96">
            <w:pPr>
              <w:jc w:val="both"/>
              <w:rPr>
                <w:sz w:val="20"/>
              </w:rPr>
            </w:pPr>
            <w:r w:rsidRPr="00104AB5">
              <w:rPr>
                <w:sz w:val="20"/>
              </w:rPr>
              <w:t>(Macleod J.)</w:t>
            </w:r>
          </w:p>
          <w:p w:rsidR="008D175B" w:rsidRPr="00104AB5" w:rsidRDefault="00B54B7D" w:rsidP="00DB0C96">
            <w:pPr>
              <w:jc w:val="both"/>
              <w:rPr>
                <w:sz w:val="20"/>
              </w:rPr>
            </w:pPr>
            <w:hyperlink r:id="rId32" w:history="1">
              <w:r w:rsidR="008D175B" w:rsidRPr="00104AB5">
                <w:rPr>
                  <w:rStyle w:val="Hyperlink"/>
                  <w:sz w:val="20"/>
                </w:rPr>
                <w:t>2018 ABQB 324</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 xml:space="preserve">Respondent’s application to amend its claim allowed in part </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April 8, 2019</w:t>
            </w:r>
          </w:p>
          <w:p w:rsidR="008D175B" w:rsidRPr="00104AB5" w:rsidRDefault="008D175B" w:rsidP="00DB0C96">
            <w:pPr>
              <w:jc w:val="both"/>
              <w:rPr>
                <w:sz w:val="20"/>
              </w:rPr>
            </w:pPr>
            <w:r w:rsidRPr="00104AB5">
              <w:rPr>
                <w:sz w:val="20"/>
              </w:rPr>
              <w:t>Court of Appeal of Alberta (Calgary)</w:t>
            </w:r>
          </w:p>
          <w:p w:rsidR="008D175B" w:rsidRPr="00104AB5" w:rsidRDefault="008D175B" w:rsidP="00DB0C96">
            <w:pPr>
              <w:jc w:val="both"/>
              <w:rPr>
                <w:sz w:val="20"/>
              </w:rPr>
            </w:pPr>
            <w:r w:rsidRPr="00104AB5">
              <w:rPr>
                <w:sz w:val="20"/>
              </w:rPr>
              <w:t>(</w:t>
            </w:r>
            <w:proofErr w:type="spellStart"/>
            <w:r w:rsidRPr="00104AB5">
              <w:rPr>
                <w:sz w:val="20"/>
              </w:rPr>
              <w:t>Wakeling</w:t>
            </w:r>
            <w:proofErr w:type="spellEnd"/>
            <w:r w:rsidRPr="00104AB5">
              <w:rPr>
                <w:sz w:val="20"/>
              </w:rPr>
              <w:t xml:space="preserve">, </w:t>
            </w:r>
            <w:proofErr w:type="spellStart"/>
            <w:r w:rsidRPr="00104AB5">
              <w:rPr>
                <w:sz w:val="20"/>
              </w:rPr>
              <w:t>Pentelechuk</w:t>
            </w:r>
            <w:proofErr w:type="spellEnd"/>
            <w:r w:rsidRPr="00104AB5">
              <w:rPr>
                <w:sz w:val="20"/>
              </w:rPr>
              <w:t xml:space="preserve"> [concurring in the result], and McDonald [dissenting] JJ.A.)</w:t>
            </w:r>
          </w:p>
          <w:p w:rsidR="008D175B" w:rsidRPr="00104AB5" w:rsidRDefault="00B54B7D" w:rsidP="00DB0C96">
            <w:pPr>
              <w:jc w:val="both"/>
              <w:rPr>
                <w:sz w:val="20"/>
              </w:rPr>
            </w:pPr>
            <w:hyperlink r:id="rId33" w:history="1">
              <w:r w:rsidR="008D175B" w:rsidRPr="00104AB5">
                <w:rPr>
                  <w:rStyle w:val="Hyperlink"/>
                  <w:sz w:val="20"/>
                </w:rPr>
                <w:t>2019 ABCA 125</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Appeal allowed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7, 2019</w:t>
            </w:r>
          </w:p>
          <w:p w:rsidR="008D175B" w:rsidRPr="00104AB5" w:rsidRDefault="008D175B" w:rsidP="00DB0C96">
            <w:pPr>
              <w:jc w:val="both"/>
              <w:rPr>
                <w:sz w:val="20"/>
              </w:rPr>
            </w:pPr>
            <w:r w:rsidRPr="00104AB5">
              <w:rPr>
                <w:sz w:val="20"/>
              </w:rPr>
              <w:t>Supreme Court of Canada</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August 12,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Motion to strike filed by applicants</w:t>
            </w:r>
          </w:p>
        </w:tc>
      </w:tr>
    </w:tbl>
    <w:p w:rsidR="008D175B" w:rsidRPr="00104AB5" w:rsidRDefault="008D175B" w:rsidP="008D175B">
      <w:pPr>
        <w:jc w:val="both"/>
        <w:rPr>
          <w:sz w:val="20"/>
        </w:rPr>
      </w:pPr>
    </w:p>
    <w:p w:rsidR="008D175B" w:rsidRPr="00104AB5" w:rsidRDefault="00B54B7D" w:rsidP="008D175B">
      <w:pPr>
        <w:jc w:val="both"/>
        <w:rPr>
          <w:sz w:val="20"/>
        </w:rPr>
      </w:pPr>
      <w:r w:rsidRPr="00104AB5">
        <w:rPr>
          <w:sz w:val="20"/>
        </w:rPr>
        <w:pict>
          <v:rect id="_x0000_i1046" style="width:2in;height:1pt" o:hrpct="0" o:hralign="center" o:hrstd="t" o:hrnoshade="t" o:hr="t" fillcolor="black [3213]" stroked="f"/>
        </w:pict>
      </w:r>
    </w:p>
    <w:p w:rsidR="008D175B" w:rsidRPr="00104AB5" w:rsidRDefault="008D175B" w:rsidP="008D17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lang w:val="fr-CA"/>
              </w:rPr>
            </w:pPr>
            <w:r w:rsidRPr="00104AB5">
              <w:rPr>
                <w:rStyle w:val="SCCFileNumberChar"/>
                <w:sz w:val="20"/>
                <w:szCs w:val="20"/>
                <w:lang w:val="fr-CA"/>
              </w:rPr>
              <w:t>38675</w:t>
            </w:r>
          </w:p>
        </w:tc>
        <w:tc>
          <w:tcPr>
            <w:tcW w:w="4457" w:type="pct"/>
            <w:gridSpan w:val="3"/>
          </w:tcPr>
          <w:p w:rsidR="008D175B" w:rsidRPr="00104AB5" w:rsidRDefault="008D175B" w:rsidP="00DB0C96">
            <w:pPr>
              <w:pStyle w:val="SCCLsocParty"/>
              <w:jc w:val="both"/>
              <w:rPr>
                <w:b/>
                <w:sz w:val="20"/>
                <w:szCs w:val="20"/>
                <w:lang w:val="en-US"/>
              </w:rPr>
            </w:pPr>
            <w:r w:rsidRPr="00104AB5">
              <w:rPr>
                <w:b/>
                <w:sz w:val="20"/>
                <w:szCs w:val="20"/>
                <w:lang w:val="en-US"/>
              </w:rPr>
              <w:t>Société Radio-Canada, Gillian Findlay, Morris Karp et David Studer c. AARC Society (Alberta Adolescent Recovery Centre)</w:t>
            </w:r>
          </w:p>
          <w:p w:rsidR="008D175B" w:rsidRPr="00104AB5" w:rsidRDefault="008D175B" w:rsidP="00DB0C96">
            <w:pPr>
              <w:jc w:val="both"/>
              <w:rPr>
                <w:sz w:val="20"/>
                <w:lang w:val="fr-CA"/>
              </w:rPr>
            </w:pPr>
            <w:r w:rsidRPr="00104AB5">
              <w:rPr>
                <w:sz w:val="20"/>
                <w:lang w:val="fr-CA"/>
              </w:rPr>
              <w:t>(Alb.) (Civile) (Sur autorisation)</w:t>
            </w:r>
          </w:p>
        </w:tc>
      </w:tr>
      <w:tr w:rsidR="00F655E3" w:rsidRPr="00104AB5" w:rsidTr="00DB0C96">
        <w:tc>
          <w:tcPr>
            <w:tcW w:w="5000" w:type="pct"/>
            <w:gridSpan w:val="4"/>
          </w:tcPr>
          <w:p w:rsidR="00F655E3" w:rsidRPr="00104AB5" w:rsidRDefault="00F655E3" w:rsidP="00F655E3">
            <w:pPr>
              <w:jc w:val="both"/>
              <w:rPr>
                <w:sz w:val="20"/>
                <w:lang w:val="fr-CA"/>
              </w:rPr>
            </w:pPr>
            <w:r w:rsidRPr="00104AB5">
              <w:rPr>
                <w:sz w:val="20"/>
                <w:lang w:val="fr-CA"/>
              </w:rPr>
              <w:t xml:space="preserve">La demande d’autorisation d’appel de l’arrêt de la </w:t>
            </w:r>
            <w:r w:rsidRPr="00104AB5">
              <w:rPr>
                <w:sz w:val="20"/>
                <w:lang w:val="fr-FR"/>
              </w:rPr>
              <w:t>Cour d'appel de l’Alberta (Calgary)</w:t>
            </w:r>
            <w:r w:rsidRPr="00104AB5">
              <w:rPr>
                <w:sz w:val="20"/>
                <w:lang w:val="fr-CA"/>
              </w:rPr>
              <w:t xml:space="preserve">, numéro </w:t>
            </w:r>
            <w:r w:rsidRPr="00104AB5">
              <w:rPr>
                <w:sz w:val="20"/>
                <w:lang w:val="fr-FR"/>
              </w:rPr>
              <w:t>1801-0257-AC</w:t>
            </w:r>
            <w:r w:rsidRPr="00104AB5">
              <w:rPr>
                <w:sz w:val="20"/>
                <w:lang w:val="fr-CA"/>
              </w:rPr>
              <w:t xml:space="preserve">, </w:t>
            </w:r>
            <w:r w:rsidRPr="00104AB5">
              <w:rPr>
                <w:sz w:val="20"/>
                <w:lang w:val="fr-FR"/>
              </w:rPr>
              <w:t xml:space="preserve">2019 ABCA 125, </w:t>
            </w:r>
            <w:r w:rsidRPr="00104AB5">
              <w:rPr>
                <w:sz w:val="20"/>
                <w:lang w:val="fr-CA"/>
              </w:rPr>
              <w:t xml:space="preserve">daté du </w:t>
            </w:r>
            <w:r w:rsidRPr="00104AB5">
              <w:rPr>
                <w:sz w:val="20"/>
                <w:lang w:val="fr-FR"/>
              </w:rPr>
              <w:t>8 avril 2019</w:t>
            </w:r>
            <w:r w:rsidRPr="00104AB5">
              <w:rPr>
                <w:sz w:val="20"/>
                <w:lang w:val="fr-CA"/>
              </w:rPr>
              <w:t>, est rejetée avec dépens.  Il n’est pas nécessaire de trancher la requête en radiation présentée par les demandeurs.</w:t>
            </w:r>
          </w:p>
          <w:p w:rsidR="00F655E3" w:rsidRPr="00104AB5" w:rsidRDefault="00F655E3" w:rsidP="00F655E3">
            <w:pPr>
              <w:jc w:val="both"/>
              <w:rPr>
                <w:sz w:val="20"/>
                <w:lang w:val="fr-CA"/>
              </w:rPr>
            </w:pPr>
          </w:p>
          <w:p w:rsidR="00F655E3" w:rsidRPr="00104AB5" w:rsidRDefault="00F655E3" w:rsidP="00F655E3">
            <w:pPr>
              <w:jc w:val="both"/>
              <w:rPr>
                <w:sz w:val="20"/>
                <w:lang w:val="fr-CA"/>
              </w:rPr>
            </w:pPr>
            <w:r w:rsidRPr="00104AB5">
              <w:rPr>
                <w:sz w:val="20"/>
                <w:lang w:val="fr-CA"/>
              </w:rPr>
              <w:t>La juge Martin n’a pas participé au jugement.</w:t>
            </w:r>
          </w:p>
          <w:p w:rsidR="00F655E3" w:rsidRPr="00104AB5" w:rsidRDefault="00F655E3" w:rsidP="00F655E3">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lastRenderedPageBreak/>
              <w:t>Prescription — Diffamation — Cause d’action — Une nouvelle cause d’action naît</w:t>
            </w:r>
            <w:r w:rsidRPr="00104AB5">
              <w:rPr>
                <w:sz w:val="20"/>
                <w:lang w:val="fr-CA"/>
              </w:rPr>
              <w:noBreakHyphen/>
              <w:t>elle chaque fois qu’une publication censément diffamatoire est consultée sur l’Internet? — Dans la négative, le nouvel affichage de la même publication censément diffamatoire au même endroit en ligne donne</w:t>
            </w:r>
            <w:r w:rsidRPr="00104AB5">
              <w:rPr>
                <w:sz w:val="20"/>
                <w:lang w:val="fr-CA"/>
              </w:rPr>
              <w:noBreakHyphen/>
              <w:t>t</w:t>
            </w:r>
            <w:r w:rsidRPr="00104AB5">
              <w:rPr>
                <w:sz w:val="20"/>
                <w:lang w:val="fr-CA"/>
              </w:rPr>
              <w:noBreakHyphen/>
              <w:t>il naissance à une nouvelle cause d’action?</w:t>
            </w:r>
          </w:p>
        </w:tc>
      </w:tr>
      <w:tr w:rsidR="008D175B" w:rsidRPr="00104AB5" w:rsidTr="00DB0C96">
        <w:tc>
          <w:tcPr>
            <w:tcW w:w="5000" w:type="pct"/>
            <w:gridSpan w:val="4"/>
          </w:tcPr>
          <w:p w:rsidR="008D175B" w:rsidRPr="00104AB5" w:rsidRDefault="008D175B" w:rsidP="00DB0C96">
            <w:pPr>
              <w:jc w:val="both"/>
              <w:rPr>
                <w:sz w:val="20"/>
                <w:lang w:val="fr-CA"/>
              </w:rPr>
            </w:pPr>
          </w:p>
        </w:tc>
      </w:tr>
      <w:tr w:rsidR="008D175B" w:rsidRPr="00104AB5" w:rsidTr="00DB0C96">
        <w:tc>
          <w:tcPr>
            <w:tcW w:w="5000" w:type="pct"/>
            <w:gridSpan w:val="4"/>
          </w:tcPr>
          <w:p w:rsidR="008D175B" w:rsidRPr="00104AB5" w:rsidRDefault="008D175B" w:rsidP="00DB0C96">
            <w:pPr>
              <w:jc w:val="both"/>
              <w:rPr>
                <w:sz w:val="20"/>
                <w:lang w:val="fr-CA"/>
              </w:rPr>
            </w:pPr>
            <w:r w:rsidRPr="00104AB5">
              <w:rPr>
                <w:sz w:val="20"/>
                <w:lang w:val="fr-CA"/>
              </w:rPr>
              <w:t>L’intimée, l’AARC Society, offre des traitements aux adolescents toxicomanes. Les requérants sont la SRC et trois de ses employés. En 2009, la SRC a diffusé à « </w:t>
            </w:r>
            <w:proofErr w:type="spellStart"/>
            <w:r w:rsidRPr="00104AB5">
              <w:rPr>
                <w:sz w:val="20"/>
                <w:lang w:val="fr-CA"/>
              </w:rPr>
              <w:t>Fifth</w:t>
            </w:r>
            <w:proofErr w:type="spellEnd"/>
            <w:r w:rsidRPr="00104AB5">
              <w:rPr>
                <w:sz w:val="20"/>
                <w:lang w:val="fr-CA"/>
              </w:rPr>
              <w:t xml:space="preserve"> </w:t>
            </w:r>
            <w:proofErr w:type="spellStart"/>
            <w:r w:rsidRPr="00104AB5">
              <w:rPr>
                <w:sz w:val="20"/>
                <w:lang w:val="fr-CA"/>
              </w:rPr>
              <w:t>Estate</w:t>
            </w:r>
            <w:proofErr w:type="spellEnd"/>
            <w:r w:rsidRPr="00104AB5">
              <w:rPr>
                <w:sz w:val="20"/>
                <w:lang w:val="fr-CA"/>
              </w:rPr>
              <w:t> » une émission intitulée « </w:t>
            </w:r>
            <w:proofErr w:type="spellStart"/>
            <w:r w:rsidRPr="00104AB5">
              <w:rPr>
                <w:sz w:val="20"/>
                <w:lang w:val="fr-CA"/>
              </w:rPr>
              <w:t>Powerless</w:t>
            </w:r>
            <w:proofErr w:type="spellEnd"/>
            <w:r w:rsidRPr="00104AB5">
              <w:rPr>
                <w:sz w:val="20"/>
                <w:lang w:val="fr-CA"/>
              </w:rPr>
              <w:t> », dans laquelle l’AARC Society a été critiquée. Peu après la diffusion, la SRC a publié l’émission « </w:t>
            </w:r>
            <w:proofErr w:type="spellStart"/>
            <w:r w:rsidRPr="00104AB5">
              <w:rPr>
                <w:sz w:val="20"/>
                <w:lang w:val="fr-CA"/>
              </w:rPr>
              <w:t>Powerless</w:t>
            </w:r>
            <w:proofErr w:type="spellEnd"/>
            <w:r w:rsidRPr="00104AB5">
              <w:rPr>
                <w:sz w:val="20"/>
                <w:lang w:val="fr-CA"/>
              </w:rPr>
              <w:t> » sur sa page Web. L’AARC Society a engagé une action en diffamation contre la SRC et d’autres défendeurs en 2011. L’émission est demeurée sur la page Web jusqu’à ce qu’elle soit retirée en mars 2017. La SRC a affiché de nouveau l’émission plus tard en 2017. Après ce nouvel affichage, l’AARC Society a déposé une demande en vue d’obtenir une ordonnance l’autorisant à modifier sa déclaration. La Cour du Banc de la Reine de l’Alberta a refusé certaines des modifications au motif qu’elles s’éloignaient sensiblement de la stratégie initiale de l’AARC Society. Les juges de la Cour d’appel étaient divisés. Le juge </w:t>
            </w:r>
            <w:proofErr w:type="spellStart"/>
            <w:r w:rsidRPr="00104AB5">
              <w:rPr>
                <w:sz w:val="20"/>
                <w:lang w:val="fr-CA"/>
              </w:rPr>
              <w:t>Wakeling</w:t>
            </w:r>
            <w:proofErr w:type="spellEnd"/>
            <w:r w:rsidRPr="00104AB5">
              <w:rPr>
                <w:sz w:val="20"/>
                <w:lang w:val="fr-CA"/>
              </w:rPr>
              <w:t xml:space="preserve"> a accueilli l’appel. À son avis, le juge siégeant en son cabinet avait commis des erreurs donnant ouverture à révision. La juge </w:t>
            </w:r>
            <w:proofErr w:type="spellStart"/>
            <w:r w:rsidRPr="00104AB5">
              <w:rPr>
                <w:sz w:val="20"/>
                <w:lang w:val="fr-CA"/>
              </w:rPr>
              <w:t>Pentelechuk</w:t>
            </w:r>
            <w:proofErr w:type="spellEnd"/>
            <w:r w:rsidRPr="00104AB5">
              <w:rPr>
                <w:sz w:val="20"/>
                <w:lang w:val="fr-CA"/>
              </w:rPr>
              <w:t xml:space="preserve"> a souscrit au résultat, tandis que le juge McDonald était dissident.</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15 juin 2018</w:t>
            </w:r>
          </w:p>
          <w:p w:rsidR="008D175B" w:rsidRPr="00104AB5" w:rsidRDefault="008D175B" w:rsidP="00DB0C96">
            <w:pPr>
              <w:jc w:val="both"/>
              <w:rPr>
                <w:sz w:val="20"/>
                <w:lang w:val="fr-CA"/>
              </w:rPr>
            </w:pPr>
            <w:r w:rsidRPr="00104AB5">
              <w:rPr>
                <w:sz w:val="20"/>
                <w:lang w:val="fr-CA"/>
              </w:rPr>
              <w:t>Cour du Banc de la Reine de l’Alberta</w:t>
            </w:r>
          </w:p>
          <w:p w:rsidR="008D175B" w:rsidRPr="00104AB5" w:rsidRDefault="008D175B" w:rsidP="00DB0C96">
            <w:pPr>
              <w:jc w:val="both"/>
              <w:rPr>
                <w:sz w:val="20"/>
                <w:lang w:val="fr-CA"/>
              </w:rPr>
            </w:pPr>
            <w:r w:rsidRPr="00104AB5">
              <w:rPr>
                <w:sz w:val="20"/>
                <w:lang w:val="fr-CA"/>
              </w:rPr>
              <w:t>(Juge Macleod)</w:t>
            </w:r>
          </w:p>
          <w:p w:rsidR="008D175B" w:rsidRPr="00104AB5" w:rsidRDefault="00B54B7D" w:rsidP="00DB0C96">
            <w:pPr>
              <w:jc w:val="both"/>
              <w:rPr>
                <w:sz w:val="20"/>
                <w:lang w:val="fr-CA"/>
              </w:rPr>
            </w:pPr>
            <w:hyperlink r:id="rId34" w:history="1">
              <w:r w:rsidR="008D175B" w:rsidRPr="00104AB5">
                <w:rPr>
                  <w:rStyle w:val="Hyperlink"/>
                  <w:sz w:val="20"/>
                  <w:lang w:val="fr-CA"/>
                </w:rPr>
                <w:t>2018 ABQB 324</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de l’intimée en vue d’obtenir l’autorisation de modifier sa déclaration accueillie en partie</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8 avril 2019</w:t>
            </w:r>
          </w:p>
          <w:p w:rsidR="008D175B" w:rsidRPr="00104AB5" w:rsidRDefault="008D175B" w:rsidP="00DB0C96">
            <w:pPr>
              <w:jc w:val="both"/>
              <w:rPr>
                <w:sz w:val="20"/>
                <w:lang w:val="fr-CA"/>
              </w:rPr>
            </w:pPr>
            <w:r w:rsidRPr="00104AB5">
              <w:rPr>
                <w:sz w:val="20"/>
                <w:lang w:val="fr-CA"/>
              </w:rPr>
              <w:t>Cour d'appel de l’Alberta (Calgary)</w:t>
            </w:r>
          </w:p>
          <w:p w:rsidR="008D175B" w:rsidRPr="00104AB5" w:rsidRDefault="008D175B" w:rsidP="00DB0C96">
            <w:pPr>
              <w:jc w:val="both"/>
              <w:rPr>
                <w:sz w:val="20"/>
                <w:lang w:val="fr-CA"/>
              </w:rPr>
            </w:pPr>
            <w:r w:rsidRPr="00104AB5">
              <w:rPr>
                <w:sz w:val="20"/>
                <w:lang w:val="fr-CA"/>
              </w:rPr>
              <w:t xml:space="preserve">(Juges </w:t>
            </w:r>
            <w:proofErr w:type="spellStart"/>
            <w:r w:rsidRPr="00104AB5">
              <w:rPr>
                <w:sz w:val="20"/>
                <w:lang w:val="fr-CA"/>
              </w:rPr>
              <w:t>Wakeling</w:t>
            </w:r>
            <w:proofErr w:type="spellEnd"/>
            <w:r w:rsidRPr="00104AB5">
              <w:rPr>
                <w:sz w:val="20"/>
                <w:lang w:val="fr-CA"/>
              </w:rPr>
              <w:t xml:space="preserve">, </w:t>
            </w:r>
            <w:proofErr w:type="spellStart"/>
            <w:r w:rsidRPr="00104AB5">
              <w:rPr>
                <w:sz w:val="20"/>
                <w:lang w:val="fr-CA"/>
              </w:rPr>
              <w:t>Pentelechuk</w:t>
            </w:r>
            <w:proofErr w:type="spellEnd"/>
            <w:r w:rsidRPr="00104AB5">
              <w:rPr>
                <w:sz w:val="20"/>
                <w:lang w:val="fr-CA"/>
              </w:rPr>
              <w:t xml:space="preserve"> [souscrivant au résultat], McDonald [dissident])</w:t>
            </w:r>
          </w:p>
          <w:p w:rsidR="008D175B" w:rsidRPr="00104AB5" w:rsidRDefault="00B54B7D" w:rsidP="00DB0C96">
            <w:pPr>
              <w:jc w:val="both"/>
              <w:rPr>
                <w:sz w:val="20"/>
                <w:lang w:val="fr-CA"/>
              </w:rPr>
            </w:pPr>
            <w:hyperlink r:id="rId35" w:history="1">
              <w:r w:rsidR="008D175B" w:rsidRPr="00104AB5">
                <w:rPr>
                  <w:rStyle w:val="Hyperlink"/>
                  <w:sz w:val="20"/>
                  <w:lang w:val="fr-CA"/>
                </w:rPr>
                <w:t>2019 ABCA 125</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accueilli</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7 juin 2019</w:t>
            </w:r>
          </w:p>
          <w:p w:rsidR="008D175B" w:rsidRPr="00104AB5" w:rsidRDefault="008D175B" w:rsidP="00DB0C96">
            <w:pPr>
              <w:jc w:val="both"/>
              <w:rPr>
                <w:sz w:val="20"/>
                <w:lang w:val="fr-CA"/>
              </w:rPr>
            </w:pPr>
            <w:r w:rsidRPr="00104AB5">
              <w:rPr>
                <w:sz w:val="20"/>
                <w:lang w:val="fr-CA"/>
              </w:rPr>
              <w:t>Cour suprême du Canada</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déposée</w:t>
            </w:r>
          </w:p>
          <w:p w:rsidR="008D175B" w:rsidRPr="00104AB5" w:rsidRDefault="008D175B" w:rsidP="00DB0C96">
            <w:pPr>
              <w:jc w:val="both"/>
              <w:rPr>
                <w:sz w:val="20"/>
                <w:lang w:val="fr-CA"/>
              </w:rPr>
            </w:pPr>
          </w:p>
        </w:tc>
      </w:tr>
      <w:tr w:rsidR="008D175B" w:rsidRPr="00104AB5" w:rsidTr="00DB0C96">
        <w:tc>
          <w:tcPr>
            <w:tcW w:w="2427" w:type="pct"/>
            <w:gridSpan w:val="2"/>
          </w:tcPr>
          <w:p w:rsidR="008D175B" w:rsidRPr="00104AB5" w:rsidRDefault="008D175B" w:rsidP="00DB0C96">
            <w:pPr>
              <w:jc w:val="both"/>
              <w:rPr>
                <w:sz w:val="20"/>
                <w:lang w:val="fr-CA"/>
              </w:rPr>
            </w:pPr>
            <w:r w:rsidRPr="00104AB5">
              <w:rPr>
                <w:sz w:val="20"/>
                <w:lang w:val="fr-CA"/>
              </w:rPr>
              <w:t>12 août 2019</w:t>
            </w:r>
          </w:p>
          <w:p w:rsidR="008D175B" w:rsidRPr="00104AB5" w:rsidRDefault="008D175B" w:rsidP="00DB0C96">
            <w:pPr>
              <w:jc w:val="both"/>
              <w:rPr>
                <w:sz w:val="20"/>
                <w:lang w:val="fr-CA"/>
              </w:rPr>
            </w:pPr>
            <w:r w:rsidRPr="00104AB5">
              <w:rPr>
                <w:sz w:val="20"/>
                <w:lang w:val="fr-CA"/>
              </w:rPr>
              <w:t xml:space="preserve">Cour suprême du Canada </w:t>
            </w: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Requête en radiation déposée par les requérants</w:t>
            </w:r>
          </w:p>
        </w:tc>
      </w:tr>
    </w:tbl>
    <w:p w:rsidR="008D175B" w:rsidRPr="00104AB5" w:rsidRDefault="008D175B" w:rsidP="008D175B">
      <w:pPr>
        <w:jc w:val="both"/>
        <w:rPr>
          <w:sz w:val="20"/>
          <w:lang w:val="fr-CA"/>
        </w:rPr>
      </w:pPr>
    </w:p>
    <w:p w:rsidR="008D175B" w:rsidRPr="00104AB5" w:rsidRDefault="00B54B7D" w:rsidP="008D175B">
      <w:pPr>
        <w:ind w:left="142" w:hanging="142"/>
        <w:jc w:val="both"/>
        <w:rPr>
          <w:sz w:val="20"/>
          <w:lang w:val="fr-CA"/>
        </w:rPr>
      </w:pPr>
      <w:r w:rsidRPr="00104AB5">
        <w:rPr>
          <w:sz w:val="20"/>
        </w:rPr>
        <w:pict>
          <v:rect id="_x0000_i1047" style="width:2in;height:1pt" o:hrpct="0" o:hralign="center" o:hrstd="t" o:hrnoshade="t" o:hr="t" fillcolor="black [3213]" stroked="f"/>
        </w:pict>
      </w:r>
    </w:p>
    <w:p w:rsidR="008D175B" w:rsidRPr="00104AB5" w:rsidRDefault="008D175B" w:rsidP="008D175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t>38620</w:t>
            </w:r>
          </w:p>
        </w:tc>
        <w:tc>
          <w:tcPr>
            <w:tcW w:w="4457" w:type="pct"/>
          </w:tcPr>
          <w:p w:rsidR="008D175B" w:rsidRPr="00104AB5" w:rsidRDefault="008D175B" w:rsidP="00DB0C96">
            <w:pPr>
              <w:pStyle w:val="SCCLsocParty"/>
              <w:jc w:val="both"/>
              <w:rPr>
                <w:b/>
                <w:sz w:val="20"/>
                <w:szCs w:val="20"/>
                <w:lang w:val="en-US"/>
              </w:rPr>
            </w:pPr>
            <w:r w:rsidRPr="00104AB5">
              <w:rPr>
                <w:b/>
                <w:sz w:val="20"/>
                <w:szCs w:val="20"/>
                <w:lang w:val="en-US"/>
              </w:rPr>
              <w:t>Wayne Oakley v. Attorney General of Nova Scotia representing Her Majesty the Queen in Right of the Province of Nova Scotia, Atlantic Mining NS Corp (formerly known as DDV Gold Limited), a body corporate and Nova Scotia Utility and Review Board</w:t>
            </w:r>
          </w:p>
          <w:p w:rsidR="008D175B" w:rsidRPr="00104AB5" w:rsidRDefault="008D175B" w:rsidP="00DB0C96">
            <w:pPr>
              <w:jc w:val="both"/>
              <w:rPr>
                <w:sz w:val="20"/>
              </w:rPr>
            </w:pPr>
            <w:r w:rsidRPr="00104AB5">
              <w:rPr>
                <w:sz w:val="20"/>
              </w:rPr>
              <w:t>(N.S.) (Civil) (By Leave)</w:t>
            </w:r>
          </w:p>
        </w:tc>
      </w:tr>
      <w:tr w:rsidR="00D07B78" w:rsidRPr="00104AB5" w:rsidTr="00DB0C96">
        <w:tc>
          <w:tcPr>
            <w:tcW w:w="5000" w:type="pct"/>
            <w:gridSpan w:val="2"/>
          </w:tcPr>
          <w:p w:rsidR="00D07B78" w:rsidRPr="00104AB5" w:rsidRDefault="00D07B78" w:rsidP="00DB0C96">
            <w:pPr>
              <w:jc w:val="both"/>
              <w:rPr>
                <w:sz w:val="20"/>
              </w:rPr>
            </w:pPr>
            <w:r w:rsidRPr="00104AB5">
              <w:rPr>
                <w:sz w:val="20"/>
              </w:rPr>
              <w:t>The application for leave to appeal from the judgment of the Nova Scotia Court of Appeal, Number CA 475173, 2019 NSCA 14, dated March 6, 2019, is dismissed with costs to the respondent Atlantic Mining NS Corp (Formerly known as DDV Gold Limited).</w:t>
            </w:r>
          </w:p>
          <w:p w:rsidR="00D07B78" w:rsidRPr="00104AB5" w:rsidRDefault="00D07B78" w:rsidP="00DB0C96">
            <w:pPr>
              <w:jc w:val="both"/>
              <w:rPr>
                <w:sz w:val="20"/>
              </w:rPr>
            </w:pPr>
          </w:p>
        </w:tc>
      </w:tr>
      <w:tr w:rsidR="008D175B" w:rsidRPr="00104AB5" w:rsidTr="00DB0C96">
        <w:tc>
          <w:tcPr>
            <w:tcW w:w="5000" w:type="pct"/>
            <w:gridSpan w:val="2"/>
          </w:tcPr>
          <w:p w:rsidR="008D175B" w:rsidRPr="00104AB5" w:rsidRDefault="008D175B" w:rsidP="00DB0C96">
            <w:pPr>
              <w:jc w:val="both"/>
              <w:rPr>
                <w:sz w:val="20"/>
              </w:rPr>
            </w:pPr>
            <w:r w:rsidRPr="00104AB5">
              <w:rPr>
                <w:sz w:val="20"/>
              </w:rPr>
              <w:t>Expropriation — Remedy — Non</w:t>
            </w:r>
            <w:r w:rsidRPr="00104AB5">
              <w:rPr>
                <w:sz w:val="20"/>
              </w:rPr>
              <w:noBreakHyphen/>
              <w:t>pecuniary losses — Does this Court’s interpretation of Ontario’s expropriation legislation apply to all expropriation legislation proclaimed in Canada? — Does the term “losses” contained in Canadian expropriation legislation include non</w:t>
            </w:r>
            <w:r w:rsidRPr="00104AB5">
              <w:rPr>
                <w:sz w:val="20"/>
              </w:rPr>
              <w:noBreakHyphen/>
              <w:t>pecuniary damages?</w:t>
            </w:r>
          </w:p>
        </w:tc>
      </w:tr>
      <w:tr w:rsidR="008D175B" w:rsidRPr="00104AB5" w:rsidTr="00DB0C96">
        <w:tc>
          <w:tcPr>
            <w:tcW w:w="5000" w:type="pct"/>
            <w:gridSpan w:val="2"/>
          </w:tcPr>
          <w:p w:rsidR="008D175B" w:rsidRPr="00104AB5" w:rsidRDefault="008D175B" w:rsidP="00DB0C96">
            <w:pPr>
              <w:jc w:val="both"/>
              <w:rPr>
                <w:sz w:val="20"/>
              </w:rPr>
            </w:pPr>
          </w:p>
        </w:tc>
      </w:tr>
    </w:tbl>
    <w:p w:rsidR="001B0E72" w:rsidRPr="00104AB5" w:rsidRDefault="001B0E72">
      <w:r w:rsidRPr="00104AB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175B" w:rsidRPr="00104AB5" w:rsidTr="00DB0C96">
        <w:tc>
          <w:tcPr>
            <w:tcW w:w="5000" w:type="pct"/>
            <w:gridSpan w:val="3"/>
          </w:tcPr>
          <w:p w:rsidR="008D175B" w:rsidRPr="00104AB5" w:rsidRDefault="008D175B" w:rsidP="00DB0C96">
            <w:pPr>
              <w:jc w:val="both"/>
              <w:rPr>
                <w:sz w:val="20"/>
              </w:rPr>
            </w:pPr>
            <w:r w:rsidRPr="00104AB5">
              <w:rPr>
                <w:sz w:val="20"/>
              </w:rPr>
              <w:lastRenderedPageBreak/>
              <w:t xml:space="preserve">Atlantic Mining NS Corp owns and operates a gold mine in the rural Nova Scotia community of Moose River Gold Mines. Atlantic acquired some surface title by negotiation. In other cases, Atlantic resorted to expropriation. Wayne Oakley purchased his property in this region in 1997. Atlantic wanted Mr. Oakley’s property for its mine and negotiations were unsuccessful. As a result, in 2012 Atlantic expropriated Mr. Oakley’s residential property. This was done through a vesting order issued by the Minister of Natural Resources under s. 70 of the </w:t>
            </w:r>
            <w:r w:rsidRPr="00104AB5">
              <w:rPr>
                <w:i/>
                <w:sz w:val="20"/>
              </w:rPr>
              <w:t>Mineral Resources Act</w:t>
            </w:r>
            <w:r w:rsidRPr="00104AB5">
              <w:rPr>
                <w:sz w:val="20"/>
              </w:rPr>
              <w:t xml:space="preserve">, SNS 1990, </w:t>
            </w:r>
            <w:proofErr w:type="gramStart"/>
            <w:r w:rsidRPr="00104AB5">
              <w:rPr>
                <w:sz w:val="20"/>
              </w:rPr>
              <w:t>c</w:t>
            </w:r>
            <w:proofErr w:type="gramEnd"/>
            <w:r w:rsidRPr="00104AB5">
              <w:rPr>
                <w:sz w:val="20"/>
              </w:rPr>
              <w:t>. 18. In addition to out</w:t>
            </w:r>
            <w:r w:rsidRPr="00104AB5">
              <w:rPr>
                <w:sz w:val="20"/>
              </w:rPr>
              <w:noBreakHyphen/>
              <w:t>of</w:t>
            </w:r>
            <w:r w:rsidRPr="00104AB5">
              <w:rPr>
                <w:sz w:val="20"/>
              </w:rPr>
              <w:noBreakHyphen/>
              <w:t>pocket expenses, Mr. Oakley claimed he should be paid non</w:t>
            </w:r>
            <w:r w:rsidRPr="00104AB5">
              <w:rPr>
                <w:sz w:val="20"/>
              </w:rPr>
              <w:noBreakHyphen/>
              <w:t>pecuniary “losses” for disturbance. The parties agreed on a market value for the residential property but the remaining issue of disturbance losses went before the Nova Scotia Utility and Review Board for determination. The Utility and Review Board agreed with Mr. Oakley that he was entitled to non</w:t>
            </w:r>
            <w:r w:rsidRPr="00104AB5">
              <w:rPr>
                <w:sz w:val="20"/>
              </w:rPr>
              <w:noBreakHyphen/>
              <w:t>pecuniary “losses” as damages and awarded him the maximum allowable statutory amount of 15% of the market value of his home. The Court of Appeal allowed the appeal and replaced the damages award with a 2% award instead.</w:t>
            </w:r>
          </w:p>
          <w:p w:rsidR="008D175B" w:rsidRPr="00104AB5" w:rsidRDefault="008D175B" w:rsidP="00DB0C96">
            <w:pPr>
              <w:jc w:val="both"/>
              <w:rPr>
                <w:sz w:val="20"/>
              </w:rPr>
            </w:pPr>
          </w:p>
        </w:tc>
      </w:tr>
      <w:tr w:rsidR="008D175B" w:rsidRPr="00104AB5" w:rsidTr="00DB0C96">
        <w:tc>
          <w:tcPr>
            <w:tcW w:w="2427" w:type="pct"/>
          </w:tcPr>
          <w:p w:rsidR="008D175B" w:rsidRPr="00104AB5" w:rsidRDefault="008D175B" w:rsidP="00DB0C96">
            <w:pPr>
              <w:jc w:val="both"/>
              <w:rPr>
                <w:sz w:val="20"/>
              </w:rPr>
            </w:pPr>
            <w:r w:rsidRPr="00104AB5">
              <w:rPr>
                <w:sz w:val="20"/>
              </w:rPr>
              <w:t>February 23, 2018</w:t>
            </w:r>
          </w:p>
          <w:p w:rsidR="008D175B" w:rsidRPr="00104AB5" w:rsidRDefault="008D175B" w:rsidP="00DB0C96">
            <w:pPr>
              <w:jc w:val="both"/>
              <w:rPr>
                <w:sz w:val="20"/>
              </w:rPr>
            </w:pPr>
            <w:r w:rsidRPr="00104AB5">
              <w:rPr>
                <w:sz w:val="20"/>
              </w:rPr>
              <w:t>Nova Scotia Utility and Review Board</w:t>
            </w:r>
          </w:p>
          <w:p w:rsidR="008D175B" w:rsidRPr="00104AB5" w:rsidRDefault="008D175B" w:rsidP="00DB0C96">
            <w:pPr>
              <w:jc w:val="both"/>
              <w:rPr>
                <w:sz w:val="20"/>
              </w:rPr>
            </w:pPr>
            <w:r w:rsidRPr="00104AB5">
              <w:rPr>
                <w:sz w:val="20"/>
              </w:rPr>
              <w:t>(Ring, Member)</w:t>
            </w:r>
          </w:p>
          <w:p w:rsidR="008D175B" w:rsidRPr="00104AB5" w:rsidRDefault="00B54B7D" w:rsidP="00DB0C96">
            <w:pPr>
              <w:jc w:val="both"/>
              <w:rPr>
                <w:sz w:val="20"/>
              </w:rPr>
            </w:pPr>
            <w:hyperlink r:id="rId36" w:history="1">
              <w:r w:rsidR="008D175B" w:rsidRPr="00104AB5">
                <w:rPr>
                  <w:rStyle w:val="Hyperlink"/>
                  <w:sz w:val="20"/>
                </w:rPr>
                <w:t>2018 NSUARB 37</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Award of 15% of market value of property as losses for disturbance.</w:t>
            </w:r>
          </w:p>
          <w:p w:rsidR="008D175B" w:rsidRPr="00104AB5" w:rsidRDefault="008D175B" w:rsidP="00DB0C96">
            <w:pPr>
              <w:jc w:val="both"/>
              <w:rPr>
                <w:sz w:val="20"/>
              </w:rPr>
            </w:pPr>
          </w:p>
        </w:tc>
      </w:tr>
      <w:tr w:rsidR="008D175B" w:rsidRPr="00104AB5" w:rsidTr="00DB0C96">
        <w:tc>
          <w:tcPr>
            <w:tcW w:w="2427" w:type="pct"/>
          </w:tcPr>
          <w:p w:rsidR="008D175B" w:rsidRPr="00104AB5" w:rsidRDefault="008D175B" w:rsidP="00DB0C96">
            <w:pPr>
              <w:jc w:val="both"/>
              <w:rPr>
                <w:sz w:val="20"/>
              </w:rPr>
            </w:pPr>
            <w:r w:rsidRPr="00104AB5">
              <w:rPr>
                <w:sz w:val="20"/>
              </w:rPr>
              <w:t>March 6, 2019</w:t>
            </w:r>
          </w:p>
          <w:p w:rsidR="008D175B" w:rsidRPr="00104AB5" w:rsidRDefault="008D175B" w:rsidP="00DB0C96">
            <w:pPr>
              <w:jc w:val="both"/>
              <w:rPr>
                <w:sz w:val="20"/>
              </w:rPr>
            </w:pPr>
            <w:r w:rsidRPr="00104AB5">
              <w:rPr>
                <w:sz w:val="20"/>
              </w:rPr>
              <w:t>Nova Scotia Court of Appeal</w:t>
            </w:r>
          </w:p>
          <w:p w:rsidR="008D175B" w:rsidRPr="00104AB5" w:rsidRDefault="008D175B" w:rsidP="00DB0C96">
            <w:pPr>
              <w:jc w:val="both"/>
              <w:rPr>
                <w:sz w:val="20"/>
              </w:rPr>
            </w:pPr>
            <w:r w:rsidRPr="00104AB5">
              <w:rPr>
                <w:sz w:val="20"/>
              </w:rPr>
              <w:t>(Bryson, Oland, and Bourgeois JJ.A.)</w:t>
            </w:r>
          </w:p>
          <w:p w:rsidR="008D175B" w:rsidRPr="00104AB5" w:rsidRDefault="00B54B7D" w:rsidP="00DB0C96">
            <w:pPr>
              <w:jc w:val="both"/>
              <w:rPr>
                <w:sz w:val="20"/>
              </w:rPr>
            </w:pPr>
            <w:hyperlink r:id="rId37" w:history="1">
              <w:r w:rsidR="008D175B" w:rsidRPr="00104AB5">
                <w:rPr>
                  <w:rStyle w:val="Hyperlink"/>
                  <w:sz w:val="20"/>
                </w:rPr>
                <w:t>2019 NSCA 14</w:t>
              </w:r>
            </w:hyperlink>
            <w:r w:rsidR="008D175B" w:rsidRPr="00104AB5">
              <w:rPr>
                <w:sz w:val="20"/>
              </w:rPr>
              <w:t xml:space="preserve"> </w:t>
            </w:r>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Appeal allowed. Award for disturbance reduced to 2% of market value.</w:t>
            </w:r>
          </w:p>
          <w:p w:rsidR="008D175B" w:rsidRPr="00104AB5" w:rsidRDefault="008D175B" w:rsidP="00DB0C96">
            <w:pPr>
              <w:jc w:val="both"/>
              <w:rPr>
                <w:sz w:val="20"/>
              </w:rPr>
            </w:pPr>
          </w:p>
        </w:tc>
      </w:tr>
      <w:tr w:rsidR="008D175B" w:rsidRPr="00104AB5" w:rsidTr="00DB0C96">
        <w:tc>
          <w:tcPr>
            <w:tcW w:w="2427" w:type="pct"/>
          </w:tcPr>
          <w:p w:rsidR="008D175B" w:rsidRPr="00104AB5" w:rsidRDefault="008D175B" w:rsidP="00DB0C96">
            <w:pPr>
              <w:jc w:val="both"/>
              <w:rPr>
                <w:sz w:val="20"/>
              </w:rPr>
            </w:pPr>
            <w:r w:rsidRPr="00104AB5">
              <w:rPr>
                <w:sz w:val="20"/>
              </w:rPr>
              <w:t>May 6,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w:t>
            </w:r>
          </w:p>
          <w:p w:rsidR="008D175B" w:rsidRPr="00104AB5" w:rsidRDefault="008D175B" w:rsidP="00DB0C96">
            <w:pPr>
              <w:jc w:val="both"/>
              <w:rPr>
                <w:sz w:val="20"/>
              </w:rPr>
            </w:pPr>
          </w:p>
        </w:tc>
      </w:tr>
    </w:tbl>
    <w:p w:rsidR="008D175B" w:rsidRPr="00104AB5" w:rsidRDefault="008D175B" w:rsidP="008D175B">
      <w:pPr>
        <w:jc w:val="both"/>
        <w:rPr>
          <w:sz w:val="20"/>
        </w:rPr>
      </w:pPr>
    </w:p>
    <w:p w:rsidR="008D175B" w:rsidRPr="00104AB5" w:rsidRDefault="00B54B7D" w:rsidP="008D175B">
      <w:pPr>
        <w:jc w:val="both"/>
        <w:rPr>
          <w:sz w:val="20"/>
        </w:rPr>
      </w:pPr>
      <w:r w:rsidRPr="00104AB5">
        <w:rPr>
          <w:sz w:val="20"/>
        </w:rPr>
        <w:pict>
          <v:rect id="_x0000_i1048" style="width:2in;height:1pt" o:hrpct="0" o:hralign="center" o:hrstd="t" o:hrnoshade="t" o:hr="t" fillcolor="black [3213]" stroked="f"/>
        </w:pict>
      </w:r>
    </w:p>
    <w:p w:rsidR="008D175B" w:rsidRPr="00104AB5" w:rsidRDefault="008D175B" w:rsidP="008D175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D175B" w:rsidRPr="00104AB5" w:rsidTr="00DB0C96">
        <w:tc>
          <w:tcPr>
            <w:tcW w:w="543" w:type="pct"/>
          </w:tcPr>
          <w:p w:rsidR="008D175B" w:rsidRPr="00104AB5" w:rsidRDefault="008D175B" w:rsidP="00DB0C96">
            <w:pPr>
              <w:jc w:val="both"/>
              <w:rPr>
                <w:sz w:val="20"/>
                <w:lang w:val="fr-CA"/>
              </w:rPr>
            </w:pPr>
            <w:r w:rsidRPr="00104AB5">
              <w:rPr>
                <w:rStyle w:val="SCCFileNumberChar"/>
                <w:sz w:val="20"/>
                <w:szCs w:val="20"/>
                <w:lang w:val="fr-CA"/>
              </w:rPr>
              <w:t>38620</w:t>
            </w:r>
          </w:p>
        </w:tc>
        <w:tc>
          <w:tcPr>
            <w:tcW w:w="4457" w:type="pct"/>
          </w:tcPr>
          <w:p w:rsidR="008D175B" w:rsidRPr="00104AB5" w:rsidRDefault="008D175B" w:rsidP="00DB0C96">
            <w:pPr>
              <w:pStyle w:val="SCCLsocParty"/>
              <w:jc w:val="both"/>
              <w:rPr>
                <w:b/>
                <w:sz w:val="20"/>
                <w:szCs w:val="20"/>
              </w:rPr>
            </w:pPr>
            <w:r w:rsidRPr="00104AB5">
              <w:rPr>
                <w:b/>
                <w:sz w:val="20"/>
                <w:szCs w:val="20"/>
              </w:rPr>
              <w:t>Wayne Oakley c. Procureur général de la Nouvelle-Écosse, représentant Sa Majesté la Reine du chef de la province de la Nouvelle-Écosse, Atlantic Mining NS Corp (anciennement connue sous le nom DDV Gold Limited), une personne morale et Nova Scotia Utility and Review Board</w:t>
            </w:r>
          </w:p>
          <w:p w:rsidR="008D175B" w:rsidRPr="00104AB5" w:rsidRDefault="008D175B" w:rsidP="00DB0C96">
            <w:pPr>
              <w:jc w:val="both"/>
              <w:rPr>
                <w:sz w:val="20"/>
                <w:lang w:val="fr-CA"/>
              </w:rPr>
            </w:pPr>
            <w:r w:rsidRPr="00104AB5">
              <w:rPr>
                <w:sz w:val="20"/>
                <w:lang w:val="fr-CA"/>
              </w:rPr>
              <w:t>(N.-É.) (Civile) (Sur autorisation)</w:t>
            </w:r>
          </w:p>
        </w:tc>
      </w:tr>
      <w:tr w:rsidR="00D07B78" w:rsidRPr="00104AB5" w:rsidTr="00DB0C96">
        <w:tc>
          <w:tcPr>
            <w:tcW w:w="5000" w:type="pct"/>
            <w:gridSpan w:val="2"/>
          </w:tcPr>
          <w:p w:rsidR="00D07B78" w:rsidRPr="00104AB5" w:rsidRDefault="00D07B78" w:rsidP="00DB0C96">
            <w:pPr>
              <w:jc w:val="both"/>
              <w:rPr>
                <w:sz w:val="20"/>
                <w:lang w:val="fr-CA"/>
              </w:rPr>
            </w:pPr>
            <w:r w:rsidRPr="00104AB5">
              <w:rPr>
                <w:sz w:val="20"/>
                <w:lang w:val="fr-CA"/>
              </w:rPr>
              <w:t>La demande d’autorisation d’appel de l’arrêt de la Cour d’appel de la Nouvelle-Écosse, numéro CA 475173, 2019 NSCA 14, daté du 6 mars 2019, est rejetée avec dépens en faveur de l’intimé Atlantic Mining NS Corp (anciennement connue sous le nom DDV Gold Limited).</w:t>
            </w:r>
          </w:p>
          <w:p w:rsidR="00D07B78" w:rsidRPr="00104AB5" w:rsidRDefault="00D07B78" w:rsidP="00DB0C96">
            <w:pPr>
              <w:jc w:val="both"/>
              <w:rPr>
                <w:sz w:val="20"/>
                <w:lang w:val="fr-CA"/>
              </w:rPr>
            </w:pPr>
          </w:p>
        </w:tc>
      </w:tr>
      <w:tr w:rsidR="008D175B" w:rsidRPr="00104AB5" w:rsidTr="00DB0C96">
        <w:tc>
          <w:tcPr>
            <w:tcW w:w="5000" w:type="pct"/>
            <w:gridSpan w:val="2"/>
          </w:tcPr>
          <w:p w:rsidR="008D175B" w:rsidRPr="00104AB5" w:rsidRDefault="008D175B" w:rsidP="00DB0C96">
            <w:pPr>
              <w:jc w:val="both"/>
              <w:rPr>
                <w:sz w:val="20"/>
                <w:lang w:val="fr-CA"/>
              </w:rPr>
            </w:pPr>
            <w:r w:rsidRPr="00104AB5">
              <w:rPr>
                <w:sz w:val="20"/>
                <w:lang w:val="fr-CA"/>
              </w:rPr>
              <w:t>Expropriation — Réparation — Pertes non pécuniaires — L’interprétation que notre Cour a donnée à la loi relative à l’expropriation de l’Ontario s’applique</w:t>
            </w:r>
            <w:r w:rsidRPr="00104AB5">
              <w:rPr>
                <w:sz w:val="20"/>
                <w:lang w:val="fr-CA"/>
              </w:rPr>
              <w:noBreakHyphen/>
              <w:t>t</w:t>
            </w:r>
            <w:r w:rsidRPr="00104AB5">
              <w:rPr>
                <w:sz w:val="20"/>
                <w:lang w:val="fr-CA"/>
              </w:rPr>
              <w:noBreakHyphen/>
              <w:t>elle à toutes les lois relatives à l’expropriation promulguées au Canada? — Le mot « pertes » figurant dans les lois canadiennes relatives à l’expropriation couvre</w:t>
            </w:r>
            <w:r w:rsidRPr="00104AB5">
              <w:rPr>
                <w:sz w:val="20"/>
                <w:lang w:val="fr-CA"/>
              </w:rPr>
              <w:noBreakHyphen/>
              <w:t>t</w:t>
            </w:r>
            <w:r w:rsidRPr="00104AB5">
              <w:rPr>
                <w:sz w:val="20"/>
                <w:lang w:val="fr-CA"/>
              </w:rPr>
              <w:noBreakHyphen/>
              <w:t>il les dommages</w:t>
            </w:r>
            <w:r w:rsidRPr="00104AB5">
              <w:rPr>
                <w:sz w:val="20"/>
                <w:lang w:val="fr-CA"/>
              </w:rPr>
              <w:noBreakHyphen/>
              <w:t>intérêts non pécuniaires?</w:t>
            </w:r>
          </w:p>
        </w:tc>
      </w:tr>
      <w:tr w:rsidR="008D175B" w:rsidRPr="00104AB5" w:rsidTr="00DB0C96">
        <w:tc>
          <w:tcPr>
            <w:tcW w:w="5000" w:type="pct"/>
            <w:gridSpan w:val="2"/>
          </w:tcPr>
          <w:p w:rsidR="008D175B" w:rsidRPr="00104AB5" w:rsidRDefault="008D175B" w:rsidP="00DB0C96">
            <w:pPr>
              <w:jc w:val="both"/>
              <w:rPr>
                <w:sz w:val="20"/>
                <w:lang w:val="fr-CA"/>
              </w:rPr>
            </w:pPr>
          </w:p>
        </w:tc>
      </w:tr>
    </w:tbl>
    <w:p w:rsidR="001B0E72" w:rsidRPr="00104AB5" w:rsidRDefault="001B0E72">
      <w:pPr>
        <w:rPr>
          <w:lang w:val="fr-CA"/>
        </w:rPr>
      </w:pPr>
      <w:r w:rsidRPr="00104A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175B" w:rsidRPr="00104AB5" w:rsidTr="00DB0C96">
        <w:tc>
          <w:tcPr>
            <w:tcW w:w="5000" w:type="pct"/>
            <w:gridSpan w:val="3"/>
          </w:tcPr>
          <w:p w:rsidR="008D175B" w:rsidRPr="00104AB5" w:rsidRDefault="008D175B" w:rsidP="00DB0C96">
            <w:pPr>
              <w:jc w:val="both"/>
              <w:rPr>
                <w:sz w:val="20"/>
                <w:lang w:val="fr-CA"/>
              </w:rPr>
            </w:pPr>
            <w:r w:rsidRPr="00104AB5">
              <w:rPr>
                <w:sz w:val="20"/>
                <w:lang w:val="fr-CA"/>
              </w:rPr>
              <w:lastRenderedPageBreak/>
              <w:t>Atlantic Mining NS Corp possède et exploite une mine d’or à Moose River Gold Mines, qui est une communauté rurale de la Nouvelle</w:t>
            </w:r>
            <w:r w:rsidRPr="00104AB5">
              <w:rPr>
                <w:sz w:val="20"/>
                <w:lang w:val="fr-CA"/>
              </w:rPr>
              <w:noBreakHyphen/>
              <w:t xml:space="preserve">Écosse. Atlantic a fait l’acquisition de droits de surface tantôt au moyen de négociations, tantôt par voie d’expropriation. Wayne Oakley a acheté sa propriété dans cette région en 1997. Atlantic souhaitait obtenir la propriété de M. Oakley pour exploiter sa mine, mais les négociations ont échoué. En conséquence, en 2012, Atlantic a exproprié la propriété résidentielle de M. Oakley au moyen d’une ordonnance d’envoi en possession délivrée par le ministre des Ressources naturelles en application de l’art. 70 de la </w:t>
            </w:r>
            <w:proofErr w:type="spellStart"/>
            <w:r w:rsidRPr="00104AB5">
              <w:rPr>
                <w:i/>
                <w:sz w:val="20"/>
                <w:lang w:val="fr-CA"/>
              </w:rPr>
              <w:t>Mineral</w:t>
            </w:r>
            <w:proofErr w:type="spellEnd"/>
            <w:r w:rsidRPr="00104AB5">
              <w:rPr>
                <w:i/>
                <w:sz w:val="20"/>
                <w:lang w:val="fr-CA"/>
              </w:rPr>
              <w:t xml:space="preserve"> </w:t>
            </w:r>
            <w:proofErr w:type="spellStart"/>
            <w:r w:rsidRPr="00104AB5">
              <w:rPr>
                <w:i/>
                <w:sz w:val="20"/>
                <w:lang w:val="fr-CA"/>
              </w:rPr>
              <w:t>Resources</w:t>
            </w:r>
            <w:proofErr w:type="spellEnd"/>
            <w:r w:rsidRPr="00104AB5">
              <w:rPr>
                <w:i/>
                <w:sz w:val="20"/>
                <w:lang w:val="fr-CA"/>
              </w:rPr>
              <w:t xml:space="preserve"> </w:t>
            </w:r>
            <w:proofErr w:type="spellStart"/>
            <w:r w:rsidRPr="00104AB5">
              <w:rPr>
                <w:i/>
                <w:sz w:val="20"/>
                <w:lang w:val="fr-CA"/>
              </w:rPr>
              <w:t>Act</w:t>
            </w:r>
            <w:proofErr w:type="spellEnd"/>
            <w:r w:rsidRPr="00104AB5">
              <w:rPr>
                <w:sz w:val="20"/>
                <w:lang w:val="fr-CA"/>
              </w:rPr>
              <w:t>, S.N.S. 1990, ch. 18. En plus du remboursement de ses menues dépenses, M. Oakley a soutenu qu’il avait droit au paiement d’une indemnité au titre des « pertes » non pécuniaires pour trouble de jouissance. Les parties ont convenu d’une valeur marchande pour la propriété résidentielle, mais la question des pertes pour trouble de jouissance a été portée devant la Nova Scotia Utility and Review Board (la commission) pour décision. La commission a convenu avec M. Oakley que celui</w:t>
            </w:r>
            <w:r w:rsidRPr="00104AB5">
              <w:rPr>
                <w:sz w:val="20"/>
                <w:lang w:val="fr-CA"/>
              </w:rPr>
              <w:noBreakHyphen/>
              <w:t>ci avait droit à une indemnisation des « pertes » non pécuniaires et lui a accordé l’indemnité maximale permise par la loi, soit 15 % de la valeur marchande de la propriété. La Cour d'appel a accueilli l’appel et a ramené à 2 % l’indemnité de 15 % qui avait été accordée.</w:t>
            </w:r>
          </w:p>
          <w:p w:rsidR="008D175B" w:rsidRPr="00104AB5" w:rsidRDefault="008D175B" w:rsidP="00DB0C96">
            <w:pPr>
              <w:jc w:val="both"/>
              <w:rPr>
                <w:sz w:val="20"/>
                <w:lang w:val="fr-CA"/>
              </w:rPr>
            </w:pPr>
          </w:p>
        </w:tc>
      </w:tr>
      <w:tr w:rsidR="008D175B" w:rsidRPr="00104AB5" w:rsidTr="00DB0C96">
        <w:tc>
          <w:tcPr>
            <w:tcW w:w="2427" w:type="pct"/>
          </w:tcPr>
          <w:p w:rsidR="008D175B" w:rsidRPr="00104AB5" w:rsidRDefault="008D175B" w:rsidP="00DB0C96">
            <w:pPr>
              <w:jc w:val="both"/>
              <w:rPr>
                <w:sz w:val="20"/>
              </w:rPr>
            </w:pPr>
            <w:r w:rsidRPr="00104AB5">
              <w:rPr>
                <w:sz w:val="20"/>
              </w:rPr>
              <w:t>23 </w:t>
            </w:r>
            <w:proofErr w:type="spellStart"/>
            <w:r w:rsidRPr="00104AB5">
              <w:rPr>
                <w:sz w:val="20"/>
              </w:rPr>
              <w:t>février</w:t>
            </w:r>
            <w:proofErr w:type="spellEnd"/>
            <w:r w:rsidRPr="00104AB5">
              <w:rPr>
                <w:sz w:val="20"/>
              </w:rPr>
              <w:t> 2018</w:t>
            </w:r>
          </w:p>
          <w:p w:rsidR="008D175B" w:rsidRPr="00104AB5" w:rsidRDefault="008D175B" w:rsidP="00DB0C96">
            <w:pPr>
              <w:jc w:val="both"/>
              <w:rPr>
                <w:sz w:val="20"/>
              </w:rPr>
            </w:pPr>
            <w:r w:rsidRPr="00104AB5">
              <w:rPr>
                <w:sz w:val="20"/>
              </w:rPr>
              <w:t>Nova Scotia Utility and Review Board</w:t>
            </w:r>
          </w:p>
          <w:p w:rsidR="008D175B" w:rsidRPr="00104AB5" w:rsidRDefault="008D175B" w:rsidP="00DB0C96">
            <w:pPr>
              <w:jc w:val="both"/>
              <w:rPr>
                <w:sz w:val="20"/>
                <w:lang w:val="fr-CA"/>
              </w:rPr>
            </w:pPr>
            <w:r w:rsidRPr="00104AB5">
              <w:rPr>
                <w:sz w:val="20"/>
                <w:lang w:val="fr-CA"/>
              </w:rPr>
              <w:t>(Commissaire Ring)</w:t>
            </w:r>
          </w:p>
          <w:p w:rsidR="008D175B" w:rsidRPr="00104AB5" w:rsidRDefault="00B54B7D" w:rsidP="00DB0C96">
            <w:pPr>
              <w:jc w:val="both"/>
              <w:rPr>
                <w:sz w:val="20"/>
                <w:lang w:val="fr-CA"/>
              </w:rPr>
            </w:pPr>
            <w:hyperlink r:id="rId38" w:history="1">
              <w:r w:rsidR="008D175B" w:rsidRPr="00104AB5">
                <w:rPr>
                  <w:rStyle w:val="Hyperlink"/>
                  <w:sz w:val="20"/>
                  <w:lang w:val="fr-CA"/>
                </w:rPr>
                <w:t>2018 NSUARB 37</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Indemnité correspondant à 15 % de la valeur marchande de la propriété accordée au titre des pertes pour trouble de jouissance.</w:t>
            </w:r>
          </w:p>
          <w:p w:rsidR="008D175B" w:rsidRPr="00104AB5" w:rsidRDefault="008D175B" w:rsidP="00DB0C96">
            <w:pPr>
              <w:jc w:val="both"/>
              <w:rPr>
                <w:sz w:val="20"/>
                <w:lang w:val="fr-CA"/>
              </w:rPr>
            </w:pPr>
          </w:p>
        </w:tc>
      </w:tr>
      <w:tr w:rsidR="008D175B" w:rsidRPr="00104AB5" w:rsidTr="00DB0C96">
        <w:tc>
          <w:tcPr>
            <w:tcW w:w="2427" w:type="pct"/>
          </w:tcPr>
          <w:p w:rsidR="008D175B" w:rsidRPr="00104AB5" w:rsidRDefault="008D175B" w:rsidP="00DB0C96">
            <w:pPr>
              <w:jc w:val="both"/>
              <w:rPr>
                <w:sz w:val="20"/>
                <w:lang w:val="fr-CA"/>
              </w:rPr>
            </w:pPr>
            <w:r w:rsidRPr="00104AB5">
              <w:rPr>
                <w:sz w:val="20"/>
                <w:lang w:val="fr-CA"/>
              </w:rPr>
              <w:t>6 mars 2019</w:t>
            </w:r>
          </w:p>
          <w:p w:rsidR="008D175B" w:rsidRPr="00104AB5" w:rsidRDefault="008D175B" w:rsidP="00DB0C96">
            <w:pPr>
              <w:jc w:val="both"/>
              <w:rPr>
                <w:sz w:val="20"/>
                <w:lang w:val="fr-CA"/>
              </w:rPr>
            </w:pPr>
            <w:r w:rsidRPr="00104AB5">
              <w:rPr>
                <w:sz w:val="20"/>
                <w:lang w:val="fr-CA"/>
              </w:rPr>
              <w:t>Cour d'appel de la Nouvelle</w:t>
            </w:r>
            <w:r w:rsidRPr="00104AB5">
              <w:rPr>
                <w:sz w:val="20"/>
                <w:lang w:val="fr-CA"/>
              </w:rPr>
              <w:noBreakHyphen/>
              <w:t>Écosse</w:t>
            </w:r>
          </w:p>
          <w:p w:rsidR="008D175B" w:rsidRPr="00104AB5" w:rsidRDefault="008D175B" w:rsidP="00DB0C96">
            <w:pPr>
              <w:jc w:val="both"/>
              <w:rPr>
                <w:sz w:val="20"/>
                <w:lang w:val="fr-CA"/>
              </w:rPr>
            </w:pPr>
            <w:r w:rsidRPr="00104AB5">
              <w:rPr>
                <w:sz w:val="20"/>
                <w:lang w:val="fr-CA"/>
              </w:rPr>
              <w:t>(Juges </w:t>
            </w:r>
            <w:proofErr w:type="spellStart"/>
            <w:r w:rsidRPr="00104AB5">
              <w:rPr>
                <w:sz w:val="20"/>
                <w:lang w:val="fr-CA"/>
              </w:rPr>
              <w:t>Bryson</w:t>
            </w:r>
            <w:proofErr w:type="spellEnd"/>
            <w:r w:rsidRPr="00104AB5">
              <w:rPr>
                <w:sz w:val="20"/>
                <w:lang w:val="fr-CA"/>
              </w:rPr>
              <w:t xml:space="preserve">, </w:t>
            </w:r>
            <w:proofErr w:type="spellStart"/>
            <w:r w:rsidRPr="00104AB5">
              <w:rPr>
                <w:sz w:val="20"/>
                <w:lang w:val="fr-CA"/>
              </w:rPr>
              <w:t>Oland</w:t>
            </w:r>
            <w:proofErr w:type="spellEnd"/>
            <w:r w:rsidRPr="00104AB5">
              <w:rPr>
                <w:sz w:val="20"/>
                <w:lang w:val="fr-CA"/>
              </w:rPr>
              <w:t xml:space="preserve"> et Bourgeois)</w:t>
            </w:r>
          </w:p>
          <w:p w:rsidR="008D175B" w:rsidRPr="00104AB5" w:rsidRDefault="00B54B7D" w:rsidP="00DB0C96">
            <w:pPr>
              <w:jc w:val="both"/>
              <w:rPr>
                <w:sz w:val="20"/>
                <w:lang w:val="fr-CA"/>
              </w:rPr>
            </w:pPr>
            <w:hyperlink r:id="rId39" w:history="1">
              <w:r w:rsidR="008D175B" w:rsidRPr="00104AB5">
                <w:rPr>
                  <w:rStyle w:val="Hyperlink"/>
                  <w:sz w:val="20"/>
                  <w:lang w:val="fr-CA"/>
                </w:rPr>
                <w:t>2019 NSCA 14</w:t>
              </w:r>
            </w:hyperlink>
            <w:r w:rsidR="008D175B" w:rsidRPr="00104AB5">
              <w:rPr>
                <w:sz w:val="20"/>
                <w:lang w:val="fr-CA"/>
              </w:rPr>
              <w:t xml:space="preserve"> </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accueilli. Indemnité ramenée à 2 % de la valeur marchande.</w:t>
            </w:r>
          </w:p>
        </w:tc>
      </w:tr>
      <w:tr w:rsidR="008D175B" w:rsidRPr="00104AB5" w:rsidTr="00DB0C96">
        <w:tc>
          <w:tcPr>
            <w:tcW w:w="2427" w:type="pct"/>
          </w:tcPr>
          <w:p w:rsidR="008D175B" w:rsidRPr="00104AB5" w:rsidRDefault="008D175B" w:rsidP="00DB0C96">
            <w:pPr>
              <w:jc w:val="both"/>
              <w:rPr>
                <w:sz w:val="20"/>
                <w:lang w:val="fr-CA"/>
              </w:rPr>
            </w:pPr>
            <w:r w:rsidRPr="00104AB5">
              <w:rPr>
                <w:sz w:val="20"/>
                <w:lang w:val="fr-CA"/>
              </w:rPr>
              <w:t>6 mai 2019</w:t>
            </w:r>
          </w:p>
          <w:p w:rsidR="008D175B" w:rsidRPr="00104AB5" w:rsidRDefault="008D175B" w:rsidP="00DB0C96">
            <w:pPr>
              <w:jc w:val="both"/>
              <w:rPr>
                <w:sz w:val="20"/>
                <w:lang w:val="fr-CA"/>
              </w:rPr>
            </w:pPr>
            <w:r w:rsidRPr="00104AB5">
              <w:rPr>
                <w:sz w:val="20"/>
                <w:lang w:val="fr-CA"/>
              </w:rPr>
              <w:t xml:space="preserve">Cour suprême du Canada </w:t>
            </w: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déposée</w:t>
            </w:r>
          </w:p>
          <w:p w:rsidR="008D175B" w:rsidRPr="00104AB5" w:rsidRDefault="008D175B" w:rsidP="00DB0C96">
            <w:pPr>
              <w:jc w:val="both"/>
              <w:rPr>
                <w:sz w:val="20"/>
                <w:lang w:val="fr-CA"/>
              </w:rPr>
            </w:pPr>
          </w:p>
        </w:tc>
      </w:tr>
    </w:tbl>
    <w:p w:rsidR="008D175B" w:rsidRPr="00104AB5" w:rsidRDefault="008D175B" w:rsidP="008D175B">
      <w:pPr>
        <w:jc w:val="both"/>
        <w:rPr>
          <w:sz w:val="20"/>
          <w:lang w:val="fr-CA"/>
        </w:rPr>
      </w:pPr>
    </w:p>
    <w:p w:rsidR="008D175B" w:rsidRPr="00104AB5" w:rsidRDefault="00B54B7D" w:rsidP="008D175B">
      <w:pPr>
        <w:ind w:left="142" w:hanging="142"/>
        <w:jc w:val="both"/>
        <w:rPr>
          <w:sz w:val="20"/>
        </w:rPr>
      </w:pPr>
      <w:r w:rsidRPr="00104AB5">
        <w:rPr>
          <w:sz w:val="20"/>
        </w:rPr>
        <w:pict>
          <v:rect id="_x0000_i1049" style="width:2in;height:1pt" o:hrpct="0" o:hralign="center" o:hrstd="t" o:hrnoshade="t" o:hr="t" fillcolor="black [3213]" stroked="f"/>
        </w:pict>
      </w:r>
    </w:p>
    <w:p w:rsidR="008D175B" w:rsidRPr="00104AB5" w:rsidRDefault="008D175B" w:rsidP="008D175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175B" w:rsidRPr="00104AB5" w:rsidTr="00DB0C96">
        <w:tc>
          <w:tcPr>
            <w:tcW w:w="543" w:type="pct"/>
          </w:tcPr>
          <w:p w:rsidR="008D175B" w:rsidRPr="00104AB5" w:rsidRDefault="008D175B" w:rsidP="00DB0C96">
            <w:pPr>
              <w:jc w:val="both"/>
              <w:rPr>
                <w:sz w:val="20"/>
              </w:rPr>
            </w:pPr>
            <w:r w:rsidRPr="00104AB5">
              <w:rPr>
                <w:rStyle w:val="SCCFileNumberChar"/>
                <w:sz w:val="20"/>
                <w:szCs w:val="20"/>
              </w:rPr>
              <w:t>38707</w:t>
            </w:r>
          </w:p>
        </w:tc>
        <w:tc>
          <w:tcPr>
            <w:tcW w:w="4457" w:type="pct"/>
            <w:gridSpan w:val="3"/>
          </w:tcPr>
          <w:p w:rsidR="008D175B" w:rsidRPr="00104AB5" w:rsidRDefault="008D175B" w:rsidP="00DB0C96">
            <w:pPr>
              <w:pStyle w:val="SCCLsocParty"/>
              <w:jc w:val="both"/>
              <w:rPr>
                <w:b/>
                <w:sz w:val="20"/>
                <w:szCs w:val="20"/>
                <w:lang w:val="en-US"/>
              </w:rPr>
            </w:pPr>
            <w:r w:rsidRPr="00104AB5">
              <w:rPr>
                <w:b/>
                <w:sz w:val="20"/>
                <w:szCs w:val="20"/>
                <w:lang w:val="en-US"/>
              </w:rPr>
              <w:t>Angelina Rivers, Sharon Zehr and Barry Zehr v. Waterloo Regional Police Services Board and Waterloo Regional Police Association</w:t>
            </w:r>
          </w:p>
          <w:p w:rsidR="008D175B" w:rsidRPr="00104AB5" w:rsidRDefault="008D175B" w:rsidP="00DB0C96">
            <w:pPr>
              <w:jc w:val="both"/>
              <w:rPr>
                <w:sz w:val="20"/>
              </w:rPr>
            </w:pPr>
            <w:r w:rsidRPr="00104AB5">
              <w:rPr>
                <w:sz w:val="20"/>
              </w:rPr>
              <w:t>(Ont.) (Civil) (By Leave)</w:t>
            </w:r>
          </w:p>
        </w:tc>
      </w:tr>
      <w:tr w:rsidR="004E0BA7" w:rsidRPr="00104AB5" w:rsidTr="00DB0C96">
        <w:tc>
          <w:tcPr>
            <w:tcW w:w="5000" w:type="pct"/>
            <w:gridSpan w:val="4"/>
          </w:tcPr>
          <w:p w:rsidR="004E0BA7" w:rsidRPr="00104AB5" w:rsidRDefault="004E0BA7" w:rsidP="00DB0C96">
            <w:pPr>
              <w:jc w:val="both"/>
              <w:rPr>
                <w:sz w:val="20"/>
              </w:rPr>
            </w:pPr>
            <w:r w:rsidRPr="00104AB5">
              <w:rPr>
                <w:sz w:val="20"/>
              </w:rPr>
              <w:t>The motion for an extension of time to serve and file the application for leave to appeal is granted. The application for leave to appeal from the judgment of the Court of Appeal for Ontario, Number C65760, 2019 ONCA 267, dated April 5, 2019, is dismissed with costs.</w:t>
            </w:r>
          </w:p>
          <w:p w:rsidR="004E0BA7" w:rsidRPr="00104AB5" w:rsidRDefault="004E0BA7"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t>Courts — Jurisdiction — Civil procedure — Class actions — Certification — Applicants sought certification of a class action on behalf of all women members of a police force, asserting multiple claims relating to systemic gender</w:t>
            </w:r>
            <w:r w:rsidRPr="00104AB5">
              <w:rPr>
                <w:sz w:val="20"/>
              </w:rPr>
              <w:noBreakHyphen/>
              <w:t xml:space="preserve">based workplace discrimination and harassment, including breach of s. 15 </w:t>
            </w:r>
            <w:r w:rsidRPr="00104AB5">
              <w:rPr>
                <w:i/>
                <w:sz w:val="20"/>
              </w:rPr>
              <w:t>Charter</w:t>
            </w:r>
            <w:r w:rsidRPr="00104AB5">
              <w:rPr>
                <w:sz w:val="20"/>
              </w:rPr>
              <w:t xml:space="preserve"> equality rights — Defendants brought motion challenging jurisdiction of Superior Court of Justice — Courts below held that Superior Court of Justice did not have jurisdiction — Whether the statutory language in the </w:t>
            </w:r>
            <w:r w:rsidRPr="00104AB5">
              <w:rPr>
                <w:i/>
                <w:sz w:val="20"/>
              </w:rPr>
              <w:t>Police Services Act</w:t>
            </w:r>
            <w:r w:rsidRPr="00104AB5">
              <w:rPr>
                <w:sz w:val="20"/>
              </w:rPr>
              <w:t xml:space="preserve"> is sufficiently clear to oust the jurisdiction of the Superior Court of Justice — Whether a dispute arises under a collective agreement when its essential character is systemic and institutional gender</w:t>
            </w:r>
            <w:r w:rsidRPr="00104AB5">
              <w:rPr>
                <w:sz w:val="20"/>
              </w:rPr>
              <w:noBreakHyphen/>
              <w:t xml:space="preserve">based discrimination and harassment — Whether Superior Court of Justice retains jurisdiction in cases where the aggrieved class of employees have no effective access to justice or effective remedies through the existing labour relations regime — Whether the cause of action of systemic negligence in class proceedings provides the preferable procedure for class members — Whether the </w:t>
            </w:r>
            <w:r w:rsidRPr="00104AB5">
              <w:rPr>
                <w:i/>
                <w:sz w:val="20"/>
              </w:rPr>
              <w:t xml:space="preserve">Charter </w:t>
            </w:r>
            <w:r w:rsidRPr="00104AB5">
              <w:rPr>
                <w:sz w:val="20"/>
              </w:rPr>
              <w:t xml:space="preserve">right to equality and the constitutional guarantee of remedial justice permit the Superior Court of Justice to exercise inherent jurisdiction — </w:t>
            </w:r>
            <w:r w:rsidRPr="00104AB5">
              <w:rPr>
                <w:i/>
                <w:sz w:val="20"/>
              </w:rPr>
              <w:t>Canadian Charter of Rights and Freedoms</w:t>
            </w:r>
            <w:r w:rsidRPr="00104AB5">
              <w:rPr>
                <w:sz w:val="20"/>
              </w:rPr>
              <w:t>, s. 15</w:t>
            </w:r>
            <w:r w:rsidRPr="00104AB5">
              <w:rPr>
                <w:i/>
                <w:sz w:val="20"/>
              </w:rPr>
              <w:t xml:space="preserve"> </w:t>
            </w:r>
            <w:r w:rsidRPr="00104AB5">
              <w:rPr>
                <w:sz w:val="20"/>
              </w:rPr>
              <w:t xml:space="preserve">— </w:t>
            </w:r>
            <w:r w:rsidRPr="00104AB5">
              <w:rPr>
                <w:i/>
                <w:sz w:val="20"/>
              </w:rPr>
              <w:t>Police Services Act</w:t>
            </w:r>
            <w:r w:rsidRPr="00104AB5">
              <w:rPr>
                <w:sz w:val="20"/>
              </w:rPr>
              <w:t>, R.S.O. 1990, c. P.15.</w:t>
            </w:r>
          </w:p>
        </w:tc>
      </w:tr>
      <w:tr w:rsidR="008D175B" w:rsidRPr="00104AB5" w:rsidTr="00DB0C96">
        <w:tc>
          <w:tcPr>
            <w:tcW w:w="5000" w:type="pct"/>
            <w:gridSpan w:val="4"/>
          </w:tcPr>
          <w:p w:rsidR="008D175B" w:rsidRPr="00104AB5" w:rsidRDefault="008D175B" w:rsidP="00DB0C96">
            <w:pPr>
              <w:jc w:val="both"/>
              <w:rPr>
                <w:sz w:val="20"/>
              </w:rPr>
            </w:pPr>
          </w:p>
        </w:tc>
      </w:tr>
      <w:tr w:rsidR="008D175B" w:rsidRPr="00104AB5" w:rsidTr="00DB0C96">
        <w:tc>
          <w:tcPr>
            <w:tcW w:w="5000" w:type="pct"/>
            <w:gridSpan w:val="4"/>
          </w:tcPr>
          <w:p w:rsidR="008D175B" w:rsidRPr="00104AB5" w:rsidRDefault="008D175B" w:rsidP="00DB0C96">
            <w:pPr>
              <w:jc w:val="both"/>
              <w:rPr>
                <w:sz w:val="20"/>
              </w:rPr>
            </w:pPr>
            <w:r w:rsidRPr="00104AB5">
              <w:rPr>
                <w:sz w:val="20"/>
              </w:rPr>
              <w:lastRenderedPageBreak/>
              <w:t>The applicants, who are female police officers of the Waterloo Regional Police Services (“police officers”), sought certification of a class action on behalf of all women members of that police force, asserting multiple claims relating to systemic gender</w:t>
            </w:r>
            <w:r w:rsidRPr="00104AB5">
              <w:rPr>
                <w:sz w:val="20"/>
              </w:rPr>
              <w:noBreakHyphen/>
              <w:t xml:space="preserve">based workplace discrimination and harassment, including breach of s. 15 </w:t>
            </w:r>
            <w:r w:rsidRPr="00104AB5">
              <w:rPr>
                <w:i/>
                <w:sz w:val="20"/>
              </w:rPr>
              <w:t>Charter</w:t>
            </w:r>
            <w:r w:rsidRPr="00104AB5">
              <w:rPr>
                <w:sz w:val="20"/>
              </w:rPr>
              <w:t xml:space="preserve"> rights and, as against the Waterloo Regional Police Services Association, breach of the duty of fair representation. The respondents, who are, the applicants’ employer and exclusive bargaining agent, brought a motion challenging the Superior Court’s jurisdiction, arguing exclusive jurisdiction over the matter belonged to labour arbitrators and the Human Rights Tribunal of Ontario (“HRTO”). The motions judge concluded that the Superior Court lacked jurisdiction over the claims. The Court of Appeal dismissed the appeal.</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July 13, 2018</w:t>
            </w:r>
          </w:p>
          <w:p w:rsidR="008D175B" w:rsidRPr="00104AB5" w:rsidRDefault="008D175B" w:rsidP="00DB0C96">
            <w:pPr>
              <w:jc w:val="both"/>
              <w:rPr>
                <w:sz w:val="20"/>
              </w:rPr>
            </w:pPr>
            <w:r w:rsidRPr="00104AB5">
              <w:rPr>
                <w:sz w:val="20"/>
              </w:rPr>
              <w:t>Ontario Superior Court of Justice</w:t>
            </w:r>
          </w:p>
          <w:p w:rsidR="008D175B" w:rsidRPr="00104AB5" w:rsidRDefault="008D175B" w:rsidP="00DB0C96">
            <w:pPr>
              <w:jc w:val="both"/>
              <w:rPr>
                <w:sz w:val="20"/>
              </w:rPr>
            </w:pPr>
            <w:r w:rsidRPr="00104AB5">
              <w:rPr>
                <w:sz w:val="20"/>
              </w:rPr>
              <w:t>(</w:t>
            </w:r>
            <w:proofErr w:type="spellStart"/>
            <w:r w:rsidRPr="00104AB5">
              <w:rPr>
                <w:sz w:val="20"/>
              </w:rPr>
              <w:t>Baltman</w:t>
            </w:r>
            <w:proofErr w:type="spellEnd"/>
            <w:r w:rsidRPr="00104AB5">
              <w:rPr>
                <w:sz w:val="20"/>
              </w:rPr>
              <w:t xml:space="preserve"> J.)</w:t>
            </w:r>
          </w:p>
          <w:p w:rsidR="008D175B" w:rsidRPr="00104AB5" w:rsidRDefault="00B54B7D" w:rsidP="00DB0C96">
            <w:pPr>
              <w:jc w:val="both"/>
              <w:rPr>
                <w:sz w:val="20"/>
              </w:rPr>
            </w:pPr>
            <w:hyperlink r:id="rId40" w:history="1">
              <w:r w:rsidR="008D175B" w:rsidRPr="00104AB5">
                <w:rPr>
                  <w:rStyle w:val="Hyperlink"/>
                  <w:sz w:val="20"/>
                </w:rPr>
                <w:t>2018 ONSC 4307</w:t>
              </w:r>
            </w:hyperlink>
          </w:p>
          <w:p w:rsidR="008D175B" w:rsidRPr="00104AB5" w:rsidRDefault="008D175B" w:rsidP="00DB0C96">
            <w:pPr>
              <w:jc w:val="both"/>
              <w:rPr>
                <w:sz w:val="20"/>
              </w:rPr>
            </w:pP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Respondents’ motion challenging jurisdiction of court granted; applicants’ motion for certification of a class action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April 5, 2019</w:t>
            </w:r>
          </w:p>
          <w:p w:rsidR="008D175B" w:rsidRPr="00104AB5" w:rsidRDefault="008D175B" w:rsidP="00DB0C96">
            <w:pPr>
              <w:jc w:val="both"/>
              <w:rPr>
                <w:sz w:val="20"/>
              </w:rPr>
            </w:pPr>
            <w:r w:rsidRPr="00104AB5">
              <w:rPr>
                <w:sz w:val="20"/>
              </w:rPr>
              <w:t>Court of Appeal for Ontario</w:t>
            </w:r>
          </w:p>
          <w:p w:rsidR="008D175B" w:rsidRPr="00104AB5" w:rsidRDefault="008D175B" w:rsidP="00DB0C96">
            <w:pPr>
              <w:jc w:val="both"/>
              <w:rPr>
                <w:sz w:val="20"/>
                <w:lang w:val="fr-CA"/>
              </w:rPr>
            </w:pPr>
            <w:r w:rsidRPr="00104AB5">
              <w:rPr>
                <w:sz w:val="20"/>
                <w:lang w:val="fr-CA"/>
              </w:rPr>
              <w:t xml:space="preserve">(Simmons, </w:t>
            </w:r>
            <w:proofErr w:type="spellStart"/>
            <w:r w:rsidRPr="00104AB5">
              <w:rPr>
                <w:sz w:val="20"/>
                <w:lang w:val="fr-CA"/>
              </w:rPr>
              <w:t>Juriansz</w:t>
            </w:r>
            <w:proofErr w:type="spellEnd"/>
            <w:r w:rsidRPr="00104AB5">
              <w:rPr>
                <w:sz w:val="20"/>
                <w:lang w:val="fr-CA"/>
              </w:rPr>
              <w:t>, Miller, JJ.A.)</w:t>
            </w:r>
          </w:p>
          <w:p w:rsidR="008D175B" w:rsidRPr="00104AB5" w:rsidRDefault="00B54B7D" w:rsidP="00DB0C96">
            <w:pPr>
              <w:jc w:val="both"/>
              <w:rPr>
                <w:sz w:val="20"/>
                <w:lang w:val="fr-CA"/>
              </w:rPr>
            </w:pPr>
            <w:hyperlink r:id="rId41" w:history="1">
              <w:r w:rsidR="008D175B" w:rsidRPr="00104AB5">
                <w:rPr>
                  <w:rStyle w:val="Hyperlink"/>
                  <w:sz w:val="20"/>
                  <w:lang w:val="fr-CA"/>
                </w:rPr>
                <w:t>2019 ONC 267</w:t>
              </w:r>
            </w:hyperlink>
            <w:r w:rsidR="008D175B" w:rsidRPr="00104AB5">
              <w:rPr>
                <w:sz w:val="20"/>
                <w:lang w:val="fr-CA"/>
              </w:rPr>
              <w:t xml:space="preserve">; </w:t>
            </w:r>
            <w:proofErr w:type="spellStart"/>
            <w:r w:rsidR="008D175B" w:rsidRPr="00104AB5">
              <w:rPr>
                <w:sz w:val="20"/>
                <w:lang w:val="fr-CA"/>
              </w:rPr>
              <w:t>Docket</w:t>
            </w:r>
            <w:proofErr w:type="spellEnd"/>
            <w:r w:rsidR="008D175B" w:rsidRPr="00104AB5">
              <w:rPr>
                <w:sz w:val="20"/>
                <w:lang w:val="fr-CA"/>
              </w:rPr>
              <w:t xml:space="preserve"> C65760</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rPr>
            </w:pPr>
            <w:r w:rsidRPr="00104AB5">
              <w:rPr>
                <w:sz w:val="20"/>
              </w:rPr>
              <w:t>Applicants’ appeal dismissed</w:t>
            </w:r>
          </w:p>
          <w:p w:rsidR="008D175B" w:rsidRPr="00104AB5" w:rsidRDefault="008D175B" w:rsidP="00DB0C96">
            <w:pPr>
              <w:jc w:val="both"/>
              <w:rPr>
                <w:sz w:val="20"/>
              </w:rPr>
            </w:pPr>
          </w:p>
        </w:tc>
      </w:tr>
      <w:tr w:rsidR="008D175B" w:rsidRPr="00104AB5" w:rsidTr="00DB0C96">
        <w:tc>
          <w:tcPr>
            <w:tcW w:w="2427" w:type="pct"/>
            <w:gridSpan w:val="2"/>
          </w:tcPr>
          <w:p w:rsidR="008D175B" w:rsidRPr="00104AB5" w:rsidRDefault="008D175B" w:rsidP="00DB0C96">
            <w:pPr>
              <w:jc w:val="both"/>
              <w:rPr>
                <w:sz w:val="20"/>
              </w:rPr>
            </w:pPr>
            <w:r w:rsidRPr="00104AB5">
              <w:rPr>
                <w:sz w:val="20"/>
              </w:rPr>
              <w:t>June 28, 2019</w:t>
            </w:r>
          </w:p>
          <w:p w:rsidR="008D175B" w:rsidRPr="00104AB5" w:rsidRDefault="008D175B" w:rsidP="00DB0C96">
            <w:pPr>
              <w:jc w:val="both"/>
              <w:rPr>
                <w:sz w:val="20"/>
              </w:rPr>
            </w:pPr>
            <w:r w:rsidRPr="00104AB5">
              <w:rPr>
                <w:sz w:val="20"/>
              </w:rPr>
              <w:t>Supreme Court of Canada</w:t>
            </w:r>
          </w:p>
        </w:tc>
        <w:tc>
          <w:tcPr>
            <w:tcW w:w="243" w:type="pct"/>
          </w:tcPr>
          <w:p w:rsidR="008D175B" w:rsidRPr="00104AB5" w:rsidRDefault="008D175B" w:rsidP="00DB0C96">
            <w:pPr>
              <w:jc w:val="both"/>
              <w:rPr>
                <w:sz w:val="20"/>
              </w:rPr>
            </w:pPr>
          </w:p>
        </w:tc>
        <w:tc>
          <w:tcPr>
            <w:tcW w:w="2330" w:type="pct"/>
          </w:tcPr>
          <w:p w:rsidR="008D175B" w:rsidRPr="00104AB5" w:rsidRDefault="008D175B" w:rsidP="00DB0C96">
            <w:pPr>
              <w:jc w:val="both"/>
              <w:rPr>
                <w:sz w:val="20"/>
              </w:rPr>
            </w:pPr>
            <w:r w:rsidRPr="00104AB5">
              <w:rPr>
                <w:sz w:val="20"/>
              </w:rPr>
              <w:t>Application for leave to appeal filed together with motion for extension of time to serve and file</w:t>
            </w:r>
          </w:p>
        </w:tc>
      </w:tr>
    </w:tbl>
    <w:p w:rsidR="008D175B" w:rsidRPr="00104AB5" w:rsidRDefault="008D175B" w:rsidP="008D175B">
      <w:pPr>
        <w:jc w:val="both"/>
        <w:rPr>
          <w:sz w:val="20"/>
        </w:rPr>
      </w:pPr>
    </w:p>
    <w:p w:rsidR="008D175B" w:rsidRPr="00104AB5" w:rsidRDefault="00B54B7D" w:rsidP="008D175B">
      <w:pPr>
        <w:jc w:val="both"/>
        <w:rPr>
          <w:sz w:val="20"/>
        </w:rPr>
      </w:pPr>
      <w:r w:rsidRPr="00104AB5">
        <w:rPr>
          <w:sz w:val="20"/>
        </w:rPr>
        <w:pict>
          <v:rect id="_x0000_i1050" style="width:2in;height:1pt" o:hrpct="0" o:hralign="center" o:hrstd="t" o:hrnoshade="t" o:hr="t" fillcolor="black [3213]" stroked="f"/>
        </w:pict>
      </w:r>
    </w:p>
    <w:p w:rsidR="008D175B" w:rsidRPr="00104AB5" w:rsidRDefault="008D175B" w:rsidP="008D17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D175B" w:rsidRPr="00104AB5" w:rsidTr="00DB0C96">
        <w:tc>
          <w:tcPr>
            <w:tcW w:w="543" w:type="pct"/>
          </w:tcPr>
          <w:p w:rsidR="008D175B" w:rsidRPr="00104AB5" w:rsidRDefault="008D175B" w:rsidP="00DB0C96">
            <w:pPr>
              <w:jc w:val="both"/>
              <w:rPr>
                <w:sz w:val="20"/>
                <w:lang w:val="fr-CA"/>
              </w:rPr>
            </w:pPr>
            <w:r w:rsidRPr="00104AB5">
              <w:rPr>
                <w:rStyle w:val="SCCFileNumberChar"/>
                <w:sz w:val="20"/>
                <w:szCs w:val="20"/>
                <w:lang w:val="fr-CA"/>
              </w:rPr>
              <w:t>38707</w:t>
            </w:r>
          </w:p>
        </w:tc>
        <w:tc>
          <w:tcPr>
            <w:tcW w:w="4457" w:type="pct"/>
          </w:tcPr>
          <w:p w:rsidR="008D175B" w:rsidRPr="00104AB5" w:rsidRDefault="008D175B" w:rsidP="00DB0C96">
            <w:pPr>
              <w:pStyle w:val="SCCLsocParty"/>
              <w:jc w:val="both"/>
              <w:rPr>
                <w:b/>
                <w:sz w:val="20"/>
                <w:szCs w:val="20"/>
              </w:rPr>
            </w:pPr>
            <w:r w:rsidRPr="00104AB5">
              <w:rPr>
                <w:b/>
                <w:sz w:val="20"/>
                <w:szCs w:val="20"/>
              </w:rPr>
              <w:t>Angelina Rivers, Sharon Zehr et Barry Zehr c. Service de police régional de Waterloo et Waterloo Regional Police Association</w:t>
            </w:r>
          </w:p>
          <w:p w:rsidR="008D175B" w:rsidRPr="00104AB5" w:rsidRDefault="008D175B" w:rsidP="00DB0C96">
            <w:pPr>
              <w:jc w:val="both"/>
              <w:rPr>
                <w:sz w:val="20"/>
                <w:lang w:val="fr-CA"/>
              </w:rPr>
            </w:pPr>
            <w:r w:rsidRPr="00104AB5">
              <w:rPr>
                <w:sz w:val="20"/>
                <w:lang w:val="fr-CA"/>
              </w:rPr>
              <w:t>(Ont.) (Civile) (Sur autorisation)</w:t>
            </w:r>
          </w:p>
        </w:tc>
      </w:tr>
      <w:tr w:rsidR="004E0BA7" w:rsidRPr="00104AB5" w:rsidTr="00DB0C96">
        <w:tc>
          <w:tcPr>
            <w:tcW w:w="5000" w:type="pct"/>
            <w:gridSpan w:val="2"/>
          </w:tcPr>
          <w:p w:rsidR="004E0BA7" w:rsidRPr="00104AB5" w:rsidRDefault="004E0BA7" w:rsidP="00DB0C96">
            <w:pPr>
              <w:jc w:val="both"/>
              <w:rPr>
                <w:sz w:val="20"/>
                <w:lang w:val="fr-CA"/>
              </w:rPr>
            </w:pPr>
            <w:r w:rsidRPr="00104AB5">
              <w:rPr>
                <w:sz w:val="20"/>
                <w:lang w:val="fr-CA"/>
              </w:rPr>
              <w:t xml:space="preserve">La requête en prorogation du délai de signification et de dépôt de la demande d’autorisation d’appel est accueillie. La demande d’autorisation d’appel de l’arrêt de la </w:t>
            </w:r>
            <w:r w:rsidRPr="00104AB5">
              <w:rPr>
                <w:sz w:val="20"/>
                <w:lang w:val="fr-FR"/>
              </w:rPr>
              <w:t>Cour d’appel de l’Ontario</w:t>
            </w:r>
            <w:r w:rsidRPr="00104AB5">
              <w:rPr>
                <w:sz w:val="20"/>
                <w:lang w:val="fr-CA"/>
              </w:rPr>
              <w:t xml:space="preserve">, numéro </w:t>
            </w:r>
            <w:r w:rsidRPr="00104AB5">
              <w:rPr>
                <w:sz w:val="20"/>
                <w:lang w:val="fr-FR"/>
              </w:rPr>
              <w:t>C65760, 2019 ONCA 267</w:t>
            </w:r>
            <w:r w:rsidRPr="00104AB5">
              <w:rPr>
                <w:sz w:val="20"/>
                <w:lang w:val="fr-CA"/>
              </w:rPr>
              <w:t xml:space="preserve">, daté du </w:t>
            </w:r>
            <w:r w:rsidRPr="00104AB5">
              <w:rPr>
                <w:sz w:val="20"/>
                <w:lang w:val="fr-FR"/>
              </w:rPr>
              <w:t>5 avril 2019</w:t>
            </w:r>
            <w:r w:rsidRPr="00104AB5">
              <w:rPr>
                <w:sz w:val="20"/>
                <w:lang w:val="fr-CA"/>
              </w:rPr>
              <w:t>, est rejetée avec dépens.</w:t>
            </w:r>
          </w:p>
          <w:p w:rsidR="004E0BA7" w:rsidRPr="00104AB5" w:rsidRDefault="004E0BA7" w:rsidP="00DB0C96">
            <w:pPr>
              <w:jc w:val="both"/>
              <w:rPr>
                <w:sz w:val="20"/>
                <w:lang w:val="fr-CA"/>
              </w:rPr>
            </w:pPr>
          </w:p>
        </w:tc>
      </w:tr>
      <w:tr w:rsidR="008D175B" w:rsidRPr="00104AB5" w:rsidTr="00DB0C96">
        <w:tc>
          <w:tcPr>
            <w:tcW w:w="5000" w:type="pct"/>
            <w:gridSpan w:val="2"/>
          </w:tcPr>
          <w:p w:rsidR="008D175B" w:rsidRPr="00104AB5" w:rsidRDefault="008D175B" w:rsidP="00DB0C96">
            <w:pPr>
              <w:jc w:val="both"/>
              <w:rPr>
                <w:sz w:val="20"/>
                <w:lang w:val="fr-CA"/>
              </w:rPr>
            </w:pPr>
            <w:r w:rsidRPr="00104AB5">
              <w:rPr>
                <w:sz w:val="20"/>
                <w:lang w:val="fr-CA"/>
              </w:rPr>
              <w:t xml:space="preserve">Tribunaux — Compétence — Procédure civile — Recours collectifs — Autorisation — Les demanderesses ont demandé à être autorisées à intenter un recours collectif au nom de toutes les femmes membres d'un corps policier, faisant valoir de multiples allégations relatives à la discrimination et au harcèlement systémiques fondés sur le sexe en milieu de travail, y compris la violation de leurs droits à l’égalité garantis par l'art. 15 de la Charte — Les défendeurs ont présenté une motion pour contester la compétence de la Cour supérieure de justice — Les juridictions inférieures ont conclu que la Cour supérieure de justice n'avait pas compétence — Le libellé de la </w:t>
            </w:r>
            <w:r w:rsidRPr="00104AB5">
              <w:rPr>
                <w:i/>
                <w:iCs/>
                <w:sz w:val="20"/>
                <w:lang w:val="fr-CA"/>
              </w:rPr>
              <w:t>Loi sur les services policiers</w:t>
            </w:r>
            <w:r w:rsidRPr="00104AB5">
              <w:rPr>
                <w:sz w:val="20"/>
                <w:lang w:val="fr-CA"/>
              </w:rPr>
              <w:t xml:space="preserve"> est</w:t>
            </w:r>
            <w:r w:rsidRPr="00104AB5">
              <w:rPr>
                <w:sz w:val="20"/>
                <w:lang w:val="fr-CA"/>
              </w:rPr>
              <w:noBreakHyphen/>
              <w:t>il suffisamment clair pour écarter la compétence de la Cour supérieure de justice? — Un litige relève</w:t>
            </w:r>
            <w:r w:rsidRPr="00104AB5">
              <w:rPr>
                <w:sz w:val="20"/>
                <w:lang w:val="fr-CA"/>
              </w:rPr>
              <w:noBreakHyphen/>
              <w:t>t</w:t>
            </w:r>
            <w:r w:rsidRPr="00104AB5">
              <w:rPr>
                <w:sz w:val="20"/>
                <w:lang w:val="fr-CA"/>
              </w:rPr>
              <w:noBreakHyphen/>
              <w:t>il d’une convention collective s’il porte essentiellement sur une discrimination et un harcèlement systémiques et institutionnels à caractère sexuel? — La Cour supérieure conserve</w:t>
            </w:r>
            <w:r w:rsidRPr="00104AB5">
              <w:rPr>
                <w:sz w:val="20"/>
                <w:lang w:val="fr-CA"/>
              </w:rPr>
              <w:noBreakHyphen/>
              <w:t>t</w:t>
            </w:r>
            <w:r w:rsidRPr="00104AB5">
              <w:rPr>
                <w:sz w:val="20"/>
                <w:lang w:val="fr-CA"/>
              </w:rPr>
              <w:noBreakHyphen/>
              <w:t>elle sa compétence lorsque la catégorie d'employés lésés n'a pas un accès effectif à la justice ou ne dispose pas de recours efficaces dans le cadre du régime actuel des relations de travail? — Une cause d'action fondée sur la négligence systémique dans un recours collectif constitue</w:t>
            </w:r>
            <w:r w:rsidRPr="00104AB5">
              <w:rPr>
                <w:sz w:val="20"/>
                <w:lang w:val="fr-CA"/>
              </w:rPr>
              <w:noBreakHyphen/>
              <w:t>t</w:t>
            </w:r>
            <w:r w:rsidRPr="00104AB5">
              <w:rPr>
                <w:sz w:val="20"/>
                <w:lang w:val="fr-CA"/>
              </w:rPr>
              <w:noBreakHyphen/>
              <w:t>elle le meilleur moyen dont disposent les membres du groupe? — Le droit à l’égalité garanti par la Charte et le principe de la justice réparatrice permettent</w:t>
            </w:r>
            <w:r w:rsidRPr="00104AB5">
              <w:rPr>
                <w:sz w:val="20"/>
                <w:lang w:val="fr-CA"/>
              </w:rPr>
              <w:noBreakHyphen/>
              <w:t xml:space="preserve">ils à la Cour supérieure de justice d’exercer sa compétence inhérente? </w:t>
            </w:r>
            <w:r w:rsidRPr="00104AB5">
              <w:rPr>
                <w:i/>
                <w:iCs/>
                <w:sz w:val="20"/>
                <w:lang w:val="fr-CA"/>
              </w:rPr>
              <w:t>Charte canadienne des droits et libertés</w:t>
            </w:r>
            <w:r w:rsidRPr="00104AB5">
              <w:rPr>
                <w:sz w:val="20"/>
                <w:lang w:val="fr-CA"/>
              </w:rPr>
              <w:t xml:space="preserve">, art. 15 — </w:t>
            </w:r>
            <w:r w:rsidRPr="00104AB5">
              <w:rPr>
                <w:i/>
                <w:iCs/>
                <w:sz w:val="20"/>
                <w:lang w:val="fr-CA"/>
              </w:rPr>
              <w:t>Loi sur les services policiers</w:t>
            </w:r>
            <w:r w:rsidRPr="00104AB5">
              <w:rPr>
                <w:sz w:val="20"/>
                <w:lang w:val="fr-CA"/>
              </w:rPr>
              <w:t>, L.R.O. 1990, c. P.15.</w:t>
            </w:r>
          </w:p>
        </w:tc>
      </w:tr>
      <w:tr w:rsidR="008D175B" w:rsidRPr="00104AB5" w:rsidTr="00DB0C96">
        <w:tc>
          <w:tcPr>
            <w:tcW w:w="5000" w:type="pct"/>
            <w:gridSpan w:val="2"/>
          </w:tcPr>
          <w:p w:rsidR="008D175B" w:rsidRPr="00104AB5" w:rsidRDefault="008D175B" w:rsidP="00DB0C96">
            <w:pPr>
              <w:jc w:val="both"/>
              <w:rPr>
                <w:sz w:val="20"/>
                <w:lang w:val="fr-CA"/>
              </w:rPr>
            </w:pPr>
          </w:p>
        </w:tc>
      </w:tr>
    </w:tbl>
    <w:p w:rsidR="008A28DB" w:rsidRPr="00104AB5" w:rsidRDefault="008A28DB">
      <w:pPr>
        <w:rPr>
          <w:lang w:val="fr-CA"/>
        </w:rPr>
      </w:pPr>
      <w:r w:rsidRPr="00104AB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175B" w:rsidRPr="00104AB5" w:rsidTr="00DB0C96">
        <w:tc>
          <w:tcPr>
            <w:tcW w:w="5000" w:type="pct"/>
            <w:gridSpan w:val="3"/>
          </w:tcPr>
          <w:p w:rsidR="008D175B" w:rsidRPr="00104AB5" w:rsidRDefault="008D175B" w:rsidP="00DB0C96">
            <w:pPr>
              <w:jc w:val="both"/>
              <w:rPr>
                <w:sz w:val="20"/>
                <w:lang w:val="fr-CA"/>
              </w:rPr>
            </w:pPr>
            <w:r w:rsidRPr="00104AB5">
              <w:rPr>
                <w:sz w:val="20"/>
                <w:lang w:val="fr-CA"/>
              </w:rPr>
              <w:lastRenderedPageBreak/>
              <w:t xml:space="preserve">Les demanderesses, qui sont des policières des services de police régionaux de Waterloo, ont demandé à être autorisées à intenter un recours collectif au nom de toutes les femmes membres de ce corps policier, faisant valoir de multiples allégations relatives à la discrimination et au harcèlement systémiques fondés sur le sexe en milieu de travail, y compris la violation de leurs droits à l’égalité garantis par l'art. 15 de la </w:t>
            </w:r>
            <w:r w:rsidRPr="00104AB5">
              <w:rPr>
                <w:i/>
                <w:iCs/>
                <w:sz w:val="20"/>
                <w:lang w:val="fr-CA"/>
              </w:rPr>
              <w:t>Charte</w:t>
            </w:r>
            <w:r w:rsidRPr="00104AB5">
              <w:rPr>
                <w:sz w:val="20"/>
                <w:lang w:val="fr-CA"/>
              </w:rPr>
              <w:t xml:space="preserve"> et reprochant à la Commission des services policiers de la région de Waterloo d’avoir manqué à son devoir de juste représentation. Les intimés, qui sont respectivement l'employeur et l'agent négociateur exclusif des demanderesses, ont présenté une requête pour contester la compétence de la Cour supérieure, faisant valoir que la compétence exclusive sur la question appartenait aux arbitres du travail et au Tribunal des droits de la personne de l'Ontario (TDPO). Le juge de première instance a conclu que la Cour supérieure n'avait pas compétence pour statuer sur les allégations. La Cour d'appel a rejeté l'appel.</w:t>
            </w:r>
          </w:p>
          <w:p w:rsidR="008D175B" w:rsidRPr="00104AB5" w:rsidRDefault="008D175B" w:rsidP="00DB0C96">
            <w:pPr>
              <w:jc w:val="both"/>
              <w:rPr>
                <w:sz w:val="20"/>
                <w:lang w:val="fr-CA"/>
              </w:rPr>
            </w:pPr>
          </w:p>
        </w:tc>
      </w:tr>
      <w:tr w:rsidR="008D175B" w:rsidRPr="00104AB5" w:rsidTr="00DB0C96">
        <w:tc>
          <w:tcPr>
            <w:tcW w:w="2427" w:type="pct"/>
          </w:tcPr>
          <w:p w:rsidR="008D175B" w:rsidRPr="00104AB5" w:rsidRDefault="008D175B" w:rsidP="00DB0C96">
            <w:pPr>
              <w:jc w:val="both"/>
              <w:rPr>
                <w:sz w:val="20"/>
                <w:lang w:val="fr-CA"/>
              </w:rPr>
            </w:pPr>
            <w:r w:rsidRPr="00104AB5">
              <w:rPr>
                <w:sz w:val="20"/>
                <w:lang w:val="fr-CA"/>
              </w:rPr>
              <w:t>13 juillet 2018</w:t>
            </w:r>
          </w:p>
          <w:p w:rsidR="008D175B" w:rsidRPr="00104AB5" w:rsidRDefault="008D175B" w:rsidP="00DB0C96">
            <w:pPr>
              <w:jc w:val="both"/>
              <w:rPr>
                <w:sz w:val="20"/>
                <w:lang w:val="fr-CA"/>
              </w:rPr>
            </w:pPr>
            <w:r w:rsidRPr="00104AB5">
              <w:rPr>
                <w:sz w:val="20"/>
                <w:lang w:val="fr-CA"/>
              </w:rPr>
              <w:t xml:space="preserve">Cour supérieure de justice de l’Ontario </w:t>
            </w:r>
          </w:p>
          <w:p w:rsidR="008D175B" w:rsidRPr="00104AB5" w:rsidRDefault="008D175B" w:rsidP="00DB0C96">
            <w:pPr>
              <w:jc w:val="both"/>
              <w:rPr>
                <w:sz w:val="20"/>
                <w:lang w:val="fr-CA"/>
              </w:rPr>
            </w:pPr>
            <w:r w:rsidRPr="00104AB5">
              <w:rPr>
                <w:sz w:val="20"/>
                <w:lang w:val="fr-CA"/>
              </w:rPr>
              <w:t xml:space="preserve">(le juge </w:t>
            </w:r>
            <w:proofErr w:type="spellStart"/>
            <w:r w:rsidRPr="00104AB5">
              <w:rPr>
                <w:sz w:val="20"/>
                <w:lang w:val="fr-CA"/>
              </w:rPr>
              <w:t>Baltman</w:t>
            </w:r>
            <w:proofErr w:type="spellEnd"/>
            <w:r w:rsidRPr="00104AB5">
              <w:rPr>
                <w:sz w:val="20"/>
                <w:lang w:val="fr-CA"/>
              </w:rPr>
              <w:t>)</w:t>
            </w:r>
          </w:p>
          <w:p w:rsidR="008D175B" w:rsidRPr="00104AB5" w:rsidRDefault="00B54B7D" w:rsidP="00DB0C96">
            <w:pPr>
              <w:jc w:val="both"/>
              <w:rPr>
                <w:sz w:val="20"/>
                <w:lang w:val="fr-CA"/>
              </w:rPr>
            </w:pPr>
            <w:hyperlink r:id="rId42" w:history="1">
              <w:r w:rsidR="008D175B" w:rsidRPr="00104AB5">
                <w:rPr>
                  <w:rStyle w:val="Hyperlink"/>
                  <w:sz w:val="20"/>
                  <w:lang w:val="fr-CA"/>
                </w:rPr>
                <w:t>2018 ONSC 4307</w:t>
              </w:r>
            </w:hyperlink>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Motion des intimés contestant la compétence de la Cour accueillie; motion des demanderesses en vue d’être autorisées à intenter un recours collectif rejetée</w:t>
            </w:r>
          </w:p>
          <w:p w:rsidR="008D175B" w:rsidRPr="00104AB5" w:rsidRDefault="008D175B" w:rsidP="00DB0C96">
            <w:pPr>
              <w:jc w:val="both"/>
              <w:rPr>
                <w:sz w:val="20"/>
                <w:lang w:val="fr-CA"/>
              </w:rPr>
            </w:pPr>
          </w:p>
        </w:tc>
      </w:tr>
      <w:tr w:rsidR="008D175B" w:rsidRPr="00104AB5" w:rsidTr="00DB0C96">
        <w:tc>
          <w:tcPr>
            <w:tcW w:w="2427" w:type="pct"/>
          </w:tcPr>
          <w:p w:rsidR="008D175B" w:rsidRPr="00104AB5" w:rsidRDefault="008D175B" w:rsidP="00DB0C96">
            <w:pPr>
              <w:jc w:val="both"/>
              <w:rPr>
                <w:sz w:val="20"/>
                <w:lang w:val="fr-CA"/>
              </w:rPr>
            </w:pPr>
            <w:r w:rsidRPr="00104AB5">
              <w:rPr>
                <w:sz w:val="20"/>
                <w:lang w:val="fr-CA"/>
              </w:rPr>
              <w:t>5 avril 2019</w:t>
            </w:r>
          </w:p>
          <w:p w:rsidR="008D175B" w:rsidRPr="00104AB5" w:rsidRDefault="008D175B" w:rsidP="00DB0C96">
            <w:pPr>
              <w:jc w:val="both"/>
              <w:rPr>
                <w:sz w:val="20"/>
                <w:lang w:val="fr-CA"/>
              </w:rPr>
            </w:pPr>
            <w:r w:rsidRPr="00104AB5">
              <w:rPr>
                <w:sz w:val="20"/>
                <w:lang w:val="fr-CA"/>
              </w:rPr>
              <w:t>Cour d’appel de l’Ontario</w:t>
            </w:r>
          </w:p>
          <w:p w:rsidR="008D175B" w:rsidRPr="00104AB5" w:rsidRDefault="008D175B" w:rsidP="00DB0C96">
            <w:pPr>
              <w:jc w:val="both"/>
              <w:rPr>
                <w:sz w:val="20"/>
                <w:lang w:val="fr-CA"/>
              </w:rPr>
            </w:pPr>
            <w:r w:rsidRPr="00104AB5">
              <w:rPr>
                <w:sz w:val="20"/>
                <w:lang w:val="fr-CA"/>
              </w:rPr>
              <w:t xml:space="preserve">(les juges Simmons, </w:t>
            </w:r>
            <w:proofErr w:type="spellStart"/>
            <w:r w:rsidRPr="00104AB5">
              <w:rPr>
                <w:sz w:val="20"/>
                <w:lang w:val="fr-CA"/>
              </w:rPr>
              <w:t>Juriansz</w:t>
            </w:r>
            <w:proofErr w:type="spellEnd"/>
            <w:r w:rsidRPr="00104AB5">
              <w:rPr>
                <w:sz w:val="20"/>
                <w:lang w:val="fr-CA"/>
              </w:rPr>
              <w:t xml:space="preserve"> et Miller)</w:t>
            </w:r>
          </w:p>
          <w:p w:rsidR="008D175B" w:rsidRPr="00104AB5" w:rsidRDefault="00B54B7D" w:rsidP="00DB0C96">
            <w:pPr>
              <w:jc w:val="both"/>
              <w:rPr>
                <w:sz w:val="20"/>
                <w:lang w:val="fr-CA"/>
              </w:rPr>
            </w:pPr>
            <w:hyperlink r:id="rId43" w:history="1">
              <w:r w:rsidR="008D175B" w:rsidRPr="00104AB5">
                <w:rPr>
                  <w:rStyle w:val="Hyperlink"/>
                  <w:sz w:val="20"/>
                  <w:lang w:val="fr-CA"/>
                </w:rPr>
                <w:t>2019 ONC 267</w:t>
              </w:r>
            </w:hyperlink>
            <w:r w:rsidR="008D175B" w:rsidRPr="00104AB5">
              <w:rPr>
                <w:sz w:val="20"/>
                <w:lang w:val="fr-CA"/>
              </w:rPr>
              <w:t>; Dossier C65760</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Appel des demanderesses rejeté</w:t>
            </w:r>
          </w:p>
          <w:p w:rsidR="008D175B" w:rsidRPr="00104AB5" w:rsidRDefault="008D175B" w:rsidP="00DB0C96">
            <w:pPr>
              <w:jc w:val="both"/>
              <w:rPr>
                <w:sz w:val="20"/>
                <w:lang w:val="fr-CA"/>
              </w:rPr>
            </w:pPr>
          </w:p>
        </w:tc>
      </w:tr>
      <w:tr w:rsidR="008D175B" w:rsidRPr="00104AB5" w:rsidTr="00DB0C96">
        <w:tc>
          <w:tcPr>
            <w:tcW w:w="2427" w:type="pct"/>
          </w:tcPr>
          <w:p w:rsidR="008D175B" w:rsidRPr="00104AB5" w:rsidRDefault="008D175B" w:rsidP="00DB0C96">
            <w:pPr>
              <w:jc w:val="both"/>
              <w:rPr>
                <w:sz w:val="20"/>
                <w:lang w:val="fr-CA"/>
              </w:rPr>
            </w:pPr>
            <w:r w:rsidRPr="00104AB5">
              <w:rPr>
                <w:sz w:val="20"/>
                <w:lang w:val="fr-CA"/>
              </w:rPr>
              <w:t>28 juin 2019</w:t>
            </w:r>
          </w:p>
          <w:p w:rsidR="008D175B" w:rsidRPr="00104AB5" w:rsidRDefault="008D175B" w:rsidP="00DB0C96">
            <w:pPr>
              <w:jc w:val="both"/>
              <w:rPr>
                <w:sz w:val="20"/>
                <w:lang w:val="fr-CA"/>
              </w:rPr>
            </w:pPr>
            <w:r w:rsidRPr="00104AB5">
              <w:rPr>
                <w:sz w:val="20"/>
                <w:lang w:val="fr-CA"/>
              </w:rPr>
              <w:t>Cour suprême du Canada</w:t>
            </w:r>
          </w:p>
          <w:p w:rsidR="008D175B" w:rsidRPr="00104AB5" w:rsidRDefault="008D175B" w:rsidP="00DB0C96">
            <w:pPr>
              <w:jc w:val="both"/>
              <w:rPr>
                <w:sz w:val="20"/>
                <w:lang w:val="fr-CA"/>
              </w:rPr>
            </w:pPr>
          </w:p>
        </w:tc>
        <w:tc>
          <w:tcPr>
            <w:tcW w:w="243" w:type="pct"/>
          </w:tcPr>
          <w:p w:rsidR="008D175B" w:rsidRPr="00104AB5" w:rsidRDefault="008D175B" w:rsidP="00DB0C96">
            <w:pPr>
              <w:jc w:val="both"/>
              <w:rPr>
                <w:sz w:val="20"/>
                <w:lang w:val="fr-CA"/>
              </w:rPr>
            </w:pPr>
          </w:p>
        </w:tc>
        <w:tc>
          <w:tcPr>
            <w:tcW w:w="2330" w:type="pct"/>
          </w:tcPr>
          <w:p w:rsidR="008D175B" w:rsidRPr="00104AB5" w:rsidRDefault="008D175B" w:rsidP="00DB0C96">
            <w:pPr>
              <w:jc w:val="both"/>
              <w:rPr>
                <w:sz w:val="20"/>
                <w:lang w:val="fr-CA"/>
              </w:rPr>
            </w:pPr>
            <w:r w:rsidRPr="00104AB5">
              <w:rPr>
                <w:sz w:val="20"/>
                <w:lang w:val="fr-CA"/>
              </w:rPr>
              <w:t>Demande d’autorisation d’appel et motion en prorogation du délai imparti pour déposer et signifier déposées</w:t>
            </w:r>
          </w:p>
        </w:tc>
      </w:tr>
    </w:tbl>
    <w:p w:rsidR="008D175B" w:rsidRPr="00104AB5" w:rsidRDefault="008D175B" w:rsidP="00F16063">
      <w:pPr>
        <w:rPr>
          <w:sz w:val="20"/>
          <w:szCs w:val="20"/>
          <w:lang w:val="fr-CA"/>
        </w:rPr>
      </w:pPr>
    </w:p>
    <w:p w:rsidR="00634F42" w:rsidRPr="00104AB5" w:rsidRDefault="00B54B7D" w:rsidP="00102792">
      <w:pPr>
        <w:jc w:val="both"/>
        <w:rPr>
          <w:sz w:val="20"/>
          <w:szCs w:val="20"/>
        </w:rPr>
      </w:pPr>
      <w:r w:rsidRPr="00104AB5">
        <w:rPr>
          <w:sz w:val="20"/>
          <w:szCs w:val="20"/>
        </w:rPr>
        <w:pict>
          <v:rect id="_x0000_i1051" style="width:2in;height:1pt" o:hrpct="0" o:hralign="center" o:hrstd="t" o:hrnoshade="t" o:hr="t" fillcolor="black" stroked="f"/>
        </w:pict>
      </w:r>
    </w:p>
    <w:p w:rsidR="008D175B" w:rsidRPr="00104AB5" w:rsidRDefault="008D175B" w:rsidP="00102792">
      <w:pPr>
        <w:jc w:val="both"/>
        <w:rPr>
          <w:sz w:val="20"/>
          <w:szCs w:val="20"/>
        </w:rPr>
      </w:pPr>
    </w:p>
    <w:p w:rsidR="008D175B" w:rsidRPr="00104AB5" w:rsidRDefault="008D175B" w:rsidP="00102792">
      <w:pPr>
        <w:jc w:val="both"/>
        <w:rPr>
          <w:sz w:val="20"/>
          <w:lang w:val="fr-CA"/>
        </w:rPr>
      </w:pPr>
    </w:p>
    <w:p w:rsidR="00890FEB" w:rsidRPr="00104AB5" w:rsidRDefault="00890FEB" w:rsidP="008D292F">
      <w:pPr>
        <w:rPr>
          <w:sz w:val="20"/>
          <w:szCs w:val="20"/>
          <w:lang w:val="fr-CA"/>
        </w:rPr>
      </w:pPr>
    </w:p>
    <w:p w:rsidR="00890FEB" w:rsidRPr="00104AB5" w:rsidRDefault="00890FEB" w:rsidP="008D292F">
      <w:pPr>
        <w:rPr>
          <w:b/>
          <w:sz w:val="20"/>
          <w:szCs w:val="20"/>
          <w:lang w:val="fr-CA"/>
        </w:rPr>
        <w:sectPr w:rsidR="00890FEB" w:rsidRPr="00104AB5" w:rsidSect="008D292F">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p w:rsidR="00693C38" w:rsidRPr="00104AB5" w:rsidRDefault="00DD0BDC" w:rsidP="00567602">
      <w:pPr>
        <w:pStyle w:val="Header1StyleE"/>
        <w:pBdr>
          <w:bottom w:val="single" w:sz="12" w:space="1" w:color="auto"/>
        </w:pBdr>
        <w:rPr>
          <w:lang w:val="fr-CA"/>
        </w:rPr>
      </w:pPr>
      <w:bookmarkStart w:id="6" w:name="_Toc22712737"/>
      <w:r w:rsidRPr="00104AB5">
        <w:rPr>
          <w:lang w:val="fr-CA"/>
        </w:rPr>
        <w:lastRenderedPageBreak/>
        <w:t>Motions</w:t>
      </w:r>
      <w:r w:rsidR="00271E1E" w:rsidRPr="00104AB5">
        <w:rPr>
          <w:lang w:val="fr-CA"/>
        </w:rPr>
        <w:t xml:space="preserve"> / </w:t>
      </w:r>
      <w:r w:rsidR="00693C38" w:rsidRPr="00104AB5">
        <w:rPr>
          <w:lang w:val="fr-CA"/>
        </w:rPr>
        <w:br/>
      </w:r>
      <w:r w:rsidRPr="00104AB5">
        <w:rPr>
          <w:lang w:val="fr-CA"/>
        </w:rPr>
        <w:t>Requêtes</w:t>
      </w:r>
      <w:bookmarkEnd w:id="6"/>
    </w:p>
    <w:p w:rsidR="00890FEB" w:rsidRPr="00104AB5" w:rsidRDefault="00890FEB" w:rsidP="00890FEB">
      <w:pPr>
        <w:rPr>
          <w:sz w:val="20"/>
          <w:szCs w:val="20"/>
          <w:lang w:val="fr-CA"/>
        </w:rPr>
      </w:pPr>
    </w:p>
    <w:p w:rsidR="008859F1" w:rsidRPr="00104AB5" w:rsidRDefault="00AC5CD8" w:rsidP="008859F1">
      <w:pPr>
        <w:rPr>
          <w:b/>
          <w:sz w:val="20"/>
          <w:szCs w:val="20"/>
          <w:lang w:val="fr-CA"/>
        </w:rPr>
      </w:pPr>
      <w:r w:rsidRPr="00104AB5">
        <w:rPr>
          <w:b/>
          <w:sz w:val="20"/>
          <w:szCs w:val="20"/>
          <w:lang w:val="fr-CA"/>
        </w:rPr>
        <w:t>OCTOBER 17</w:t>
      </w:r>
      <w:r w:rsidR="008859F1" w:rsidRPr="00104AB5">
        <w:rPr>
          <w:b/>
          <w:sz w:val="20"/>
          <w:szCs w:val="20"/>
          <w:lang w:val="fr-CA"/>
        </w:rPr>
        <w:t>, 2019 / LE 1</w:t>
      </w:r>
      <w:r w:rsidRPr="00104AB5">
        <w:rPr>
          <w:b/>
          <w:sz w:val="20"/>
          <w:szCs w:val="20"/>
          <w:lang w:val="fr-CA"/>
        </w:rPr>
        <w:t>7</w:t>
      </w:r>
      <w:r w:rsidR="008859F1" w:rsidRPr="00104AB5">
        <w:rPr>
          <w:b/>
          <w:sz w:val="20"/>
          <w:szCs w:val="20"/>
          <w:lang w:val="fr-CA"/>
        </w:rPr>
        <w:t xml:space="preserve"> </w:t>
      </w:r>
      <w:r w:rsidRPr="00104AB5">
        <w:rPr>
          <w:b/>
          <w:sz w:val="20"/>
          <w:szCs w:val="20"/>
          <w:lang w:val="fr-CA"/>
        </w:rPr>
        <w:t>OCTOBRE</w:t>
      </w:r>
      <w:r w:rsidR="008859F1" w:rsidRPr="00104AB5">
        <w:rPr>
          <w:b/>
          <w:sz w:val="20"/>
          <w:szCs w:val="20"/>
          <w:lang w:val="fr-CA"/>
        </w:rPr>
        <w:t xml:space="preserve"> 2019</w:t>
      </w:r>
    </w:p>
    <w:p w:rsidR="00102792" w:rsidRPr="00104AB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104AB5" w:rsidTr="00957556">
        <w:tc>
          <w:tcPr>
            <w:tcW w:w="4804" w:type="dxa"/>
            <w:tcBorders>
              <w:top w:val="nil"/>
              <w:left w:val="nil"/>
              <w:bottom w:val="nil"/>
              <w:right w:val="nil"/>
            </w:tcBorders>
          </w:tcPr>
          <w:p w:rsidR="00957556" w:rsidRPr="00104AB5" w:rsidRDefault="00957556" w:rsidP="00074A3B">
            <w:pPr>
              <w:tabs>
                <w:tab w:val="left" w:pos="-1440"/>
                <w:tab w:val="left" w:pos="-720"/>
              </w:tabs>
              <w:jc w:val="both"/>
              <w:rPr>
                <w:rFonts w:eastAsia="Times New Roman" w:cs="Times New Roman"/>
                <w:b/>
                <w:sz w:val="20"/>
                <w:szCs w:val="20"/>
                <w:lang w:val="en-US" w:eastAsia="en-CA"/>
              </w:rPr>
            </w:pPr>
            <w:r w:rsidRPr="00104AB5">
              <w:rPr>
                <w:rFonts w:eastAsia="Times New Roman" w:cs="Times New Roman"/>
                <w:b/>
                <w:sz w:val="20"/>
                <w:szCs w:val="20"/>
                <w:lang w:val="en-US" w:eastAsia="en-CA"/>
              </w:rPr>
              <w:t>M</w:t>
            </w:r>
            <w:r w:rsidR="00074A3B" w:rsidRPr="00104AB5">
              <w:rPr>
                <w:rFonts w:eastAsia="Times New Roman" w:cs="Times New Roman"/>
                <w:b/>
                <w:sz w:val="20"/>
                <w:szCs w:val="20"/>
                <w:lang w:val="en-US" w:eastAsia="en-CA"/>
              </w:rPr>
              <w:t>iscellaneous motion</w:t>
            </w:r>
          </w:p>
        </w:tc>
        <w:tc>
          <w:tcPr>
            <w:tcW w:w="4805" w:type="dxa"/>
            <w:tcBorders>
              <w:top w:val="nil"/>
              <w:left w:val="nil"/>
              <w:bottom w:val="nil"/>
              <w:right w:val="nil"/>
            </w:tcBorders>
          </w:tcPr>
          <w:p w:rsidR="00957556" w:rsidRPr="00104AB5" w:rsidRDefault="00957556" w:rsidP="00074A3B">
            <w:pPr>
              <w:tabs>
                <w:tab w:val="left" w:pos="-1440"/>
                <w:tab w:val="left" w:pos="-720"/>
              </w:tabs>
              <w:jc w:val="both"/>
              <w:rPr>
                <w:rFonts w:eastAsia="Times New Roman" w:cs="Times New Roman"/>
                <w:b/>
                <w:sz w:val="20"/>
                <w:szCs w:val="20"/>
                <w:lang w:val="fr-CA" w:eastAsia="en-CA"/>
              </w:rPr>
            </w:pPr>
            <w:r w:rsidRPr="00104AB5">
              <w:rPr>
                <w:rFonts w:eastAsia="Times New Roman" w:cs="Times New Roman"/>
                <w:b/>
                <w:sz w:val="20"/>
                <w:szCs w:val="20"/>
                <w:lang w:val="fr-CA" w:eastAsia="en-CA"/>
              </w:rPr>
              <w:t xml:space="preserve">Requête </w:t>
            </w:r>
            <w:r w:rsidR="00074A3B" w:rsidRPr="00104AB5">
              <w:rPr>
                <w:rFonts w:eastAsia="Times New Roman" w:cs="Times New Roman"/>
                <w:b/>
                <w:sz w:val="20"/>
                <w:szCs w:val="20"/>
                <w:lang w:val="fr-CA" w:eastAsia="en-CA"/>
              </w:rPr>
              <w:t>diverse</w:t>
            </w:r>
          </w:p>
        </w:tc>
      </w:tr>
    </w:tbl>
    <w:p w:rsidR="00957556" w:rsidRPr="00104AB5" w:rsidRDefault="00957556" w:rsidP="00102792">
      <w:pPr>
        <w:tabs>
          <w:tab w:val="left" w:pos="-1440"/>
          <w:tab w:val="left" w:pos="-720"/>
        </w:tabs>
        <w:jc w:val="both"/>
        <w:rPr>
          <w:rFonts w:eastAsia="Times New Roman" w:cs="Times New Roman"/>
          <w:sz w:val="20"/>
          <w:szCs w:val="20"/>
          <w:lang w:val="fr-CA" w:eastAsia="en-CA"/>
        </w:rPr>
      </w:pPr>
    </w:p>
    <w:p w:rsidR="00CA6637" w:rsidRPr="00104AB5" w:rsidRDefault="00CA6637" w:rsidP="00CA6637">
      <w:pPr>
        <w:spacing w:line="228" w:lineRule="auto"/>
        <w:rPr>
          <w:rFonts w:eastAsiaTheme="minorEastAsia" w:cs="Times New Roman"/>
          <w:b/>
          <w:bCs/>
          <w:sz w:val="20"/>
          <w:szCs w:val="24"/>
          <w:lang w:val="en-US"/>
        </w:rPr>
      </w:pPr>
      <w:r w:rsidRPr="00104AB5">
        <w:rPr>
          <w:rFonts w:eastAsiaTheme="minorEastAsia" w:cs="Times New Roman"/>
          <w:b/>
          <w:bCs/>
          <w:sz w:val="20"/>
          <w:szCs w:val="24"/>
          <w:lang w:val="en-US"/>
        </w:rPr>
        <w:t xml:space="preserve">ATTORNEY GENERAL OF QUEBEC AND DIRECTOR OF CRIMINAL AND PENAL PROSECUTIONS v. 9147-0732 QUÉBEC INC. </w:t>
      </w:r>
    </w:p>
    <w:p w:rsidR="00CA6637" w:rsidRPr="00104AB5" w:rsidRDefault="00CA6637" w:rsidP="00CA6637">
      <w:pPr>
        <w:spacing w:line="228" w:lineRule="auto"/>
        <w:rPr>
          <w:rFonts w:eastAsiaTheme="minorEastAsia" w:cs="Times New Roman"/>
          <w:bCs/>
          <w:sz w:val="20"/>
          <w:szCs w:val="24"/>
          <w:lang w:val="en-US"/>
        </w:rPr>
      </w:pPr>
      <w:r w:rsidRPr="00104AB5">
        <w:rPr>
          <w:rFonts w:eastAsiaTheme="minorEastAsia" w:cs="Times New Roman"/>
          <w:bCs/>
          <w:sz w:val="20"/>
          <w:szCs w:val="24"/>
          <w:lang w:val="en-US"/>
        </w:rPr>
        <w:t>(Que.) (38613)</w:t>
      </w:r>
    </w:p>
    <w:p w:rsidR="00CA6637" w:rsidRPr="00104AB5" w:rsidRDefault="00CA6637" w:rsidP="00CA6637">
      <w:pPr>
        <w:spacing w:line="228" w:lineRule="auto"/>
        <w:rPr>
          <w:rFonts w:eastAsiaTheme="minorEastAsia" w:cs="Times New Roman"/>
          <w:bCs/>
          <w:sz w:val="20"/>
          <w:szCs w:val="24"/>
          <w:lang w:val="en-US"/>
        </w:rPr>
      </w:pPr>
    </w:p>
    <w:p w:rsidR="00CA6637" w:rsidRPr="00104AB5" w:rsidRDefault="00CA6637" w:rsidP="00CA6637">
      <w:pPr>
        <w:spacing w:line="228" w:lineRule="auto"/>
        <w:rPr>
          <w:rFonts w:eastAsiaTheme="minorEastAsia" w:cs="Times New Roman"/>
          <w:b/>
          <w:bCs/>
          <w:sz w:val="20"/>
          <w:szCs w:val="24"/>
          <w:lang w:val="en-US"/>
        </w:rPr>
      </w:pPr>
      <w:r w:rsidRPr="00104AB5">
        <w:rPr>
          <w:rFonts w:eastAsiaTheme="minorEastAsia" w:cs="Times New Roman"/>
          <w:b/>
          <w:bCs/>
          <w:sz w:val="20"/>
          <w:szCs w:val="24"/>
          <w:lang w:val="en-US"/>
        </w:rPr>
        <w:t>BROWN J.:</w:t>
      </w:r>
    </w:p>
    <w:p w:rsidR="00CA6637" w:rsidRPr="00104AB5" w:rsidRDefault="00CA6637" w:rsidP="00CA6637">
      <w:pPr>
        <w:spacing w:line="228" w:lineRule="auto"/>
        <w:rPr>
          <w:rFonts w:eastAsiaTheme="minorEastAsia" w:cs="Times New Roman"/>
          <w:bCs/>
          <w:sz w:val="20"/>
          <w:szCs w:val="24"/>
          <w:lang w:val="en-US"/>
        </w:rPr>
      </w:pPr>
    </w:p>
    <w:p w:rsidR="00CA6637" w:rsidRPr="00104AB5" w:rsidRDefault="00CA6637" w:rsidP="00CA6637">
      <w:pPr>
        <w:spacing w:line="228" w:lineRule="auto"/>
        <w:rPr>
          <w:rFonts w:eastAsiaTheme="minorEastAsia" w:cs="Times New Roman"/>
          <w:bCs/>
          <w:sz w:val="20"/>
          <w:szCs w:val="24"/>
          <w:lang w:val="en-US"/>
        </w:rPr>
      </w:pPr>
      <w:r w:rsidRPr="00104AB5">
        <w:rPr>
          <w:rFonts w:eastAsiaTheme="minorEastAsia" w:cs="Times New Roman"/>
          <w:b/>
          <w:bCs/>
          <w:sz w:val="20"/>
          <w:szCs w:val="24"/>
          <w:lang w:val="en-US"/>
        </w:rPr>
        <w:t xml:space="preserve">UPON APPLICATION </w:t>
      </w:r>
      <w:r w:rsidRPr="00104AB5">
        <w:rPr>
          <w:rFonts w:eastAsiaTheme="minorEastAsia" w:cs="Times New Roman"/>
          <w:bCs/>
          <w:sz w:val="20"/>
          <w:szCs w:val="24"/>
          <w:lang w:val="en-US"/>
        </w:rPr>
        <w:t>by the appellants for an order setting aside the respondent’s notice of constitutional question dated August 30, 2019;</w:t>
      </w:r>
    </w:p>
    <w:p w:rsidR="00CA6637" w:rsidRPr="00104AB5" w:rsidRDefault="00CA6637" w:rsidP="00CA6637">
      <w:pPr>
        <w:spacing w:line="228" w:lineRule="auto"/>
        <w:rPr>
          <w:rFonts w:eastAsiaTheme="minorEastAsia" w:cs="Times New Roman"/>
          <w:bCs/>
          <w:sz w:val="20"/>
          <w:szCs w:val="24"/>
          <w:lang w:val="en-US"/>
        </w:rPr>
      </w:pPr>
    </w:p>
    <w:p w:rsidR="00CA6637" w:rsidRPr="00104AB5" w:rsidRDefault="00CA6637" w:rsidP="00CA6637">
      <w:pPr>
        <w:spacing w:line="228" w:lineRule="auto"/>
        <w:rPr>
          <w:rFonts w:eastAsiaTheme="minorEastAsia" w:cs="Times New Roman"/>
          <w:b/>
          <w:bCs/>
          <w:sz w:val="20"/>
          <w:szCs w:val="24"/>
          <w:lang w:val="en-US"/>
        </w:rPr>
      </w:pPr>
      <w:r w:rsidRPr="00104AB5">
        <w:rPr>
          <w:rFonts w:eastAsiaTheme="minorEastAsia" w:cs="Times New Roman"/>
          <w:b/>
          <w:bCs/>
          <w:sz w:val="20"/>
          <w:szCs w:val="24"/>
          <w:lang w:val="en-US"/>
        </w:rPr>
        <w:t>AND THE MATERIAL FILED having been read;</w:t>
      </w:r>
    </w:p>
    <w:p w:rsidR="00CA6637" w:rsidRPr="00104AB5" w:rsidRDefault="00CA6637" w:rsidP="00CA6637">
      <w:pPr>
        <w:spacing w:line="228" w:lineRule="auto"/>
        <w:rPr>
          <w:rFonts w:eastAsiaTheme="minorEastAsia" w:cs="Times New Roman"/>
          <w:bCs/>
          <w:sz w:val="20"/>
          <w:szCs w:val="24"/>
          <w:lang w:val="en-US"/>
        </w:rPr>
      </w:pPr>
    </w:p>
    <w:p w:rsidR="00CA6637" w:rsidRPr="00104AB5" w:rsidRDefault="00CA6637" w:rsidP="00CA6637">
      <w:pPr>
        <w:spacing w:line="228" w:lineRule="auto"/>
        <w:rPr>
          <w:rFonts w:eastAsiaTheme="minorEastAsia" w:cs="Times New Roman"/>
          <w:b/>
          <w:bCs/>
          <w:sz w:val="20"/>
          <w:szCs w:val="24"/>
          <w:lang w:val="en-US"/>
        </w:rPr>
      </w:pPr>
      <w:r w:rsidRPr="00104AB5">
        <w:rPr>
          <w:rFonts w:eastAsiaTheme="minorEastAsia" w:cs="Times New Roman"/>
          <w:b/>
          <w:bCs/>
          <w:sz w:val="20"/>
          <w:szCs w:val="24"/>
          <w:lang w:val="en-US"/>
        </w:rPr>
        <w:t>IT IS HEREBY ORDERED THAT:</w:t>
      </w:r>
    </w:p>
    <w:p w:rsidR="00CA6637" w:rsidRPr="00104AB5" w:rsidRDefault="00CA6637" w:rsidP="00CA6637">
      <w:pPr>
        <w:spacing w:line="228" w:lineRule="auto"/>
        <w:rPr>
          <w:rFonts w:eastAsiaTheme="minorEastAsia" w:cs="Times New Roman"/>
          <w:bCs/>
          <w:sz w:val="20"/>
          <w:szCs w:val="24"/>
          <w:lang w:val="en-US"/>
        </w:rPr>
      </w:pPr>
    </w:p>
    <w:p w:rsidR="00102792" w:rsidRPr="00104AB5" w:rsidRDefault="00CA6637" w:rsidP="00CA6637">
      <w:pPr>
        <w:spacing w:line="228" w:lineRule="auto"/>
        <w:rPr>
          <w:rFonts w:eastAsiaTheme="minorEastAsia" w:cs="Times New Roman"/>
          <w:bCs/>
          <w:sz w:val="20"/>
          <w:szCs w:val="24"/>
          <w:lang w:val="fr-CA"/>
        </w:rPr>
      </w:pPr>
      <w:r w:rsidRPr="00104AB5">
        <w:rPr>
          <w:rFonts w:eastAsiaTheme="minorEastAsia" w:cs="Times New Roman"/>
          <w:bCs/>
          <w:sz w:val="20"/>
          <w:szCs w:val="24"/>
          <w:lang w:val="fr-CA"/>
        </w:rPr>
        <w:t>The motion is dismissed.</w:t>
      </w:r>
    </w:p>
    <w:p w:rsidR="00CA6637" w:rsidRPr="00104AB5" w:rsidRDefault="00CA6637" w:rsidP="00CA6637">
      <w:pPr>
        <w:spacing w:line="228" w:lineRule="auto"/>
        <w:rPr>
          <w:rFonts w:eastAsiaTheme="minorEastAsia" w:cs="Times New Roman"/>
          <w:bCs/>
          <w:sz w:val="20"/>
          <w:szCs w:val="20"/>
          <w:lang w:val="fr-CA"/>
        </w:rPr>
      </w:pPr>
    </w:p>
    <w:p w:rsidR="00CA6637" w:rsidRPr="00104AB5" w:rsidRDefault="00CA6637" w:rsidP="00CA6637">
      <w:pPr>
        <w:spacing w:line="228" w:lineRule="auto"/>
        <w:rPr>
          <w:sz w:val="20"/>
          <w:szCs w:val="20"/>
          <w:lang w:val="fr-CA"/>
        </w:rPr>
      </w:pPr>
    </w:p>
    <w:p w:rsidR="00CA6637" w:rsidRPr="00104AB5" w:rsidRDefault="00CA6637" w:rsidP="00CA6637">
      <w:pPr>
        <w:rPr>
          <w:rFonts w:cs="Times New Roman"/>
          <w:bCs/>
          <w:sz w:val="20"/>
          <w:szCs w:val="20"/>
          <w:lang w:val="fr-CA"/>
        </w:rPr>
      </w:pPr>
      <w:r w:rsidRPr="00104AB5">
        <w:rPr>
          <w:rFonts w:eastAsia="Times New Roman" w:cs="Times New Roman"/>
          <w:b/>
          <w:bCs/>
          <w:sz w:val="20"/>
          <w:szCs w:val="20"/>
          <w:lang w:val="fr-CA" w:eastAsia="en-CA"/>
        </w:rPr>
        <w:t>À LA SUITE D’UNE DEMANDE</w:t>
      </w:r>
      <w:r w:rsidRPr="00104AB5">
        <w:rPr>
          <w:rFonts w:cs="Times New Roman"/>
          <w:bCs/>
          <w:sz w:val="20"/>
          <w:szCs w:val="20"/>
          <w:lang w:val="fr-CA"/>
        </w:rPr>
        <w:t xml:space="preserve"> </w:t>
      </w:r>
      <w:r w:rsidRPr="00104AB5">
        <w:rPr>
          <w:rFonts w:eastAsia="Times New Roman" w:cs="Times New Roman"/>
          <w:sz w:val="20"/>
          <w:szCs w:val="20"/>
          <w:lang w:val="fr-CA" w:eastAsia="en-CA"/>
        </w:rPr>
        <w:t>présentée par les appelants en vue d’obtenir une ordonnance annulant l’avis de question constitutionnelle de l’intimée daté du 30 août 2019;</w:t>
      </w:r>
    </w:p>
    <w:p w:rsidR="00CA6637" w:rsidRPr="00104AB5" w:rsidRDefault="00CA6637" w:rsidP="00CA6637">
      <w:pPr>
        <w:rPr>
          <w:rFonts w:eastAsia="Times New Roman" w:cs="Times New Roman"/>
          <w:i/>
          <w:sz w:val="20"/>
          <w:szCs w:val="20"/>
          <w:lang w:val="fr-CA" w:eastAsia="en-CA"/>
        </w:rPr>
      </w:pPr>
    </w:p>
    <w:p w:rsidR="00CA6637" w:rsidRPr="00104AB5" w:rsidRDefault="00CA6637" w:rsidP="00CA6637">
      <w:pPr>
        <w:rPr>
          <w:rFonts w:cs="Times New Roman"/>
          <w:bCs/>
          <w:sz w:val="20"/>
          <w:szCs w:val="20"/>
          <w:lang w:val="fr-CA"/>
        </w:rPr>
      </w:pPr>
      <w:r w:rsidRPr="00104AB5">
        <w:rPr>
          <w:rFonts w:eastAsia="Times New Roman" w:cs="Times New Roman"/>
          <w:b/>
          <w:bCs/>
          <w:sz w:val="20"/>
          <w:szCs w:val="20"/>
          <w:lang w:val="fr-CA" w:eastAsia="en-CA"/>
        </w:rPr>
        <w:t>ET APRÈS EXAMEN</w:t>
      </w:r>
      <w:r w:rsidRPr="00104AB5">
        <w:rPr>
          <w:rFonts w:cs="Times New Roman"/>
          <w:bCs/>
          <w:sz w:val="20"/>
          <w:szCs w:val="20"/>
          <w:lang w:val="fr-CA"/>
        </w:rPr>
        <w:t xml:space="preserve"> </w:t>
      </w:r>
      <w:r w:rsidRPr="00104AB5">
        <w:rPr>
          <w:rFonts w:eastAsia="Times New Roman" w:cs="Times New Roman"/>
          <w:sz w:val="20"/>
          <w:szCs w:val="20"/>
          <w:lang w:val="fr-CA" w:eastAsia="en-CA"/>
        </w:rPr>
        <w:t>des documents déposés;</w:t>
      </w:r>
    </w:p>
    <w:p w:rsidR="00CA6637" w:rsidRPr="00104AB5" w:rsidRDefault="00CA6637" w:rsidP="00CA6637">
      <w:pPr>
        <w:rPr>
          <w:rFonts w:cs="Times New Roman"/>
          <w:bCs/>
          <w:sz w:val="20"/>
          <w:szCs w:val="20"/>
          <w:lang w:val="fr-CA"/>
        </w:rPr>
      </w:pPr>
    </w:p>
    <w:p w:rsidR="00CA6637" w:rsidRPr="00104AB5" w:rsidRDefault="00CA6637" w:rsidP="00CA6637">
      <w:pPr>
        <w:rPr>
          <w:rFonts w:cs="Times New Roman"/>
          <w:b/>
          <w:bCs/>
          <w:sz w:val="20"/>
          <w:szCs w:val="20"/>
          <w:lang w:val="fr-CA"/>
        </w:rPr>
      </w:pPr>
      <w:r w:rsidRPr="00104AB5">
        <w:rPr>
          <w:rFonts w:eastAsia="Times New Roman" w:cs="Times New Roman"/>
          <w:b/>
          <w:bCs/>
          <w:sz w:val="20"/>
          <w:szCs w:val="20"/>
          <w:lang w:val="fr-CA" w:eastAsia="en-CA"/>
        </w:rPr>
        <w:t>IL EST ORDONNÉ CE QUI SUIT :</w:t>
      </w:r>
    </w:p>
    <w:p w:rsidR="00CA6637" w:rsidRPr="00104AB5" w:rsidRDefault="00CA6637" w:rsidP="00CA6637">
      <w:pPr>
        <w:rPr>
          <w:rFonts w:cs="Times New Roman"/>
          <w:bCs/>
          <w:sz w:val="20"/>
          <w:szCs w:val="20"/>
          <w:lang w:val="fr-CA"/>
        </w:rPr>
      </w:pPr>
    </w:p>
    <w:p w:rsidR="00CA6637" w:rsidRPr="00104AB5" w:rsidRDefault="00CA6637" w:rsidP="00CA6637">
      <w:pPr>
        <w:rPr>
          <w:rFonts w:eastAsia="Times New Roman" w:cs="Times New Roman"/>
          <w:sz w:val="20"/>
          <w:szCs w:val="20"/>
          <w:lang w:val="fr-CA" w:eastAsia="en-CA"/>
        </w:rPr>
      </w:pPr>
      <w:r w:rsidRPr="00104AB5">
        <w:rPr>
          <w:rFonts w:eastAsia="Times New Roman" w:cs="Times New Roman"/>
          <w:sz w:val="20"/>
          <w:szCs w:val="20"/>
          <w:lang w:val="fr-CA" w:eastAsia="en-CA"/>
        </w:rPr>
        <w:t>La requête est rejetée.</w:t>
      </w:r>
    </w:p>
    <w:p w:rsidR="00102792" w:rsidRPr="00104AB5" w:rsidRDefault="00102792" w:rsidP="00102792">
      <w:pPr>
        <w:spacing w:line="232" w:lineRule="auto"/>
        <w:rPr>
          <w:rFonts w:cs="Times New Roman"/>
          <w:sz w:val="20"/>
          <w:lang w:val="fr-CA"/>
        </w:rPr>
      </w:pPr>
    </w:p>
    <w:p w:rsidR="00102792" w:rsidRPr="00104AB5" w:rsidRDefault="00B54B7D" w:rsidP="00102792">
      <w:pPr>
        <w:widowControl w:val="0"/>
        <w:rPr>
          <w:rFonts w:eastAsia="Times New Roman" w:cs="Times New Roman"/>
          <w:sz w:val="20"/>
          <w:szCs w:val="20"/>
          <w:lang w:val="fr-CA" w:eastAsia="en-CA"/>
        </w:rPr>
      </w:pPr>
      <w:r w:rsidRPr="00104AB5">
        <w:rPr>
          <w:rFonts w:eastAsia="Times New Roman" w:cs="Times New Roman"/>
          <w:sz w:val="20"/>
          <w:szCs w:val="20"/>
          <w:lang w:val="fr-CA" w:eastAsia="en-CA"/>
        </w:rPr>
        <w:pict>
          <v:rect id="_x0000_i1054" style="width:2in;height:1pt" o:hrpct="0" o:hralign="center" o:hrstd="t" o:hrnoshade="t" o:hr="t" fillcolor="black [3213]" stroked="f"/>
        </w:pict>
      </w:r>
    </w:p>
    <w:p w:rsidR="00102792" w:rsidRPr="00104AB5" w:rsidRDefault="00102792" w:rsidP="00102792">
      <w:pPr>
        <w:rPr>
          <w:rFonts w:eastAsia="Times New Roman" w:cs="Times New Roman"/>
          <w:sz w:val="20"/>
          <w:szCs w:val="20"/>
          <w:lang w:val="fr-CA" w:eastAsia="en-CA"/>
        </w:rPr>
      </w:pPr>
      <w:r w:rsidRPr="00104AB5">
        <w:rPr>
          <w:rFonts w:eastAsia="Times New Roman" w:cs="Times New Roman"/>
          <w:sz w:val="20"/>
          <w:szCs w:val="20"/>
          <w:lang w:val="fr-CA" w:eastAsia="en-CA"/>
        </w:rPr>
        <w:br w:type="page"/>
      </w:r>
    </w:p>
    <w:p w:rsidR="008859F1" w:rsidRPr="00104AB5" w:rsidRDefault="00A91469" w:rsidP="008859F1">
      <w:pPr>
        <w:rPr>
          <w:b/>
          <w:sz w:val="20"/>
          <w:szCs w:val="20"/>
        </w:rPr>
      </w:pPr>
      <w:r w:rsidRPr="00104AB5">
        <w:rPr>
          <w:b/>
          <w:sz w:val="20"/>
          <w:szCs w:val="20"/>
        </w:rPr>
        <w:lastRenderedPageBreak/>
        <w:t>OCTOBER</w:t>
      </w:r>
      <w:r w:rsidR="008859F1" w:rsidRPr="00104AB5">
        <w:rPr>
          <w:b/>
          <w:sz w:val="20"/>
          <w:szCs w:val="20"/>
        </w:rPr>
        <w:t xml:space="preserve"> 1</w:t>
      </w:r>
      <w:r w:rsidRPr="00104AB5">
        <w:rPr>
          <w:b/>
          <w:sz w:val="20"/>
          <w:szCs w:val="20"/>
        </w:rPr>
        <w:t>8</w:t>
      </w:r>
      <w:r w:rsidR="008859F1" w:rsidRPr="00104AB5">
        <w:rPr>
          <w:b/>
          <w:sz w:val="20"/>
          <w:szCs w:val="20"/>
        </w:rPr>
        <w:t>, 2019 / LE 1</w:t>
      </w:r>
      <w:r w:rsidRPr="00104AB5">
        <w:rPr>
          <w:b/>
          <w:sz w:val="20"/>
          <w:szCs w:val="20"/>
        </w:rPr>
        <w:t>8</w:t>
      </w:r>
      <w:r w:rsidR="008859F1" w:rsidRPr="00104AB5">
        <w:rPr>
          <w:b/>
          <w:sz w:val="20"/>
          <w:szCs w:val="20"/>
        </w:rPr>
        <w:t xml:space="preserve"> </w:t>
      </w:r>
      <w:r w:rsidRPr="00104AB5">
        <w:rPr>
          <w:b/>
          <w:sz w:val="20"/>
          <w:szCs w:val="20"/>
        </w:rPr>
        <w:t>OCTOBRE</w:t>
      </w:r>
      <w:r w:rsidR="008859F1" w:rsidRPr="00104AB5">
        <w:rPr>
          <w:b/>
          <w:sz w:val="20"/>
          <w:szCs w:val="20"/>
        </w:rPr>
        <w:t xml:space="preserve"> 2019</w:t>
      </w:r>
    </w:p>
    <w:p w:rsidR="00102792" w:rsidRPr="00104AB5"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104AB5" w:rsidTr="002534CE">
        <w:tc>
          <w:tcPr>
            <w:tcW w:w="4804" w:type="dxa"/>
          </w:tcPr>
          <w:p w:rsidR="002534CE" w:rsidRPr="00104AB5" w:rsidRDefault="002534CE" w:rsidP="00BB3F8C">
            <w:pPr>
              <w:spacing w:line="232" w:lineRule="auto"/>
              <w:jc w:val="both"/>
              <w:rPr>
                <w:rFonts w:cs="Times New Roman"/>
                <w:b/>
                <w:sz w:val="20"/>
                <w:szCs w:val="24"/>
              </w:rPr>
            </w:pPr>
            <w:r w:rsidRPr="00104AB5">
              <w:rPr>
                <w:rFonts w:cs="Times New Roman"/>
                <w:b/>
                <w:sz w:val="20"/>
                <w:szCs w:val="24"/>
              </w:rPr>
              <w:t>Motion o</w:t>
            </w:r>
            <w:r w:rsidR="00BB3F8C" w:rsidRPr="00104AB5">
              <w:rPr>
                <w:rFonts w:cs="Times New Roman"/>
                <w:b/>
                <w:sz w:val="20"/>
                <w:szCs w:val="24"/>
              </w:rPr>
              <w:t>f stay of execution</w:t>
            </w:r>
          </w:p>
        </w:tc>
        <w:tc>
          <w:tcPr>
            <w:tcW w:w="4805" w:type="dxa"/>
          </w:tcPr>
          <w:p w:rsidR="002534CE" w:rsidRPr="00104AB5" w:rsidRDefault="002534CE" w:rsidP="00BB3F8C">
            <w:pPr>
              <w:spacing w:line="232" w:lineRule="auto"/>
              <w:jc w:val="both"/>
              <w:rPr>
                <w:rFonts w:cs="Times New Roman"/>
                <w:b/>
                <w:sz w:val="20"/>
                <w:szCs w:val="24"/>
                <w:lang w:val="fr-CA"/>
              </w:rPr>
            </w:pPr>
            <w:r w:rsidRPr="00104AB5">
              <w:rPr>
                <w:rFonts w:cs="Times New Roman"/>
                <w:b/>
                <w:sz w:val="20"/>
                <w:szCs w:val="24"/>
                <w:lang w:val="fr-CA"/>
              </w:rPr>
              <w:t xml:space="preserve">Requête en </w:t>
            </w:r>
            <w:r w:rsidR="00BB3F8C" w:rsidRPr="00104AB5">
              <w:rPr>
                <w:rFonts w:cs="Times New Roman"/>
                <w:b/>
                <w:sz w:val="20"/>
                <w:szCs w:val="24"/>
                <w:lang w:val="fr-CA"/>
              </w:rPr>
              <w:t>sursis d’exécution</w:t>
            </w:r>
            <w:r w:rsidRPr="00104AB5">
              <w:rPr>
                <w:rFonts w:cs="Times New Roman"/>
                <w:b/>
                <w:sz w:val="20"/>
                <w:szCs w:val="24"/>
                <w:lang w:val="fr-CA"/>
              </w:rPr>
              <w:t xml:space="preserve"> </w:t>
            </w:r>
          </w:p>
        </w:tc>
      </w:tr>
    </w:tbl>
    <w:p w:rsidR="00102792" w:rsidRPr="00104AB5" w:rsidRDefault="00102792" w:rsidP="00102792">
      <w:pPr>
        <w:spacing w:line="232" w:lineRule="auto"/>
        <w:jc w:val="both"/>
        <w:rPr>
          <w:rFonts w:cs="Times New Roman"/>
          <w:sz w:val="20"/>
          <w:szCs w:val="24"/>
          <w:lang w:val="fr-CA"/>
        </w:rPr>
      </w:pPr>
    </w:p>
    <w:p w:rsidR="00A91469" w:rsidRPr="00104AB5" w:rsidRDefault="00A91469" w:rsidP="00A91469">
      <w:pPr>
        <w:jc w:val="both"/>
        <w:rPr>
          <w:rFonts w:cs="Times New Roman"/>
          <w:b/>
          <w:sz w:val="20"/>
          <w:szCs w:val="20"/>
          <w:lang w:val="en-US"/>
        </w:rPr>
      </w:pPr>
      <w:r w:rsidRPr="00104AB5">
        <w:rPr>
          <w:rFonts w:cs="Times New Roman"/>
          <w:b/>
          <w:caps/>
          <w:sz w:val="20"/>
          <w:szCs w:val="20"/>
          <w:lang w:val="en-US"/>
        </w:rPr>
        <w:t>IBC Advanced Technologies Inc. and Steven Izatt</w:t>
      </w:r>
      <w:r w:rsidRPr="00104AB5">
        <w:rPr>
          <w:rFonts w:cs="Times New Roman"/>
          <w:b/>
          <w:sz w:val="20"/>
          <w:szCs w:val="20"/>
          <w:lang w:val="en-US"/>
        </w:rPr>
        <w:t xml:space="preserve"> v. </w:t>
      </w:r>
      <w:r w:rsidRPr="00104AB5">
        <w:rPr>
          <w:rFonts w:cs="Times New Roman"/>
          <w:b/>
          <w:caps/>
          <w:sz w:val="20"/>
          <w:szCs w:val="20"/>
          <w:lang w:val="en-US"/>
        </w:rPr>
        <w:t>Ucore Rare Metals Inc.</w:t>
      </w:r>
    </w:p>
    <w:p w:rsidR="00A91469" w:rsidRPr="00104AB5" w:rsidRDefault="00A91469" w:rsidP="00A91469">
      <w:pPr>
        <w:jc w:val="both"/>
        <w:rPr>
          <w:rFonts w:cs="Times New Roman"/>
          <w:sz w:val="20"/>
          <w:szCs w:val="20"/>
          <w:lang w:val="en-US"/>
        </w:rPr>
      </w:pPr>
      <w:r w:rsidRPr="00104AB5">
        <w:rPr>
          <w:rFonts w:cs="Times New Roman"/>
          <w:sz w:val="20"/>
          <w:szCs w:val="20"/>
        </w:rPr>
        <w:t xml:space="preserve">(N.S.) (38834) </w:t>
      </w:r>
    </w:p>
    <w:p w:rsidR="00A91469" w:rsidRPr="00104AB5" w:rsidRDefault="00A91469" w:rsidP="00A91469">
      <w:pPr>
        <w:jc w:val="both"/>
        <w:rPr>
          <w:rFonts w:cs="Times New Roman"/>
          <w:sz w:val="20"/>
          <w:szCs w:val="20"/>
          <w:lang w:val="en-US"/>
        </w:rPr>
      </w:pPr>
    </w:p>
    <w:p w:rsidR="00A91469" w:rsidRPr="00104AB5" w:rsidRDefault="00A91469" w:rsidP="00A91469">
      <w:pPr>
        <w:jc w:val="both"/>
        <w:rPr>
          <w:rFonts w:cs="Times New Roman"/>
          <w:b/>
          <w:sz w:val="20"/>
          <w:szCs w:val="20"/>
        </w:rPr>
      </w:pPr>
      <w:r w:rsidRPr="00104AB5">
        <w:rPr>
          <w:rFonts w:cs="Times New Roman"/>
          <w:b/>
          <w:sz w:val="20"/>
          <w:szCs w:val="20"/>
          <w:u w:val="single"/>
        </w:rPr>
        <w:t>BROWN J.</w:t>
      </w:r>
      <w:r w:rsidRPr="00104AB5">
        <w:rPr>
          <w:rFonts w:cs="Times New Roman"/>
          <w:b/>
          <w:sz w:val="20"/>
          <w:szCs w:val="20"/>
        </w:rPr>
        <w:t>:</w:t>
      </w:r>
    </w:p>
    <w:p w:rsidR="00A91469" w:rsidRPr="00104AB5" w:rsidRDefault="00A91469" w:rsidP="00A91469">
      <w:pPr>
        <w:jc w:val="both"/>
        <w:rPr>
          <w:rFonts w:cs="Times New Roman"/>
          <w:sz w:val="20"/>
          <w:szCs w:val="20"/>
        </w:rPr>
      </w:pPr>
    </w:p>
    <w:p w:rsidR="00A91469" w:rsidRPr="00104AB5" w:rsidRDefault="00A91469" w:rsidP="00A91469">
      <w:pPr>
        <w:jc w:val="both"/>
        <w:rPr>
          <w:rFonts w:cs="Times New Roman"/>
          <w:sz w:val="20"/>
          <w:szCs w:val="20"/>
        </w:rPr>
      </w:pPr>
      <w:r w:rsidRPr="00104AB5">
        <w:rPr>
          <w:rFonts w:cs="Times New Roman"/>
          <w:b/>
          <w:sz w:val="20"/>
          <w:szCs w:val="20"/>
        </w:rPr>
        <w:t>UPON APPLICATION</w:t>
      </w:r>
      <w:r w:rsidRPr="00104AB5">
        <w:rPr>
          <w:rFonts w:cs="Times New Roman"/>
          <w:sz w:val="20"/>
          <w:szCs w:val="20"/>
        </w:rPr>
        <w:t xml:space="preserve"> by the applicants pursuant to section 65.1 of the </w:t>
      </w:r>
      <w:r w:rsidRPr="00104AB5">
        <w:rPr>
          <w:rFonts w:cs="Times New Roman"/>
          <w:i/>
          <w:sz w:val="20"/>
          <w:szCs w:val="20"/>
        </w:rPr>
        <w:t>Supreme Court Act</w:t>
      </w:r>
      <w:r w:rsidRPr="00104AB5">
        <w:rPr>
          <w:rFonts w:cs="Times New Roman"/>
          <w:sz w:val="20"/>
          <w:szCs w:val="20"/>
        </w:rPr>
        <w:t xml:space="preserve"> and Rules 6 and 62 of the </w:t>
      </w:r>
      <w:r w:rsidRPr="00104AB5">
        <w:rPr>
          <w:rFonts w:cs="Times New Roman"/>
          <w:i/>
          <w:sz w:val="20"/>
          <w:szCs w:val="20"/>
        </w:rPr>
        <w:t>Rules of the Supreme Court of Canada</w:t>
      </w:r>
      <w:r w:rsidRPr="00104AB5">
        <w:rPr>
          <w:rFonts w:cs="Times New Roman"/>
          <w:sz w:val="20"/>
          <w:szCs w:val="20"/>
        </w:rPr>
        <w:t xml:space="preserve"> for an order:</w:t>
      </w:r>
    </w:p>
    <w:p w:rsidR="00A91469" w:rsidRPr="00104AB5" w:rsidRDefault="00A91469" w:rsidP="00A91469">
      <w:pPr>
        <w:jc w:val="both"/>
        <w:rPr>
          <w:rFonts w:cs="Times New Roman"/>
          <w:sz w:val="20"/>
          <w:szCs w:val="20"/>
        </w:rPr>
      </w:pPr>
    </w:p>
    <w:p w:rsidR="00A91469" w:rsidRPr="00104AB5" w:rsidRDefault="00A91469" w:rsidP="005F79BB">
      <w:pPr>
        <w:pStyle w:val="ListParagraph"/>
        <w:numPr>
          <w:ilvl w:val="0"/>
          <w:numId w:val="2"/>
        </w:numPr>
        <w:jc w:val="both"/>
        <w:rPr>
          <w:rFonts w:cs="Times New Roman"/>
          <w:sz w:val="20"/>
          <w:szCs w:val="20"/>
        </w:rPr>
      </w:pPr>
      <w:r w:rsidRPr="00104AB5">
        <w:rPr>
          <w:rFonts w:cs="Times New Roman"/>
          <w:sz w:val="20"/>
          <w:szCs w:val="20"/>
        </w:rPr>
        <w:t>staying the order of the Supreme Court of Nova Scotia, Number 483216, 2019 NSSC 132, dated April 23, 2019, until fifteen (15) business days after the decision on the application for leave to appeal or, if leave to appeal is granted, until the appeal is disposed of;</w:t>
      </w:r>
    </w:p>
    <w:p w:rsidR="00A91469" w:rsidRPr="00104AB5" w:rsidRDefault="00A91469" w:rsidP="00A91469">
      <w:pPr>
        <w:pStyle w:val="ListParagraph"/>
        <w:jc w:val="both"/>
        <w:rPr>
          <w:rFonts w:cs="Times New Roman"/>
          <w:sz w:val="20"/>
          <w:szCs w:val="20"/>
        </w:rPr>
      </w:pPr>
    </w:p>
    <w:p w:rsidR="00A91469" w:rsidRPr="00104AB5" w:rsidRDefault="00A91469" w:rsidP="005F79BB">
      <w:pPr>
        <w:pStyle w:val="ListParagraph"/>
        <w:numPr>
          <w:ilvl w:val="0"/>
          <w:numId w:val="2"/>
        </w:numPr>
        <w:jc w:val="both"/>
        <w:rPr>
          <w:rFonts w:cs="Times New Roman"/>
          <w:sz w:val="20"/>
          <w:szCs w:val="20"/>
        </w:rPr>
      </w:pPr>
      <w:r w:rsidRPr="00104AB5">
        <w:rPr>
          <w:rFonts w:cs="Times New Roman"/>
          <w:sz w:val="20"/>
          <w:szCs w:val="20"/>
        </w:rPr>
        <w:t>staying the order of the Court of Appeal of Nova Scotia, Number CA 487418, 2019 NSCA 80, dated October 9, 2019, until fifteen (15) business days after the decision on the application for leave to appeal or, if leave to appeal is granted, until the appeal is disposed of;</w:t>
      </w:r>
    </w:p>
    <w:p w:rsidR="00A91469" w:rsidRPr="00104AB5" w:rsidRDefault="00A91469" w:rsidP="00A91469">
      <w:pPr>
        <w:pStyle w:val="ListParagraph"/>
        <w:rPr>
          <w:rFonts w:cs="Times New Roman"/>
          <w:sz w:val="20"/>
          <w:szCs w:val="20"/>
        </w:rPr>
      </w:pPr>
    </w:p>
    <w:p w:rsidR="00A91469" w:rsidRPr="00104AB5" w:rsidRDefault="00A91469" w:rsidP="005F79BB">
      <w:pPr>
        <w:pStyle w:val="ListParagraph"/>
        <w:numPr>
          <w:ilvl w:val="0"/>
          <w:numId w:val="2"/>
        </w:numPr>
        <w:jc w:val="both"/>
        <w:rPr>
          <w:rFonts w:cs="Times New Roman"/>
          <w:sz w:val="20"/>
          <w:szCs w:val="20"/>
        </w:rPr>
      </w:pPr>
      <w:r w:rsidRPr="00104AB5">
        <w:rPr>
          <w:rFonts w:cs="Times New Roman"/>
          <w:sz w:val="20"/>
          <w:szCs w:val="20"/>
        </w:rPr>
        <w:t>staying the proceedings in the Supreme Court of Nova Scotia, Number 483216, until fifteen (15) business days after the decision on the application for leave to appeal or, if leave to appeal is granted, until the appeal is disposed of;</w:t>
      </w:r>
    </w:p>
    <w:p w:rsidR="00A91469" w:rsidRPr="00104AB5" w:rsidRDefault="00A91469" w:rsidP="00A91469">
      <w:pPr>
        <w:jc w:val="both"/>
        <w:rPr>
          <w:rFonts w:cs="Times New Roman"/>
          <w:sz w:val="20"/>
          <w:szCs w:val="20"/>
        </w:rPr>
      </w:pPr>
    </w:p>
    <w:p w:rsidR="00A91469" w:rsidRPr="00104AB5" w:rsidRDefault="00A91469" w:rsidP="005F79BB">
      <w:pPr>
        <w:pStyle w:val="ListParagraph"/>
        <w:numPr>
          <w:ilvl w:val="0"/>
          <w:numId w:val="2"/>
        </w:numPr>
        <w:jc w:val="both"/>
        <w:rPr>
          <w:rFonts w:cs="Times New Roman"/>
          <w:sz w:val="20"/>
          <w:szCs w:val="20"/>
        </w:rPr>
      </w:pPr>
      <w:r w:rsidRPr="00104AB5">
        <w:rPr>
          <w:rFonts w:cs="Times New Roman"/>
          <w:sz w:val="20"/>
          <w:szCs w:val="20"/>
        </w:rPr>
        <w:t>abridging the respondent</w:t>
      </w:r>
      <w:r w:rsidRPr="00104AB5">
        <w:rPr>
          <w:rFonts w:cs="Times New Roman"/>
          <w:sz w:val="20"/>
          <w:szCs w:val="20"/>
          <w:lang w:val="en-US"/>
        </w:rPr>
        <w:t>’s deadline to serve and file a response to the motion for a stay of execution to October 17, 2019, 4 p.m., and the applicants’ deadline to serve and file a reply to the response to October 18, 2019, 12 p.m.;</w:t>
      </w:r>
    </w:p>
    <w:p w:rsidR="00A91469" w:rsidRPr="00104AB5" w:rsidRDefault="00A91469" w:rsidP="00A91469">
      <w:pPr>
        <w:jc w:val="both"/>
        <w:rPr>
          <w:rFonts w:cs="Times New Roman"/>
          <w:sz w:val="20"/>
          <w:szCs w:val="20"/>
        </w:rPr>
      </w:pPr>
    </w:p>
    <w:p w:rsidR="00A91469" w:rsidRPr="00104AB5" w:rsidRDefault="00A91469" w:rsidP="005F79BB">
      <w:pPr>
        <w:pStyle w:val="ListParagraph"/>
        <w:numPr>
          <w:ilvl w:val="0"/>
          <w:numId w:val="2"/>
        </w:numPr>
        <w:jc w:val="both"/>
        <w:rPr>
          <w:rFonts w:cs="Times New Roman"/>
          <w:sz w:val="20"/>
          <w:szCs w:val="20"/>
          <w:lang w:val="en-US"/>
        </w:rPr>
      </w:pPr>
      <w:r w:rsidRPr="00104AB5">
        <w:rPr>
          <w:rFonts w:cs="Times New Roman"/>
          <w:sz w:val="20"/>
          <w:szCs w:val="20"/>
        </w:rPr>
        <w:t>in the alternative, for an interim order staying the order of the Court of Appeal of Nova Scotia, Number 487418, 2019 NSCA 80, dated October 9, 2019, pending the determination of the motion for stay of execution</w:t>
      </w:r>
      <w:r w:rsidRPr="00104AB5">
        <w:rPr>
          <w:rFonts w:cs="Times New Roman"/>
          <w:sz w:val="20"/>
          <w:szCs w:val="20"/>
          <w:lang w:val="en-US"/>
        </w:rPr>
        <w:t>;</w:t>
      </w:r>
    </w:p>
    <w:p w:rsidR="00A91469" w:rsidRPr="00104AB5" w:rsidRDefault="00A91469" w:rsidP="00A91469">
      <w:pPr>
        <w:jc w:val="both"/>
        <w:rPr>
          <w:rFonts w:cs="Times New Roman"/>
          <w:sz w:val="20"/>
          <w:szCs w:val="20"/>
          <w:lang w:val="en-US"/>
        </w:rPr>
      </w:pPr>
    </w:p>
    <w:p w:rsidR="00A91469" w:rsidRPr="00104AB5" w:rsidRDefault="00A91469" w:rsidP="00A91469">
      <w:pPr>
        <w:jc w:val="both"/>
        <w:rPr>
          <w:rFonts w:cs="Times New Roman"/>
          <w:sz w:val="20"/>
          <w:szCs w:val="20"/>
        </w:rPr>
      </w:pPr>
      <w:r w:rsidRPr="00104AB5">
        <w:rPr>
          <w:rFonts w:cs="Times New Roman"/>
          <w:b/>
          <w:bCs/>
          <w:sz w:val="20"/>
          <w:szCs w:val="20"/>
        </w:rPr>
        <w:t>AND THE MATERIAL FILED</w:t>
      </w:r>
      <w:r w:rsidRPr="00104AB5">
        <w:rPr>
          <w:rFonts w:cs="Times New Roman"/>
          <w:sz w:val="20"/>
          <w:szCs w:val="20"/>
        </w:rPr>
        <w:t xml:space="preserve"> having been read;</w:t>
      </w:r>
    </w:p>
    <w:p w:rsidR="00A91469" w:rsidRPr="00104AB5" w:rsidRDefault="00A91469" w:rsidP="00A91469">
      <w:pPr>
        <w:jc w:val="both"/>
        <w:rPr>
          <w:rFonts w:cs="Times New Roman"/>
          <w:sz w:val="20"/>
          <w:szCs w:val="20"/>
        </w:rPr>
      </w:pPr>
    </w:p>
    <w:p w:rsidR="00A91469" w:rsidRPr="00104AB5" w:rsidRDefault="00A91469" w:rsidP="00A91469">
      <w:pPr>
        <w:jc w:val="both"/>
        <w:rPr>
          <w:rFonts w:cs="Times New Roman"/>
          <w:sz w:val="20"/>
          <w:szCs w:val="20"/>
        </w:rPr>
      </w:pPr>
      <w:r w:rsidRPr="00104AB5">
        <w:rPr>
          <w:rFonts w:cs="Times New Roman"/>
          <w:b/>
          <w:sz w:val="20"/>
          <w:szCs w:val="20"/>
        </w:rPr>
        <w:t>IT IS HEREBY ORDERED THAT</w:t>
      </w:r>
      <w:r w:rsidRPr="00104AB5">
        <w:rPr>
          <w:rFonts w:cs="Times New Roman"/>
          <w:sz w:val="20"/>
          <w:szCs w:val="20"/>
        </w:rPr>
        <w:t>:</w:t>
      </w:r>
    </w:p>
    <w:p w:rsidR="00A91469" w:rsidRPr="00104AB5" w:rsidRDefault="00A91469" w:rsidP="00A91469">
      <w:pPr>
        <w:jc w:val="both"/>
        <w:rPr>
          <w:rFonts w:cs="Times New Roman"/>
          <w:sz w:val="20"/>
          <w:szCs w:val="20"/>
        </w:rPr>
      </w:pPr>
    </w:p>
    <w:p w:rsidR="00A91469" w:rsidRPr="00104AB5" w:rsidRDefault="00A91469" w:rsidP="00A91469">
      <w:pPr>
        <w:jc w:val="both"/>
        <w:rPr>
          <w:rFonts w:cs="Times New Roman"/>
          <w:sz w:val="20"/>
          <w:szCs w:val="20"/>
        </w:rPr>
      </w:pPr>
      <w:r w:rsidRPr="00104AB5">
        <w:rPr>
          <w:rFonts w:cs="Times New Roman"/>
          <w:sz w:val="20"/>
          <w:szCs w:val="20"/>
        </w:rPr>
        <w:t>The motion is dismissed.</w:t>
      </w:r>
    </w:p>
    <w:p w:rsidR="00102792" w:rsidRPr="00104AB5" w:rsidRDefault="00102792" w:rsidP="00102792">
      <w:pPr>
        <w:spacing w:line="232" w:lineRule="auto"/>
        <w:rPr>
          <w:rFonts w:cs="Times New Roman"/>
          <w:sz w:val="20"/>
          <w:szCs w:val="24"/>
          <w:lang w:val="en-US"/>
        </w:rPr>
      </w:pPr>
    </w:p>
    <w:p w:rsidR="0014374D" w:rsidRPr="00104AB5" w:rsidRDefault="0014374D" w:rsidP="0014374D">
      <w:pPr>
        <w:rPr>
          <w:rFonts w:cs="Times New Roman"/>
          <w:sz w:val="20"/>
          <w:szCs w:val="20"/>
        </w:rPr>
      </w:pPr>
    </w:p>
    <w:p w:rsidR="0014374D" w:rsidRPr="00104AB5" w:rsidRDefault="0014374D" w:rsidP="0014374D">
      <w:pPr>
        <w:rPr>
          <w:rFonts w:cs="Times New Roman"/>
          <w:sz w:val="20"/>
          <w:szCs w:val="20"/>
          <w:lang w:val="fr-CA"/>
        </w:rPr>
      </w:pPr>
      <w:r w:rsidRPr="00104AB5">
        <w:rPr>
          <w:rFonts w:cs="Times New Roman"/>
          <w:b/>
          <w:sz w:val="20"/>
          <w:szCs w:val="20"/>
          <w:lang w:val="fr-CA"/>
        </w:rPr>
        <w:t>À LA SUITE DE LA DEMANDE</w:t>
      </w:r>
      <w:r w:rsidRPr="00104AB5">
        <w:rPr>
          <w:rFonts w:cs="Times New Roman"/>
          <w:sz w:val="20"/>
          <w:szCs w:val="20"/>
          <w:lang w:val="fr-CA"/>
        </w:rPr>
        <w:t xml:space="preserve"> des demandeurs en application de l’art. 65.1 </w:t>
      </w:r>
      <w:proofErr w:type="gramStart"/>
      <w:r w:rsidRPr="00104AB5">
        <w:rPr>
          <w:rFonts w:cs="Times New Roman"/>
          <w:sz w:val="20"/>
          <w:szCs w:val="20"/>
          <w:lang w:val="fr-CA"/>
        </w:rPr>
        <w:t>de</w:t>
      </w:r>
      <w:proofErr w:type="gramEnd"/>
      <w:r w:rsidRPr="00104AB5">
        <w:rPr>
          <w:rFonts w:cs="Times New Roman"/>
          <w:sz w:val="20"/>
          <w:szCs w:val="20"/>
          <w:lang w:val="fr-CA"/>
        </w:rPr>
        <w:t xml:space="preserve"> la </w:t>
      </w:r>
      <w:r w:rsidRPr="00104AB5">
        <w:rPr>
          <w:rFonts w:cs="Times New Roman"/>
          <w:i/>
          <w:sz w:val="20"/>
          <w:szCs w:val="20"/>
          <w:lang w:val="fr-CA"/>
        </w:rPr>
        <w:t>Loi sur la Cour suprême</w:t>
      </w:r>
      <w:r w:rsidRPr="00104AB5">
        <w:rPr>
          <w:rFonts w:cs="Times New Roman"/>
          <w:sz w:val="20"/>
          <w:szCs w:val="20"/>
          <w:lang w:val="fr-CA"/>
        </w:rPr>
        <w:t xml:space="preserve"> et des art. 6 et 62 des </w:t>
      </w:r>
      <w:r w:rsidRPr="00104AB5">
        <w:rPr>
          <w:rFonts w:cs="Times New Roman"/>
          <w:i/>
          <w:sz w:val="20"/>
          <w:szCs w:val="20"/>
          <w:lang w:val="fr-CA"/>
        </w:rPr>
        <w:t>Règles de la Cour suprême du Canada</w:t>
      </w:r>
      <w:r w:rsidRPr="00104AB5">
        <w:rPr>
          <w:rFonts w:cs="Times New Roman"/>
          <w:sz w:val="20"/>
          <w:szCs w:val="20"/>
          <w:lang w:val="fr-CA"/>
        </w:rPr>
        <w:t xml:space="preserve"> en vue :</w:t>
      </w:r>
    </w:p>
    <w:p w:rsidR="0014374D" w:rsidRPr="00104AB5" w:rsidRDefault="0014374D" w:rsidP="0014374D">
      <w:pPr>
        <w:rPr>
          <w:rFonts w:cs="Times New Roman"/>
          <w:sz w:val="20"/>
          <w:szCs w:val="20"/>
          <w:lang w:val="fr-CA"/>
        </w:rPr>
      </w:pPr>
    </w:p>
    <w:p w:rsidR="0014374D" w:rsidRPr="00104AB5" w:rsidRDefault="0014374D" w:rsidP="0014374D">
      <w:pPr>
        <w:pStyle w:val="ListParagraph"/>
        <w:numPr>
          <w:ilvl w:val="0"/>
          <w:numId w:val="3"/>
        </w:numPr>
        <w:rPr>
          <w:rFonts w:cs="Times New Roman"/>
          <w:sz w:val="20"/>
          <w:szCs w:val="20"/>
          <w:lang w:val="fr-CA"/>
        </w:rPr>
      </w:pPr>
      <w:r w:rsidRPr="00104AB5">
        <w:rPr>
          <w:rFonts w:cs="Times New Roman"/>
          <w:sz w:val="20"/>
          <w:szCs w:val="20"/>
          <w:lang w:val="fr-CA"/>
        </w:rPr>
        <w:t>du sursis d’exécution de l’ordonnance de la Cour suprême de la Nouvelle-Écosse, numéro 483216, 2019 NSSC 132, datée du 23 avril 2019, jusqu’au quinzième (15</w:t>
      </w:r>
      <w:r w:rsidRPr="00104AB5">
        <w:rPr>
          <w:rFonts w:cs="Times New Roman"/>
          <w:sz w:val="20"/>
          <w:szCs w:val="20"/>
          <w:vertAlign w:val="superscript"/>
          <w:lang w:val="fr-CA"/>
        </w:rPr>
        <w:t>e</w:t>
      </w:r>
      <w:r w:rsidRPr="00104AB5">
        <w:rPr>
          <w:rFonts w:cs="Times New Roman"/>
          <w:sz w:val="20"/>
          <w:szCs w:val="20"/>
          <w:lang w:val="fr-CA"/>
        </w:rPr>
        <w:t>) jour ouvrable après la décision sur la demande d’autorisation d’appel ou, si l’autorisation est accordée, jusqu’au moment où il sera disposé du pourvoi;</w:t>
      </w:r>
    </w:p>
    <w:p w:rsidR="0014374D" w:rsidRPr="00104AB5" w:rsidRDefault="0014374D" w:rsidP="0014374D">
      <w:pPr>
        <w:pStyle w:val="ListParagraph"/>
        <w:rPr>
          <w:rFonts w:cs="Times New Roman"/>
          <w:sz w:val="20"/>
          <w:szCs w:val="20"/>
          <w:lang w:val="fr-CA"/>
        </w:rPr>
      </w:pPr>
    </w:p>
    <w:p w:rsidR="0014374D" w:rsidRPr="00104AB5" w:rsidRDefault="0014374D" w:rsidP="0014374D">
      <w:pPr>
        <w:pStyle w:val="ListParagraph"/>
        <w:numPr>
          <w:ilvl w:val="0"/>
          <w:numId w:val="3"/>
        </w:numPr>
        <w:rPr>
          <w:rFonts w:cs="Times New Roman"/>
          <w:sz w:val="20"/>
          <w:szCs w:val="20"/>
          <w:lang w:val="fr-CA"/>
        </w:rPr>
      </w:pPr>
      <w:r w:rsidRPr="00104AB5">
        <w:rPr>
          <w:rFonts w:cs="Times New Roman"/>
          <w:sz w:val="20"/>
          <w:szCs w:val="20"/>
          <w:lang w:val="fr-CA"/>
        </w:rPr>
        <w:t>du sursis d’exécution de l’ordonnance de la Cour d’appel de la Nouvelle-Écosse, numéro CA 487418, 2019 NSCA 80, datée du 9 octobre 2019, jusqu’au quinzième (15</w:t>
      </w:r>
      <w:r w:rsidRPr="00104AB5">
        <w:rPr>
          <w:rFonts w:cs="Times New Roman"/>
          <w:sz w:val="20"/>
          <w:szCs w:val="20"/>
          <w:vertAlign w:val="superscript"/>
          <w:lang w:val="fr-CA"/>
        </w:rPr>
        <w:t>e</w:t>
      </w:r>
      <w:r w:rsidRPr="00104AB5">
        <w:rPr>
          <w:rFonts w:cs="Times New Roman"/>
          <w:sz w:val="20"/>
          <w:szCs w:val="20"/>
          <w:lang w:val="fr-CA"/>
        </w:rPr>
        <w:t xml:space="preserve">) jour ouvrable après la décision sur la demande d’autorisation d’appel ou, si l’autorisation est accordée, jusqu’au moment où il sera disposé du pourvoi; </w:t>
      </w:r>
    </w:p>
    <w:p w:rsidR="0014374D" w:rsidRPr="00104AB5" w:rsidRDefault="0014374D" w:rsidP="0014374D">
      <w:pPr>
        <w:pStyle w:val="ListParagraph"/>
        <w:rPr>
          <w:rFonts w:cs="Times New Roman"/>
          <w:sz w:val="20"/>
          <w:szCs w:val="20"/>
          <w:lang w:val="fr-CA"/>
        </w:rPr>
      </w:pPr>
    </w:p>
    <w:p w:rsidR="0014374D" w:rsidRPr="00104AB5" w:rsidRDefault="0014374D" w:rsidP="0014374D">
      <w:pPr>
        <w:pStyle w:val="ListParagraph"/>
        <w:numPr>
          <w:ilvl w:val="0"/>
          <w:numId w:val="3"/>
        </w:numPr>
        <w:rPr>
          <w:rFonts w:cs="Times New Roman"/>
          <w:sz w:val="20"/>
          <w:szCs w:val="20"/>
          <w:lang w:val="fr-CA"/>
        </w:rPr>
      </w:pPr>
      <w:r w:rsidRPr="00104AB5">
        <w:rPr>
          <w:rFonts w:cs="Times New Roman"/>
          <w:sz w:val="20"/>
          <w:szCs w:val="20"/>
          <w:lang w:val="fr-CA"/>
        </w:rPr>
        <w:t>du sursis des procédures devant la Cour suprême de la Nouvelle-Écosse, numéro 483216, jusqu’au quinzième (15</w:t>
      </w:r>
      <w:r w:rsidRPr="00104AB5">
        <w:rPr>
          <w:rFonts w:cs="Times New Roman"/>
          <w:sz w:val="20"/>
          <w:szCs w:val="20"/>
          <w:vertAlign w:val="superscript"/>
          <w:lang w:val="fr-CA"/>
        </w:rPr>
        <w:t>e</w:t>
      </w:r>
      <w:r w:rsidRPr="00104AB5">
        <w:rPr>
          <w:rFonts w:cs="Times New Roman"/>
          <w:sz w:val="20"/>
          <w:szCs w:val="20"/>
          <w:lang w:val="fr-CA"/>
        </w:rPr>
        <w:t>) jour ouvrable après la décision sur la demande d’autorisation d’appel ou, si l’autorisation est accordée, jusqu’au moment où il sera disposé du pourvoi;</w:t>
      </w:r>
    </w:p>
    <w:p w:rsidR="0014374D" w:rsidRPr="00104AB5" w:rsidRDefault="0014374D" w:rsidP="0014374D">
      <w:pPr>
        <w:pStyle w:val="ListParagraph"/>
        <w:rPr>
          <w:rFonts w:cs="Times New Roman"/>
          <w:sz w:val="20"/>
          <w:szCs w:val="20"/>
          <w:lang w:val="fr-CA"/>
        </w:rPr>
      </w:pPr>
    </w:p>
    <w:p w:rsidR="0014374D" w:rsidRPr="00104AB5" w:rsidRDefault="0014374D" w:rsidP="0014374D">
      <w:pPr>
        <w:pStyle w:val="ListParagraph"/>
        <w:numPr>
          <w:ilvl w:val="0"/>
          <w:numId w:val="3"/>
        </w:numPr>
        <w:rPr>
          <w:rFonts w:cs="Times New Roman"/>
          <w:sz w:val="20"/>
          <w:szCs w:val="20"/>
          <w:lang w:val="fr-CA"/>
        </w:rPr>
      </w:pPr>
      <w:r w:rsidRPr="00104AB5">
        <w:rPr>
          <w:rFonts w:cs="Times New Roman"/>
          <w:sz w:val="20"/>
          <w:szCs w:val="20"/>
          <w:lang w:val="fr-CA"/>
        </w:rPr>
        <w:lastRenderedPageBreak/>
        <w:t xml:space="preserve">de l’abrègement du délai dont dispose l’intimée pour signifier et déposer une réponse à la requête en sursis d’exécution au 17 octobre 2019, 16 h, et du délai dont disposent les demandeurs pour signifier et déposer une réplique au 18 octobre 2019, 12 h; </w:t>
      </w:r>
    </w:p>
    <w:p w:rsidR="0014374D" w:rsidRPr="00104AB5" w:rsidRDefault="0014374D" w:rsidP="0014374D">
      <w:pPr>
        <w:pStyle w:val="ListParagraph"/>
        <w:rPr>
          <w:rFonts w:cs="Times New Roman"/>
          <w:sz w:val="20"/>
          <w:szCs w:val="20"/>
          <w:lang w:val="fr-CA"/>
        </w:rPr>
      </w:pPr>
    </w:p>
    <w:p w:rsidR="0014374D" w:rsidRPr="00104AB5" w:rsidRDefault="0014374D" w:rsidP="0014374D">
      <w:pPr>
        <w:pStyle w:val="ListParagraph"/>
        <w:numPr>
          <w:ilvl w:val="0"/>
          <w:numId w:val="3"/>
        </w:numPr>
        <w:rPr>
          <w:rFonts w:cs="Times New Roman"/>
          <w:sz w:val="20"/>
          <w:szCs w:val="20"/>
          <w:lang w:val="fr-CA"/>
        </w:rPr>
      </w:pPr>
      <w:r w:rsidRPr="00104AB5">
        <w:rPr>
          <w:rFonts w:cs="Times New Roman"/>
          <w:sz w:val="20"/>
          <w:szCs w:val="20"/>
          <w:lang w:val="fr-CA"/>
        </w:rPr>
        <w:t>subsidiairement, du prononcé d’une ordonnance intérimaire de sursis de l’ordonnance de la Cour d’appel de la Nouvelle-Écosse, numéro CA 487418, 2019 NSCA 80, datée du 9 octobre 2019, en attendant qu’il soit statué sur la requête en sursis d’exécution;</w:t>
      </w:r>
    </w:p>
    <w:p w:rsidR="0014374D" w:rsidRPr="00104AB5" w:rsidRDefault="0014374D" w:rsidP="0014374D">
      <w:pPr>
        <w:rPr>
          <w:rFonts w:cs="Times New Roman"/>
          <w:sz w:val="20"/>
          <w:szCs w:val="20"/>
          <w:lang w:val="fr-CA"/>
        </w:rPr>
      </w:pPr>
    </w:p>
    <w:p w:rsidR="0014374D" w:rsidRPr="00104AB5" w:rsidRDefault="0014374D" w:rsidP="0014374D">
      <w:pPr>
        <w:rPr>
          <w:rFonts w:cs="Times New Roman"/>
          <w:sz w:val="20"/>
          <w:szCs w:val="20"/>
          <w:lang w:val="fr-CA"/>
        </w:rPr>
      </w:pPr>
      <w:r w:rsidRPr="00104AB5">
        <w:rPr>
          <w:rFonts w:cs="Times New Roman"/>
          <w:b/>
          <w:sz w:val="20"/>
          <w:szCs w:val="20"/>
          <w:lang w:val="fr-CA"/>
        </w:rPr>
        <w:t>ET APRÈS EXAMEN</w:t>
      </w:r>
      <w:r w:rsidRPr="00104AB5">
        <w:rPr>
          <w:rFonts w:cs="Times New Roman"/>
          <w:sz w:val="20"/>
          <w:szCs w:val="20"/>
          <w:lang w:val="fr-CA"/>
        </w:rPr>
        <w:t xml:space="preserve"> des documents déposés;</w:t>
      </w:r>
    </w:p>
    <w:p w:rsidR="0014374D" w:rsidRPr="00104AB5" w:rsidRDefault="0014374D" w:rsidP="0014374D">
      <w:pPr>
        <w:rPr>
          <w:rFonts w:cs="Times New Roman"/>
          <w:sz w:val="20"/>
          <w:szCs w:val="20"/>
          <w:lang w:val="fr-CA"/>
        </w:rPr>
      </w:pPr>
    </w:p>
    <w:p w:rsidR="0014374D" w:rsidRPr="00104AB5" w:rsidRDefault="0014374D" w:rsidP="0014374D">
      <w:pPr>
        <w:rPr>
          <w:rFonts w:cs="Times New Roman"/>
          <w:b/>
          <w:sz w:val="20"/>
          <w:szCs w:val="20"/>
          <w:lang w:val="fr-CA"/>
        </w:rPr>
      </w:pPr>
      <w:r w:rsidRPr="00104AB5">
        <w:rPr>
          <w:rFonts w:cs="Times New Roman"/>
          <w:b/>
          <w:sz w:val="20"/>
          <w:szCs w:val="20"/>
          <w:lang w:val="fr-CA"/>
        </w:rPr>
        <w:t>IL EST ORDONNÉ CE QUI SUIT :</w:t>
      </w:r>
    </w:p>
    <w:p w:rsidR="0014374D" w:rsidRPr="00104AB5" w:rsidRDefault="0014374D" w:rsidP="0014374D">
      <w:pPr>
        <w:rPr>
          <w:rFonts w:cs="Times New Roman"/>
          <w:sz w:val="20"/>
          <w:szCs w:val="20"/>
          <w:lang w:val="fr-CA"/>
        </w:rPr>
      </w:pPr>
    </w:p>
    <w:p w:rsidR="0014374D" w:rsidRPr="00104AB5" w:rsidRDefault="0014374D" w:rsidP="0014374D">
      <w:pPr>
        <w:rPr>
          <w:rFonts w:cs="Times New Roman"/>
          <w:sz w:val="20"/>
          <w:szCs w:val="20"/>
          <w:lang w:val="fr-CA"/>
        </w:rPr>
      </w:pPr>
      <w:r w:rsidRPr="00104AB5">
        <w:rPr>
          <w:rFonts w:cs="Times New Roman"/>
          <w:sz w:val="20"/>
          <w:szCs w:val="20"/>
          <w:lang w:val="fr-CA"/>
        </w:rPr>
        <w:t>La requête est rejetée.</w:t>
      </w:r>
    </w:p>
    <w:p w:rsidR="00102792" w:rsidRPr="00104AB5" w:rsidRDefault="00102792" w:rsidP="00102792">
      <w:pPr>
        <w:widowControl w:val="0"/>
        <w:rPr>
          <w:rFonts w:eastAsia="Times New Roman" w:cs="Times New Roman"/>
          <w:sz w:val="20"/>
          <w:szCs w:val="20"/>
          <w:lang w:val="en-US" w:eastAsia="en-CA"/>
        </w:rPr>
      </w:pPr>
    </w:p>
    <w:p w:rsidR="00CA2DEA" w:rsidRPr="00104AB5" w:rsidRDefault="00B54B7D" w:rsidP="00102792">
      <w:pPr>
        <w:widowControl w:val="0"/>
        <w:rPr>
          <w:rFonts w:eastAsia="Times New Roman" w:cs="Times New Roman"/>
          <w:sz w:val="20"/>
          <w:szCs w:val="20"/>
          <w:lang w:val="en-US" w:eastAsia="en-CA"/>
        </w:rPr>
      </w:pPr>
      <w:r w:rsidRPr="00104AB5">
        <w:rPr>
          <w:rFonts w:eastAsia="Times New Roman" w:cs="Times New Roman"/>
          <w:sz w:val="20"/>
          <w:szCs w:val="20"/>
          <w:lang w:val="fr-CA" w:eastAsia="en-CA"/>
        </w:rPr>
        <w:pict>
          <v:rect id="_x0000_i1055" style="width:2in;height:1pt" o:hrpct="0" o:hralign="center" o:hrstd="t" o:hrnoshade="t" o:hr="t" fillcolor="black [3213]" stroked="f"/>
        </w:pict>
      </w:r>
    </w:p>
    <w:p w:rsidR="00CA2DEA" w:rsidRPr="00104AB5" w:rsidRDefault="00CA2DEA" w:rsidP="00CA2DEA">
      <w:pPr>
        <w:widowControl w:val="0"/>
        <w:rPr>
          <w:rFonts w:eastAsia="Times New Roman" w:cs="Times New Roman"/>
          <w:sz w:val="20"/>
          <w:szCs w:val="20"/>
          <w:lang w:val="en-US" w:eastAsia="en-CA"/>
        </w:rPr>
      </w:pPr>
    </w:p>
    <w:p w:rsidR="0014374D" w:rsidRPr="00104AB5" w:rsidRDefault="0014374D" w:rsidP="00CA2DEA">
      <w:pPr>
        <w:widowControl w:val="0"/>
        <w:rPr>
          <w:rFonts w:eastAsia="Times New Roman" w:cs="Times New Roman"/>
          <w:sz w:val="20"/>
          <w:szCs w:val="20"/>
          <w:lang w:val="en-US" w:eastAsia="en-CA"/>
        </w:rPr>
      </w:pPr>
    </w:p>
    <w:p w:rsidR="00F84632" w:rsidRPr="00104AB5" w:rsidRDefault="00F84632">
      <w:pPr>
        <w:rPr>
          <w:sz w:val="20"/>
          <w:szCs w:val="20"/>
          <w:lang w:val="fr-CA"/>
        </w:rPr>
      </w:pPr>
      <w:r w:rsidRPr="00104AB5">
        <w:rPr>
          <w:sz w:val="20"/>
          <w:szCs w:val="20"/>
          <w:lang w:val="fr-CA"/>
        </w:rPr>
        <w:br w:type="page"/>
      </w:r>
    </w:p>
    <w:p w:rsidR="00F84632" w:rsidRPr="00104AB5" w:rsidRDefault="00F84632" w:rsidP="00F84632">
      <w:pPr>
        <w:rPr>
          <w:b/>
          <w:sz w:val="20"/>
          <w:szCs w:val="20"/>
        </w:rPr>
      </w:pPr>
      <w:r w:rsidRPr="00104AB5">
        <w:rPr>
          <w:b/>
          <w:sz w:val="20"/>
          <w:szCs w:val="20"/>
        </w:rPr>
        <w:lastRenderedPageBreak/>
        <w:t xml:space="preserve">OCTOBER </w:t>
      </w:r>
      <w:r w:rsidR="00904C54" w:rsidRPr="00104AB5">
        <w:rPr>
          <w:b/>
          <w:sz w:val="20"/>
          <w:szCs w:val="20"/>
        </w:rPr>
        <w:t>2</w:t>
      </w:r>
      <w:r w:rsidRPr="00104AB5">
        <w:rPr>
          <w:b/>
          <w:sz w:val="20"/>
          <w:szCs w:val="20"/>
        </w:rPr>
        <w:t xml:space="preserve">1, 2019 / LE </w:t>
      </w:r>
      <w:r w:rsidR="00904C54" w:rsidRPr="00104AB5">
        <w:rPr>
          <w:b/>
          <w:sz w:val="20"/>
          <w:szCs w:val="20"/>
        </w:rPr>
        <w:t>2</w:t>
      </w:r>
      <w:r w:rsidRPr="00104AB5">
        <w:rPr>
          <w:b/>
          <w:sz w:val="20"/>
          <w:szCs w:val="20"/>
        </w:rPr>
        <w:t>1 OCTOBRE 2019</w:t>
      </w:r>
    </w:p>
    <w:p w:rsidR="00F84632" w:rsidRPr="00104AB5" w:rsidRDefault="00F84632" w:rsidP="00F84632">
      <w:pPr>
        <w:spacing w:line="232" w:lineRule="auto"/>
        <w:jc w:val="both"/>
        <w:rPr>
          <w:rFonts w:cs="Times New Roman"/>
          <w:sz w:val="20"/>
          <w:szCs w:val="20"/>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F84632" w:rsidRPr="00104AB5" w:rsidTr="00C647C6">
        <w:tc>
          <w:tcPr>
            <w:tcW w:w="4804" w:type="dxa"/>
          </w:tcPr>
          <w:p w:rsidR="00F84632" w:rsidRPr="00104AB5" w:rsidRDefault="00904C54" w:rsidP="00904C54">
            <w:pPr>
              <w:spacing w:line="232" w:lineRule="auto"/>
              <w:jc w:val="both"/>
              <w:rPr>
                <w:rFonts w:cs="Times New Roman"/>
                <w:b/>
                <w:sz w:val="20"/>
                <w:szCs w:val="20"/>
              </w:rPr>
            </w:pPr>
            <w:r w:rsidRPr="00104AB5">
              <w:rPr>
                <w:rFonts w:cs="Times New Roman"/>
                <w:b/>
                <w:sz w:val="20"/>
                <w:szCs w:val="20"/>
              </w:rPr>
              <w:t>Notice of miscellaneous motion</w:t>
            </w:r>
          </w:p>
        </w:tc>
        <w:tc>
          <w:tcPr>
            <w:tcW w:w="4805" w:type="dxa"/>
          </w:tcPr>
          <w:p w:rsidR="00F84632" w:rsidRPr="00104AB5" w:rsidRDefault="00904C54" w:rsidP="00904C54">
            <w:pPr>
              <w:spacing w:line="232" w:lineRule="auto"/>
              <w:jc w:val="both"/>
              <w:rPr>
                <w:rFonts w:cs="Times New Roman"/>
                <w:b/>
                <w:sz w:val="20"/>
                <w:szCs w:val="20"/>
                <w:lang w:val="fr-CA"/>
              </w:rPr>
            </w:pPr>
            <w:r w:rsidRPr="00104AB5">
              <w:rPr>
                <w:rFonts w:cs="Times New Roman"/>
                <w:b/>
                <w:sz w:val="20"/>
                <w:szCs w:val="20"/>
                <w:lang w:val="fr-CA"/>
              </w:rPr>
              <w:t>Avis de re</w:t>
            </w:r>
            <w:r w:rsidR="00F84632" w:rsidRPr="00104AB5">
              <w:rPr>
                <w:rFonts w:cs="Times New Roman"/>
                <w:b/>
                <w:sz w:val="20"/>
                <w:szCs w:val="20"/>
                <w:lang w:val="fr-CA"/>
              </w:rPr>
              <w:t xml:space="preserve">quête </w:t>
            </w:r>
            <w:r w:rsidRPr="00104AB5">
              <w:rPr>
                <w:rFonts w:cs="Times New Roman"/>
                <w:b/>
                <w:sz w:val="20"/>
                <w:szCs w:val="20"/>
                <w:lang w:val="fr-CA"/>
              </w:rPr>
              <w:t>diverse</w:t>
            </w:r>
          </w:p>
        </w:tc>
      </w:tr>
    </w:tbl>
    <w:p w:rsidR="00F84632" w:rsidRPr="00104AB5" w:rsidRDefault="00F84632" w:rsidP="00F84632">
      <w:pPr>
        <w:spacing w:line="232" w:lineRule="auto"/>
        <w:jc w:val="both"/>
        <w:rPr>
          <w:rFonts w:cs="Times New Roman"/>
          <w:sz w:val="20"/>
          <w:szCs w:val="20"/>
          <w:lang w:val="fr-CA"/>
        </w:rPr>
      </w:pPr>
    </w:p>
    <w:p w:rsidR="00904C54" w:rsidRPr="00104AB5" w:rsidRDefault="00904C54" w:rsidP="00904C54">
      <w:pPr>
        <w:pStyle w:val="scclsocparty1"/>
        <w:rPr>
          <w:rFonts w:eastAsiaTheme="minorEastAsia"/>
          <w:b w:val="0"/>
          <w:caps/>
          <w:sz w:val="20"/>
          <w:szCs w:val="20"/>
          <w:lang w:val="fr-CA"/>
        </w:rPr>
      </w:pPr>
      <w:r w:rsidRPr="00104AB5">
        <w:rPr>
          <w:rFonts w:eastAsiaTheme="minorEastAsia"/>
          <w:caps/>
          <w:sz w:val="20"/>
          <w:szCs w:val="20"/>
          <w:lang w:val="fr-CA"/>
        </w:rPr>
        <w:t>Roger Foley</w:t>
      </w:r>
    </w:p>
    <w:p w:rsidR="00904C54" w:rsidRPr="00104AB5" w:rsidRDefault="00904C54" w:rsidP="00904C54">
      <w:pPr>
        <w:pStyle w:val="scclsocparty1"/>
        <w:rPr>
          <w:rFonts w:eastAsiaTheme="minorEastAsia"/>
          <w:b w:val="0"/>
          <w:caps/>
          <w:sz w:val="20"/>
          <w:szCs w:val="20"/>
          <w:lang w:val="fr-CA"/>
        </w:rPr>
      </w:pPr>
    </w:p>
    <w:p w:rsidR="00904C54" w:rsidRPr="00104AB5" w:rsidRDefault="00904C54" w:rsidP="00904C54">
      <w:pPr>
        <w:ind w:right="720"/>
        <w:rPr>
          <w:rFonts w:cs="Times New Roman"/>
          <w:bCs/>
          <w:sz w:val="20"/>
          <w:szCs w:val="20"/>
          <w:lang w:val="fr-CA"/>
        </w:rPr>
      </w:pPr>
      <w:r w:rsidRPr="00104AB5">
        <w:rPr>
          <w:rFonts w:cs="Times New Roman"/>
          <w:b/>
          <w:bCs/>
          <w:sz w:val="20"/>
          <w:szCs w:val="20"/>
          <w:lang w:val="fr-CA"/>
        </w:rPr>
        <w:t>v.</w:t>
      </w:r>
    </w:p>
    <w:p w:rsidR="00904C54" w:rsidRPr="00104AB5" w:rsidRDefault="00904C54" w:rsidP="00904C54">
      <w:pPr>
        <w:pStyle w:val="scclsocparty1"/>
        <w:rPr>
          <w:rFonts w:eastAsiaTheme="minorEastAsia"/>
          <w:b w:val="0"/>
          <w:caps/>
          <w:sz w:val="20"/>
          <w:szCs w:val="20"/>
          <w:lang w:val="fr-CA"/>
        </w:rPr>
      </w:pPr>
    </w:p>
    <w:p w:rsidR="00904C54" w:rsidRPr="00104AB5" w:rsidRDefault="00904C54" w:rsidP="00904C54">
      <w:pPr>
        <w:pStyle w:val="scclsocparty1"/>
        <w:rPr>
          <w:rFonts w:eastAsiaTheme="minorEastAsia"/>
          <w:b w:val="0"/>
          <w:caps/>
          <w:sz w:val="20"/>
          <w:szCs w:val="20"/>
        </w:rPr>
      </w:pPr>
      <w:r w:rsidRPr="00104AB5">
        <w:rPr>
          <w:rFonts w:eastAsiaTheme="minorEastAsia"/>
          <w:caps/>
          <w:sz w:val="20"/>
          <w:szCs w:val="20"/>
        </w:rPr>
        <w:t>Lee Carter, Hollis Johnson, William Shoichet, British Columbia Civil Liberties Association, Gloria Taylor,</w:t>
      </w:r>
      <w:r w:rsidRPr="00104AB5">
        <w:rPr>
          <w:sz w:val="20"/>
          <w:szCs w:val="20"/>
          <w:lang w:val="en"/>
        </w:rPr>
        <w:t xml:space="preserve"> </w:t>
      </w:r>
      <w:r w:rsidRPr="00104AB5">
        <w:rPr>
          <w:rFonts w:eastAsiaTheme="minorEastAsia"/>
          <w:caps/>
          <w:sz w:val="20"/>
          <w:szCs w:val="20"/>
        </w:rPr>
        <w:t>Attorney General of Canada and Attorney General of British Columbia</w:t>
      </w:r>
    </w:p>
    <w:p w:rsidR="00904C54" w:rsidRPr="00104AB5" w:rsidRDefault="00904C54" w:rsidP="00904C54">
      <w:pPr>
        <w:rPr>
          <w:rFonts w:cs="Times New Roman"/>
          <w:bCs/>
          <w:sz w:val="20"/>
          <w:szCs w:val="20"/>
        </w:rPr>
      </w:pPr>
      <w:r w:rsidRPr="00104AB5">
        <w:rPr>
          <w:rFonts w:cs="Times New Roman"/>
          <w:bCs/>
          <w:sz w:val="20"/>
          <w:szCs w:val="20"/>
        </w:rPr>
        <w:t>(B.C.)</w:t>
      </w:r>
      <w:r w:rsidRPr="00104AB5">
        <w:rPr>
          <w:sz w:val="20"/>
          <w:szCs w:val="20"/>
        </w:rPr>
        <w:t xml:space="preserve"> </w:t>
      </w:r>
      <w:r w:rsidRPr="00104AB5">
        <w:rPr>
          <w:rFonts w:cs="Times New Roman"/>
          <w:bCs/>
          <w:sz w:val="20"/>
          <w:szCs w:val="20"/>
        </w:rPr>
        <w:t xml:space="preserve">(35591) </w:t>
      </w:r>
    </w:p>
    <w:p w:rsidR="00904C54" w:rsidRPr="00104AB5" w:rsidRDefault="00904C54" w:rsidP="00904C54">
      <w:pPr>
        <w:rPr>
          <w:rFonts w:cs="Times New Roman"/>
          <w:bCs/>
          <w:sz w:val="20"/>
          <w:szCs w:val="20"/>
        </w:rPr>
      </w:pPr>
    </w:p>
    <w:p w:rsidR="00904C54" w:rsidRPr="00104AB5" w:rsidRDefault="00904C54" w:rsidP="00904C54">
      <w:pPr>
        <w:rPr>
          <w:rFonts w:cs="Times New Roman"/>
          <w:sz w:val="20"/>
          <w:szCs w:val="20"/>
        </w:rPr>
      </w:pPr>
      <w:r w:rsidRPr="00104AB5">
        <w:rPr>
          <w:rFonts w:cs="Times New Roman"/>
          <w:b/>
          <w:bCs/>
          <w:sz w:val="20"/>
          <w:szCs w:val="20"/>
          <w:u w:val="single"/>
        </w:rPr>
        <w:t>CORAM</w:t>
      </w:r>
      <w:r w:rsidRPr="00104AB5">
        <w:rPr>
          <w:rFonts w:cs="Times New Roman"/>
          <w:b/>
          <w:bCs/>
          <w:sz w:val="20"/>
          <w:szCs w:val="20"/>
        </w:rPr>
        <w:t xml:space="preserve">: </w:t>
      </w:r>
      <w:r w:rsidRPr="00104AB5">
        <w:rPr>
          <w:rFonts w:cs="Times New Roman"/>
          <w:b/>
          <w:bCs/>
          <w:caps/>
          <w:sz w:val="20"/>
          <w:szCs w:val="20"/>
        </w:rPr>
        <w:t>WAGNER C.J. AND ABELLA, MOLDAVER, Karakatsanis, CÔTÉ, BROWN, ROWE, MARTIN AND KASIRER JJ.</w:t>
      </w:r>
    </w:p>
    <w:p w:rsidR="00904C54" w:rsidRPr="00104AB5" w:rsidRDefault="00904C54" w:rsidP="00904C54">
      <w:pPr>
        <w:rPr>
          <w:rFonts w:cs="Times New Roman"/>
          <w:sz w:val="20"/>
          <w:szCs w:val="20"/>
        </w:rPr>
      </w:pPr>
    </w:p>
    <w:p w:rsidR="00904C54" w:rsidRPr="00104AB5" w:rsidRDefault="00904C54" w:rsidP="00904C54">
      <w:pPr>
        <w:rPr>
          <w:rFonts w:cs="Times New Roman"/>
          <w:sz w:val="20"/>
          <w:szCs w:val="20"/>
        </w:rPr>
      </w:pPr>
      <w:r w:rsidRPr="00104AB5">
        <w:rPr>
          <w:rFonts w:eastAsia="Times New Roman" w:cs="Times New Roman"/>
          <w:b/>
          <w:bCs/>
          <w:sz w:val="20"/>
          <w:szCs w:val="20"/>
          <w:lang w:eastAsia="en-CA"/>
        </w:rPr>
        <w:t>UPON APPLICATION</w:t>
      </w:r>
      <w:r w:rsidRPr="00104AB5">
        <w:rPr>
          <w:rFonts w:eastAsia="Times New Roman" w:cs="Times New Roman"/>
          <w:sz w:val="20"/>
          <w:szCs w:val="20"/>
          <w:lang w:eastAsia="en-CA"/>
        </w:rPr>
        <w:t xml:space="preserve"> </w:t>
      </w:r>
      <w:r w:rsidRPr="00104AB5">
        <w:rPr>
          <w:rFonts w:cs="Times New Roman"/>
          <w:sz w:val="20"/>
          <w:szCs w:val="20"/>
        </w:rPr>
        <w:t xml:space="preserve">by Roger Foley for an order, pursuant to Rule 52 of the </w:t>
      </w:r>
      <w:r w:rsidRPr="00104AB5">
        <w:rPr>
          <w:rFonts w:cs="Times New Roman"/>
          <w:i/>
          <w:sz w:val="20"/>
          <w:szCs w:val="20"/>
        </w:rPr>
        <w:t>Rules of the Supreme Court of Canada</w:t>
      </w:r>
      <w:r w:rsidRPr="00104AB5">
        <w:rPr>
          <w:rFonts w:cs="Times New Roman"/>
          <w:sz w:val="20"/>
          <w:szCs w:val="20"/>
        </w:rPr>
        <w:t xml:space="preserve">, to vacate this Court’s judgment in </w:t>
      </w:r>
      <w:r w:rsidRPr="00104AB5">
        <w:rPr>
          <w:rFonts w:cs="Times New Roman"/>
          <w:i/>
          <w:sz w:val="20"/>
          <w:szCs w:val="20"/>
        </w:rPr>
        <w:t>Carter v. Canada (Attorney General)</w:t>
      </w:r>
      <w:r w:rsidRPr="00104AB5">
        <w:rPr>
          <w:rFonts w:cs="Times New Roman"/>
          <w:sz w:val="20"/>
          <w:szCs w:val="20"/>
        </w:rPr>
        <w:t>, 2015 SCC 5, [2015] 1 S.C.R. 331;</w:t>
      </w:r>
    </w:p>
    <w:p w:rsidR="00904C54" w:rsidRPr="00104AB5" w:rsidRDefault="00904C54" w:rsidP="00904C54">
      <w:pPr>
        <w:rPr>
          <w:rFonts w:cs="Times New Roman"/>
          <w:sz w:val="20"/>
          <w:szCs w:val="20"/>
        </w:rPr>
      </w:pPr>
    </w:p>
    <w:p w:rsidR="00904C54" w:rsidRPr="00104AB5" w:rsidRDefault="00904C54" w:rsidP="00904C54">
      <w:pPr>
        <w:spacing w:line="233" w:lineRule="auto"/>
        <w:rPr>
          <w:rFonts w:cs="Times New Roman"/>
          <w:sz w:val="20"/>
          <w:szCs w:val="20"/>
        </w:rPr>
      </w:pPr>
      <w:r w:rsidRPr="00104AB5">
        <w:rPr>
          <w:rFonts w:cs="Times New Roman"/>
          <w:b/>
          <w:bCs/>
          <w:sz w:val="20"/>
          <w:szCs w:val="20"/>
        </w:rPr>
        <w:t>AND THE MATERIAL FILED</w:t>
      </w:r>
      <w:r w:rsidRPr="00104AB5">
        <w:rPr>
          <w:rFonts w:cs="Times New Roman"/>
          <w:sz w:val="20"/>
          <w:szCs w:val="20"/>
        </w:rPr>
        <w:t xml:space="preserve"> having been read;</w:t>
      </w:r>
    </w:p>
    <w:p w:rsidR="00904C54" w:rsidRPr="00104AB5" w:rsidRDefault="00904C54" w:rsidP="00904C54">
      <w:pPr>
        <w:spacing w:line="233" w:lineRule="auto"/>
        <w:rPr>
          <w:rFonts w:cs="Times New Roman"/>
          <w:sz w:val="20"/>
          <w:szCs w:val="20"/>
        </w:rPr>
      </w:pPr>
    </w:p>
    <w:p w:rsidR="00904C54" w:rsidRPr="00104AB5" w:rsidRDefault="00904C54" w:rsidP="00904C54">
      <w:pPr>
        <w:spacing w:line="233" w:lineRule="auto"/>
        <w:rPr>
          <w:rFonts w:cs="Times New Roman"/>
          <w:b/>
          <w:bCs/>
          <w:sz w:val="20"/>
          <w:szCs w:val="20"/>
        </w:rPr>
      </w:pPr>
      <w:r w:rsidRPr="00104AB5">
        <w:rPr>
          <w:rFonts w:cs="Times New Roman"/>
          <w:b/>
          <w:bCs/>
          <w:sz w:val="20"/>
          <w:szCs w:val="20"/>
        </w:rPr>
        <w:t>IT IS HEREBY ORDERED THAT:</w:t>
      </w:r>
    </w:p>
    <w:p w:rsidR="00904C54" w:rsidRPr="00104AB5" w:rsidRDefault="00904C54" w:rsidP="00904C54">
      <w:pPr>
        <w:spacing w:line="233" w:lineRule="auto"/>
        <w:rPr>
          <w:rFonts w:cs="Times New Roman"/>
          <w:sz w:val="20"/>
          <w:szCs w:val="20"/>
        </w:rPr>
      </w:pPr>
    </w:p>
    <w:p w:rsidR="00904C54" w:rsidRPr="00104AB5" w:rsidRDefault="00904C54" w:rsidP="00904C54">
      <w:pPr>
        <w:spacing w:line="233" w:lineRule="auto"/>
        <w:rPr>
          <w:rFonts w:cs="Times New Roman"/>
          <w:sz w:val="20"/>
          <w:szCs w:val="20"/>
          <w:lang w:val="fr-CA"/>
        </w:rPr>
      </w:pPr>
      <w:r w:rsidRPr="00104AB5">
        <w:rPr>
          <w:rFonts w:cs="Times New Roman"/>
          <w:sz w:val="20"/>
          <w:szCs w:val="20"/>
          <w:lang w:val="fr-CA"/>
        </w:rPr>
        <w:t>The motion is dismissed.</w:t>
      </w:r>
    </w:p>
    <w:p w:rsidR="00904C54" w:rsidRPr="00104AB5" w:rsidRDefault="00904C54" w:rsidP="00904C54">
      <w:pPr>
        <w:spacing w:line="233" w:lineRule="auto"/>
        <w:rPr>
          <w:rFonts w:cs="Times New Roman"/>
          <w:sz w:val="20"/>
          <w:szCs w:val="20"/>
          <w:lang w:val="fr-CA"/>
        </w:rPr>
      </w:pPr>
    </w:p>
    <w:p w:rsidR="00F84632" w:rsidRPr="00104AB5" w:rsidRDefault="00F84632" w:rsidP="00F84632">
      <w:pPr>
        <w:spacing w:line="232" w:lineRule="auto"/>
        <w:rPr>
          <w:rFonts w:cs="Times New Roman"/>
          <w:sz w:val="20"/>
          <w:szCs w:val="20"/>
          <w:lang w:val="fr-CA"/>
        </w:rPr>
      </w:pPr>
    </w:p>
    <w:p w:rsidR="00037091" w:rsidRPr="00104AB5" w:rsidRDefault="00037091" w:rsidP="00037091">
      <w:pPr>
        <w:spacing w:line="233" w:lineRule="auto"/>
        <w:rPr>
          <w:rFonts w:cs="Times New Roman"/>
          <w:sz w:val="20"/>
          <w:szCs w:val="20"/>
          <w:lang w:val="fr-CA"/>
        </w:rPr>
      </w:pPr>
      <w:r w:rsidRPr="00104AB5">
        <w:rPr>
          <w:rFonts w:cs="Times New Roman"/>
          <w:b/>
          <w:sz w:val="20"/>
          <w:szCs w:val="20"/>
          <w:lang w:val="fr-CA"/>
        </w:rPr>
        <w:t>À LA SUITE DE LA DEMANDE</w:t>
      </w:r>
      <w:r w:rsidRPr="00104AB5">
        <w:rPr>
          <w:rFonts w:cs="Times New Roman"/>
          <w:sz w:val="20"/>
          <w:szCs w:val="20"/>
          <w:lang w:val="fr-CA"/>
        </w:rPr>
        <w:t xml:space="preserve"> de Roger Foley, présentée conformément à l’art. 52 des </w:t>
      </w:r>
      <w:r w:rsidRPr="00104AB5">
        <w:rPr>
          <w:rFonts w:cs="Times New Roman"/>
          <w:i/>
          <w:sz w:val="20"/>
          <w:szCs w:val="20"/>
          <w:lang w:val="fr-CA"/>
        </w:rPr>
        <w:t>Règles de la Cour suprême du Canada</w:t>
      </w:r>
      <w:r w:rsidRPr="00104AB5">
        <w:rPr>
          <w:rFonts w:cs="Times New Roman"/>
          <w:sz w:val="20"/>
          <w:szCs w:val="20"/>
          <w:lang w:val="fr-CA"/>
        </w:rPr>
        <w:t xml:space="preserve">, pour que soit annulée la décision de la Cour dans </w:t>
      </w:r>
      <w:r w:rsidRPr="00104AB5">
        <w:rPr>
          <w:rFonts w:cs="Times New Roman"/>
          <w:i/>
          <w:sz w:val="20"/>
          <w:szCs w:val="20"/>
          <w:lang w:val="fr-CA"/>
        </w:rPr>
        <w:t>Carter c. Canada (Procureur général)</w:t>
      </w:r>
      <w:r w:rsidRPr="00104AB5">
        <w:rPr>
          <w:rFonts w:cs="Times New Roman"/>
          <w:sz w:val="20"/>
          <w:szCs w:val="20"/>
          <w:lang w:val="fr-CA"/>
        </w:rPr>
        <w:t>, 2015 CSC 5, [2015] 1 R.C.S. 331;</w:t>
      </w:r>
    </w:p>
    <w:p w:rsidR="00037091" w:rsidRPr="00104AB5" w:rsidRDefault="00037091" w:rsidP="00037091">
      <w:pPr>
        <w:spacing w:line="233" w:lineRule="auto"/>
        <w:rPr>
          <w:rFonts w:cs="Times New Roman"/>
          <w:sz w:val="20"/>
          <w:szCs w:val="20"/>
          <w:lang w:val="fr-CA"/>
        </w:rPr>
      </w:pPr>
    </w:p>
    <w:p w:rsidR="00037091" w:rsidRPr="00104AB5" w:rsidRDefault="00037091" w:rsidP="00037091">
      <w:pPr>
        <w:spacing w:line="233" w:lineRule="auto"/>
        <w:rPr>
          <w:rFonts w:cs="Times New Roman"/>
          <w:sz w:val="20"/>
          <w:szCs w:val="20"/>
          <w:lang w:val="fr-CA"/>
        </w:rPr>
      </w:pPr>
      <w:r w:rsidRPr="00104AB5">
        <w:rPr>
          <w:rFonts w:cs="Times New Roman"/>
          <w:b/>
          <w:sz w:val="20"/>
          <w:szCs w:val="20"/>
          <w:lang w:val="fr-CA"/>
        </w:rPr>
        <w:t>ET APRÈS EXAMEN</w:t>
      </w:r>
      <w:r w:rsidRPr="00104AB5">
        <w:rPr>
          <w:rFonts w:cs="Times New Roman"/>
          <w:sz w:val="20"/>
          <w:szCs w:val="20"/>
          <w:lang w:val="fr-CA"/>
        </w:rPr>
        <w:t xml:space="preserve"> des documents déposés;</w:t>
      </w:r>
    </w:p>
    <w:p w:rsidR="00037091" w:rsidRPr="00104AB5" w:rsidRDefault="00037091" w:rsidP="00037091">
      <w:pPr>
        <w:spacing w:line="233" w:lineRule="auto"/>
        <w:rPr>
          <w:rFonts w:cs="Times New Roman"/>
          <w:sz w:val="20"/>
          <w:szCs w:val="20"/>
          <w:lang w:val="fr-CA"/>
        </w:rPr>
      </w:pPr>
    </w:p>
    <w:p w:rsidR="00037091" w:rsidRPr="00104AB5" w:rsidRDefault="00037091" w:rsidP="00037091">
      <w:pPr>
        <w:spacing w:line="233" w:lineRule="auto"/>
        <w:rPr>
          <w:rFonts w:cs="Times New Roman"/>
          <w:b/>
          <w:sz w:val="20"/>
          <w:szCs w:val="20"/>
          <w:lang w:val="fr-CA"/>
        </w:rPr>
      </w:pPr>
      <w:r w:rsidRPr="00104AB5">
        <w:rPr>
          <w:rFonts w:cs="Times New Roman"/>
          <w:b/>
          <w:sz w:val="20"/>
          <w:szCs w:val="20"/>
          <w:lang w:val="fr-CA"/>
        </w:rPr>
        <w:t>IL EST ORDONNÉ CE QUI SUIT :</w:t>
      </w:r>
    </w:p>
    <w:p w:rsidR="00037091" w:rsidRPr="00104AB5" w:rsidRDefault="00037091" w:rsidP="00037091">
      <w:pPr>
        <w:spacing w:line="233" w:lineRule="auto"/>
        <w:rPr>
          <w:rFonts w:cs="Times New Roman"/>
          <w:sz w:val="20"/>
          <w:szCs w:val="20"/>
          <w:lang w:val="fr-CA"/>
        </w:rPr>
      </w:pPr>
    </w:p>
    <w:p w:rsidR="00037091" w:rsidRPr="00104AB5" w:rsidRDefault="00037091" w:rsidP="00037091">
      <w:pPr>
        <w:spacing w:line="233" w:lineRule="auto"/>
        <w:rPr>
          <w:rFonts w:cs="Times New Roman"/>
          <w:sz w:val="20"/>
          <w:szCs w:val="20"/>
          <w:lang w:val="fr-CA"/>
        </w:rPr>
      </w:pPr>
      <w:r w:rsidRPr="00104AB5">
        <w:rPr>
          <w:rFonts w:cs="Times New Roman"/>
          <w:sz w:val="20"/>
          <w:szCs w:val="20"/>
          <w:lang w:val="fr-CA"/>
        </w:rPr>
        <w:t>La requête est rejetée.</w:t>
      </w:r>
    </w:p>
    <w:p w:rsidR="00F84632" w:rsidRPr="00104AB5" w:rsidRDefault="00F84632" w:rsidP="00F84632">
      <w:pPr>
        <w:widowControl w:val="0"/>
        <w:rPr>
          <w:rFonts w:eastAsia="Times New Roman" w:cs="Times New Roman"/>
          <w:sz w:val="20"/>
          <w:szCs w:val="20"/>
          <w:lang w:val="en-US" w:eastAsia="en-CA"/>
        </w:rPr>
      </w:pPr>
    </w:p>
    <w:p w:rsidR="00CA2DEA" w:rsidRPr="00104AB5" w:rsidRDefault="00B54B7D" w:rsidP="00F84632">
      <w:pPr>
        <w:tabs>
          <w:tab w:val="left" w:pos="-1440"/>
          <w:tab w:val="left" w:pos="-720"/>
        </w:tabs>
        <w:jc w:val="both"/>
        <w:rPr>
          <w:sz w:val="20"/>
          <w:szCs w:val="20"/>
          <w:lang w:val="fr-CA"/>
        </w:rPr>
      </w:pPr>
      <w:r w:rsidRPr="00104AB5">
        <w:rPr>
          <w:rFonts w:eastAsia="Times New Roman" w:cs="Times New Roman"/>
          <w:sz w:val="20"/>
          <w:szCs w:val="20"/>
          <w:lang w:val="fr-CA" w:eastAsia="en-CA"/>
        </w:rPr>
        <w:pict>
          <v:rect id="_x0000_i1056" style="width:2in;height:1pt" o:hrpct="0" o:hralign="center" o:hrstd="t" o:hrnoshade="t" o:hr="t" fillcolor="black [3213]" stroked="f"/>
        </w:pict>
      </w:r>
    </w:p>
    <w:p w:rsidR="00F84632" w:rsidRPr="00104AB5" w:rsidRDefault="00F84632" w:rsidP="0010587F">
      <w:pPr>
        <w:tabs>
          <w:tab w:val="left" w:pos="-1440"/>
          <w:tab w:val="left" w:pos="-720"/>
        </w:tabs>
        <w:jc w:val="both"/>
        <w:rPr>
          <w:sz w:val="20"/>
          <w:szCs w:val="20"/>
          <w:lang w:val="fr-CA"/>
        </w:rPr>
      </w:pPr>
    </w:p>
    <w:p w:rsidR="00890FEB" w:rsidRPr="00104AB5" w:rsidRDefault="00890FEB" w:rsidP="00831CA9">
      <w:pPr>
        <w:jc w:val="both"/>
        <w:rPr>
          <w:sz w:val="20"/>
          <w:szCs w:val="20"/>
          <w:lang w:val="fr-CA"/>
        </w:rPr>
      </w:pPr>
    </w:p>
    <w:p w:rsidR="00831CA9" w:rsidRPr="00104AB5" w:rsidRDefault="00831CA9" w:rsidP="00831CA9">
      <w:pPr>
        <w:jc w:val="both"/>
        <w:rPr>
          <w:sz w:val="20"/>
          <w:szCs w:val="20"/>
          <w:lang w:val="fr-CA"/>
        </w:rPr>
        <w:sectPr w:rsidR="00831CA9" w:rsidRPr="00104AB5" w:rsidSect="00831CA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p w:rsidR="00567602" w:rsidRPr="00104AB5" w:rsidRDefault="001434B9" w:rsidP="00567602">
      <w:pPr>
        <w:pStyle w:val="Header1StyleE"/>
        <w:pBdr>
          <w:bottom w:val="single" w:sz="12" w:space="1" w:color="auto"/>
        </w:pBdr>
        <w:rPr>
          <w:lang w:val="fr-CA"/>
        </w:rPr>
      </w:pPr>
      <w:bookmarkStart w:id="7" w:name="_Toc22712738"/>
      <w:r w:rsidRPr="00104AB5">
        <w:rPr>
          <w:lang w:val="fr-CA"/>
        </w:rPr>
        <w:lastRenderedPageBreak/>
        <w:t>Appeals heard since the last issue and disposition</w:t>
      </w:r>
      <w:r w:rsidR="00271E1E" w:rsidRPr="00104AB5">
        <w:rPr>
          <w:lang w:val="fr-CA"/>
        </w:rPr>
        <w:t xml:space="preserve"> / </w:t>
      </w:r>
      <w:r w:rsidR="00567602" w:rsidRPr="00104AB5">
        <w:rPr>
          <w:lang w:val="fr-CA"/>
        </w:rPr>
        <w:br/>
      </w:r>
      <w:r w:rsidRPr="00104AB5">
        <w:rPr>
          <w:lang w:val="fr-CA"/>
        </w:rPr>
        <w:t>Appels entendus depuis la dernière parution et résultat</w:t>
      </w:r>
      <w:bookmarkEnd w:id="7"/>
    </w:p>
    <w:p w:rsidR="00567602" w:rsidRPr="00104AB5" w:rsidRDefault="00567602" w:rsidP="00567602">
      <w:pPr>
        <w:keepNext/>
        <w:keepLines/>
        <w:widowControl w:val="0"/>
        <w:jc w:val="both"/>
        <w:rPr>
          <w:sz w:val="20"/>
          <w:szCs w:val="20"/>
          <w:lang w:val="fr-CA"/>
        </w:rPr>
      </w:pPr>
    </w:p>
    <w:p w:rsidR="00717608" w:rsidRPr="00104AB5" w:rsidRDefault="007404E3" w:rsidP="00717608">
      <w:pPr>
        <w:rPr>
          <w:b/>
          <w:sz w:val="20"/>
          <w:szCs w:val="20"/>
        </w:rPr>
      </w:pPr>
      <w:r w:rsidRPr="00104AB5">
        <w:rPr>
          <w:b/>
          <w:sz w:val="20"/>
          <w:szCs w:val="20"/>
        </w:rPr>
        <w:t>OCTOBER</w:t>
      </w:r>
      <w:r w:rsidR="00717608" w:rsidRPr="00104AB5">
        <w:rPr>
          <w:b/>
          <w:sz w:val="20"/>
          <w:szCs w:val="20"/>
        </w:rPr>
        <w:t xml:space="preserve"> 1</w:t>
      </w:r>
      <w:r w:rsidRPr="00104AB5">
        <w:rPr>
          <w:b/>
          <w:sz w:val="20"/>
          <w:szCs w:val="20"/>
        </w:rPr>
        <w:t>8</w:t>
      </w:r>
      <w:r w:rsidR="00717608" w:rsidRPr="00104AB5">
        <w:rPr>
          <w:b/>
          <w:sz w:val="20"/>
          <w:szCs w:val="20"/>
        </w:rPr>
        <w:t>, 2019 / LE 1</w:t>
      </w:r>
      <w:r w:rsidRPr="00104AB5">
        <w:rPr>
          <w:b/>
          <w:sz w:val="20"/>
          <w:szCs w:val="20"/>
        </w:rPr>
        <w:t>8</w:t>
      </w:r>
      <w:r w:rsidR="00717608" w:rsidRPr="00104AB5">
        <w:rPr>
          <w:b/>
          <w:sz w:val="20"/>
          <w:szCs w:val="20"/>
        </w:rPr>
        <w:t xml:space="preserve"> </w:t>
      </w:r>
      <w:r w:rsidRPr="00104AB5">
        <w:rPr>
          <w:b/>
          <w:sz w:val="20"/>
          <w:szCs w:val="20"/>
        </w:rPr>
        <w:t>OCTOBRE</w:t>
      </w:r>
      <w:r w:rsidR="00717608" w:rsidRPr="00104AB5">
        <w:rPr>
          <w:b/>
          <w:sz w:val="20"/>
          <w:szCs w:val="20"/>
        </w:rPr>
        <w:t xml:space="preserve"> 2019</w:t>
      </w:r>
    </w:p>
    <w:p w:rsidR="007404E3" w:rsidRPr="00104AB5" w:rsidRDefault="007404E3" w:rsidP="007404E3">
      <w:pPr>
        <w:widowControl w:val="0"/>
        <w:rPr>
          <w:sz w:val="20"/>
          <w:szCs w:val="20"/>
          <w:lang w:val="en-US"/>
        </w:rPr>
      </w:pPr>
    </w:p>
    <w:p w:rsidR="007404E3" w:rsidRPr="00104AB5" w:rsidRDefault="007404E3" w:rsidP="007404E3">
      <w:pPr>
        <w:widowControl w:val="0"/>
        <w:rPr>
          <w:sz w:val="20"/>
          <w:szCs w:val="20"/>
          <w:lang w:val="en-US"/>
        </w:rPr>
      </w:pPr>
      <w:r w:rsidRPr="00104AB5">
        <w:rPr>
          <w:b/>
          <w:sz w:val="20"/>
          <w:szCs w:val="20"/>
          <w:lang w:val="en-US"/>
        </w:rPr>
        <w:t xml:space="preserve">Nicholas Gregory Kernaz v. Her Majesty the Queen </w:t>
      </w:r>
      <w:r w:rsidRPr="00104AB5">
        <w:rPr>
          <w:sz w:val="20"/>
          <w:szCs w:val="20"/>
          <w:lang w:val="en-US"/>
        </w:rPr>
        <w:t>(Sask.) (Criminal) (As of Right) (</w:t>
      </w:r>
      <w:hyperlink r:id="rId56" w:history="1">
        <w:r w:rsidRPr="00104AB5">
          <w:rPr>
            <w:rStyle w:val="Hyperlink"/>
            <w:sz w:val="20"/>
            <w:szCs w:val="20"/>
            <w:lang w:val="en-US"/>
          </w:rPr>
          <w:t>38642</w:t>
        </w:r>
      </w:hyperlink>
      <w:r w:rsidRPr="00104AB5">
        <w:rPr>
          <w:sz w:val="20"/>
          <w:szCs w:val="20"/>
          <w:lang w:val="en-US"/>
        </w:rPr>
        <w:t>)</w:t>
      </w:r>
    </w:p>
    <w:p w:rsidR="007404E3" w:rsidRPr="00104AB5" w:rsidRDefault="007404E3" w:rsidP="007404E3">
      <w:pPr>
        <w:widowControl w:val="0"/>
        <w:rPr>
          <w:sz w:val="20"/>
          <w:szCs w:val="20"/>
          <w:lang w:val="en-US"/>
        </w:rPr>
      </w:pPr>
      <w:r w:rsidRPr="00104AB5">
        <w:rPr>
          <w:b/>
          <w:sz w:val="20"/>
          <w:szCs w:val="20"/>
          <w:lang w:val="en-US"/>
        </w:rPr>
        <w:t>2019 SCC 48 / 2019 CSC 48</w:t>
      </w:r>
    </w:p>
    <w:p w:rsidR="007404E3" w:rsidRPr="00104AB5" w:rsidRDefault="007404E3" w:rsidP="007404E3">
      <w:pPr>
        <w:widowControl w:val="0"/>
        <w:rPr>
          <w:sz w:val="20"/>
          <w:szCs w:val="20"/>
          <w:lang w:val="en-US"/>
        </w:rPr>
      </w:pPr>
    </w:p>
    <w:p w:rsidR="007404E3" w:rsidRPr="00104AB5" w:rsidRDefault="007404E3" w:rsidP="007404E3">
      <w:pPr>
        <w:widowControl w:val="0"/>
        <w:rPr>
          <w:sz w:val="20"/>
          <w:szCs w:val="20"/>
          <w:lang w:val="en-US"/>
        </w:rPr>
      </w:pPr>
      <w:r w:rsidRPr="00104AB5">
        <w:rPr>
          <w:sz w:val="20"/>
          <w:szCs w:val="20"/>
          <w:lang w:val="en-US"/>
        </w:rPr>
        <w:t xml:space="preserve">Coram: </w:t>
      </w:r>
      <w:r w:rsidRPr="00104AB5">
        <w:rPr>
          <w:sz w:val="20"/>
          <w:szCs w:val="20"/>
          <w:lang w:val="en-US"/>
        </w:rPr>
        <w:tab/>
        <w:t>Abella, Moldaver, Rowe, Martin and Kasirer JJ.</w:t>
      </w:r>
    </w:p>
    <w:p w:rsidR="007404E3" w:rsidRPr="00104AB5" w:rsidRDefault="007404E3" w:rsidP="007404E3">
      <w:pPr>
        <w:widowControl w:val="0"/>
        <w:rPr>
          <w:sz w:val="20"/>
          <w:szCs w:val="20"/>
          <w:lang w:val="en-US"/>
        </w:rPr>
      </w:pPr>
    </w:p>
    <w:p w:rsidR="007404E3" w:rsidRPr="00104AB5" w:rsidRDefault="007404E3" w:rsidP="007404E3">
      <w:pPr>
        <w:widowControl w:val="0"/>
        <w:rPr>
          <w:sz w:val="20"/>
          <w:szCs w:val="20"/>
          <w:lang w:val="en-US"/>
        </w:rPr>
      </w:pPr>
      <w:r w:rsidRPr="00104AB5">
        <w:rPr>
          <w:b/>
          <w:sz w:val="20"/>
          <w:szCs w:val="20"/>
          <w:lang w:val="en-US"/>
        </w:rPr>
        <w:t>DISMISSED / REJETÉ</w:t>
      </w:r>
    </w:p>
    <w:p w:rsidR="007404E3" w:rsidRPr="00104AB5" w:rsidRDefault="007404E3" w:rsidP="007404E3">
      <w:pPr>
        <w:widowControl w:val="0"/>
        <w:rPr>
          <w:sz w:val="20"/>
          <w:szCs w:val="20"/>
          <w:lang w:val="en-US"/>
        </w:rPr>
      </w:pPr>
    </w:p>
    <w:p w:rsidR="00DE668C" w:rsidRPr="00104AB5" w:rsidRDefault="00DE668C" w:rsidP="00DE668C">
      <w:pPr>
        <w:jc w:val="both"/>
        <w:rPr>
          <w:color w:val="000000" w:themeColor="text1"/>
          <w:sz w:val="20"/>
          <w:szCs w:val="20"/>
        </w:rPr>
      </w:pPr>
      <w:r w:rsidRPr="00104AB5">
        <w:rPr>
          <w:color w:val="000000" w:themeColor="text1"/>
          <w:sz w:val="20"/>
          <w:szCs w:val="20"/>
        </w:rPr>
        <w:t xml:space="preserve">The appeal from the judgment of the Court of Appeal for Saskatchewan, Number CACR3076, 2019 SKCA 37, dated April 25, 2019, was heard on October 18, 2019, and the Court on that day delivered the following judgment orally: </w:t>
      </w:r>
    </w:p>
    <w:p w:rsidR="00DE668C" w:rsidRPr="00104AB5" w:rsidRDefault="00DE668C" w:rsidP="00DE668C">
      <w:pPr>
        <w:jc w:val="both"/>
        <w:rPr>
          <w:smallCaps/>
          <w:color w:val="000000" w:themeColor="text1"/>
          <w:sz w:val="20"/>
          <w:szCs w:val="20"/>
        </w:rPr>
      </w:pPr>
    </w:p>
    <w:p w:rsidR="007404E3" w:rsidRPr="00104AB5" w:rsidRDefault="00DE668C" w:rsidP="00DE668C">
      <w:pPr>
        <w:widowControl w:val="0"/>
        <w:rPr>
          <w:sz w:val="20"/>
          <w:szCs w:val="20"/>
          <w:lang w:val="en-US"/>
        </w:rPr>
      </w:pPr>
      <w:r w:rsidRPr="00104AB5">
        <w:rPr>
          <w:smallCaps/>
          <w:color w:val="000000" w:themeColor="text1"/>
          <w:sz w:val="20"/>
          <w:szCs w:val="20"/>
        </w:rPr>
        <w:t xml:space="preserve">Abella J. </w:t>
      </w:r>
      <w:r w:rsidRPr="00104AB5">
        <w:rPr>
          <w:rFonts w:cs="Times New Roman"/>
          <w:smallCaps/>
          <w:color w:val="000000" w:themeColor="text1"/>
          <w:sz w:val="20"/>
          <w:szCs w:val="20"/>
        </w:rPr>
        <w:t xml:space="preserve">— </w:t>
      </w:r>
      <w:r w:rsidRPr="00104AB5">
        <w:rPr>
          <w:color w:val="000000" w:themeColor="text1"/>
          <w:sz w:val="20"/>
          <w:szCs w:val="20"/>
        </w:rPr>
        <w:t>The appeal is dismissed substantially for the reasons of the Court of Appeal.</w:t>
      </w:r>
    </w:p>
    <w:p w:rsidR="007404E3" w:rsidRPr="00104AB5" w:rsidRDefault="007404E3" w:rsidP="007404E3">
      <w:pPr>
        <w:widowControl w:val="0"/>
        <w:rPr>
          <w:sz w:val="20"/>
          <w:szCs w:val="20"/>
          <w:lang w:val="en-US"/>
        </w:rPr>
      </w:pPr>
    </w:p>
    <w:p w:rsidR="00DE668C" w:rsidRPr="00104AB5" w:rsidRDefault="00DE668C" w:rsidP="00DE668C">
      <w:pPr>
        <w:jc w:val="both"/>
        <w:rPr>
          <w:color w:val="000000" w:themeColor="text1"/>
          <w:sz w:val="20"/>
          <w:szCs w:val="20"/>
          <w:lang w:val="fr-CA"/>
        </w:rPr>
      </w:pPr>
      <w:r w:rsidRPr="00104AB5">
        <w:rPr>
          <w:color w:val="000000" w:themeColor="text1"/>
          <w:sz w:val="20"/>
          <w:szCs w:val="20"/>
          <w:lang w:val="fr-CA"/>
        </w:rPr>
        <w:t>L’appel interjeté contre l’arrêt de la Cour d’appel de la Saskatchewan, numéro CACR3076, 2019 SKCA 37, daté du 25 avril 2019, a été entendu le 18 octobre 2019 et la Cour a prononcé oralement le même jour le jugement suivant :</w:t>
      </w:r>
    </w:p>
    <w:p w:rsidR="00DE668C" w:rsidRPr="00104AB5" w:rsidRDefault="00DE668C" w:rsidP="00DE668C">
      <w:pPr>
        <w:jc w:val="both"/>
        <w:rPr>
          <w:color w:val="000000" w:themeColor="text1"/>
          <w:sz w:val="20"/>
          <w:szCs w:val="20"/>
          <w:lang w:val="fr-CA"/>
        </w:rPr>
      </w:pPr>
    </w:p>
    <w:p w:rsidR="00DE668C" w:rsidRPr="00104AB5" w:rsidRDefault="00DE668C" w:rsidP="00DE668C">
      <w:pPr>
        <w:jc w:val="both"/>
        <w:rPr>
          <w:smallCaps/>
          <w:color w:val="000000" w:themeColor="text1"/>
          <w:sz w:val="20"/>
          <w:szCs w:val="20"/>
          <w:lang w:val="fr-CA"/>
        </w:rPr>
      </w:pPr>
      <w:r w:rsidRPr="00104AB5">
        <w:rPr>
          <w:smallCaps/>
          <w:color w:val="000000" w:themeColor="text1"/>
          <w:sz w:val="20"/>
          <w:szCs w:val="20"/>
          <w:lang w:val="fr-CA"/>
        </w:rPr>
        <w:t>[traduction]</w:t>
      </w:r>
    </w:p>
    <w:p w:rsidR="00DE668C" w:rsidRPr="00104AB5" w:rsidRDefault="00DE668C" w:rsidP="00DE668C">
      <w:pPr>
        <w:jc w:val="both"/>
        <w:rPr>
          <w:color w:val="000000" w:themeColor="text1"/>
          <w:sz w:val="20"/>
          <w:szCs w:val="20"/>
          <w:lang w:val="fr-CA"/>
        </w:rPr>
      </w:pPr>
      <w:r w:rsidRPr="00104AB5">
        <w:rPr>
          <w:smallCaps/>
          <w:color w:val="000000" w:themeColor="text1"/>
          <w:sz w:val="20"/>
          <w:szCs w:val="20"/>
          <w:lang w:val="fr-CA"/>
        </w:rPr>
        <w:t xml:space="preserve">La juge Abella </w:t>
      </w:r>
      <w:r w:rsidRPr="00104AB5">
        <w:rPr>
          <w:rFonts w:cs="Times New Roman"/>
          <w:smallCaps/>
          <w:color w:val="000000" w:themeColor="text1"/>
          <w:sz w:val="20"/>
          <w:szCs w:val="20"/>
          <w:lang w:val="fr-CA"/>
        </w:rPr>
        <w:t xml:space="preserve">— </w:t>
      </w:r>
      <w:r w:rsidRPr="00104AB5">
        <w:rPr>
          <w:rFonts w:cs="Times New Roman"/>
          <w:color w:val="000000" w:themeColor="text1"/>
          <w:sz w:val="20"/>
          <w:szCs w:val="20"/>
          <w:lang w:val="fr-CA"/>
        </w:rPr>
        <w:t>Le pourvoi est rejeté, essentiellement pour les motifs exposés par la Cour d’appel.</w:t>
      </w:r>
    </w:p>
    <w:p w:rsidR="007404E3" w:rsidRPr="00104AB5" w:rsidRDefault="007404E3" w:rsidP="007404E3">
      <w:pPr>
        <w:widowControl w:val="0"/>
        <w:rPr>
          <w:sz w:val="20"/>
          <w:szCs w:val="20"/>
          <w:lang w:val="fr-CA"/>
        </w:rPr>
      </w:pPr>
    </w:p>
    <w:p w:rsidR="00102792" w:rsidRPr="00104AB5" w:rsidRDefault="00B54B7D" w:rsidP="007404E3">
      <w:pPr>
        <w:rPr>
          <w:sz w:val="20"/>
          <w:szCs w:val="20"/>
        </w:rPr>
      </w:pPr>
      <w:r w:rsidRPr="00104AB5">
        <w:rPr>
          <w:sz w:val="20"/>
          <w:szCs w:val="20"/>
          <w:lang w:val="fr-CA"/>
        </w:rPr>
        <w:pict>
          <v:rect id="_x0000_i1059" style="width:108pt;height:1pt" o:hrpct="0" o:hralign="center" o:hrstd="t" o:hrnoshade="t" o:hr="t" fillcolor="black [3213]" stroked="f"/>
        </w:pict>
      </w:r>
    </w:p>
    <w:p w:rsidR="00102792" w:rsidRPr="00104AB5" w:rsidRDefault="00102792" w:rsidP="00102792">
      <w:pPr>
        <w:widowControl w:val="0"/>
        <w:rPr>
          <w:sz w:val="20"/>
          <w:szCs w:val="20"/>
        </w:rPr>
      </w:pPr>
    </w:p>
    <w:p w:rsidR="007404E3" w:rsidRPr="00104AB5" w:rsidRDefault="007404E3" w:rsidP="00102792">
      <w:pPr>
        <w:widowControl w:val="0"/>
        <w:rPr>
          <w:sz w:val="20"/>
          <w:szCs w:val="20"/>
        </w:rPr>
      </w:pPr>
    </w:p>
    <w:p w:rsidR="00732DB7" w:rsidRPr="00104AB5" w:rsidRDefault="00732DB7" w:rsidP="00732DB7">
      <w:pPr>
        <w:widowControl w:val="0"/>
        <w:rPr>
          <w:sz w:val="20"/>
          <w:szCs w:val="20"/>
          <w:lang w:val="fr-CA"/>
        </w:rPr>
      </w:pPr>
    </w:p>
    <w:p w:rsidR="00732DB7" w:rsidRPr="00104AB5" w:rsidRDefault="00732DB7" w:rsidP="00732DB7">
      <w:pPr>
        <w:widowControl w:val="0"/>
        <w:rPr>
          <w:sz w:val="20"/>
          <w:szCs w:val="20"/>
          <w:lang w:val="fr-CA"/>
        </w:rPr>
        <w:sectPr w:rsidR="00732DB7" w:rsidRPr="00104AB5" w:rsidSect="00732DB7">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p w:rsidR="00567602" w:rsidRPr="00104AB5" w:rsidRDefault="001434B9" w:rsidP="00567602">
      <w:pPr>
        <w:pStyle w:val="Header1StyleE"/>
        <w:pBdr>
          <w:bottom w:val="single" w:sz="12" w:space="1" w:color="auto"/>
        </w:pBdr>
        <w:rPr>
          <w:lang w:val="fr-CA"/>
        </w:rPr>
      </w:pPr>
      <w:bookmarkStart w:id="8" w:name="_Toc22712739"/>
      <w:r w:rsidRPr="00104AB5">
        <w:rPr>
          <w:lang w:val="fr-CA"/>
        </w:rPr>
        <w:lastRenderedPageBreak/>
        <w:t>Pronouncements of reserved</w:t>
      </w:r>
      <w:r w:rsidR="00271E1E" w:rsidRPr="00104AB5">
        <w:rPr>
          <w:lang w:val="fr-CA"/>
        </w:rPr>
        <w:t xml:space="preserve"> appeals / </w:t>
      </w:r>
      <w:r w:rsidR="00567602" w:rsidRPr="00104AB5">
        <w:rPr>
          <w:lang w:val="fr-CA"/>
        </w:rPr>
        <w:br/>
      </w:r>
      <w:r w:rsidRPr="00104AB5">
        <w:rPr>
          <w:lang w:val="fr-CA"/>
        </w:rPr>
        <w:t>Jugements rendus sur les appels en délibéré</w:t>
      </w:r>
      <w:bookmarkEnd w:id="8"/>
    </w:p>
    <w:p w:rsidR="00567602" w:rsidRPr="00104AB5" w:rsidRDefault="00567602" w:rsidP="00FF6EEC">
      <w:pPr>
        <w:rPr>
          <w:sz w:val="20"/>
          <w:szCs w:val="20"/>
          <w:lang w:val="fr-CA"/>
        </w:rPr>
      </w:pPr>
    </w:p>
    <w:p w:rsidR="00102792" w:rsidRPr="00104AB5" w:rsidRDefault="00336F64" w:rsidP="00102792">
      <w:pPr>
        <w:rPr>
          <w:sz w:val="20"/>
          <w:szCs w:val="20"/>
          <w:lang w:val="fr-CA"/>
        </w:rPr>
      </w:pPr>
      <w:r w:rsidRPr="00104AB5">
        <w:rPr>
          <w:b/>
          <w:sz w:val="20"/>
          <w:szCs w:val="20"/>
          <w:lang w:val="fr-CA"/>
        </w:rPr>
        <w:t>OCTOBER</w:t>
      </w:r>
      <w:r w:rsidR="00102792" w:rsidRPr="00104AB5">
        <w:rPr>
          <w:b/>
          <w:sz w:val="20"/>
          <w:szCs w:val="20"/>
          <w:lang w:val="fr-CA"/>
        </w:rPr>
        <w:t xml:space="preserve"> </w:t>
      </w:r>
      <w:r w:rsidRPr="00104AB5">
        <w:rPr>
          <w:b/>
          <w:sz w:val="20"/>
          <w:szCs w:val="20"/>
          <w:lang w:val="fr-CA"/>
        </w:rPr>
        <w:t>25</w:t>
      </w:r>
      <w:r w:rsidR="00102792" w:rsidRPr="00104AB5">
        <w:rPr>
          <w:b/>
          <w:sz w:val="20"/>
          <w:szCs w:val="20"/>
          <w:lang w:val="fr-CA"/>
        </w:rPr>
        <w:t xml:space="preserve">, </w:t>
      </w:r>
      <w:r w:rsidR="0034657E" w:rsidRPr="00104AB5">
        <w:rPr>
          <w:b/>
          <w:sz w:val="20"/>
          <w:szCs w:val="20"/>
          <w:lang w:val="fr-CA"/>
        </w:rPr>
        <w:t>2019</w:t>
      </w:r>
      <w:r w:rsidR="00102792" w:rsidRPr="00104AB5">
        <w:rPr>
          <w:b/>
          <w:sz w:val="20"/>
          <w:szCs w:val="20"/>
          <w:lang w:val="fr-CA"/>
        </w:rPr>
        <w:t xml:space="preserve"> / LE </w:t>
      </w:r>
      <w:r w:rsidRPr="00104AB5">
        <w:rPr>
          <w:b/>
          <w:sz w:val="20"/>
          <w:szCs w:val="20"/>
          <w:lang w:val="fr-CA"/>
        </w:rPr>
        <w:t>25</w:t>
      </w:r>
      <w:r w:rsidR="00102792" w:rsidRPr="00104AB5">
        <w:rPr>
          <w:b/>
          <w:sz w:val="20"/>
          <w:szCs w:val="20"/>
          <w:lang w:val="fr-CA"/>
        </w:rPr>
        <w:t xml:space="preserve"> O</w:t>
      </w:r>
      <w:r w:rsidRPr="00104AB5">
        <w:rPr>
          <w:b/>
          <w:sz w:val="20"/>
          <w:szCs w:val="20"/>
          <w:lang w:val="fr-CA"/>
        </w:rPr>
        <w:t>CTOBRE</w:t>
      </w:r>
      <w:r w:rsidR="00102792" w:rsidRPr="00104AB5">
        <w:rPr>
          <w:b/>
          <w:sz w:val="20"/>
          <w:szCs w:val="20"/>
          <w:lang w:val="fr-CA"/>
        </w:rPr>
        <w:t xml:space="preserve"> </w:t>
      </w:r>
      <w:r w:rsidR="0034657E" w:rsidRPr="00104AB5">
        <w:rPr>
          <w:b/>
          <w:sz w:val="20"/>
          <w:szCs w:val="20"/>
          <w:lang w:val="fr-CA"/>
        </w:rPr>
        <w:t>2019</w:t>
      </w:r>
    </w:p>
    <w:p w:rsidR="00102792" w:rsidRPr="00104AB5" w:rsidRDefault="00102792" w:rsidP="00102792">
      <w:pPr>
        <w:rPr>
          <w:sz w:val="20"/>
          <w:szCs w:val="20"/>
          <w:lang w:val="fr-CA"/>
        </w:rPr>
      </w:pPr>
    </w:p>
    <w:p w:rsidR="00104AB5" w:rsidRPr="00104AB5" w:rsidRDefault="00104AB5" w:rsidP="00104AB5">
      <w:pPr>
        <w:ind w:left="1440" w:hanging="1440"/>
        <w:jc w:val="both"/>
        <w:rPr>
          <w:sz w:val="20"/>
          <w:lang w:val="fr-CA"/>
        </w:rPr>
      </w:pPr>
      <w:r w:rsidRPr="00104AB5">
        <w:rPr>
          <w:b/>
          <w:sz w:val="20"/>
        </w:rPr>
        <w:fldChar w:fldCharType="begin"/>
      </w:r>
      <w:r w:rsidRPr="00104AB5">
        <w:rPr>
          <w:b/>
          <w:sz w:val="20"/>
          <w:lang w:val="fr-CA"/>
        </w:rPr>
        <w:instrText xml:space="preserve"> SEQ CHAPTER \h \r 1</w:instrText>
      </w:r>
      <w:r w:rsidRPr="00104AB5">
        <w:rPr>
          <w:b/>
          <w:sz w:val="20"/>
        </w:rPr>
        <w:fldChar w:fldCharType="end"/>
      </w:r>
      <w:r w:rsidRPr="00104AB5">
        <w:rPr>
          <w:b/>
          <w:sz w:val="20"/>
          <w:lang w:val="fr-CA"/>
        </w:rPr>
        <w:t>37861</w:t>
      </w:r>
      <w:r w:rsidRPr="00104AB5">
        <w:rPr>
          <w:b/>
          <w:sz w:val="20"/>
          <w:lang w:val="fr-CA"/>
        </w:rPr>
        <w:tab/>
        <w:t xml:space="preserve">R.S. c. P.R. - et - Procureure générale du Québec </w:t>
      </w:r>
      <w:r w:rsidRPr="00104AB5">
        <w:rPr>
          <w:sz w:val="20"/>
          <w:lang w:val="fr-CA"/>
        </w:rPr>
        <w:t>(</w:t>
      </w:r>
      <w:proofErr w:type="spellStart"/>
      <w:r w:rsidRPr="00104AB5">
        <w:rPr>
          <w:sz w:val="20"/>
          <w:lang w:val="fr-CA"/>
        </w:rPr>
        <w:t>Qc</w:t>
      </w:r>
      <w:proofErr w:type="spellEnd"/>
      <w:r w:rsidRPr="00104AB5">
        <w:rPr>
          <w:sz w:val="20"/>
          <w:lang w:val="fr-CA"/>
        </w:rPr>
        <w:t>)</w:t>
      </w:r>
    </w:p>
    <w:p w:rsidR="00104AB5" w:rsidRPr="00104AB5" w:rsidRDefault="00104AB5" w:rsidP="00104AB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104AB5">
        <w:rPr>
          <w:b/>
          <w:sz w:val="20"/>
          <w:lang w:val="fr-CA"/>
        </w:rPr>
        <w:t>2019 SCC 49 / 2019 CSC 49</w:t>
      </w:r>
    </w:p>
    <w:p w:rsidR="00104AB5" w:rsidRPr="00104AB5" w:rsidRDefault="00104AB5" w:rsidP="00104AB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104AB5" w:rsidRPr="00104AB5" w:rsidRDefault="00104AB5" w:rsidP="00104AB5">
      <w:pPr>
        <w:ind w:left="1440" w:hanging="1440"/>
        <w:rPr>
          <w:sz w:val="20"/>
          <w:lang w:val="fr-CA"/>
        </w:rPr>
      </w:pPr>
      <w:r w:rsidRPr="00104AB5">
        <w:rPr>
          <w:sz w:val="20"/>
          <w:lang w:val="fr-CA"/>
        </w:rPr>
        <w:t>Coram:</w:t>
      </w:r>
      <w:r w:rsidRPr="00104AB5">
        <w:rPr>
          <w:sz w:val="20"/>
          <w:lang w:val="fr-CA"/>
        </w:rPr>
        <w:tab/>
        <w:t>Le juge en chef Wagner et les juges Abella, Moldaver, Karakatsanis, Gascon, Brown et Martin.</w:t>
      </w:r>
    </w:p>
    <w:p w:rsidR="00104AB5" w:rsidRPr="00104AB5" w:rsidRDefault="00104AB5" w:rsidP="00104AB5">
      <w:pPr>
        <w:ind w:left="1440" w:hanging="1440"/>
        <w:rPr>
          <w:sz w:val="20"/>
          <w:lang w:val="fr-CA"/>
        </w:rPr>
      </w:pPr>
    </w:p>
    <w:p w:rsidR="00104AB5" w:rsidRPr="00104AB5" w:rsidRDefault="00104AB5" w:rsidP="00104AB5">
      <w:pPr>
        <w:rPr>
          <w:sz w:val="20"/>
          <w:lang w:val="en-US"/>
        </w:rPr>
      </w:pPr>
      <w:r w:rsidRPr="00104AB5">
        <w:rPr>
          <w:sz w:val="20"/>
          <w:lang w:val="fr-CA"/>
        </w:rPr>
        <w:t xml:space="preserve">L’appel interjeté contre l’arrêt de la Cour d’appel du Québec (Montréal), numéro 500-09-026277-160, 2017 QCCA 1470, daté du 29 septembre 2017, entendu le 21 janvier 2019, est accueilli avec dépens devant toutes les cours. L’arrêt de la Cour d’appel est écarté et la conclusion du jugement de la Cour supérieure sur le rejet de la demande de sursis à statuer est rétablie. </w:t>
      </w:r>
      <w:r w:rsidRPr="00104AB5">
        <w:rPr>
          <w:sz w:val="20"/>
          <w:lang w:val="en-US"/>
        </w:rPr>
        <w:t xml:space="preserve">Le </w:t>
      </w:r>
      <w:proofErr w:type="spellStart"/>
      <w:r w:rsidRPr="00104AB5">
        <w:rPr>
          <w:sz w:val="20"/>
          <w:lang w:val="en-US"/>
        </w:rPr>
        <w:t>juge</w:t>
      </w:r>
      <w:proofErr w:type="spellEnd"/>
      <w:r w:rsidRPr="00104AB5">
        <w:rPr>
          <w:sz w:val="20"/>
          <w:lang w:val="en-US"/>
        </w:rPr>
        <w:t xml:space="preserve"> Brown </w:t>
      </w:r>
      <w:proofErr w:type="gramStart"/>
      <w:r w:rsidRPr="00104AB5">
        <w:rPr>
          <w:sz w:val="20"/>
          <w:lang w:val="en-US"/>
        </w:rPr>
        <w:t>est</w:t>
      </w:r>
      <w:proofErr w:type="gramEnd"/>
      <w:r w:rsidRPr="00104AB5">
        <w:rPr>
          <w:sz w:val="20"/>
          <w:lang w:val="en-US"/>
        </w:rPr>
        <w:t xml:space="preserve"> dissident.</w:t>
      </w:r>
    </w:p>
    <w:p w:rsidR="00104AB5" w:rsidRPr="00104AB5" w:rsidRDefault="00104AB5" w:rsidP="00104AB5">
      <w:pPr>
        <w:ind w:left="1440" w:hanging="1440"/>
        <w:rPr>
          <w:sz w:val="20"/>
          <w:lang w:val="en-US"/>
        </w:rPr>
      </w:pPr>
    </w:p>
    <w:p w:rsidR="00104AB5" w:rsidRPr="00104AB5" w:rsidRDefault="00104AB5" w:rsidP="00104AB5">
      <w:pPr>
        <w:jc w:val="both"/>
        <w:rPr>
          <w:sz w:val="20"/>
        </w:rPr>
      </w:pPr>
      <w:r w:rsidRPr="00104AB5">
        <w:rPr>
          <w:sz w:val="20"/>
        </w:rPr>
        <w:t>The appeal from the judgment of the Court of Appeal of Quebec (Montréal), Number 500-09-026277-160, 2017 QCCA 1470, dated September 29, 2017, heard on January 21, 2019, is allowed with costs throughout. The judgment of the Court of Appeal is set aside and the conclusion of the judgment of the Superior Court on dismissing the application for a stay of its ruling is restored. Brown J. dissents.</w:t>
      </w:r>
    </w:p>
    <w:p w:rsidR="00102792" w:rsidRPr="00104AB5" w:rsidRDefault="00102792" w:rsidP="00102792">
      <w:pPr>
        <w:rPr>
          <w:sz w:val="20"/>
          <w:szCs w:val="20"/>
          <w:lang w:val="fr-CA"/>
        </w:rPr>
      </w:pPr>
    </w:p>
    <w:p w:rsidR="00102792" w:rsidRPr="00104AB5" w:rsidRDefault="00B54B7D" w:rsidP="00102792">
      <w:pPr>
        <w:rPr>
          <w:sz w:val="20"/>
          <w:szCs w:val="20"/>
          <w:lang w:val="fr-CA"/>
        </w:rPr>
      </w:pPr>
      <w:hyperlink r:id="rId63" w:history="1">
        <w:r w:rsidR="00506BE1" w:rsidRPr="00104AB5">
          <w:rPr>
            <w:rStyle w:val="Hyperlink"/>
            <w:sz w:val="20"/>
            <w:szCs w:val="20"/>
            <w:lang w:val="fr-CA"/>
          </w:rPr>
          <w:t xml:space="preserve">LINK TO </w:t>
        </w:r>
        <w:r w:rsidR="00D82BFF" w:rsidRPr="00104AB5">
          <w:rPr>
            <w:rStyle w:val="Hyperlink"/>
            <w:sz w:val="20"/>
            <w:szCs w:val="20"/>
            <w:lang w:val="fr-CA"/>
          </w:rPr>
          <w:t>REASONS</w:t>
        </w:r>
      </w:hyperlink>
      <w:r w:rsidR="00102792" w:rsidRPr="00104AB5">
        <w:rPr>
          <w:sz w:val="20"/>
          <w:szCs w:val="20"/>
          <w:lang w:val="fr-CA"/>
        </w:rPr>
        <w:t xml:space="preserve"> / </w:t>
      </w:r>
      <w:hyperlink r:id="rId64" w:history="1">
        <w:r w:rsidR="00D82BFF" w:rsidRPr="00104AB5">
          <w:rPr>
            <w:rStyle w:val="Hyperlink"/>
            <w:sz w:val="20"/>
            <w:szCs w:val="20"/>
            <w:lang w:val="fr-CA"/>
          </w:rPr>
          <w:t>LIEN VERS LES MOTIFS</w:t>
        </w:r>
      </w:hyperlink>
    </w:p>
    <w:p w:rsidR="00102792" w:rsidRPr="00104AB5" w:rsidRDefault="00102792" w:rsidP="00102792">
      <w:pPr>
        <w:rPr>
          <w:sz w:val="20"/>
          <w:szCs w:val="20"/>
          <w:lang w:val="fr-CA"/>
        </w:rPr>
      </w:pPr>
    </w:p>
    <w:p w:rsidR="00D004FC" w:rsidRPr="00104AB5" w:rsidRDefault="00B54B7D" w:rsidP="00102792">
      <w:pPr>
        <w:jc w:val="both"/>
        <w:rPr>
          <w:rFonts w:cs="Times New Roman"/>
          <w:b/>
          <w:sz w:val="20"/>
          <w:szCs w:val="20"/>
        </w:rPr>
      </w:pPr>
      <w:r w:rsidRPr="00104AB5">
        <w:rPr>
          <w:b/>
          <w:sz w:val="20"/>
          <w:szCs w:val="20"/>
        </w:rPr>
        <w:pict>
          <v:rect id="_x0000_i1062" style="width:144.3pt;height:1pt" o:hrpct="300" o:hralign="center" o:hrstd="t" o:hrnoshade="t" o:hr="t" fillcolor="black [3213]" stroked="f"/>
        </w:pict>
      </w:r>
    </w:p>
    <w:p w:rsidR="00D004FC" w:rsidRPr="00104AB5" w:rsidRDefault="00D004FC" w:rsidP="00D004FC">
      <w:pPr>
        <w:jc w:val="both"/>
        <w:rPr>
          <w:rFonts w:cs="Times New Roman"/>
          <w:sz w:val="20"/>
          <w:szCs w:val="20"/>
        </w:rPr>
      </w:pPr>
    </w:p>
    <w:p w:rsidR="00E76CA0" w:rsidRPr="00104AB5" w:rsidRDefault="00E76CA0" w:rsidP="00E76CA0">
      <w:pPr>
        <w:rPr>
          <w:sz w:val="20"/>
          <w:szCs w:val="20"/>
        </w:rPr>
      </w:pPr>
    </w:p>
    <w:p w:rsidR="00E76CA0" w:rsidRPr="00104AB5" w:rsidRDefault="00E76CA0" w:rsidP="00E76CA0">
      <w:pPr>
        <w:rPr>
          <w:sz w:val="20"/>
          <w:szCs w:val="20"/>
        </w:rPr>
      </w:pPr>
    </w:p>
    <w:p w:rsidR="00E76CA0" w:rsidRPr="00104AB5" w:rsidRDefault="00E76CA0" w:rsidP="00E76CA0">
      <w:pPr>
        <w:jc w:val="both"/>
        <w:rPr>
          <w:sz w:val="20"/>
          <w:szCs w:val="20"/>
        </w:rPr>
      </w:pPr>
    </w:p>
    <w:p w:rsidR="00E76CA0" w:rsidRPr="00104AB5" w:rsidRDefault="00E76CA0" w:rsidP="00E76CA0">
      <w:pPr>
        <w:jc w:val="both"/>
        <w:rPr>
          <w:sz w:val="20"/>
          <w:szCs w:val="20"/>
        </w:rPr>
        <w:sectPr w:rsidR="00E76CA0" w:rsidRPr="00104AB5" w:rsidSect="00102926">
          <w:headerReference w:type="even" r:id="rId65"/>
          <w:headerReference w:type="default" r:id="rId66"/>
          <w:footerReference w:type="even" r:id="rId67"/>
          <w:footerReference w:type="default" r:id="rId68"/>
          <w:headerReference w:type="first" r:id="rId69"/>
          <w:footerReference w:type="first" r:id="rId70"/>
          <w:pgSz w:w="12240" w:h="15840"/>
          <w:pgMar w:top="720" w:right="965" w:bottom="965" w:left="1656" w:header="720" w:footer="965" w:gutter="0"/>
          <w:cols w:space="720"/>
          <w:titlePg/>
          <w:docGrid w:linePitch="326"/>
        </w:sectPr>
      </w:pPr>
    </w:p>
    <w:p w:rsidR="00E76CA0" w:rsidRPr="00104AB5" w:rsidRDefault="00E76CA0" w:rsidP="00E76CA0">
      <w:pPr>
        <w:pStyle w:val="Header1StyleE"/>
        <w:pBdr>
          <w:bottom w:val="single" w:sz="12" w:space="0" w:color="auto"/>
        </w:pBdr>
        <w:rPr>
          <w:lang w:val="fr-CA"/>
        </w:rPr>
      </w:pPr>
      <w:bookmarkStart w:id="9" w:name="_Toc532985701"/>
      <w:bookmarkStart w:id="10" w:name="_Toc22712740"/>
      <w:r w:rsidRPr="00104AB5">
        <w:rPr>
          <w:lang w:val="fr-CA"/>
        </w:rPr>
        <w:lastRenderedPageBreak/>
        <w:t xml:space="preserve">Agenda and case summaries for </w:t>
      </w:r>
      <w:r w:rsidR="002C4E0D" w:rsidRPr="00104AB5">
        <w:rPr>
          <w:lang w:val="fr-CA"/>
        </w:rPr>
        <w:t>November</w:t>
      </w:r>
      <w:r w:rsidRPr="00104AB5">
        <w:rPr>
          <w:lang w:val="fr-CA"/>
        </w:rPr>
        <w:t xml:space="preserve"> 2019 / </w:t>
      </w:r>
      <w:r w:rsidRPr="00104AB5">
        <w:rPr>
          <w:lang w:val="fr-CA"/>
        </w:rPr>
        <w:br/>
        <w:t>Calendrier et sommaires des causes d</w:t>
      </w:r>
      <w:r w:rsidR="002C4E0D" w:rsidRPr="00104AB5">
        <w:rPr>
          <w:lang w:val="fr-CA"/>
        </w:rPr>
        <w:t>e n</w:t>
      </w:r>
      <w:r w:rsidRPr="00104AB5">
        <w:rPr>
          <w:lang w:val="fr-CA"/>
        </w:rPr>
        <w:t>o</w:t>
      </w:r>
      <w:r w:rsidR="002C4E0D" w:rsidRPr="00104AB5">
        <w:rPr>
          <w:lang w:val="fr-CA"/>
        </w:rPr>
        <w:t>vemb</w:t>
      </w:r>
      <w:r w:rsidRPr="00104AB5">
        <w:rPr>
          <w:lang w:val="fr-CA"/>
        </w:rPr>
        <w:t>re 2019</w:t>
      </w:r>
      <w:bookmarkEnd w:id="9"/>
      <w:bookmarkEnd w:id="10"/>
    </w:p>
    <w:p w:rsidR="00E76CA0" w:rsidRPr="00104AB5" w:rsidRDefault="00E76CA0" w:rsidP="00E76CA0">
      <w:pPr>
        <w:rPr>
          <w:b/>
          <w:sz w:val="20"/>
          <w:szCs w:val="20"/>
          <w:lang w:val="fr-CA"/>
        </w:rPr>
      </w:pPr>
    </w:p>
    <w:p w:rsidR="00E76CA0" w:rsidRPr="00104AB5" w:rsidRDefault="00E76CA0" w:rsidP="00E76CA0">
      <w:pPr>
        <w:jc w:val="both"/>
        <w:rPr>
          <w:b/>
          <w:sz w:val="20"/>
          <w:szCs w:val="20"/>
          <w:lang w:val="fr-CA"/>
        </w:rPr>
      </w:pPr>
      <w:r w:rsidRPr="00104AB5">
        <w:rPr>
          <w:b/>
          <w:sz w:val="20"/>
          <w:szCs w:val="20"/>
          <w:lang w:val="fr-CA"/>
        </w:rPr>
        <w:t>OCTOBER 2</w:t>
      </w:r>
      <w:r w:rsidR="002C4E0D" w:rsidRPr="00104AB5">
        <w:rPr>
          <w:b/>
          <w:sz w:val="20"/>
          <w:szCs w:val="20"/>
          <w:lang w:val="fr-CA"/>
        </w:rPr>
        <w:t>5</w:t>
      </w:r>
      <w:r w:rsidRPr="00104AB5">
        <w:rPr>
          <w:b/>
          <w:sz w:val="20"/>
          <w:szCs w:val="20"/>
          <w:lang w:val="fr-CA"/>
        </w:rPr>
        <w:t>, 2019 / LE 2</w:t>
      </w:r>
      <w:r w:rsidR="002C4E0D" w:rsidRPr="00104AB5">
        <w:rPr>
          <w:b/>
          <w:sz w:val="20"/>
          <w:szCs w:val="20"/>
          <w:lang w:val="fr-CA"/>
        </w:rPr>
        <w:t>5</w:t>
      </w:r>
      <w:r w:rsidRPr="00104AB5">
        <w:rPr>
          <w:b/>
          <w:sz w:val="20"/>
          <w:szCs w:val="20"/>
          <w:lang w:val="fr-CA"/>
        </w:rPr>
        <w:t xml:space="preserve"> OCTOBRE 2019</w:t>
      </w:r>
    </w:p>
    <w:p w:rsidR="00E76CA0" w:rsidRPr="00104AB5" w:rsidRDefault="00E76CA0" w:rsidP="00E76CA0">
      <w:pPr>
        <w:jc w:val="both"/>
        <w:rPr>
          <w:sz w:val="20"/>
          <w:szCs w:val="20"/>
          <w:lang w:val="fr-CA"/>
        </w:rPr>
      </w:pPr>
    </w:p>
    <w:tbl>
      <w:tblPr>
        <w:tblW w:w="5000" w:type="pct"/>
        <w:tblCellMar>
          <w:top w:w="15" w:type="dxa"/>
          <w:left w:w="15" w:type="dxa"/>
          <w:bottom w:w="15" w:type="dxa"/>
          <w:right w:w="15" w:type="dxa"/>
        </w:tblCellMar>
        <w:tblLook w:val="04A0" w:firstRow="1" w:lastRow="0" w:firstColumn="1" w:lastColumn="0" w:noHBand="0" w:noVBand="1"/>
      </w:tblPr>
      <w:tblGrid>
        <w:gridCol w:w="2332"/>
        <w:gridCol w:w="7287"/>
      </w:tblGrid>
      <w:tr w:rsidR="005F79BB" w:rsidRPr="00104AB5" w:rsidTr="00CE2651">
        <w:trPr>
          <w:trHeight w:val="593"/>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DATE OF HEARING /</w:t>
            </w:r>
            <w:r w:rsidRPr="00104AB5">
              <w:rPr>
                <w:color w:val="333333"/>
                <w:sz w:val="20"/>
              </w:rPr>
              <w:br/>
              <w:t>DATE D’AUDITION</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lang w:val="fr-CA"/>
              </w:rPr>
            </w:pPr>
            <w:r w:rsidRPr="00104AB5">
              <w:rPr>
                <w:color w:val="333333"/>
                <w:sz w:val="20"/>
                <w:lang w:val="fr-CA"/>
              </w:rPr>
              <w:t>NAME AND CASE NUMBER /</w:t>
            </w:r>
            <w:r w:rsidRPr="00104AB5">
              <w:rPr>
                <w:color w:val="333333"/>
                <w:sz w:val="20"/>
                <w:lang w:val="fr-CA"/>
              </w:rPr>
              <w:br/>
              <w:t>NOM DE LA CAUSE ET NUMÉRO</w:t>
            </w:r>
          </w:p>
        </w:tc>
      </w:tr>
      <w:tr w:rsidR="005F79BB" w:rsidRPr="00104AB5" w:rsidTr="00CE2651">
        <w:trPr>
          <w:trHeight w:val="379"/>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2019-11-06</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lang w:val="fr-CA"/>
              </w:rPr>
              <w:t>Uber Technologies Inc., et al. v. David Heller</w:t>
            </w:r>
            <w:r w:rsidRPr="00104AB5">
              <w:rPr>
                <w:color w:val="333333"/>
                <w:sz w:val="20"/>
                <w:lang w:val="fr-CA"/>
              </w:rPr>
              <w:t xml:space="preserve"> (Ont.) </w:t>
            </w:r>
            <w:r w:rsidRPr="00104AB5">
              <w:rPr>
                <w:color w:val="333333"/>
                <w:sz w:val="20"/>
              </w:rPr>
              <w:t>(Civil) (By Leave) (</w:t>
            </w:r>
            <w:hyperlink r:id="rId71" w:history="1">
              <w:r w:rsidRPr="00104AB5">
                <w:rPr>
                  <w:rStyle w:val="Hyperlink"/>
                  <w:sz w:val="20"/>
                </w:rPr>
                <w:t>38534</w:t>
              </w:r>
            </w:hyperlink>
            <w:r w:rsidRPr="00104AB5">
              <w:rPr>
                <w:color w:val="333333"/>
                <w:sz w:val="20"/>
              </w:rPr>
              <w:t>)</w:t>
            </w:r>
          </w:p>
        </w:tc>
      </w:tr>
      <w:tr w:rsidR="005F79BB" w:rsidRPr="00104AB5" w:rsidTr="005F79BB">
        <w:trPr>
          <w:trHeight w:val="324"/>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2019-11-07</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rPr>
              <w:t>Banque Toronto-Dominion c. Harold Young, et al.</w:t>
            </w:r>
            <w:r w:rsidRPr="00104AB5">
              <w:rPr>
                <w:color w:val="333333"/>
                <w:sz w:val="20"/>
              </w:rPr>
              <w:t xml:space="preserve"> (Qc) (Civile) (Autorisation) (</w:t>
            </w:r>
            <w:hyperlink r:id="rId72" w:history="1">
              <w:r w:rsidRPr="00104AB5">
                <w:rPr>
                  <w:rStyle w:val="Hyperlink"/>
                  <w:sz w:val="20"/>
                </w:rPr>
                <w:t>38242</w:t>
              </w:r>
            </w:hyperlink>
            <w:r w:rsidRPr="00104AB5">
              <w:rPr>
                <w:color w:val="333333"/>
                <w:sz w:val="20"/>
              </w:rPr>
              <w:t>)</w:t>
            </w:r>
          </w:p>
        </w:tc>
      </w:tr>
      <w:tr w:rsidR="005F79BB" w:rsidRPr="00104AB5" w:rsidTr="00CE2651">
        <w:trPr>
          <w:trHeight w:val="403"/>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2019-11-08</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rPr>
              <w:t>Her Majesty the Queen v. Justin James</w:t>
            </w:r>
            <w:r w:rsidRPr="00104AB5">
              <w:rPr>
                <w:color w:val="333333"/>
                <w:sz w:val="20"/>
              </w:rPr>
              <w:t xml:space="preserve"> (Ont.) (Criminal) (As of Right) (</w:t>
            </w:r>
            <w:hyperlink r:id="rId73" w:history="1">
              <w:r w:rsidRPr="00104AB5">
                <w:rPr>
                  <w:rStyle w:val="Hyperlink"/>
                  <w:sz w:val="20"/>
                </w:rPr>
                <w:t>38616</w:t>
              </w:r>
            </w:hyperlink>
            <w:r w:rsidRPr="00104AB5">
              <w:rPr>
                <w:color w:val="333333"/>
                <w:sz w:val="20"/>
              </w:rPr>
              <w:t>)</w:t>
            </w:r>
          </w:p>
        </w:tc>
      </w:tr>
      <w:tr w:rsidR="005F79BB" w:rsidRPr="00104AB5" w:rsidTr="00CE2651">
        <w:trPr>
          <w:trHeight w:val="307"/>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2019-11-12</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rPr>
              <w:t>Maia Bent, et al. v. Howard Platnick, et al.</w:t>
            </w:r>
            <w:r w:rsidRPr="00104AB5">
              <w:rPr>
                <w:color w:val="333333"/>
                <w:sz w:val="20"/>
              </w:rPr>
              <w:t xml:space="preserve"> (Ont.) (Civil) (By Leave) (</w:t>
            </w:r>
            <w:hyperlink r:id="rId74" w:history="1">
              <w:r w:rsidRPr="00104AB5">
                <w:rPr>
                  <w:rStyle w:val="Hyperlink"/>
                  <w:sz w:val="20"/>
                </w:rPr>
                <w:t>38374</w:t>
              </w:r>
            </w:hyperlink>
            <w:r w:rsidRPr="00104AB5">
              <w:rPr>
                <w:color w:val="333333"/>
                <w:sz w:val="20"/>
              </w:rPr>
              <w:t>)</w:t>
            </w:r>
          </w:p>
        </w:tc>
      </w:tr>
      <w:tr w:rsidR="005F79BB" w:rsidRPr="00104AB5" w:rsidTr="00CE2651">
        <w:trPr>
          <w:trHeight w:val="508"/>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2019-11-12</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lang w:val="fr-CA"/>
              </w:rPr>
              <w:t xml:space="preserve">1704604 Ontario Limited v. </w:t>
            </w:r>
            <w:proofErr w:type="gramStart"/>
            <w:r w:rsidRPr="00104AB5">
              <w:rPr>
                <w:i/>
                <w:iCs/>
                <w:color w:val="333333"/>
                <w:sz w:val="20"/>
                <w:lang w:val="fr-CA"/>
              </w:rPr>
              <w:t>Pointes</w:t>
            </w:r>
            <w:proofErr w:type="gramEnd"/>
            <w:r w:rsidRPr="00104AB5">
              <w:rPr>
                <w:i/>
                <w:iCs/>
                <w:color w:val="333333"/>
                <w:sz w:val="20"/>
                <w:lang w:val="fr-CA"/>
              </w:rPr>
              <w:t xml:space="preserve"> Protection Association, et al.</w:t>
            </w:r>
            <w:r w:rsidRPr="00104AB5">
              <w:rPr>
                <w:color w:val="333333"/>
                <w:sz w:val="20"/>
                <w:lang w:val="fr-CA"/>
              </w:rPr>
              <w:t xml:space="preserve"> </w:t>
            </w:r>
            <w:r w:rsidRPr="00104AB5">
              <w:rPr>
                <w:color w:val="333333"/>
                <w:sz w:val="20"/>
              </w:rPr>
              <w:t>(Ont.) (Civil) (By Leave) (</w:t>
            </w:r>
            <w:hyperlink r:id="rId75" w:history="1">
              <w:r w:rsidRPr="00104AB5">
                <w:rPr>
                  <w:rStyle w:val="Hyperlink"/>
                  <w:sz w:val="20"/>
                </w:rPr>
                <w:t>38376</w:t>
              </w:r>
            </w:hyperlink>
            <w:r w:rsidRPr="00104AB5">
              <w:rPr>
                <w:color w:val="333333"/>
                <w:sz w:val="20"/>
              </w:rPr>
              <w:t>)</w:t>
            </w:r>
          </w:p>
        </w:tc>
      </w:tr>
      <w:tr w:rsidR="005F79BB" w:rsidRPr="00104AB5" w:rsidTr="00CE2651">
        <w:trPr>
          <w:trHeight w:val="614"/>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2019-11-13</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lang w:val="fr-CA"/>
              </w:rPr>
              <w:t>Volkswagen Group Canada Inc., et al. c. Association québécoise de lutte contre la pollution atmosphérique, et al.</w:t>
            </w:r>
            <w:r w:rsidRPr="00104AB5">
              <w:rPr>
                <w:color w:val="333333"/>
                <w:sz w:val="20"/>
                <w:lang w:val="fr-CA"/>
              </w:rPr>
              <w:t xml:space="preserve"> </w:t>
            </w:r>
            <w:r w:rsidRPr="00104AB5">
              <w:rPr>
                <w:color w:val="333333"/>
                <w:sz w:val="20"/>
              </w:rPr>
              <w:t>(Qc) (Civile) (Autorisation) (</w:t>
            </w:r>
            <w:hyperlink r:id="rId76" w:history="1">
              <w:r w:rsidRPr="00104AB5">
                <w:rPr>
                  <w:rStyle w:val="Hyperlink"/>
                  <w:sz w:val="20"/>
                </w:rPr>
                <w:t>38297</w:t>
              </w:r>
            </w:hyperlink>
            <w:r w:rsidRPr="00104AB5">
              <w:rPr>
                <w:color w:val="333333"/>
                <w:sz w:val="20"/>
              </w:rPr>
              <w:t>)</w:t>
            </w:r>
          </w:p>
        </w:tc>
      </w:tr>
      <w:tr w:rsidR="005F79BB" w:rsidRPr="00104AB5" w:rsidTr="00CE2651">
        <w:trPr>
          <w:trHeight w:val="295"/>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2019-11-14</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lang w:val="fr-CA"/>
              </w:rPr>
              <w:t>Danelle Michel v. Sean Graydon</w:t>
            </w:r>
            <w:r w:rsidRPr="00104AB5">
              <w:rPr>
                <w:color w:val="333333"/>
                <w:sz w:val="20"/>
                <w:lang w:val="fr-CA"/>
              </w:rPr>
              <w:t xml:space="preserve"> (B.C.) </w:t>
            </w:r>
            <w:r w:rsidRPr="00104AB5">
              <w:rPr>
                <w:color w:val="333333"/>
                <w:sz w:val="20"/>
              </w:rPr>
              <w:t>(Civil) (By Leave) (</w:t>
            </w:r>
            <w:hyperlink r:id="rId77" w:history="1">
              <w:r w:rsidRPr="00104AB5">
                <w:rPr>
                  <w:rStyle w:val="Hyperlink"/>
                  <w:sz w:val="20"/>
                </w:rPr>
                <w:t>38498</w:t>
              </w:r>
            </w:hyperlink>
            <w:r w:rsidRPr="00104AB5">
              <w:rPr>
                <w:color w:val="333333"/>
                <w:sz w:val="20"/>
              </w:rPr>
              <w:t>)</w:t>
            </w:r>
          </w:p>
        </w:tc>
      </w:tr>
      <w:tr w:rsidR="005F79BB" w:rsidRPr="00104AB5" w:rsidTr="00CE2651">
        <w:trPr>
          <w:trHeight w:val="355"/>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2019-11-15</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rPr>
              <w:t>Assmar Ryiad Shlah v. Her Majesty the Queen</w:t>
            </w:r>
            <w:r w:rsidRPr="00104AB5">
              <w:rPr>
                <w:color w:val="333333"/>
                <w:sz w:val="20"/>
              </w:rPr>
              <w:t xml:space="preserve"> (Alta.) (Criminal) (As of Right) (</w:t>
            </w:r>
            <w:hyperlink r:id="rId78" w:history="1">
              <w:r w:rsidRPr="00104AB5">
                <w:rPr>
                  <w:rStyle w:val="Hyperlink"/>
                  <w:sz w:val="20"/>
                </w:rPr>
                <w:t>38661</w:t>
              </w:r>
            </w:hyperlink>
            <w:r w:rsidRPr="00104AB5">
              <w:rPr>
                <w:color w:val="333333"/>
                <w:sz w:val="20"/>
              </w:rPr>
              <w:t>)</w:t>
            </w:r>
          </w:p>
        </w:tc>
      </w:tr>
      <w:tr w:rsidR="005F79BB" w:rsidRPr="00104AB5" w:rsidTr="00982449">
        <w:trPr>
          <w:trHeight w:val="350"/>
        </w:trPr>
        <w:tc>
          <w:tcPr>
            <w:tcW w:w="1212"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color w:val="333333"/>
                <w:sz w:val="20"/>
              </w:rPr>
              <w:t>2019-11-15</w:t>
            </w:r>
          </w:p>
        </w:tc>
        <w:tc>
          <w:tcPr>
            <w:tcW w:w="3788" w:type="pct"/>
            <w:shd w:val="clear" w:color="auto" w:fill="auto"/>
            <w:tcMar>
              <w:top w:w="0" w:type="dxa"/>
              <w:left w:w="45" w:type="dxa"/>
              <w:bottom w:w="0" w:type="dxa"/>
              <w:right w:w="45" w:type="dxa"/>
            </w:tcMar>
            <w:hideMark/>
          </w:tcPr>
          <w:p w:rsidR="005F79BB" w:rsidRPr="00104AB5" w:rsidRDefault="005F79BB" w:rsidP="00CE2651">
            <w:pPr>
              <w:rPr>
                <w:color w:val="333333"/>
                <w:sz w:val="20"/>
              </w:rPr>
            </w:pPr>
            <w:r w:rsidRPr="00104AB5">
              <w:rPr>
                <w:i/>
                <w:iCs/>
                <w:color w:val="333333"/>
                <w:sz w:val="20"/>
              </w:rPr>
              <w:t>Franz Emir Cabrera v. Her Majesty the Queen</w:t>
            </w:r>
            <w:r w:rsidRPr="00104AB5">
              <w:rPr>
                <w:color w:val="333333"/>
                <w:sz w:val="20"/>
              </w:rPr>
              <w:t xml:space="preserve"> (Alta.) (Criminal) (As of Right) (</w:t>
            </w:r>
            <w:hyperlink r:id="rId79" w:history="1">
              <w:r w:rsidRPr="00104AB5">
                <w:rPr>
                  <w:rStyle w:val="Hyperlink"/>
                  <w:sz w:val="20"/>
                </w:rPr>
                <w:t>38677</w:t>
              </w:r>
            </w:hyperlink>
            <w:r w:rsidRPr="00104AB5">
              <w:rPr>
                <w:color w:val="333333"/>
                <w:sz w:val="20"/>
              </w:rPr>
              <w:t>)</w:t>
            </w:r>
          </w:p>
        </w:tc>
      </w:tr>
    </w:tbl>
    <w:p w:rsidR="005F79BB" w:rsidRPr="00104AB5" w:rsidRDefault="005F79BB" w:rsidP="005F79BB">
      <w:pPr>
        <w:widowControl w:val="0"/>
        <w:rPr>
          <w:sz w:val="20"/>
          <w:lang w:val="fr-CA"/>
        </w:rPr>
      </w:pPr>
    </w:p>
    <w:p w:rsidR="005F79BB" w:rsidRPr="00104AB5" w:rsidRDefault="005F79BB" w:rsidP="005F79BB">
      <w:pPr>
        <w:widowControl w:val="0"/>
        <w:jc w:val="both"/>
        <w:rPr>
          <w:sz w:val="18"/>
          <w:szCs w:val="18"/>
        </w:rPr>
      </w:pPr>
      <w:r w:rsidRPr="00104AB5">
        <w:rPr>
          <w:b/>
          <w:sz w:val="18"/>
          <w:szCs w:val="18"/>
        </w:rPr>
        <w:t>NOTE:</w:t>
      </w:r>
      <w:r w:rsidRPr="00104AB5">
        <w:rPr>
          <w:sz w:val="18"/>
          <w:szCs w:val="18"/>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5F79BB" w:rsidRPr="00104AB5" w:rsidRDefault="005F79BB" w:rsidP="005F79BB">
      <w:pPr>
        <w:widowControl w:val="0"/>
        <w:jc w:val="both"/>
        <w:rPr>
          <w:sz w:val="18"/>
          <w:szCs w:val="18"/>
        </w:rPr>
      </w:pPr>
    </w:p>
    <w:p w:rsidR="005F79BB" w:rsidRPr="00104AB5" w:rsidRDefault="005F79BB" w:rsidP="005F79BB">
      <w:pPr>
        <w:jc w:val="both"/>
        <w:rPr>
          <w:sz w:val="18"/>
          <w:szCs w:val="18"/>
          <w:lang w:val="fr-CA"/>
        </w:rPr>
      </w:pPr>
      <w:r w:rsidRPr="00104AB5">
        <w:rPr>
          <w:sz w:val="18"/>
          <w:szCs w:val="18"/>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5F79BB" w:rsidRPr="00104AB5" w:rsidRDefault="005F79BB" w:rsidP="005F79BB">
      <w:pPr>
        <w:widowControl w:val="0"/>
        <w:jc w:val="both"/>
        <w:rPr>
          <w:sz w:val="20"/>
          <w:lang w:val="fr-CA"/>
        </w:rPr>
      </w:pPr>
    </w:p>
    <w:p w:rsidR="005F79BB" w:rsidRPr="00104AB5" w:rsidRDefault="00B54B7D" w:rsidP="005F79BB">
      <w:pPr>
        <w:widowControl w:val="0"/>
        <w:jc w:val="both"/>
        <w:rPr>
          <w:sz w:val="20"/>
          <w:lang w:val="fr-CA"/>
        </w:rPr>
      </w:pPr>
      <w:r w:rsidRPr="00104AB5">
        <w:rPr>
          <w:szCs w:val="24"/>
          <w:lang w:val="fr-CA"/>
        </w:rPr>
        <w:pict>
          <v:rect id="_x0000_i1065" style="width:108pt;height:1pt" o:hrpct="0" o:hralign="center" o:hrstd="t" o:hrnoshade="t" o:hr="t" fillcolor="black [3213]" stroked="f"/>
        </w:pict>
      </w:r>
    </w:p>
    <w:p w:rsidR="005F79BB" w:rsidRPr="00104AB5" w:rsidRDefault="005F79BB" w:rsidP="005F79BB">
      <w:pPr>
        <w:widowControl w:val="0"/>
        <w:jc w:val="both"/>
        <w:rPr>
          <w:sz w:val="20"/>
          <w:szCs w:val="20"/>
          <w:lang w:val="fr-CA"/>
        </w:rPr>
      </w:pPr>
    </w:p>
    <w:p w:rsidR="005F79BB" w:rsidRPr="00104AB5" w:rsidRDefault="005F79BB" w:rsidP="005F79BB">
      <w:pPr>
        <w:widowControl w:val="0"/>
        <w:ind w:left="720" w:hanging="720"/>
        <w:jc w:val="both"/>
        <w:rPr>
          <w:b/>
          <w:i/>
          <w:sz w:val="20"/>
        </w:rPr>
      </w:pPr>
      <w:r w:rsidRPr="00104AB5">
        <w:rPr>
          <w:b/>
          <w:sz w:val="20"/>
          <w:szCs w:val="20"/>
        </w:rPr>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38534</w:t>
      </w:r>
      <w:r w:rsidRPr="00104AB5">
        <w:rPr>
          <w:sz w:val="20"/>
          <w:szCs w:val="20"/>
        </w:rPr>
        <w:tab/>
      </w:r>
      <w:r w:rsidRPr="00104AB5">
        <w:rPr>
          <w:b/>
          <w:i/>
          <w:sz w:val="20"/>
          <w:szCs w:val="20"/>
        </w:rPr>
        <w:t>Uber Technologies Inc., Uber Canada, Inc., Uber B.V., Rasier Operations B.V. v. David Heller</w:t>
      </w:r>
    </w:p>
    <w:p w:rsidR="005F79BB" w:rsidRPr="00104AB5" w:rsidRDefault="005F79BB" w:rsidP="005F79BB">
      <w:pPr>
        <w:widowControl w:val="0"/>
        <w:ind w:left="720"/>
        <w:jc w:val="both"/>
        <w:rPr>
          <w:sz w:val="20"/>
          <w:szCs w:val="20"/>
        </w:rPr>
      </w:pPr>
      <w:bookmarkStart w:id="11" w:name="4"/>
      <w:bookmarkEnd w:id="11"/>
      <w:r w:rsidRPr="00104AB5">
        <w:rPr>
          <w:sz w:val="20"/>
          <w:szCs w:val="20"/>
        </w:rPr>
        <w:t>(Ont.) (Civil) (By Leave)</w:t>
      </w:r>
    </w:p>
    <w:p w:rsidR="005F79BB" w:rsidRPr="00104AB5" w:rsidRDefault="005F79BB" w:rsidP="005F79BB">
      <w:pPr>
        <w:pStyle w:val="SCCCaseDescriptor0"/>
        <w:rPr>
          <w:b w:val="0"/>
          <w:sz w:val="20"/>
        </w:rPr>
      </w:pPr>
    </w:p>
    <w:p w:rsidR="005F79BB" w:rsidRPr="00104AB5" w:rsidRDefault="005F79BB" w:rsidP="005F79BB">
      <w:pPr>
        <w:jc w:val="both"/>
        <w:rPr>
          <w:sz w:val="20"/>
          <w:szCs w:val="20"/>
        </w:rPr>
      </w:pPr>
      <w:r w:rsidRPr="00104AB5">
        <w:rPr>
          <w:sz w:val="20"/>
          <w:szCs w:val="20"/>
        </w:rPr>
        <w:t>Employment law - Labour standards - Contracts - Private international law - Arbitration - Whether the competence-competence principle applies in determining the validity of an arbitration agreement - Whether Ontario’s employment standards can void an arbitration agreement - Whether the Court of Appeal applied the correct test for unconscionability.</w:t>
      </w:r>
    </w:p>
    <w:p w:rsidR="005F79BB" w:rsidRPr="00104AB5" w:rsidRDefault="005F79BB" w:rsidP="005F79BB">
      <w:pPr>
        <w:rPr>
          <w:sz w:val="20"/>
          <w:szCs w:val="20"/>
        </w:rPr>
      </w:pPr>
    </w:p>
    <w:p w:rsidR="005F79BB" w:rsidRPr="00104AB5" w:rsidRDefault="005F79BB" w:rsidP="005F79BB">
      <w:pPr>
        <w:jc w:val="both"/>
        <w:rPr>
          <w:sz w:val="20"/>
        </w:rPr>
      </w:pPr>
      <w:r w:rsidRPr="00104AB5">
        <w:rPr>
          <w:sz w:val="20"/>
          <w:szCs w:val="20"/>
        </w:rPr>
        <w:t xml:space="preserve">The appellants, Uber Technologies Inc., Uber Canada Inc., Uber B.V., and Rasier Operations B.V. are part of a group of companies that have come to be known collectively and individually as Uber. Uber has developed computer software applications for GPS-enabled smartphones for transportation and restaurant delivery. Uber itself does not provide transportation or delivery services. Uber’s head offices are primarily located in the Netherlands. David Heller, a resident of Ontario, has been licensed to use the Uber driver app (UberEATS) to deliver food in Toronto since February 2016. He has never used the app to provide personal transportation services. In order to use the driver app, Mr. Heller had to meet certain criteria and accept Uber’s licensing agreement. That agreement states that it is governed by the law of the Netherlands and it includes an arbitration clause stating that disputes connected to the agreement shall be resolved by arbitration in Amsterdam. Mr. Heller brought a proposed class action on behalf of Uber drivers alleging that they were employees of Uber and entitled to benefits under Ontario’s </w:t>
      </w:r>
      <w:r w:rsidRPr="00104AB5">
        <w:rPr>
          <w:i/>
          <w:sz w:val="20"/>
          <w:szCs w:val="20"/>
        </w:rPr>
        <w:t>Employment Standards Act</w:t>
      </w:r>
      <w:r w:rsidRPr="00104AB5">
        <w:rPr>
          <w:sz w:val="20"/>
          <w:szCs w:val="20"/>
        </w:rPr>
        <w:t>, SO 2000, c. 41. Uber brought a motion to stay Mr. Heller’s proposed class action in favour of arbitration which was granted by the Ontario Superior Court of Justice. The Court of Appeal for Ontario granted the subsequent appeal on the basis that the arbitration clause amounted to an illegal contracting out of Ontario’s employment standards and that the arbitration clause was unconscionable.</w:t>
      </w:r>
    </w:p>
    <w:p w:rsidR="005F79BB" w:rsidRPr="00104AB5" w:rsidRDefault="005F79BB" w:rsidP="005F79BB">
      <w:pPr>
        <w:jc w:val="both"/>
        <w:rPr>
          <w:sz w:val="20"/>
        </w:rPr>
      </w:pPr>
    </w:p>
    <w:p w:rsidR="005F79BB" w:rsidRPr="00104AB5" w:rsidRDefault="00B54B7D" w:rsidP="005F79BB">
      <w:pPr>
        <w:jc w:val="both"/>
        <w:rPr>
          <w:sz w:val="20"/>
        </w:rPr>
      </w:pPr>
      <w:r w:rsidRPr="00104AB5">
        <w:rPr>
          <w:szCs w:val="24"/>
          <w:lang w:val="fr-CA"/>
        </w:rPr>
        <w:pict>
          <v:rect id="_x0000_i1066" style="width:108pt;height:1pt" o:hrpct="0" o:hralign="center" o:hrstd="t" o:hrnoshade="t" o:hr="t" fillcolor="black [3213]" stroked="f"/>
        </w:pict>
      </w:r>
    </w:p>
    <w:p w:rsidR="005F79BB" w:rsidRPr="00104AB5" w:rsidRDefault="005F79BB" w:rsidP="005F79BB">
      <w:pPr>
        <w:jc w:val="both"/>
        <w:rPr>
          <w:sz w:val="20"/>
          <w:szCs w:val="20"/>
        </w:rPr>
      </w:pPr>
    </w:p>
    <w:p w:rsidR="005F79BB" w:rsidRPr="00104AB5" w:rsidRDefault="005F79BB" w:rsidP="005F79BB">
      <w:pPr>
        <w:widowControl w:val="0"/>
        <w:ind w:left="720" w:hanging="720"/>
        <w:jc w:val="both"/>
        <w:rPr>
          <w:b/>
          <w:i/>
          <w:sz w:val="20"/>
          <w:lang w:val="fr-CA"/>
        </w:rPr>
      </w:pPr>
      <w:r w:rsidRPr="00104AB5">
        <w:rPr>
          <w:b/>
          <w:sz w:val="20"/>
          <w:szCs w:val="20"/>
          <w:lang w:val="fr-CA"/>
        </w:rPr>
        <w:fldChar w:fldCharType="begin"/>
      </w:r>
      <w:r w:rsidRPr="00104AB5">
        <w:rPr>
          <w:b/>
          <w:sz w:val="20"/>
          <w:szCs w:val="20"/>
          <w:lang w:val="fr-CA"/>
        </w:rPr>
        <w:instrText xml:space="preserve"> SEQ CHAPTER \h \r 1</w:instrText>
      </w:r>
      <w:r w:rsidRPr="00104AB5">
        <w:rPr>
          <w:b/>
          <w:sz w:val="20"/>
          <w:szCs w:val="20"/>
          <w:lang w:val="fr-CA"/>
        </w:rPr>
        <w:fldChar w:fldCharType="end"/>
      </w:r>
      <w:r w:rsidRPr="00104AB5">
        <w:rPr>
          <w:b/>
          <w:sz w:val="20"/>
          <w:szCs w:val="20"/>
          <w:lang w:val="fr-CA"/>
        </w:rPr>
        <w:t>38534</w:t>
      </w:r>
      <w:r w:rsidRPr="00104AB5">
        <w:rPr>
          <w:sz w:val="20"/>
          <w:szCs w:val="20"/>
          <w:lang w:val="fr-CA"/>
        </w:rPr>
        <w:tab/>
      </w:r>
      <w:r w:rsidRPr="00104AB5">
        <w:rPr>
          <w:b/>
          <w:i/>
          <w:sz w:val="20"/>
          <w:szCs w:val="20"/>
          <w:lang w:val="fr-CA"/>
        </w:rPr>
        <w:t>Uber Technologies Inc., Uber Canada, Inc., Uber B.V., Rasier Operations B.V. c. David Heller</w:t>
      </w:r>
    </w:p>
    <w:p w:rsidR="005F79BB" w:rsidRPr="00104AB5" w:rsidRDefault="005F79BB" w:rsidP="005F79BB">
      <w:pPr>
        <w:widowControl w:val="0"/>
        <w:ind w:left="720"/>
        <w:jc w:val="both"/>
        <w:rPr>
          <w:sz w:val="20"/>
          <w:szCs w:val="20"/>
          <w:lang w:val="fr-CA"/>
        </w:rPr>
      </w:pPr>
      <w:r w:rsidRPr="00104AB5">
        <w:rPr>
          <w:sz w:val="20"/>
          <w:szCs w:val="20"/>
          <w:lang w:val="fr-CA"/>
        </w:rPr>
        <w:t>(Ont.) (Civile) (Autorisation)</w:t>
      </w:r>
    </w:p>
    <w:p w:rsidR="005F79BB" w:rsidRPr="00104AB5" w:rsidRDefault="005F79BB" w:rsidP="005F79BB">
      <w:pPr>
        <w:pStyle w:val="SCCCaseDescriptor0"/>
        <w:rPr>
          <w:b w:val="0"/>
          <w:sz w:val="20"/>
          <w:lang w:val="fr-CA"/>
        </w:rPr>
      </w:pPr>
    </w:p>
    <w:p w:rsidR="005F79BB" w:rsidRPr="00104AB5" w:rsidRDefault="005F79BB" w:rsidP="005F79BB">
      <w:pPr>
        <w:jc w:val="both"/>
        <w:rPr>
          <w:sz w:val="20"/>
          <w:szCs w:val="20"/>
          <w:lang w:val="fr-CA"/>
        </w:rPr>
      </w:pPr>
      <w:r w:rsidRPr="00104AB5">
        <w:rPr>
          <w:sz w:val="20"/>
          <w:szCs w:val="20"/>
          <w:lang w:val="fr-CA"/>
        </w:rPr>
        <w:t>Droit de l’emploi - Normes du travail - Contrats - Droit international privé - Arbitrage -Le principe de compétence-compétence s’applique-t-il dans la détermination de la validité d’une convention d’arbitrage? - Les normes d’emploi de l’Ontario peuvent-elles annuler une convention d’arbitrage? - La Cour d’appel a-t-elle appliqué le bon critère de l’iniquité?</w:t>
      </w:r>
    </w:p>
    <w:p w:rsidR="005F79BB" w:rsidRPr="00104AB5" w:rsidRDefault="005F79BB" w:rsidP="005F79BB">
      <w:pPr>
        <w:rPr>
          <w:sz w:val="20"/>
          <w:szCs w:val="20"/>
          <w:lang w:val="fr-CA"/>
        </w:rPr>
      </w:pPr>
    </w:p>
    <w:p w:rsidR="005F79BB" w:rsidRPr="00104AB5" w:rsidRDefault="005F79BB" w:rsidP="005F79BB">
      <w:pPr>
        <w:jc w:val="both"/>
        <w:rPr>
          <w:sz w:val="20"/>
          <w:szCs w:val="20"/>
          <w:lang w:val="fr-CA"/>
        </w:rPr>
      </w:pPr>
      <w:r w:rsidRPr="00104AB5">
        <w:rPr>
          <w:sz w:val="20"/>
          <w:szCs w:val="20"/>
          <w:lang w:val="fr-CA"/>
        </w:rPr>
        <w:t xml:space="preserve">Les appelantes, Uber Technologies Inc., Uber Canada Inc., Uber B.V. et Rasier Operations B.V. font partie d’un groupe de sociétés que l’on désigne collectivement et individuellement comme Uber. Uber a mis au point des applications logicielles destinées aux téléphones intelligents avec GPS pour le transport et pour la livraison dans la restauration. Uber elle-même ne fournit pas de services de transport ou de livraison. Les sièges sociaux d’Uber sont principalement situés dans les Pays-Bas. David Heller, un résident de l’Ontario, est titulaire d’une licence d’utilisation de l’appli de conducteur Uber (UberEATS) pour faire la livraison d’aliments à Toronto depuis février 2016. Il n’a jamais utilisé l’appli pour fournir des services de transport de personnes. Pour pouvoir utiliser l’appli de conducteur, M. Heller devait satisfaire à certains critères et accepter le contrat de licence d’Uber. Ce contrat prévoit qu’il est régi par le droit des Pays-Bas et il comprend une clause d’arbitrage qui prévoit que les différends en lien avec le contrat sont réglés par arbitrage à Amsterdam. Monsieur Heller a exercé un recours collectif proposé au nom des conducteurs d’Uber alléguant que ce sont des employés d’Uber et qu’ils ont droit aux avantages conférés par la </w:t>
      </w:r>
      <w:r w:rsidRPr="00104AB5">
        <w:rPr>
          <w:i/>
          <w:sz w:val="20"/>
          <w:szCs w:val="20"/>
          <w:lang w:val="fr-CA"/>
        </w:rPr>
        <w:t>Loi sur les normes d’emploi</w:t>
      </w:r>
      <w:r w:rsidRPr="00104AB5">
        <w:rPr>
          <w:sz w:val="20"/>
          <w:szCs w:val="20"/>
          <w:lang w:val="fr-CA"/>
        </w:rPr>
        <w:t>, LO 2000, ch. 41. Uber a présenté une motion en suspension du recours collectif proposé par M. Heller en faveur de l’arbitrage, laquelle a été accueillie par la Cour supérieure de justice de l’Ontario. La Cour d’appel a accueilli l’appel subséquent, concluant que la clause d’arbitrage équivalait à une renonciation illégale à l’application des normes d’emploi de l’Ontario et que la clause d’arbitrage était inique.</w:t>
      </w:r>
    </w:p>
    <w:p w:rsidR="005F79BB" w:rsidRPr="00104AB5" w:rsidRDefault="005F79BB" w:rsidP="005F79BB">
      <w:pPr>
        <w:widowControl w:val="0"/>
        <w:outlineLvl w:val="0"/>
        <w:rPr>
          <w:sz w:val="20"/>
          <w:lang w:val="fr-CA"/>
        </w:rPr>
      </w:pPr>
    </w:p>
    <w:p w:rsidR="005F79BB" w:rsidRPr="00104AB5" w:rsidRDefault="00B54B7D" w:rsidP="005F79BB">
      <w:pPr>
        <w:widowControl w:val="0"/>
        <w:outlineLvl w:val="0"/>
        <w:rPr>
          <w:sz w:val="20"/>
          <w:szCs w:val="20"/>
          <w:lang w:val="fr-CA"/>
        </w:rPr>
      </w:pPr>
      <w:r w:rsidRPr="00104AB5">
        <w:rPr>
          <w:szCs w:val="24"/>
          <w:lang w:val="fr-CA"/>
        </w:rPr>
        <w:pict>
          <v:rect id="_x0000_i1067" style="width:108pt;height:1pt" o:hrpct="0" o:hralign="center" o:hrstd="t" o:hrnoshade="t" o:hr="t" fillcolor="black [3213]" stroked="f"/>
        </w:pict>
      </w:r>
    </w:p>
    <w:p w:rsidR="005F79BB" w:rsidRPr="00104AB5" w:rsidRDefault="005F79BB" w:rsidP="005F79BB">
      <w:pPr>
        <w:widowControl w:val="0"/>
        <w:outlineLvl w:val="0"/>
        <w:rPr>
          <w:sz w:val="20"/>
          <w:szCs w:val="20"/>
          <w:lang w:val="fr-CA"/>
        </w:rPr>
      </w:pPr>
    </w:p>
    <w:p w:rsidR="005F79BB" w:rsidRPr="00104AB5" w:rsidRDefault="005F79BB" w:rsidP="005F79BB">
      <w:pPr>
        <w:widowControl w:val="0"/>
        <w:ind w:left="720" w:hanging="720"/>
        <w:jc w:val="both"/>
        <w:rPr>
          <w:b/>
          <w:i/>
          <w:sz w:val="20"/>
          <w:szCs w:val="20"/>
        </w:rPr>
      </w:pPr>
      <w:r w:rsidRPr="00104AB5">
        <w:rPr>
          <w:b/>
          <w:sz w:val="20"/>
          <w:szCs w:val="20"/>
        </w:rPr>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38242</w:t>
      </w:r>
      <w:r w:rsidRPr="00104AB5">
        <w:rPr>
          <w:sz w:val="20"/>
          <w:szCs w:val="20"/>
        </w:rPr>
        <w:tab/>
      </w:r>
      <w:bookmarkStart w:id="12" w:name="3"/>
      <w:bookmarkEnd w:id="12"/>
      <w:r w:rsidRPr="00104AB5">
        <w:rPr>
          <w:b/>
          <w:i/>
          <w:sz w:val="20"/>
          <w:szCs w:val="20"/>
        </w:rPr>
        <w:t>Toronto-Dominion Bank v. Harold Young and Robert Young</w:t>
      </w:r>
    </w:p>
    <w:p w:rsidR="005F79BB" w:rsidRPr="00104AB5" w:rsidRDefault="005F79BB" w:rsidP="005F79BB">
      <w:pPr>
        <w:widowControl w:val="0"/>
        <w:ind w:left="720" w:hanging="720"/>
        <w:jc w:val="both"/>
        <w:rPr>
          <w:sz w:val="20"/>
          <w:szCs w:val="20"/>
        </w:rPr>
      </w:pPr>
      <w:r w:rsidRPr="00104AB5">
        <w:rPr>
          <w:sz w:val="20"/>
          <w:szCs w:val="20"/>
        </w:rPr>
        <w:tab/>
        <w:t>(Que.) (Civil) (By Leave)</w:t>
      </w:r>
    </w:p>
    <w:p w:rsidR="005F79BB" w:rsidRPr="00104AB5" w:rsidRDefault="005F79BB" w:rsidP="005F79BB">
      <w:pPr>
        <w:widowControl w:val="0"/>
        <w:jc w:val="both"/>
        <w:rPr>
          <w:sz w:val="20"/>
          <w:szCs w:val="20"/>
        </w:rPr>
      </w:pPr>
    </w:p>
    <w:p w:rsidR="005F79BB" w:rsidRPr="00104AB5" w:rsidRDefault="005F79BB" w:rsidP="005F79BB">
      <w:pPr>
        <w:jc w:val="both"/>
        <w:rPr>
          <w:sz w:val="20"/>
          <w:szCs w:val="20"/>
        </w:rPr>
      </w:pPr>
      <w:r w:rsidRPr="00104AB5">
        <w:rPr>
          <w:sz w:val="20"/>
          <w:szCs w:val="20"/>
        </w:rPr>
        <w:t>Hypothec - Hypothecary remedy - Forced surrender and taking in payment - Liquid and exigible claim - Civil procedure - Time - Extinctive prescription - Failure to serve proceeding - In Quebec law, whether application for forced surrender for taking in payment, which is purely hypothecary remedy, is separate and independent remedy or remedy that can be exercised only if debt of original debtor exists and continues during proceeding - In alternative, whether court delay in hearing case and rendering judgment, having regard to judicial resources and other circumstances, can, in civil law, result in loss of clear and indisputable rights that party had when action instituted.</w:t>
      </w:r>
    </w:p>
    <w:p w:rsidR="005F79BB" w:rsidRPr="00104AB5" w:rsidRDefault="005F79BB" w:rsidP="005F79BB">
      <w:pPr>
        <w:widowControl w:val="0"/>
        <w:jc w:val="both"/>
        <w:rPr>
          <w:sz w:val="20"/>
          <w:szCs w:val="20"/>
        </w:rPr>
      </w:pPr>
    </w:p>
    <w:p w:rsidR="005F79BB" w:rsidRPr="00104AB5" w:rsidRDefault="005F79BB" w:rsidP="005F79BB">
      <w:pPr>
        <w:jc w:val="both"/>
        <w:rPr>
          <w:sz w:val="20"/>
          <w:szCs w:val="20"/>
        </w:rPr>
      </w:pPr>
      <w:r w:rsidRPr="00104AB5">
        <w:rPr>
          <w:sz w:val="20"/>
          <w:szCs w:val="20"/>
        </w:rPr>
        <w:t>In 2009, the appellant, the Toronto</w:t>
      </w:r>
      <w:r w:rsidRPr="00104AB5">
        <w:rPr>
          <w:sz w:val="20"/>
          <w:szCs w:val="20"/>
        </w:rPr>
        <w:noBreakHyphen/>
        <w:t>Dominion Bank, granted Linda Macht a loan that was secured by a first hypothec on her immovable. At the same time, Ms. Macht took out a loan from the respondents, Harold Young and Robert Young, to whom she granted a second hypothec on the same immovable. Ms. Macht defaulted on her payments, and the Youngs published a prior notice of the exercise of a remedy and instituted an action for taking in payment and forced surrender. In October 2011, a judgment declared them the owners of the immovable in question. On July 10, 2012, given that Ms. Macht was still defaulting on her payments, the Bank served only the Youngs with a new prior notice of the exercise of a remedy and published that notice. The Bank filed an application for forced surrender for taking in payment, but it did not sue or implead Ms. Macht.</w:t>
      </w:r>
    </w:p>
    <w:p w:rsidR="005F79BB" w:rsidRPr="00104AB5" w:rsidRDefault="005F79BB" w:rsidP="005F79BB">
      <w:pPr>
        <w:jc w:val="both"/>
        <w:rPr>
          <w:sz w:val="20"/>
          <w:szCs w:val="20"/>
        </w:rPr>
      </w:pPr>
    </w:p>
    <w:p w:rsidR="005F79BB" w:rsidRPr="00104AB5" w:rsidRDefault="005F79BB" w:rsidP="005F79BB">
      <w:pPr>
        <w:jc w:val="both"/>
        <w:rPr>
          <w:sz w:val="20"/>
        </w:rPr>
      </w:pPr>
      <w:r w:rsidRPr="00104AB5">
        <w:rPr>
          <w:sz w:val="20"/>
          <w:szCs w:val="20"/>
        </w:rPr>
        <w:t>The Superior Court allowed the Bank’s hypothecary action and declared it the owner of the immovable, which it ordered the Youngs to surrender. It found that the Bank had instituted its action in a timely manner and that its failure to serve Ms. Macht with the proceeding was not fatal. The Court of Appeal allowed the appeal, dismissed the Bank’s hypothecary action and ordered that the entries in the land register be cancelled. It found that, by the time the Superior Court judge rendered judgment, the secured claim against Ms. Macht had been extinguished by prescription, which meant that the hypothecary action had to be dismissed, since the hypothec was merely an accessory to the claim.</w:t>
      </w:r>
    </w:p>
    <w:p w:rsidR="005F79BB" w:rsidRPr="00104AB5" w:rsidRDefault="005F79BB" w:rsidP="005F79BB">
      <w:pPr>
        <w:jc w:val="both"/>
        <w:rPr>
          <w:sz w:val="20"/>
        </w:rPr>
      </w:pPr>
    </w:p>
    <w:p w:rsidR="005F79BB" w:rsidRPr="00104AB5" w:rsidRDefault="00B54B7D" w:rsidP="005F79BB">
      <w:pPr>
        <w:jc w:val="both"/>
        <w:rPr>
          <w:sz w:val="20"/>
        </w:rPr>
      </w:pPr>
      <w:r w:rsidRPr="00104AB5">
        <w:rPr>
          <w:szCs w:val="24"/>
          <w:lang w:val="fr-CA"/>
        </w:rPr>
        <w:pict>
          <v:rect id="_x0000_i1068" style="width:108pt;height:1pt" o:hrpct="0" o:hralign="center" o:hrstd="t" o:hrnoshade="t" o:hr="t" fillcolor="black [3213]" stroked="f"/>
        </w:pict>
      </w:r>
    </w:p>
    <w:p w:rsidR="005F79BB" w:rsidRPr="00104AB5" w:rsidRDefault="005F79BB" w:rsidP="005F79BB">
      <w:pPr>
        <w:jc w:val="both"/>
        <w:rPr>
          <w:sz w:val="20"/>
          <w:szCs w:val="20"/>
        </w:rPr>
      </w:pPr>
    </w:p>
    <w:p w:rsidR="005F79BB" w:rsidRPr="00104AB5" w:rsidRDefault="005F79BB" w:rsidP="005F79BB">
      <w:pPr>
        <w:widowControl w:val="0"/>
        <w:ind w:left="720" w:hanging="720"/>
        <w:jc w:val="both"/>
        <w:rPr>
          <w:b/>
          <w:i/>
          <w:sz w:val="20"/>
          <w:szCs w:val="20"/>
        </w:rPr>
      </w:pPr>
      <w:r w:rsidRPr="00104AB5">
        <w:rPr>
          <w:b/>
          <w:sz w:val="20"/>
          <w:szCs w:val="20"/>
          <w:lang w:val="fr-CA"/>
        </w:rPr>
        <w:lastRenderedPageBreak/>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38242</w:t>
      </w:r>
      <w:r w:rsidRPr="00104AB5">
        <w:rPr>
          <w:sz w:val="20"/>
          <w:szCs w:val="20"/>
        </w:rPr>
        <w:tab/>
      </w:r>
      <w:r w:rsidRPr="00104AB5">
        <w:rPr>
          <w:b/>
          <w:i/>
          <w:sz w:val="20"/>
          <w:szCs w:val="20"/>
        </w:rPr>
        <w:t xml:space="preserve">Banque Toronto-Dominion c. Harold Young </w:t>
      </w:r>
      <w:proofErr w:type="gramStart"/>
      <w:r w:rsidRPr="00104AB5">
        <w:rPr>
          <w:b/>
          <w:i/>
          <w:sz w:val="20"/>
          <w:szCs w:val="20"/>
        </w:rPr>
        <w:t>et</w:t>
      </w:r>
      <w:proofErr w:type="gramEnd"/>
      <w:r w:rsidRPr="00104AB5">
        <w:rPr>
          <w:b/>
          <w:i/>
          <w:sz w:val="20"/>
          <w:szCs w:val="20"/>
        </w:rPr>
        <w:t xml:space="preserve"> Robert Young</w:t>
      </w:r>
    </w:p>
    <w:p w:rsidR="005F79BB" w:rsidRPr="00104AB5" w:rsidRDefault="005F79BB" w:rsidP="005F79BB">
      <w:pPr>
        <w:widowControl w:val="0"/>
        <w:ind w:left="720" w:hanging="720"/>
        <w:jc w:val="both"/>
        <w:rPr>
          <w:sz w:val="20"/>
          <w:szCs w:val="20"/>
          <w:lang w:val="fr-CA"/>
        </w:rPr>
      </w:pPr>
      <w:r w:rsidRPr="00104AB5">
        <w:rPr>
          <w:sz w:val="20"/>
          <w:szCs w:val="20"/>
          <w:lang w:val="en-US"/>
        </w:rPr>
        <w:tab/>
      </w:r>
      <w:r w:rsidRPr="00104AB5">
        <w:rPr>
          <w:sz w:val="20"/>
          <w:szCs w:val="20"/>
          <w:lang w:val="fr-CA"/>
        </w:rPr>
        <w:t>(Qc) (Civile) (Autorisation)</w:t>
      </w:r>
    </w:p>
    <w:p w:rsidR="005F79BB" w:rsidRPr="00104AB5" w:rsidRDefault="005F79BB" w:rsidP="005F79BB">
      <w:pPr>
        <w:widowControl w:val="0"/>
        <w:jc w:val="both"/>
        <w:rPr>
          <w:sz w:val="20"/>
          <w:szCs w:val="20"/>
          <w:lang w:val="fr-CA"/>
        </w:rPr>
      </w:pPr>
    </w:p>
    <w:p w:rsidR="005F79BB" w:rsidRPr="00104AB5" w:rsidRDefault="005F79BB" w:rsidP="005F79BB">
      <w:pPr>
        <w:jc w:val="both"/>
        <w:rPr>
          <w:sz w:val="20"/>
          <w:szCs w:val="20"/>
          <w:lang w:val="fr-CA"/>
        </w:rPr>
      </w:pPr>
      <w:r w:rsidRPr="00104AB5">
        <w:rPr>
          <w:sz w:val="20"/>
          <w:szCs w:val="20"/>
          <w:lang w:val="fr-CA"/>
        </w:rPr>
        <w:t>Hypothèque - Recours hypothécaire - Délaissement forcé et prise en paiement - Créance liquide et exigible - Procédure civile - Délais - Prescription extinctive - Défaut de signification - Est-ce qu’en droit québécois, l’exercice d’une demande en délaissement forcé pour prise en paiement, un recours purement hypothécaire, est un recours autonome distinct ou un recours subordonné à l’existence et au maintien pendant l’instance d’une dette à l’égard de la débitrice originale? - Subsidiairement, est-ce que la lenteur des tribunaux à entendre une cause et à rendre jugement, en tenant compte des ressources judiciaires et des autres circonstances, peut, en droit civil, entraîner la perte des droits clairs et incontestables que possédait une partie lors de l’introduction de son recours?</w:t>
      </w:r>
    </w:p>
    <w:p w:rsidR="005F79BB" w:rsidRPr="00104AB5" w:rsidRDefault="005F79BB" w:rsidP="005F79BB">
      <w:pPr>
        <w:widowControl w:val="0"/>
        <w:jc w:val="both"/>
        <w:rPr>
          <w:sz w:val="20"/>
          <w:szCs w:val="20"/>
          <w:lang w:val="fr-CA"/>
        </w:rPr>
      </w:pPr>
    </w:p>
    <w:p w:rsidR="005F79BB" w:rsidRPr="00104AB5" w:rsidRDefault="005F79BB" w:rsidP="005F79BB">
      <w:pPr>
        <w:jc w:val="both"/>
        <w:rPr>
          <w:sz w:val="20"/>
          <w:szCs w:val="20"/>
          <w:lang w:val="fr-CA"/>
        </w:rPr>
      </w:pPr>
      <w:r w:rsidRPr="00104AB5">
        <w:rPr>
          <w:sz w:val="20"/>
          <w:szCs w:val="20"/>
          <w:lang w:val="fr-CA"/>
        </w:rPr>
        <w:t>En 2009, l’appelante, la Banque Toronto-Dominion, octroie un prêt à Linda Macht, lequel est garanti par une hypothèque de 1</w:t>
      </w:r>
      <w:r w:rsidRPr="00104AB5">
        <w:rPr>
          <w:sz w:val="20"/>
          <w:szCs w:val="20"/>
          <w:vertAlign w:val="superscript"/>
          <w:lang w:val="fr-CA"/>
        </w:rPr>
        <w:t>er</w:t>
      </w:r>
      <w:r w:rsidRPr="00104AB5">
        <w:rPr>
          <w:sz w:val="20"/>
          <w:szCs w:val="20"/>
          <w:lang w:val="fr-CA"/>
        </w:rPr>
        <w:t xml:space="preserve"> rang sur son immeuble. De façon concomitante, Mme Macht contracte un prêt auprès des intimés, Harold Young et Robert Young, à qui elle consent une hypothèque de 2</w:t>
      </w:r>
      <w:r w:rsidRPr="00104AB5">
        <w:rPr>
          <w:sz w:val="20"/>
          <w:szCs w:val="20"/>
          <w:vertAlign w:val="superscript"/>
          <w:lang w:val="fr-CA"/>
        </w:rPr>
        <w:t>e</w:t>
      </w:r>
      <w:r w:rsidRPr="00104AB5">
        <w:rPr>
          <w:sz w:val="20"/>
          <w:szCs w:val="20"/>
          <w:lang w:val="fr-CA"/>
        </w:rPr>
        <w:t xml:space="preserve"> rang sur le même immeuble. En raison de défauts de paiement, MM. Young publient un préavis d’exercice et instituent un recours en prise en paiement et en délaissement forcé. En octobre 2011, un jugement déclare MM. Young propriétaires de l’immeuble en question. Le 10 juillet 2012, Mme Macht faisant toujours défaut d’effectuer ses paiements, la Banque signifie un nouveau préavis d’exercice à MM. Young seulement et le publie. La Banque dépose une demande de délaissement forcé en vue d’une prise en paiement, mais ne met pas en cause ni ne poursuit Mme Macht.</w:t>
      </w:r>
    </w:p>
    <w:p w:rsidR="005F79BB" w:rsidRPr="00104AB5" w:rsidRDefault="005F79BB" w:rsidP="005F79BB">
      <w:pPr>
        <w:jc w:val="both"/>
        <w:rPr>
          <w:sz w:val="20"/>
          <w:szCs w:val="20"/>
          <w:lang w:val="fr-CA"/>
        </w:rPr>
      </w:pPr>
    </w:p>
    <w:p w:rsidR="005F79BB" w:rsidRPr="00104AB5" w:rsidRDefault="005F79BB" w:rsidP="005F79BB">
      <w:pPr>
        <w:jc w:val="both"/>
        <w:rPr>
          <w:sz w:val="20"/>
          <w:szCs w:val="20"/>
          <w:lang w:val="fr-CA"/>
        </w:rPr>
      </w:pPr>
      <w:r w:rsidRPr="00104AB5">
        <w:rPr>
          <w:sz w:val="20"/>
          <w:szCs w:val="20"/>
          <w:lang w:val="fr-CA"/>
        </w:rPr>
        <w:t>La Cour supérieure accueille le recours hypothécaire de la Banque et la déclare propriétaire de l’immeuble, qu’elle ordonne à MM. Young de délaisser. Elle est d’avis que la Banque a intenté son recours en temps utile et que le fait de ne pas avoir signifié la procédure à Mme Macht n’est pas fatal. La Cour d’appel accueille l’appel, rejette l’action hypothécaire de la Banque et ordonne la radiation d’inscriptions au registre foncier. Elle conclut que lors du prononcé du jugement par le juge de la Cour supérieure, la créance garantie de Mme Macht était éteinte par prescription, si bien que l’action hypothécaire était irrecevable, l’hypothèque n’étant que l’accessoire de la créance.</w:t>
      </w:r>
    </w:p>
    <w:p w:rsidR="005F79BB" w:rsidRPr="00104AB5" w:rsidRDefault="005F79BB" w:rsidP="005F79BB">
      <w:pPr>
        <w:widowControl w:val="0"/>
        <w:outlineLvl w:val="0"/>
        <w:rPr>
          <w:sz w:val="20"/>
          <w:szCs w:val="20"/>
          <w:lang w:val="fr-CA"/>
        </w:rPr>
      </w:pPr>
    </w:p>
    <w:p w:rsidR="005F79BB" w:rsidRPr="00104AB5" w:rsidRDefault="00B54B7D" w:rsidP="005F79BB">
      <w:pPr>
        <w:widowControl w:val="0"/>
        <w:outlineLvl w:val="0"/>
        <w:rPr>
          <w:sz w:val="20"/>
          <w:lang w:val="fr-CA"/>
        </w:rPr>
      </w:pPr>
      <w:r w:rsidRPr="00104AB5">
        <w:rPr>
          <w:szCs w:val="24"/>
          <w:lang w:val="fr-CA"/>
        </w:rPr>
        <w:pict>
          <v:rect id="_x0000_i1069" style="width:108pt;height:1pt" o:hrpct="0" o:hralign="center" o:hrstd="t" o:hrnoshade="t" o:hr="t" fillcolor="black [3213]" stroked="f"/>
        </w:pict>
      </w:r>
    </w:p>
    <w:p w:rsidR="005F79BB" w:rsidRPr="00104AB5" w:rsidRDefault="005F79BB" w:rsidP="005F79BB">
      <w:pPr>
        <w:widowControl w:val="0"/>
        <w:outlineLvl w:val="0"/>
        <w:rPr>
          <w:sz w:val="20"/>
          <w:szCs w:val="20"/>
          <w:lang w:val="fr-CA"/>
        </w:rPr>
      </w:pPr>
    </w:p>
    <w:p w:rsidR="005F79BB" w:rsidRPr="00104AB5" w:rsidRDefault="005F79BB" w:rsidP="005F79BB">
      <w:pPr>
        <w:widowControl w:val="0"/>
        <w:ind w:left="720" w:hanging="720"/>
        <w:jc w:val="both"/>
        <w:rPr>
          <w:b/>
          <w:i/>
          <w:sz w:val="20"/>
          <w:szCs w:val="20"/>
        </w:rPr>
      </w:pPr>
      <w:r w:rsidRPr="00104AB5">
        <w:rPr>
          <w:b/>
          <w:sz w:val="20"/>
          <w:szCs w:val="20"/>
        </w:rPr>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38616</w:t>
      </w:r>
      <w:r w:rsidRPr="00104AB5">
        <w:rPr>
          <w:sz w:val="20"/>
          <w:szCs w:val="20"/>
        </w:rPr>
        <w:tab/>
      </w:r>
      <w:r w:rsidRPr="00104AB5">
        <w:rPr>
          <w:b/>
          <w:i/>
          <w:sz w:val="20"/>
          <w:szCs w:val="20"/>
        </w:rPr>
        <w:t>Her Majesty the Queen v. Justin James</w:t>
      </w:r>
    </w:p>
    <w:p w:rsidR="005F79BB" w:rsidRPr="00104AB5" w:rsidRDefault="005F79BB" w:rsidP="005F79BB">
      <w:pPr>
        <w:widowControl w:val="0"/>
        <w:ind w:left="720" w:hanging="720"/>
        <w:jc w:val="both"/>
        <w:rPr>
          <w:sz w:val="20"/>
          <w:szCs w:val="20"/>
        </w:rPr>
      </w:pPr>
      <w:r w:rsidRPr="00104AB5">
        <w:rPr>
          <w:sz w:val="20"/>
          <w:szCs w:val="20"/>
        </w:rPr>
        <w:tab/>
        <w:t>(Ont.) (Criminal) (As of Right)</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szCs w:val="20"/>
        </w:rPr>
      </w:pPr>
      <w:r w:rsidRPr="00104AB5">
        <w:rPr>
          <w:sz w:val="20"/>
          <w:szCs w:val="20"/>
        </w:rPr>
        <w:t xml:space="preserve">Constitutional law - </w:t>
      </w:r>
      <w:r w:rsidRPr="00104AB5">
        <w:rPr>
          <w:i/>
          <w:sz w:val="20"/>
          <w:szCs w:val="20"/>
        </w:rPr>
        <w:t>Charter of rights</w:t>
      </w:r>
      <w:r w:rsidRPr="00104AB5">
        <w:rPr>
          <w:sz w:val="20"/>
          <w:szCs w:val="20"/>
        </w:rPr>
        <w:t xml:space="preserve"> - Search and seizure - Enforcement - Exclusion of evidence - Information to obtain - Reasonable grounds to believe that evidence would be found - Whether the Court of Appeal erred in law by concluding that the respondent’s s. 8 </w:t>
      </w:r>
      <w:r w:rsidRPr="00104AB5">
        <w:rPr>
          <w:i/>
          <w:sz w:val="20"/>
          <w:szCs w:val="20"/>
        </w:rPr>
        <w:t>Charter</w:t>
      </w:r>
      <w:r w:rsidRPr="00104AB5">
        <w:rPr>
          <w:sz w:val="20"/>
          <w:szCs w:val="20"/>
        </w:rPr>
        <w:t xml:space="preserve"> rights were violated by reason of the insufficiency of grounds to support a </w:t>
      </w:r>
      <w:r w:rsidRPr="00104AB5">
        <w:rPr>
          <w:i/>
          <w:sz w:val="20"/>
          <w:szCs w:val="20"/>
        </w:rPr>
        <w:t>Controlled Drugs and Substances Act</w:t>
      </w:r>
      <w:r w:rsidRPr="00104AB5">
        <w:rPr>
          <w:sz w:val="20"/>
          <w:szCs w:val="20"/>
        </w:rPr>
        <w:t xml:space="preserve">, </w:t>
      </w:r>
      <w:r w:rsidRPr="00104AB5">
        <w:rPr>
          <w:sz w:val="20"/>
          <w:szCs w:val="20"/>
          <w:lang w:val="en"/>
        </w:rPr>
        <w:t>S.C. 1996, c. 19,</w:t>
      </w:r>
      <w:r w:rsidRPr="00104AB5">
        <w:rPr>
          <w:sz w:val="20"/>
          <w:szCs w:val="20"/>
        </w:rPr>
        <w:t xml:space="preserve"> search warrant - Whether the majority of the Court of Appeal erred in law by excluding the evidence pursuant to s. 24(2) of the </w:t>
      </w:r>
      <w:r w:rsidRPr="00104AB5">
        <w:rPr>
          <w:i/>
          <w:sz w:val="20"/>
          <w:szCs w:val="20"/>
        </w:rPr>
        <w:t>Charter</w:t>
      </w:r>
      <w:r w:rsidRPr="00104AB5">
        <w:rPr>
          <w:sz w:val="20"/>
          <w:szCs w:val="20"/>
        </w:rPr>
        <w:t xml:space="preserve"> - </w:t>
      </w:r>
      <w:r w:rsidRPr="00104AB5">
        <w:rPr>
          <w:i/>
          <w:sz w:val="20"/>
          <w:szCs w:val="20"/>
        </w:rPr>
        <w:t>Canadian Charter of Rights and Freedoms</w:t>
      </w:r>
      <w:r w:rsidRPr="00104AB5">
        <w:rPr>
          <w:sz w:val="20"/>
          <w:szCs w:val="20"/>
        </w:rPr>
        <w:t>, ss. 8, 24(2).</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rPr>
      </w:pPr>
      <w:r w:rsidRPr="00104AB5">
        <w:rPr>
          <w:sz w:val="20"/>
          <w:szCs w:val="20"/>
        </w:rPr>
        <w:t xml:space="preserve">The respondent was acquitted of drug and firearms charges on the basis that his s. 8 </w:t>
      </w:r>
      <w:r w:rsidRPr="00104AB5">
        <w:rPr>
          <w:i/>
          <w:sz w:val="20"/>
          <w:szCs w:val="20"/>
        </w:rPr>
        <w:t>Charter</w:t>
      </w:r>
      <w:r w:rsidRPr="00104AB5">
        <w:rPr>
          <w:sz w:val="20"/>
          <w:szCs w:val="20"/>
        </w:rPr>
        <w:t xml:space="preserve"> rights were violated by the issuance of a warrant which was based on an outdated Information to Obtain (“ITO”). The trial judge explained that there could be no reasonable grounds to believe that the respondent was carrying contraband at the time he was searched, when any information about him in the ITO was dated some 23 days earlier. To hold otherwise, the trial judge held, would be to allow authorities to obtain warrants based on a person’s reputation, in this case as a drug dealer, as opposed to credible evidence of probability. He excluded the evidence pursuant to s. 24(2) of the </w:t>
      </w:r>
      <w:r w:rsidRPr="00104AB5">
        <w:rPr>
          <w:i/>
          <w:sz w:val="20"/>
          <w:szCs w:val="20"/>
        </w:rPr>
        <w:t>Charter</w:t>
      </w:r>
      <w:r w:rsidRPr="00104AB5">
        <w:rPr>
          <w:sz w:val="20"/>
          <w:szCs w:val="20"/>
        </w:rPr>
        <w:t xml:space="preserve">. The Crown appealed unsuccessfully, although </w:t>
      </w:r>
      <w:proofErr w:type="spellStart"/>
      <w:r w:rsidRPr="00104AB5">
        <w:rPr>
          <w:sz w:val="20"/>
          <w:szCs w:val="20"/>
        </w:rPr>
        <w:t>Nordheimer</w:t>
      </w:r>
      <w:proofErr w:type="spellEnd"/>
      <w:r w:rsidRPr="00104AB5">
        <w:rPr>
          <w:sz w:val="20"/>
          <w:szCs w:val="20"/>
        </w:rPr>
        <w:t xml:space="preserve"> J.A., dissenting, would have allowed the appeal, set aside the acquittals and ordered a new trial. In his view, the respondent’s s. 8 rights had not been breached, and even if they had been, the e</w:t>
      </w:r>
      <w:r w:rsidRPr="00104AB5">
        <w:rPr>
          <w:sz w:val="20"/>
        </w:rPr>
        <w:t>vidence should not be excluded.</w:t>
      </w:r>
    </w:p>
    <w:p w:rsidR="005F79BB" w:rsidRPr="00104AB5" w:rsidRDefault="005F79BB" w:rsidP="005F79BB">
      <w:pPr>
        <w:widowControl w:val="0"/>
        <w:jc w:val="both"/>
        <w:rPr>
          <w:sz w:val="20"/>
        </w:rPr>
      </w:pPr>
    </w:p>
    <w:p w:rsidR="005F79BB" w:rsidRPr="00104AB5" w:rsidRDefault="00B54B7D" w:rsidP="005F79BB">
      <w:pPr>
        <w:widowControl w:val="0"/>
        <w:jc w:val="both"/>
        <w:rPr>
          <w:sz w:val="20"/>
        </w:rPr>
      </w:pPr>
      <w:r w:rsidRPr="00104AB5">
        <w:rPr>
          <w:szCs w:val="24"/>
          <w:lang w:val="fr-CA"/>
        </w:rPr>
        <w:pict>
          <v:rect id="_x0000_i1070" style="width:108pt;height:1pt" o:hrpct="0" o:hralign="center" o:hrstd="t" o:hrnoshade="t" o:hr="t" fillcolor="black [3213]" stroked="f"/>
        </w:pict>
      </w:r>
    </w:p>
    <w:p w:rsidR="005F79BB" w:rsidRPr="00104AB5" w:rsidRDefault="005F79BB" w:rsidP="005F79BB">
      <w:pPr>
        <w:widowControl w:val="0"/>
        <w:jc w:val="both"/>
        <w:rPr>
          <w:sz w:val="20"/>
          <w:szCs w:val="20"/>
        </w:rPr>
      </w:pPr>
    </w:p>
    <w:p w:rsidR="00494407" w:rsidRPr="00104AB5" w:rsidRDefault="00494407">
      <w:pPr>
        <w:rPr>
          <w:b/>
          <w:sz w:val="20"/>
          <w:szCs w:val="20"/>
          <w:lang w:val="fr-CA"/>
        </w:rPr>
      </w:pPr>
      <w:r w:rsidRPr="00104AB5">
        <w:rPr>
          <w:b/>
          <w:sz w:val="20"/>
          <w:szCs w:val="20"/>
          <w:lang w:val="fr-CA"/>
        </w:rPr>
        <w:br w:type="page"/>
      </w:r>
    </w:p>
    <w:p w:rsidR="005F79BB" w:rsidRPr="00104AB5" w:rsidRDefault="005F79BB" w:rsidP="005F79BB">
      <w:pPr>
        <w:widowControl w:val="0"/>
        <w:ind w:left="720" w:hanging="720"/>
        <w:jc w:val="both"/>
        <w:rPr>
          <w:b/>
          <w:i/>
          <w:sz w:val="20"/>
          <w:szCs w:val="20"/>
          <w:lang w:val="fr-CA"/>
        </w:rPr>
      </w:pPr>
      <w:r w:rsidRPr="00104AB5">
        <w:rPr>
          <w:b/>
          <w:sz w:val="20"/>
          <w:szCs w:val="20"/>
          <w:lang w:val="fr-CA"/>
        </w:rPr>
        <w:lastRenderedPageBreak/>
        <w:fldChar w:fldCharType="begin"/>
      </w:r>
      <w:r w:rsidRPr="00104AB5">
        <w:rPr>
          <w:b/>
          <w:sz w:val="20"/>
          <w:szCs w:val="20"/>
          <w:lang w:val="fr-CA"/>
        </w:rPr>
        <w:instrText xml:space="preserve"> SEQ CHAPTER \h \r 1</w:instrText>
      </w:r>
      <w:r w:rsidRPr="00104AB5">
        <w:rPr>
          <w:b/>
          <w:sz w:val="20"/>
          <w:szCs w:val="20"/>
          <w:lang w:val="fr-CA"/>
        </w:rPr>
        <w:fldChar w:fldCharType="end"/>
      </w:r>
      <w:r w:rsidRPr="00104AB5">
        <w:rPr>
          <w:b/>
          <w:sz w:val="20"/>
          <w:szCs w:val="20"/>
          <w:lang w:val="fr-CA"/>
        </w:rPr>
        <w:t>38616</w:t>
      </w:r>
      <w:r w:rsidRPr="00104AB5">
        <w:rPr>
          <w:sz w:val="20"/>
          <w:szCs w:val="20"/>
          <w:lang w:val="fr-CA"/>
        </w:rPr>
        <w:tab/>
      </w:r>
      <w:r w:rsidRPr="00104AB5">
        <w:rPr>
          <w:b/>
          <w:i/>
          <w:sz w:val="20"/>
          <w:szCs w:val="20"/>
          <w:lang w:val="fr-CA"/>
        </w:rPr>
        <w:t>Sa Majesté la Reine c. Justin James</w:t>
      </w:r>
    </w:p>
    <w:p w:rsidR="005F79BB" w:rsidRPr="00104AB5" w:rsidRDefault="005F79BB" w:rsidP="005F79BB">
      <w:pPr>
        <w:widowControl w:val="0"/>
        <w:ind w:left="720" w:hanging="720"/>
        <w:jc w:val="both"/>
        <w:rPr>
          <w:sz w:val="20"/>
          <w:szCs w:val="20"/>
          <w:lang w:val="fr-CA"/>
        </w:rPr>
      </w:pPr>
      <w:r w:rsidRPr="00104AB5">
        <w:rPr>
          <w:sz w:val="20"/>
          <w:szCs w:val="20"/>
          <w:lang w:val="fr-CA"/>
        </w:rPr>
        <w:tab/>
        <w:t>(Ont</w:t>
      </w:r>
      <w:r w:rsidRPr="00104AB5">
        <w:rPr>
          <w:sz w:val="20"/>
          <w:lang w:val="fr-CA"/>
        </w:rPr>
        <w:t>.</w:t>
      </w:r>
      <w:r w:rsidRPr="00104AB5">
        <w:rPr>
          <w:sz w:val="20"/>
          <w:szCs w:val="20"/>
          <w:lang w:val="fr-CA"/>
        </w:rPr>
        <w:t>) (Criminelle) (De plein droit)</w:t>
      </w:r>
    </w:p>
    <w:p w:rsidR="005F79BB" w:rsidRPr="00104AB5" w:rsidRDefault="005F79BB" w:rsidP="005F79BB">
      <w:pPr>
        <w:widowControl w:val="0"/>
        <w:jc w:val="both"/>
        <w:rPr>
          <w:sz w:val="20"/>
          <w:szCs w:val="20"/>
          <w:lang w:val="fr-CA"/>
        </w:rPr>
      </w:pPr>
    </w:p>
    <w:p w:rsidR="005F79BB" w:rsidRPr="00104AB5" w:rsidRDefault="005F79BB" w:rsidP="005F79BB">
      <w:pPr>
        <w:widowControl w:val="0"/>
        <w:jc w:val="both"/>
        <w:rPr>
          <w:sz w:val="20"/>
          <w:szCs w:val="20"/>
          <w:lang w:val="fr-CA"/>
        </w:rPr>
      </w:pPr>
      <w:r w:rsidRPr="00104AB5">
        <w:rPr>
          <w:sz w:val="20"/>
          <w:szCs w:val="20"/>
          <w:lang w:val="fr-CA"/>
        </w:rPr>
        <w:t xml:space="preserve">Droit constitutionnel - </w:t>
      </w:r>
      <w:r w:rsidRPr="00104AB5">
        <w:rPr>
          <w:i/>
          <w:sz w:val="20"/>
          <w:szCs w:val="20"/>
          <w:lang w:val="fr-CA"/>
        </w:rPr>
        <w:t xml:space="preserve">Charte des droits </w:t>
      </w:r>
      <w:r w:rsidRPr="00104AB5">
        <w:rPr>
          <w:sz w:val="20"/>
          <w:szCs w:val="20"/>
          <w:lang w:val="fr-CA"/>
        </w:rPr>
        <w:t xml:space="preserve">- Fouilles, perquisitions et saisies - Exécution - Exclusion d’éléments de preuve - Dénonciation en vue d’obtenir un mandat - Motifs raisonnables de croire que des preuves seraient </w:t>
      </w:r>
      <w:proofErr w:type="gramStart"/>
      <w:r w:rsidRPr="00104AB5">
        <w:rPr>
          <w:sz w:val="20"/>
          <w:szCs w:val="20"/>
          <w:lang w:val="fr-CA"/>
        </w:rPr>
        <w:t>trouvées -</w:t>
      </w:r>
      <w:proofErr w:type="gramEnd"/>
      <w:r w:rsidRPr="00104AB5">
        <w:rPr>
          <w:sz w:val="20"/>
          <w:szCs w:val="20"/>
          <w:lang w:val="fr-CA"/>
        </w:rPr>
        <w:t xml:space="preserve"> La Cour d’appel a-t-elle commis une erreur de droit en concluant que les droits de l’intimé garantis par l’art. 8 de la </w:t>
      </w:r>
      <w:r w:rsidRPr="00104AB5">
        <w:rPr>
          <w:i/>
          <w:sz w:val="20"/>
          <w:szCs w:val="20"/>
          <w:lang w:val="fr-CA"/>
        </w:rPr>
        <w:t>Charte</w:t>
      </w:r>
      <w:r w:rsidRPr="00104AB5">
        <w:rPr>
          <w:sz w:val="20"/>
          <w:szCs w:val="20"/>
          <w:lang w:val="fr-CA"/>
        </w:rPr>
        <w:t xml:space="preserve"> avaient été violés en raison de l’insuffisance des motifs justifiant la délivrance d’un mandat de perquisition en vertu de la </w:t>
      </w:r>
      <w:r w:rsidRPr="00104AB5">
        <w:rPr>
          <w:i/>
          <w:sz w:val="20"/>
          <w:szCs w:val="20"/>
          <w:lang w:val="fr-CA"/>
        </w:rPr>
        <w:t>Loi réglementant certaines drogues et autres substances</w:t>
      </w:r>
      <w:r w:rsidRPr="00104AB5">
        <w:rPr>
          <w:sz w:val="20"/>
          <w:szCs w:val="20"/>
          <w:lang w:val="fr-CA"/>
        </w:rPr>
        <w:t xml:space="preserve">, L.C. 1996, ch. 19? - La majorité de la Cour d’appel a-t-elle commis une erreur de droit en excluant les éléments de preuve en vertu du par. 24(2) de la Charte? </w:t>
      </w:r>
      <w:r w:rsidRPr="00104AB5">
        <w:rPr>
          <w:i/>
          <w:sz w:val="20"/>
          <w:szCs w:val="20"/>
          <w:lang w:val="fr-CA"/>
        </w:rPr>
        <w:t>Charte canadienne des droits et libertés</w:t>
      </w:r>
      <w:r w:rsidRPr="00104AB5">
        <w:rPr>
          <w:sz w:val="20"/>
          <w:szCs w:val="20"/>
          <w:lang w:val="fr-CA"/>
        </w:rPr>
        <w:t>, art. 8, par. 24(2).</w:t>
      </w:r>
    </w:p>
    <w:p w:rsidR="005F79BB" w:rsidRPr="00104AB5" w:rsidRDefault="005F79BB" w:rsidP="005F79BB">
      <w:pPr>
        <w:widowControl w:val="0"/>
        <w:jc w:val="both"/>
        <w:rPr>
          <w:sz w:val="20"/>
          <w:szCs w:val="20"/>
          <w:lang w:val="fr-CA"/>
        </w:rPr>
      </w:pPr>
    </w:p>
    <w:p w:rsidR="005F79BB" w:rsidRPr="00104AB5" w:rsidRDefault="005F79BB" w:rsidP="005F79BB">
      <w:pPr>
        <w:widowControl w:val="0"/>
        <w:jc w:val="both"/>
        <w:rPr>
          <w:sz w:val="20"/>
          <w:szCs w:val="20"/>
          <w:lang w:val="fr-CA"/>
        </w:rPr>
      </w:pPr>
      <w:r w:rsidRPr="00104AB5">
        <w:rPr>
          <w:sz w:val="20"/>
          <w:szCs w:val="20"/>
          <w:lang w:val="fr-CA"/>
        </w:rPr>
        <w:t xml:space="preserve">L’intimé a été acquitté d’accusations en matière de drogues et d’armes à feu au motif que ses droits garantis par l’art. 8 de la Charte avaient été violés par suite de la délivrance d’un mandat d’arrestation fondé sur une dénonciation en vue d’obtenir un mandat qui n’était plus à jour. Le juge du procès a expliqué qu’il ne pouvait y avoir de motifs raisonnables de croire que l’intimé transportait des marchandises de contrebande au moment où il avait été fouillé, alors que tous les renseignements contenus dans la dénonciation à son sujet remontaient à quelque 23 jours plus tôt. Selon le juge du procès, conclure autrement reviendrait à permettre aux autorités d’obtenir des mandats en fonction de la réputation d’une personne - dans le cas présent, un trafiquant de drogues -, plutôt qu’en fonction de preuves crédibles portant sur les probabilités. Il a exclu la preuve en vertu du par. 24(2) de la Charte. Le ministère public a interjeté appel sans succès, bien que le juge </w:t>
      </w:r>
      <w:proofErr w:type="spellStart"/>
      <w:r w:rsidRPr="00104AB5">
        <w:rPr>
          <w:sz w:val="20"/>
          <w:szCs w:val="20"/>
          <w:lang w:val="fr-CA"/>
        </w:rPr>
        <w:t>Nordheimer</w:t>
      </w:r>
      <w:proofErr w:type="spellEnd"/>
      <w:r w:rsidRPr="00104AB5">
        <w:rPr>
          <w:sz w:val="20"/>
          <w:szCs w:val="20"/>
          <w:lang w:val="fr-CA"/>
        </w:rPr>
        <w:t>, dissident, aurait fait droit à l’appel, annulé les acquittements et ordonné un nouveau procès. À son avis, les droits de l’intimé n’avaient pas été violés, et même s’ils l’avaient été, la preuve ne devrait pas être exclue.</w:t>
      </w:r>
    </w:p>
    <w:p w:rsidR="005F79BB" w:rsidRPr="00104AB5" w:rsidRDefault="005F79BB" w:rsidP="005F79BB">
      <w:pPr>
        <w:widowControl w:val="0"/>
        <w:outlineLvl w:val="0"/>
        <w:rPr>
          <w:sz w:val="20"/>
          <w:lang w:val="fr-CA"/>
        </w:rPr>
      </w:pPr>
    </w:p>
    <w:p w:rsidR="005F79BB" w:rsidRPr="00104AB5" w:rsidRDefault="00B54B7D" w:rsidP="005F79BB">
      <w:pPr>
        <w:widowControl w:val="0"/>
        <w:outlineLvl w:val="0"/>
        <w:rPr>
          <w:sz w:val="20"/>
          <w:szCs w:val="20"/>
          <w:lang w:val="fr-CA"/>
        </w:rPr>
      </w:pPr>
      <w:r w:rsidRPr="00104AB5">
        <w:rPr>
          <w:szCs w:val="24"/>
          <w:lang w:val="fr-CA"/>
        </w:rPr>
        <w:pict>
          <v:rect id="_x0000_i1071" style="width:108pt;height:1pt" o:hrpct="0" o:hralign="center" o:hrstd="t" o:hrnoshade="t" o:hr="t" fillcolor="black [3213]" stroked="f"/>
        </w:pict>
      </w:r>
    </w:p>
    <w:p w:rsidR="005F79BB" w:rsidRPr="00104AB5" w:rsidRDefault="005F79BB" w:rsidP="005F79BB">
      <w:pPr>
        <w:widowControl w:val="0"/>
        <w:outlineLvl w:val="0"/>
        <w:rPr>
          <w:sz w:val="20"/>
          <w:lang w:val="fr-CA"/>
        </w:rPr>
      </w:pPr>
    </w:p>
    <w:p w:rsidR="005F79BB" w:rsidRPr="00104AB5" w:rsidRDefault="005F79BB" w:rsidP="005F79BB">
      <w:pPr>
        <w:pStyle w:val="SCCLsocParty"/>
        <w:jc w:val="both"/>
        <w:rPr>
          <w:b/>
          <w:i/>
          <w:sz w:val="20"/>
          <w:szCs w:val="20"/>
          <w:lang w:val="en-US"/>
        </w:rPr>
      </w:pPr>
      <w:r w:rsidRPr="00104AB5">
        <w:rPr>
          <w:rStyle w:val="SCCFileNumberChar"/>
          <w:sz w:val="20"/>
          <w:szCs w:val="20"/>
        </w:rPr>
        <w:t>38374</w:t>
      </w:r>
      <w:r w:rsidRPr="00104AB5">
        <w:rPr>
          <w:rStyle w:val="SCCFileNumberChar"/>
          <w:sz w:val="20"/>
          <w:szCs w:val="20"/>
        </w:rPr>
        <w:tab/>
      </w:r>
      <w:r w:rsidRPr="00104AB5">
        <w:rPr>
          <w:b/>
          <w:i/>
          <w:sz w:val="20"/>
          <w:szCs w:val="20"/>
          <w:lang w:val="en-US"/>
        </w:rPr>
        <w:t>Maia Bent v. Howard Platnick</w:t>
      </w:r>
    </w:p>
    <w:p w:rsidR="005F79BB" w:rsidRPr="00104AB5" w:rsidRDefault="005F79BB" w:rsidP="005F79BB">
      <w:pPr>
        <w:pStyle w:val="SCCLsocSubfileSeparator0"/>
        <w:ind w:firstLine="720"/>
        <w:rPr>
          <w:i/>
          <w:sz w:val="20"/>
          <w:szCs w:val="20"/>
        </w:rPr>
      </w:pPr>
      <w:r w:rsidRPr="00104AB5">
        <w:rPr>
          <w:i/>
          <w:sz w:val="20"/>
          <w:szCs w:val="20"/>
        </w:rPr>
        <w:t xml:space="preserve">- </w:t>
      </w:r>
      <w:proofErr w:type="gramStart"/>
      <w:r w:rsidRPr="00104AB5">
        <w:rPr>
          <w:i/>
          <w:sz w:val="20"/>
          <w:szCs w:val="20"/>
        </w:rPr>
        <w:t>and</w:t>
      </w:r>
      <w:proofErr w:type="gramEnd"/>
      <w:r w:rsidRPr="00104AB5">
        <w:rPr>
          <w:i/>
          <w:sz w:val="20"/>
          <w:szCs w:val="20"/>
        </w:rPr>
        <w:t xml:space="preserve"> between -</w:t>
      </w:r>
    </w:p>
    <w:p w:rsidR="005F79BB" w:rsidRPr="00104AB5" w:rsidRDefault="005F79BB" w:rsidP="005F79BB">
      <w:pPr>
        <w:pStyle w:val="SCCLsocParty"/>
        <w:ind w:firstLine="720"/>
        <w:jc w:val="both"/>
        <w:rPr>
          <w:b/>
          <w:i/>
          <w:sz w:val="20"/>
          <w:szCs w:val="20"/>
          <w:lang w:val="en-US"/>
        </w:rPr>
      </w:pPr>
      <w:r w:rsidRPr="00104AB5">
        <w:rPr>
          <w:b/>
          <w:i/>
          <w:sz w:val="20"/>
          <w:szCs w:val="20"/>
          <w:lang w:val="en-US"/>
        </w:rPr>
        <w:t>Lerners LLP v. Howard Platnick</w:t>
      </w:r>
    </w:p>
    <w:p w:rsidR="005F79BB" w:rsidRPr="00104AB5" w:rsidRDefault="005F79BB" w:rsidP="005F79BB">
      <w:pPr>
        <w:widowControl w:val="0"/>
        <w:ind w:firstLine="720"/>
        <w:outlineLvl w:val="0"/>
        <w:rPr>
          <w:sz w:val="20"/>
          <w:lang w:val="en-US"/>
        </w:rPr>
      </w:pPr>
      <w:r w:rsidRPr="00104AB5">
        <w:rPr>
          <w:sz w:val="20"/>
          <w:szCs w:val="20"/>
        </w:rPr>
        <w:t>(Ont.) (Civil) (By Leave)</w:t>
      </w:r>
    </w:p>
    <w:p w:rsidR="005F79BB" w:rsidRPr="00104AB5" w:rsidRDefault="005F79BB" w:rsidP="005F79BB">
      <w:pPr>
        <w:widowControl w:val="0"/>
        <w:outlineLvl w:val="0"/>
        <w:rPr>
          <w:sz w:val="20"/>
          <w:lang w:val="en-US"/>
        </w:rPr>
      </w:pPr>
    </w:p>
    <w:p w:rsidR="005F79BB" w:rsidRPr="00104AB5" w:rsidRDefault="005F79BB" w:rsidP="005F79BB">
      <w:pPr>
        <w:rPr>
          <w:sz w:val="20"/>
          <w:szCs w:val="20"/>
        </w:rPr>
      </w:pPr>
      <w:r w:rsidRPr="00104AB5">
        <w:rPr>
          <w:sz w:val="20"/>
          <w:szCs w:val="20"/>
        </w:rPr>
        <w:t xml:space="preserve">Legislation - Interpretation - Anti-SLAPP legislation - Expression on matters of public interest - Dismissal of proceedings - Defamation - Whether the Court of Appeal erred in its interpretation of “grounds to believe” and its formulation of the merits test - Whether the Court of Appeal erred by restricting the factors that the motion judge could consider in assessing whether the alleged harm caused by the expression is sufficiently serious that it outweighs the public interest in protecting the expression - What is the proper interpretation of s. 137.1(4)(a)(ii) of the </w:t>
      </w:r>
      <w:r w:rsidRPr="00104AB5">
        <w:rPr>
          <w:i/>
          <w:sz w:val="20"/>
          <w:szCs w:val="20"/>
        </w:rPr>
        <w:t>Courts of Justice Act</w:t>
      </w:r>
      <w:r w:rsidRPr="00104AB5">
        <w:rPr>
          <w:sz w:val="20"/>
          <w:szCs w:val="20"/>
        </w:rPr>
        <w:t xml:space="preserve">, and in particular the standard for a motion judge’s “grounds to believe” that a defendant has no “valid defence” to the claim - Whether the motion judge is permitted to weigh evidence or must a motion judge accept a plaintiff’s evidence if it “may be” accepted by a judge or jury - When balancing the public interests under s. 137.1(4)(b), whether the motion judge should consider the issues of causation and foreseeability in respect of the alleged harm to the plaintiff, or is it sufficient for the plaintiff to establish a pecuniary loss, howsoever caused - What is the scope for appellate review of a motion judge’s findings of fact - Whether it is a hearing </w:t>
      </w:r>
      <w:r w:rsidRPr="00104AB5">
        <w:rPr>
          <w:i/>
          <w:sz w:val="20"/>
          <w:szCs w:val="20"/>
        </w:rPr>
        <w:t>de novo</w:t>
      </w:r>
      <w:r w:rsidRPr="00104AB5">
        <w:rPr>
          <w:sz w:val="20"/>
          <w:szCs w:val="20"/>
        </w:rPr>
        <w:t xml:space="preserve"> or whether an appellate court should apply the “palpable and overriding error” standard applicable to findings of fact in other motions - </w:t>
      </w:r>
      <w:r w:rsidRPr="00104AB5">
        <w:rPr>
          <w:i/>
          <w:sz w:val="20"/>
          <w:szCs w:val="20"/>
        </w:rPr>
        <w:t>Protection of Public Participation Act, 2015</w:t>
      </w:r>
      <w:r w:rsidRPr="00104AB5">
        <w:rPr>
          <w:sz w:val="20"/>
          <w:szCs w:val="20"/>
        </w:rPr>
        <w:t xml:space="preserve">, S.O. 2015, c. 23 - </w:t>
      </w:r>
      <w:r w:rsidRPr="00104AB5">
        <w:rPr>
          <w:i/>
          <w:sz w:val="20"/>
          <w:szCs w:val="20"/>
        </w:rPr>
        <w:t>Courts of Justice Act</w:t>
      </w:r>
      <w:r w:rsidRPr="00104AB5">
        <w:rPr>
          <w:sz w:val="20"/>
          <w:szCs w:val="20"/>
        </w:rPr>
        <w:t>, R.S.O. 1990, c. C.43, ss. 137.1 to 137.5.</w:t>
      </w:r>
    </w:p>
    <w:p w:rsidR="005F79BB" w:rsidRPr="00104AB5" w:rsidRDefault="005F79BB" w:rsidP="005F79BB">
      <w:pPr>
        <w:rPr>
          <w:sz w:val="20"/>
          <w:szCs w:val="20"/>
        </w:rPr>
      </w:pPr>
    </w:p>
    <w:p w:rsidR="005F79BB" w:rsidRPr="00104AB5" w:rsidRDefault="005F79BB" w:rsidP="005F79BB">
      <w:pPr>
        <w:rPr>
          <w:sz w:val="20"/>
          <w:szCs w:val="20"/>
        </w:rPr>
      </w:pPr>
      <w:r w:rsidRPr="00104AB5">
        <w:rPr>
          <w:sz w:val="20"/>
          <w:szCs w:val="20"/>
        </w:rPr>
        <w:t>The respondent, Howard Platnick is a medical doctor who spends much of his professional time preparing and reviewing medical assessments done in the context of disputes between insurers and persons insured in motor vehicle accidents. He works mostly, but not exclusively for insurers. The appellant, Maia Bent is a lawyer and partner with the appellant law firm, Lerners LLP. She acts for individuals who have been injured in motor vehicle accidents and are seeking compensation from insurers. At the relevant time, Ms. Bent was also the president-elect of the Ontario Trial Lawyers Association (“OTLA”), an organization of lawyers, law clerks and law students who represent persons injured in motor vehicle accidents and who are involved in the automobile insurance dispute resolution process.</w:t>
      </w:r>
    </w:p>
    <w:p w:rsidR="005F79BB" w:rsidRPr="00104AB5" w:rsidRDefault="005F79BB" w:rsidP="005F79BB">
      <w:pPr>
        <w:rPr>
          <w:sz w:val="20"/>
          <w:szCs w:val="20"/>
        </w:rPr>
      </w:pPr>
    </w:p>
    <w:p w:rsidR="00494407" w:rsidRPr="00104AB5" w:rsidRDefault="00494407">
      <w:pPr>
        <w:rPr>
          <w:sz w:val="20"/>
          <w:szCs w:val="20"/>
        </w:rPr>
      </w:pPr>
      <w:r w:rsidRPr="00104AB5">
        <w:rPr>
          <w:sz w:val="20"/>
          <w:szCs w:val="20"/>
        </w:rPr>
        <w:br w:type="page"/>
      </w:r>
    </w:p>
    <w:p w:rsidR="005F79BB" w:rsidRPr="00104AB5" w:rsidRDefault="005F79BB" w:rsidP="005F79BB">
      <w:pPr>
        <w:rPr>
          <w:sz w:val="20"/>
          <w:szCs w:val="20"/>
        </w:rPr>
      </w:pPr>
      <w:r w:rsidRPr="00104AB5">
        <w:rPr>
          <w:sz w:val="20"/>
          <w:szCs w:val="20"/>
        </w:rPr>
        <w:lastRenderedPageBreak/>
        <w:t>In November 2014, Ms. Bent was acting for a client who claimed to have suffered a catastrophic impairment as a result of a motor vehicle accident. Dr. Platnick was retained by the insurer to do an impairment calculation based on applicable criteria. The matter was eventually settled. A few days after the settlement, Ms. Bent posted an email on the OTLA members’ automated email service. Only OTLA members could subscribe and members who subscribed were obligated to undertake to maintain the confidentiality of the information provided. Ms. Bent’s email was however eventually leaked to the press. Ms. Bent’s email was entitled “Sibley Alters Doctors’ Reports” and made reference to two expert reports provided by Dr. Platnick in terms he claimed were defamatory. Dr. Platnick requested an apology and a retraction and when his requests went unanswered, he commenced a lawsuit.</w:t>
      </w:r>
    </w:p>
    <w:p w:rsidR="005F79BB" w:rsidRPr="00104AB5" w:rsidRDefault="005F79BB" w:rsidP="005F79BB">
      <w:pPr>
        <w:rPr>
          <w:sz w:val="20"/>
          <w:szCs w:val="20"/>
        </w:rPr>
      </w:pPr>
    </w:p>
    <w:p w:rsidR="005F79BB" w:rsidRPr="00104AB5" w:rsidRDefault="005F79BB" w:rsidP="005F79BB">
      <w:pPr>
        <w:rPr>
          <w:sz w:val="20"/>
        </w:rPr>
      </w:pPr>
      <w:r w:rsidRPr="00104AB5">
        <w:rPr>
          <w:sz w:val="20"/>
          <w:szCs w:val="20"/>
        </w:rPr>
        <w:t xml:space="preserve">Dr. Platnick sued Ms. Bent and Lerners for libel, claiming damages of more than $15 million. Ms. Bent and Lerners defended the claim, advancing several defences, including justification and qualified privilege. They successfully moved for a dismissal of the action under s. 137.1 of the </w:t>
      </w:r>
      <w:r w:rsidRPr="00104AB5">
        <w:rPr>
          <w:i/>
          <w:sz w:val="20"/>
          <w:szCs w:val="20"/>
        </w:rPr>
        <w:t>Courts of Justice Act</w:t>
      </w:r>
      <w:r w:rsidRPr="00104AB5">
        <w:rPr>
          <w:sz w:val="20"/>
          <w:szCs w:val="20"/>
        </w:rPr>
        <w:t>, R.S.O. 1990, c. C.43 on the basis that the proceeding arose from a communication relating to a matter of public interest. On appeal it was held that although the motion judge correctly determined that the expression in issue related to a matter of public interest, he erred in concluding that Dr. Platnick had failed to meet his onus under ss. 137.1(4</w:t>
      </w:r>
      <w:proofErr w:type="gramStart"/>
      <w:r w:rsidRPr="00104AB5">
        <w:rPr>
          <w:sz w:val="20"/>
          <w:szCs w:val="20"/>
        </w:rPr>
        <w:t>)(</w:t>
      </w:r>
      <w:proofErr w:type="gramEnd"/>
      <w:r w:rsidRPr="00104AB5">
        <w:rPr>
          <w:sz w:val="20"/>
          <w:szCs w:val="20"/>
        </w:rPr>
        <w:t xml:space="preserve">a) and (b). The Court of Appeal found that on a proper application of those provisions, Dr. Platnick had met that onus. It was further held that s. 137.1 did not infringe s. 7 or s. 15 of the </w:t>
      </w:r>
      <w:r w:rsidRPr="00104AB5">
        <w:rPr>
          <w:i/>
          <w:sz w:val="20"/>
          <w:szCs w:val="20"/>
        </w:rPr>
        <w:t>Canadian Charter of Rights and Freedoms</w:t>
      </w:r>
      <w:r w:rsidRPr="00104AB5">
        <w:rPr>
          <w:sz w:val="20"/>
          <w:szCs w:val="20"/>
        </w:rPr>
        <w:t>. The appeal was allowed, the dismissal of the action was set aside and the matter remitted to the trial court.</w:t>
      </w:r>
    </w:p>
    <w:p w:rsidR="005F79BB" w:rsidRPr="00104AB5" w:rsidRDefault="005F79BB" w:rsidP="005F79BB">
      <w:pPr>
        <w:rPr>
          <w:sz w:val="20"/>
        </w:rPr>
      </w:pPr>
    </w:p>
    <w:p w:rsidR="005F79BB" w:rsidRPr="00104AB5" w:rsidRDefault="00B54B7D" w:rsidP="005F79BB">
      <w:pPr>
        <w:rPr>
          <w:sz w:val="20"/>
        </w:rPr>
      </w:pPr>
      <w:r w:rsidRPr="00104AB5">
        <w:rPr>
          <w:szCs w:val="24"/>
          <w:lang w:val="fr-CA"/>
        </w:rPr>
        <w:pict>
          <v:rect id="_x0000_i1072" style="width:108pt;height:1pt" o:hrpct="0" o:hralign="center" o:hrstd="t" o:hrnoshade="t" o:hr="t" fillcolor="black [3213]" stroked="f"/>
        </w:pict>
      </w:r>
    </w:p>
    <w:p w:rsidR="005F79BB" w:rsidRPr="00104AB5" w:rsidRDefault="005F79BB" w:rsidP="005F79BB">
      <w:pPr>
        <w:rPr>
          <w:sz w:val="20"/>
        </w:rPr>
      </w:pPr>
    </w:p>
    <w:p w:rsidR="005F79BB" w:rsidRPr="00104AB5" w:rsidRDefault="005F79BB" w:rsidP="005F79BB">
      <w:pPr>
        <w:pStyle w:val="SCCLsocParty"/>
        <w:jc w:val="both"/>
        <w:rPr>
          <w:b/>
          <w:i/>
          <w:sz w:val="20"/>
          <w:szCs w:val="20"/>
          <w:lang w:val="en-US"/>
        </w:rPr>
      </w:pPr>
      <w:r w:rsidRPr="00104AB5">
        <w:rPr>
          <w:rStyle w:val="SCCFileNumberChar"/>
          <w:sz w:val="20"/>
          <w:szCs w:val="20"/>
          <w:lang w:val="en-US"/>
        </w:rPr>
        <w:t>38374</w:t>
      </w:r>
      <w:r w:rsidRPr="00104AB5">
        <w:rPr>
          <w:rStyle w:val="SCCFileNumberChar"/>
          <w:sz w:val="20"/>
          <w:szCs w:val="20"/>
          <w:lang w:val="en-US"/>
        </w:rPr>
        <w:tab/>
      </w:r>
      <w:r w:rsidRPr="00104AB5">
        <w:rPr>
          <w:b/>
          <w:i/>
          <w:sz w:val="20"/>
          <w:szCs w:val="20"/>
          <w:lang w:val="en-US"/>
        </w:rPr>
        <w:t>Maia Bent c. Howard Platnick</w:t>
      </w:r>
    </w:p>
    <w:p w:rsidR="005F79BB" w:rsidRPr="00104AB5" w:rsidRDefault="005F79BB" w:rsidP="005F79BB">
      <w:pPr>
        <w:pStyle w:val="SCCLsocSubfileSeparator0"/>
        <w:ind w:firstLine="720"/>
        <w:rPr>
          <w:i/>
          <w:sz w:val="20"/>
          <w:szCs w:val="20"/>
          <w:lang w:val="en-US"/>
        </w:rPr>
      </w:pPr>
      <w:r w:rsidRPr="00104AB5">
        <w:rPr>
          <w:i/>
          <w:sz w:val="20"/>
          <w:szCs w:val="20"/>
          <w:lang w:val="en-US"/>
        </w:rPr>
        <w:t xml:space="preserve">- </w:t>
      </w:r>
      <w:proofErr w:type="gramStart"/>
      <w:r w:rsidRPr="00104AB5">
        <w:rPr>
          <w:i/>
          <w:sz w:val="20"/>
          <w:szCs w:val="20"/>
          <w:lang w:val="en-US"/>
        </w:rPr>
        <w:t>et</w:t>
      </w:r>
      <w:proofErr w:type="gramEnd"/>
      <w:r w:rsidRPr="00104AB5">
        <w:rPr>
          <w:i/>
          <w:sz w:val="20"/>
          <w:szCs w:val="20"/>
          <w:lang w:val="en-US"/>
        </w:rPr>
        <w:t xml:space="preserve"> entre -</w:t>
      </w:r>
    </w:p>
    <w:p w:rsidR="005F79BB" w:rsidRPr="00104AB5" w:rsidRDefault="005F79BB" w:rsidP="005F79BB">
      <w:pPr>
        <w:pStyle w:val="SCCLsocParty"/>
        <w:ind w:firstLine="720"/>
        <w:jc w:val="both"/>
        <w:rPr>
          <w:b/>
          <w:i/>
          <w:sz w:val="20"/>
          <w:szCs w:val="20"/>
          <w:lang w:val="en-US"/>
        </w:rPr>
      </w:pPr>
      <w:r w:rsidRPr="00104AB5">
        <w:rPr>
          <w:b/>
          <w:i/>
          <w:sz w:val="20"/>
          <w:szCs w:val="20"/>
          <w:lang w:val="en-US"/>
        </w:rPr>
        <w:t>Lerners LLP c. Howard Platnick</w:t>
      </w:r>
    </w:p>
    <w:p w:rsidR="005F79BB" w:rsidRPr="00104AB5" w:rsidRDefault="005F79BB" w:rsidP="005F79BB">
      <w:pPr>
        <w:ind w:firstLine="720"/>
        <w:rPr>
          <w:sz w:val="20"/>
          <w:szCs w:val="20"/>
          <w:lang w:val="fr-CA"/>
        </w:rPr>
      </w:pPr>
      <w:r w:rsidRPr="00104AB5">
        <w:rPr>
          <w:rFonts w:cs="Times New Roman"/>
          <w:sz w:val="20"/>
          <w:szCs w:val="20"/>
          <w:lang w:val="fr-CA"/>
        </w:rPr>
        <w:t>(Ont.) (Civile) (Autorisation)</w:t>
      </w:r>
    </w:p>
    <w:p w:rsidR="005F79BB" w:rsidRPr="00104AB5" w:rsidRDefault="005F79BB" w:rsidP="005F79BB">
      <w:pPr>
        <w:rPr>
          <w:rFonts w:cs="Times New Roman"/>
          <w:sz w:val="20"/>
          <w:szCs w:val="20"/>
          <w:lang w:val="fr-CA"/>
        </w:rPr>
      </w:pPr>
    </w:p>
    <w:p w:rsidR="005F79BB" w:rsidRPr="00104AB5" w:rsidRDefault="005F79BB" w:rsidP="005F79BB">
      <w:pPr>
        <w:rPr>
          <w:sz w:val="20"/>
          <w:lang w:val="fr-CA"/>
        </w:rPr>
      </w:pPr>
      <w:r w:rsidRPr="00104AB5">
        <w:rPr>
          <w:rFonts w:cs="Times New Roman"/>
          <w:sz w:val="20"/>
          <w:szCs w:val="20"/>
          <w:lang w:val="fr-CA"/>
        </w:rPr>
        <w:t>Législation — Interprétation — Loi anti-SLAPP — Expression sur des questions d’intérêt public — Rejet de l’instance — Diffamation — La Cour d’appel a-t-elle commis une erreur dans son interprétation des « motifs de croire » et dans sa formulation du critère du bien-fondé? — La Cour d’appel a-t-elle fait erreur en restreignant les facteurs dont peut tenir compte le juge de première instance au moment de se demander si le préjudice allégué causé par l’expression est suffisamment grave pour l’emporter sur l’intérêt public à protéger l’expression? Quelle interprétation convient-il de donner au sous-al. 137.1(4)a</w:t>
      </w:r>
      <w:proofErr w:type="gramStart"/>
      <w:r w:rsidRPr="00104AB5">
        <w:rPr>
          <w:rFonts w:cs="Times New Roman"/>
          <w:sz w:val="20"/>
          <w:szCs w:val="20"/>
          <w:lang w:val="fr-CA"/>
        </w:rPr>
        <w:t>)(</w:t>
      </w:r>
      <w:proofErr w:type="gramEnd"/>
      <w:r w:rsidRPr="00104AB5">
        <w:rPr>
          <w:rFonts w:cs="Times New Roman"/>
          <w:sz w:val="20"/>
          <w:szCs w:val="20"/>
          <w:lang w:val="fr-CA"/>
        </w:rPr>
        <w:t xml:space="preserve">ii) de la </w:t>
      </w:r>
      <w:r w:rsidRPr="00104AB5">
        <w:rPr>
          <w:rFonts w:cs="Times New Roman"/>
          <w:i/>
          <w:sz w:val="20"/>
          <w:szCs w:val="20"/>
          <w:lang w:val="fr-CA"/>
        </w:rPr>
        <w:t xml:space="preserve">Loi sur les tribunaux judiciaires </w:t>
      </w:r>
      <w:r w:rsidRPr="00104AB5">
        <w:rPr>
          <w:rFonts w:cs="Times New Roman"/>
          <w:sz w:val="20"/>
          <w:szCs w:val="20"/>
          <w:lang w:val="fr-CA"/>
        </w:rPr>
        <w:t xml:space="preserve">et tout particulièrement à la norme des « motifs du juge de première instance de croire » que le défendeur n’a pas de « défense valable » contre le recours? — Le juge de première instance peut-il soupeser la preuve, ou doit-il accepter la preuve du demandeur si elle est « susceptible d’être » acceptée par un juge ou un jury? — Au moment de pondérer l’intérêt public dont il est question à l’al. 137.1(4)b), le juge de première instance devrait-il examiner les questions de causalité et de prévisibilité à l’égard du préjudice allégué du demandeur ou suffit-il que le demandeur prouve l’existence d’une perte pécuniaire, quelle qu’en soit la cause? — Quelle est l’étendue du contrôle en appel des conclusions de fait du juge de première instance? S’agit-il d’une nouvelle audition ou une cour d’appel devrait-elle appliquer la norme de l’« erreur manifeste et déterminante » applicable aux conclusions de fait tirées dans le cadre d’autres motions?  — </w:t>
      </w:r>
      <w:r w:rsidRPr="00104AB5">
        <w:rPr>
          <w:rFonts w:cs="Times New Roman"/>
          <w:i/>
          <w:sz w:val="20"/>
          <w:szCs w:val="20"/>
          <w:lang w:val="fr-CA"/>
        </w:rPr>
        <w:t>Loi de 2015 sur la protection du droit à la participation aux affaires publiques</w:t>
      </w:r>
      <w:r w:rsidRPr="00104AB5">
        <w:rPr>
          <w:rFonts w:cs="Times New Roman"/>
          <w:sz w:val="20"/>
          <w:szCs w:val="20"/>
          <w:lang w:val="fr-CA"/>
        </w:rPr>
        <w:t xml:space="preserve">, L.O. 2015, c. 23 — </w:t>
      </w:r>
      <w:r w:rsidRPr="00104AB5">
        <w:rPr>
          <w:rFonts w:cs="Times New Roman"/>
          <w:i/>
          <w:sz w:val="20"/>
          <w:szCs w:val="20"/>
          <w:lang w:val="fr-CA"/>
        </w:rPr>
        <w:t>Loi sur les tribunaux judiciaires</w:t>
      </w:r>
      <w:r w:rsidRPr="00104AB5">
        <w:rPr>
          <w:rFonts w:cs="Times New Roman"/>
          <w:sz w:val="20"/>
          <w:szCs w:val="20"/>
          <w:lang w:val="fr-CA"/>
        </w:rPr>
        <w:t>, L.R.O. 1990, c. C.43, art. 137.1 à 137.5.</w:t>
      </w:r>
    </w:p>
    <w:p w:rsidR="005F79BB" w:rsidRPr="00104AB5" w:rsidRDefault="005F79BB" w:rsidP="005F79BB">
      <w:pPr>
        <w:rPr>
          <w:sz w:val="20"/>
          <w:lang w:val="fr-CA"/>
        </w:rPr>
      </w:pPr>
    </w:p>
    <w:p w:rsidR="005F79BB" w:rsidRPr="00104AB5" w:rsidRDefault="005F79BB" w:rsidP="005F79BB">
      <w:pPr>
        <w:rPr>
          <w:rFonts w:cs="Times New Roman"/>
          <w:sz w:val="20"/>
          <w:szCs w:val="20"/>
          <w:lang w:val="fr-CA"/>
        </w:rPr>
      </w:pPr>
      <w:r w:rsidRPr="00104AB5">
        <w:rPr>
          <w:rFonts w:cs="Times New Roman"/>
          <w:sz w:val="20"/>
          <w:szCs w:val="20"/>
          <w:lang w:val="fr-CA"/>
        </w:rPr>
        <w:t>L’intimé, Howard Platnick est médecin qui consacre une bonne partie de son temps professionnel à la rédaction et à l’examen d’expertises médicales effectuées dans le contexte de litiges entre assureurs et assurés dans les accidents de la route. Il travaille surtout, mais non exclusivement, pour les assureurs. L’appelante, Maia Bent, est avocate et associée du cabinet d’avocats appelant, Lerners LLP. Elle agit pour le compte de personnes qui ont été blessées dans des accidents de la route et qui demandent une indemnisation des assureurs. À l’époque pertinente, M</w:t>
      </w:r>
      <w:r w:rsidRPr="00104AB5">
        <w:rPr>
          <w:rFonts w:cs="Times New Roman"/>
          <w:sz w:val="20"/>
          <w:szCs w:val="20"/>
          <w:vertAlign w:val="superscript"/>
          <w:lang w:val="fr-CA"/>
        </w:rPr>
        <w:t>e</w:t>
      </w:r>
      <w:r w:rsidRPr="00104AB5">
        <w:rPr>
          <w:rFonts w:cs="Times New Roman"/>
          <w:sz w:val="20"/>
          <w:szCs w:val="20"/>
          <w:lang w:val="fr-CA"/>
        </w:rPr>
        <w:t xml:space="preserve">  Bent était également présidente élue de l’Ontario Trial Lawyers Association (« OTLA »), un organisme regroupant des avocats, des </w:t>
      </w:r>
      <w:proofErr w:type="spellStart"/>
      <w:r w:rsidRPr="00104AB5">
        <w:rPr>
          <w:rFonts w:cs="Times New Roman"/>
          <w:sz w:val="20"/>
          <w:szCs w:val="20"/>
          <w:lang w:val="fr-CA"/>
        </w:rPr>
        <w:t>parajuristes</w:t>
      </w:r>
      <w:proofErr w:type="spellEnd"/>
      <w:r w:rsidRPr="00104AB5">
        <w:rPr>
          <w:rFonts w:cs="Times New Roman"/>
          <w:sz w:val="20"/>
          <w:szCs w:val="20"/>
          <w:lang w:val="fr-CA"/>
        </w:rPr>
        <w:t xml:space="preserve"> et des étudiants en droit qui représentent les personnes blessées dans des accidents de la route et qui prennent part au processus de règlement des différends en matière d’assurance automobile.</w:t>
      </w:r>
    </w:p>
    <w:p w:rsidR="005F79BB" w:rsidRPr="00104AB5" w:rsidRDefault="005F79BB" w:rsidP="005F79BB">
      <w:pPr>
        <w:rPr>
          <w:rFonts w:cs="Times New Roman"/>
          <w:sz w:val="20"/>
          <w:szCs w:val="20"/>
          <w:lang w:val="fr-CA"/>
        </w:rPr>
      </w:pPr>
    </w:p>
    <w:p w:rsidR="00494407" w:rsidRPr="00104AB5" w:rsidRDefault="00494407">
      <w:pPr>
        <w:rPr>
          <w:rFonts w:cs="Times New Roman"/>
          <w:sz w:val="20"/>
          <w:szCs w:val="20"/>
          <w:lang w:val="fr-CA"/>
        </w:rPr>
      </w:pPr>
      <w:r w:rsidRPr="00104AB5">
        <w:rPr>
          <w:rFonts w:cs="Times New Roman"/>
          <w:sz w:val="20"/>
          <w:szCs w:val="20"/>
          <w:lang w:val="fr-CA"/>
        </w:rPr>
        <w:br w:type="page"/>
      </w:r>
    </w:p>
    <w:p w:rsidR="005F79BB" w:rsidRPr="00104AB5" w:rsidRDefault="005F79BB" w:rsidP="005F79BB">
      <w:pPr>
        <w:rPr>
          <w:rFonts w:cs="Times New Roman"/>
          <w:sz w:val="20"/>
          <w:szCs w:val="20"/>
          <w:lang w:val="fr-CA"/>
        </w:rPr>
      </w:pPr>
      <w:r w:rsidRPr="00104AB5">
        <w:rPr>
          <w:rFonts w:cs="Times New Roman"/>
          <w:sz w:val="20"/>
          <w:szCs w:val="20"/>
          <w:lang w:val="fr-CA"/>
        </w:rPr>
        <w:lastRenderedPageBreak/>
        <w:t>En novembre 2014, M</w:t>
      </w:r>
      <w:r w:rsidRPr="00104AB5">
        <w:rPr>
          <w:rFonts w:cs="Times New Roman"/>
          <w:sz w:val="20"/>
          <w:szCs w:val="20"/>
          <w:vertAlign w:val="superscript"/>
          <w:lang w:val="fr-CA"/>
        </w:rPr>
        <w:t>e</w:t>
      </w:r>
      <w:r w:rsidRPr="00104AB5">
        <w:rPr>
          <w:rFonts w:cs="Times New Roman"/>
          <w:sz w:val="20"/>
          <w:szCs w:val="20"/>
          <w:lang w:val="fr-CA"/>
        </w:rPr>
        <w:t> Bent représentait un client qui a allégué avoir subi une invalidité très grave à la suite d’un accident de la route. L’assureur a retenu les services du Dr Platnick pour qu’il effectue un calcul de l’invalidité en fonction des critères applicables. L’affaire a fini par être réglée à l’amiable. Quelques jours après le règlement, M</w:t>
      </w:r>
      <w:r w:rsidRPr="00104AB5">
        <w:rPr>
          <w:rFonts w:cs="Times New Roman"/>
          <w:sz w:val="20"/>
          <w:szCs w:val="20"/>
          <w:vertAlign w:val="superscript"/>
          <w:lang w:val="fr-CA"/>
        </w:rPr>
        <w:t>e</w:t>
      </w:r>
      <w:r w:rsidRPr="00104AB5">
        <w:rPr>
          <w:rFonts w:cs="Times New Roman"/>
          <w:sz w:val="20"/>
          <w:szCs w:val="20"/>
          <w:lang w:val="fr-CA"/>
        </w:rPr>
        <w:t> Bent a affiché un courriel sur le service de courriel automatisé des membres de l’OTLA. Seuls les membres de l’OTLA pouvaient s’y abonner et les membres qui s’abonnaient étaient obligés de s’engager à garder confidentiels les renseignements fournis. Toutefois, le courriel de M</w:t>
      </w:r>
      <w:r w:rsidRPr="00104AB5">
        <w:rPr>
          <w:rFonts w:cs="Times New Roman"/>
          <w:sz w:val="20"/>
          <w:szCs w:val="20"/>
          <w:vertAlign w:val="superscript"/>
          <w:lang w:val="fr-CA"/>
        </w:rPr>
        <w:t>e</w:t>
      </w:r>
      <w:r w:rsidRPr="00104AB5">
        <w:rPr>
          <w:rFonts w:cs="Times New Roman"/>
          <w:sz w:val="20"/>
          <w:szCs w:val="20"/>
          <w:lang w:val="fr-CA"/>
        </w:rPr>
        <w:t> Bent a fini par être divulgué à la presse.  Le courriel de M</w:t>
      </w:r>
      <w:r w:rsidRPr="00104AB5">
        <w:rPr>
          <w:rFonts w:cs="Times New Roman"/>
          <w:sz w:val="20"/>
          <w:szCs w:val="20"/>
          <w:vertAlign w:val="superscript"/>
          <w:lang w:val="fr-CA"/>
        </w:rPr>
        <w:t>e</w:t>
      </w:r>
      <w:r w:rsidRPr="00104AB5">
        <w:rPr>
          <w:rFonts w:cs="Times New Roman"/>
          <w:sz w:val="20"/>
          <w:szCs w:val="20"/>
          <w:lang w:val="fr-CA"/>
        </w:rPr>
        <w:t> Bent était intitulé [</w:t>
      </w:r>
      <w:r w:rsidRPr="00104AB5">
        <w:rPr>
          <w:rFonts w:cs="Times New Roman"/>
          <w:smallCaps/>
          <w:sz w:val="20"/>
          <w:szCs w:val="20"/>
          <w:lang w:val="fr-CA"/>
        </w:rPr>
        <w:t>traduction</w:t>
      </w:r>
      <w:r w:rsidRPr="00104AB5">
        <w:rPr>
          <w:rFonts w:cs="Times New Roman"/>
          <w:sz w:val="20"/>
          <w:szCs w:val="20"/>
          <w:lang w:val="fr-CA"/>
        </w:rPr>
        <w:t>] « Sibley trafique les rapports de médecins » et faisait référence à deux rapports d’expertise fournis par le Dr Platnick en employant des propos que ce dernier a qualifiés de diffamatoires. Le Dr Platnick a demandé des excuses et une rétractation et, lorsque ses demandes sont restées sans réponse, il a intenté une poursuite.</w:t>
      </w:r>
    </w:p>
    <w:p w:rsidR="005F79BB" w:rsidRPr="00104AB5" w:rsidRDefault="005F79BB" w:rsidP="005F79BB">
      <w:pPr>
        <w:rPr>
          <w:rFonts w:cs="Times New Roman"/>
          <w:sz w:val="20"/>
          <w:szCs w:val="20"/>
          <w:lang w:val="fr-CA"/>
        </w:rPr>
      </w:pPr>
    </w:p>
    <w:p w:rsidR="005F79BB" w:rsidRPr="00104AB5" w:rsidRDefault="005F79BB" w:rsidP="005F79BB">
      <w:pPr>
        <w:rPr>
          <w:sz w:val="20"/>
          <w:lang w:val="fr-CA"/>
        </w:rPr>
      </w:pPr>
      <w:r w:rsidRPr="00104AB5">
        <w:rPr>
          <w:rFonts w:cs="Times New Roman"/>
          <w:sz w:val="20"/>
          <w:szCs w:val="20"/>
          <w:lang w:val="fr-CA"/>
        </w:rPr>
        <w:t>Le docteur Platnick a poursuivi M</w:t>
      </w:r>
      <w:r w:rsidRPr="00104AB5">
        <w:rPr>
          <w:rFonts w:cs="Times New Roman"/>
          <w:sz w:val="20"/>
          <w:szCs w:val="20"/>
          <w:vertAlign w:val="superscript"/>
          <w:lang w:val="fr-CA"/>
        </w:rPr>
        <w:t>e</w:t>
      </w:r>
      <w:r w:rsidRPr="00104AB5">
        <w:rPr>
          <w:rFonts w:cs="Times New Roman"/>
          <w:sz w:val="20"/>
          <w:szCs w:val="20"/>
          <w:lang w:val="fr-CA"/>
        </w:rPr>
        <w:t> Bent et Lerners en diffamation, réclamant des dommages-intérêts de plus de quinze millions de dollars. M</w:t>
      </w:r>
      <w:r w:rsidRPr="00104AB5">
        <w:rPr>
          <w:rFonts w:cs="Times New Roman"/>
          <w:sz w:val="20"/>
          <w:szCs w:val="20"/>
          <w:vertAlign w:val="superscript"/>
          <w:lang w:val="fr-CA"/>
        </w:rPr>
        <w:t>e</w:t>
      </w:r>
      <w:r w:rsidRPr="00104AB5">
        <w:rPr>
          <w:rFonts w:cs="Times New Roman"/>
          <w:sz w:val="20"/>
          <w:szCs w:val="20"/>
          <w:lang w:val="fr-CA"/>
        </w:rPr>
        <w:t xml:space="preserve"> Bent et Lerners se sont opposés à la poursuite, faisant valoir plusieurs moyens de défense, y compris la justification et l’immunité relative. Ils ont présenté avec succès une motion en rejet de l’action fondée sur l’art. 137.1 </w:t>
      </w:r>
      <w:proofErr w:type="gramStart"/>
      <w:r w:rsidRPr="00104AB5">
        <w:rPr>
          <w:rFonts w:cs="Times New Roman"/>
          <w:sz w:val="20"/>
          <w:szCs w:val="20"/>
          <w:lang w:val="fr-CA"/>
        </w:rPr>
        <w:t>de</w:t>
      </w:r>
      <w:proofErr w:type="gramEnd"/>
      <w:r w:rsidRPr="00104AB5">
        <w:rPr>
          <w:rFonts w:cs="Times New Roman"/>
          <w:sz w:val="20"/>
          <w:szCs w:val="20"/>
          <w:lang w:val="fr-CA"/>
        </w:rPr>
        <w:t xml:space="preserve"> la </w:t>
      </w:r>
      <w:r w:rsidRPr="00104AB5">
        <w:rPr>
          <w:rFonts w:cs="Times New Roman"/>
          <w:i/>
          <w:sz w:val="20"/>
          <w:szCs w:val="20"/>
          <w:lang w:val="fr-CA"/>
        </w:rPr>
        <w:t>Loi sur les tribunaux judiciaires</w:t>
      </w:r>
      <w:r w:rsidRPr="00104AB5">
        <w:rPr>
          <w:rFonts w:cs="Times New Roman"/>
          <w:sz w:val="20"/>
          <w:szCs w:val="20"/>
          <w:lang w:val="fr-CA"/>
        </w:rPr>
        <w:t xml:space="preserve">, L.R.O. 1990, c. C.43, au motif que l’instance tirait son origine d’une communication relative à une question d’intérêt public. En appel, la Cour d’appel a statué que même si le juge de première instance avait conclu à bon droit que l’expression en cause avait trait à une affaire d’intérêt public, il avait eu tort de conclure que le Dr Platnick ne s’était pas acquitté de son fardeau en application des al. 137.1(4)a) et b). La Cour d’appel a conclu que d’après une juste application de ces dispositions, le Dr Platnick s’était acquitté de ce fardeau. La Cour d’appel a statué en outre que l’art. 137.1 </w:t>
      </w:r>
      <w:proofErr w:type="gramStart"/>
      <w:r w:rsidRPr="00104AB5">
        <w:rPr>
          <w:rFonts w:cs="Times New Roman"/>
          <w:sz w:val="20"/>
          <w:szCs w:val="20"/>
          <w:lang w:val="fr-CA"/>
        </w:rPr>
        <w:t>ne</w:t>
      </w:r>
      <w:proofErr w:type="gramEnd"/>
      <w:r w:rsidRPr="00104AB5">
        <w:rPr>
          <w:rFonts w:cs="Times New Roman"/>
          <w:sz w:val="20"/>
          <w:szCs w:val="20"/>
          <w:lang w:val="fr-CA"/>
        </w:rPr>
        <w:t xml:space="preserve"> violait pas les art. 7 ou 15 de la </w:t>
      </w:r>
      <w:r w:rsidRPr="00104AB5">
        <w:rPr>
          <w:rFonts w:cs="Times New Roman"/>
          <w:i/>
          <w:sz w:val="20"/>
          <w:szCs w:val="20"/>
          <w:lang w:val="fr-CA"/>
        </w:rPr>
        <w:t>Charte canadienne des droits et libertés</w:t>
      </w:r>
      <w:r w:rsidRPr="00104AB5">
        <w:rPr>
          <w:rFonts w:cs="Times New Roman"/>
          <w:sz w:val="20"/>
          <w:szCs w:val="20"/>
          <w:lang w:val="fr-CA"/>
        </w:rPr>
        <w:t>. L’appel a été accueilli, le rejet de l’action a été annulé et l’affaire a été renvoyée au tribunal de première instance.</w:t>
      </w:r>
    </w:p>
    <w:p w:rsidR="005F79BB" w:rsidRPr="00104AB5" w:rsidRDefault="005F79BB" w:rsidP="005F79BB">
      <w:pPr>
        <w:rPr>
          <w:sz w:val="20"/>
          <w:lang w:val="fr-CA"/>
        </w:rPr>
      </w:pPr>
    </w:p>
    <w:p w:rsidR="005F79BB" w:rsidRPr="00104AB5" w:rsidRDefault="00B54B7D" w:rsidP="005F79BB">
      <w:pPr>
        <w:rPr>
          <w:sz w:val="20"/>
          <w:lang w:val="fr-CA"/>
        </w:rPr>
      </w:pPr>
      <w:r w:rsidRPr="00104AB5">
        <w:rPr>
          <w:szCs w:val="24"/>
          <w:lang w:val="fr-CA"/>
        </w:rPr>
        <w:pict>
          <v:rect id="_x0000_i1073" style="width:108pt;height:1pt" o:hrpct="0" o:hralign="center" o:hrstd="t" o:hrnoshade="t" o:hr="t" fillcolor="black [3213]" stroked="f"/>
        </w:pict>
      </w:r>
    </w:p>
    <w:p w:rsidR="005F79BB" w:rsidRPr="00104AB5" w:rsidRDefault="005F79BB" w:rsidP="005F79BB">
      <w:pPr>
        <w:rPr>
          <w:sz w:val="20"/>
          <w:lang w:val="fr-CA"/>
        </w:rPr>
      </w:pPr>
    </w:p>
    <w:p w:rsidR="005F79BB" w:rsidRPr="00104AB5" w:rsidRDefault="005F79BB" w:rsidP="005F79BB">
      <w:pPr>
        <w:pStyle w:val="SCCLsocParty"/>
        <w:ind w:left="720" w:hanging="720"/>
        <w:jc w:val="both"/>
        <w:rPr>
          <w:b/>
          <w:i/>
          <w:sz w:val="20"/>
          <w:szCs w:val="20"/>
        </w:rPr>
      </w:pPr>
      <w:r w:rsidRPr="00104AB5">
        <w:rPr>
          <w:rStyle w:val="SCCFileNumberChar"/>
          <w:sz w:val="20"/>
          <w:szCs w:val="20"/>
          <w:lang w:val="fr-CA"/>
        </w:rPr>
        <w:t>38376</w:t>
      </w:r>
      <w:r w:rsidRPr="00104AB5">
        <w:rPr>
          <w:rStyle w:val="SCCFileNumberChar"/>
          <w:sz w:val="20"/>
          <w:szCs w:val="20"/>
          <w:lang w:val="fr-CA"/>
        </w:rPr>
        <w:tab/>
      </w:r>
      <w:r w:rsidRPr="00104AB5">
        <w:rPr>
          <w:b/>
          <w:i/>
          <w:sz w:val="20"/>
          <w:szCs w:val="20"/>
        </w:rPr>
        <w:t>1704604 Ontario Limited v. Pointes Protection Association, Peter Gagnon, Lou Simionetti, Patricia Grattan, Gay Gartshore, Rick Gartshore and Glen Stortini</w:t>
      </w:r>
    </w:p>
    <w:p w:rsidR="005F79BB" w:rsidRPr="00104AB5" w:rsidRDefault="005F79BB" w:rsidP="005F79BB">
      <w:pPr>
        <w:ind w:firstLine="720"/>
        <w:jc w:val="both"/>
        <w:rPr>
          <w:sz w:val="20"/>
          <w:szCs w:val="20"/>
          <w:lang w:val="fr-CA"/>
        </w:rPr>
      </w:pPr>
      <w:r w:rsidRPr="00104AB5">
        <w:rPr>
          <w:sz w:val="20"/>
          <w:szCs w:val="20"/>
          <w:lang w:val="fr-CA"/>
        </w:rPr>
        <w:t>(Ont.) (Civil) (By Leave)</w:t>
      </w:r>
    </w:p>
    <w:p w:rsidR="005F79BB" w:rsidRPr="00104AB5" w:rsidRDefault="005F79BB" w:rsidP="005F79BB">
      <w:pPr>
        <w:rPr>
          <w:sz w:val="20"/>
          <w:lang w:val="fr-CA"/>
        </w:rPr>
      </w:pPr>
    </w:p>
    <w:p w:rsidR="005F79BB" w:rsidRPr="00104AB5" w:rsidRDefault="005F79BB" w:rsidP="005F79BB">
      <w:pPr>
        <w:rPr>
          <w:sz w:val="20"/>
          <w:szCs w:val="20"/>
        </w:rPr>
      </w:pPr>
      <w:r w:rsidRPr="00104AB5">
        <w:rPr>
          <w:sz w:val="20"/>
          <w:szCs w:val="20"/>
        </w:rPr>
        <w:t xml:space="preserve">Legislation - Interpretation - Anti-SLAPP legislation - Expression on matters of public interest - Dismissal of proceedings - Breach of contract - Regarding the threshold requirement, what constituent elements should the judge consider in determining whether a proceeding “arises from” an expression - Regarding the merits-based burden, what must the responding party show to establish that the proceeding has “substantial merit” and the moving party has “no valid defence” under s. 137.1(4)(b) of the </w:t>
      </w:r>
      <w:r w:rsidRPr="00104AB5">
        <w:rPr>
          <w:i/>
          <w:sz w:val="20"/>
          <w:szCs w:val="20"/>
        </w:rPr>
        <w:t xml:space="preserve">Courts of Justice Act </w:t>
      </w:r>
      <w:r w:rsidRPr="00104AB5">
        <w:rPr>
          <w:sz w:val="20"/>
          <w:szCs w:val="20"/>
        </w:rPr>
        <w:t xml:space="preserve">- Regarding the public interest hurdle, what must the responding party show to establish the harm suffered or is likely to be suffered is sufficiently serious that public interest in the proceeding continuing outweighs the public interest in the expression under s. 137.1(4)(b) - Applying the modern principles of statutory interpretation, whether s. 137.1 applies in this case - </w:t>
      </w:r>
      <w:r w:rsidRPr="00104AB5">
        <w:rPr>
          <w:i/>
          <w:sz w:val="20"/>
          <w:szCs w:val="20"/>
        </w:rPr>
        <w:t>Protection of Public Participation Act, 2015</w:t>
      </w:r>
      <w:r w:rsidRPr="00104AB5">
        <w:rPr>
          <w:sz w:val="20"/>
          <w:szCs w:val="20"/>
        </w:rPr>
        <w:t>,</w:t>
      </w:r>
      <w:r w:rsidRPr="00104AB5">
        <w:rPr>
          <w:i/>
          <w:sz w:val="20"/>
          <w:szCs w:val="20"/>
        </w:rPr>
        <w:t xml:space="preserve"> </w:t>
      </w:r>
      <w:r w:rsidRPr="00104AB5">
        <w:rPr>
          <w:sz w:val="20"/>
          <w:szCs w:val="20"/>
        </w:rPr>
        <w:t>S.O. 2015, c. 23 - Courts</w:t>
      </w:r>
      <w:r w:rsidRPr="00104AB5">
        <w:rPr>
          <w:i/>
          <w:sz w:val="20"/>
          <w:szCs w:val="20"/>
        </w:rPr>
        <w:t xml:space="preserve"> of Justice Act</w:t>
      </w:r>
      <w:r w:rsidRPr="00104AB5">
        <w:rPr>
          <w:sz w:val="20"/>
          <w:szCs w:val="20"/>
        </w:rPr>
        <w:t>, R.S.O. 1990, c. C. 43, ss. 137.1 to 137.5.</w:t>
      </w:r>
    </w:p>
    <w:p w:rsidR="005F79BB" w:rsidRPr="00104AB5" w:rsidRDefault="005F79BB" w:rsidP="005F79BB">
      <w:pPr>
        <w:rPr>
          <w:sz w:val="20"/>
          <w:szCs w:val="20"/>
        </w:rPr>
      </w:pPr>
    </w:p>
    <w:p w:rsidR="005F79BB" w:rsidRPr="00104AB5" w:rsidRDefault="005F79BB" w:rsidP="005F79BB">
      <w:pPr>
        <w:rPr>
          <w:sz w:val="20"/>
          <w:szCs w:val="20"/>
        </w:rPr>
      </w:pPr>
      <w:r w:rsidRPr="00104AB5">
        <w:rPr>
          <w:sz w:val="20"/>
          <w:szCs w:val="20"/>
        </w:rPr>
        <w:t xml:space="preserve">In November 2015, Bill 52, the </w:t>
      </w:r>
      <w:r w:rsidRPr="00104AB5">
        <w:rPr>
          <w:i/>
          <w:sz w:val="20"/>
          <w:szCs w:val="20"/>
        </w:rPr>
        <w:t>Protection of Public Participation Act, 2015</w:t>
      </w:r>
      <w:r w:rsidRPr="00104AB5">
        <w:rPr>
          <w:sz w:val="20"/>
          <w:szCs w:val="20"/>
        </w:rPr>
        <w:t>, S.O. 2015, c. 23 (“</w:t>
      </w:r>
      <w:r w:rsidRPr="00104AB5">
        <w:rPr>
          <w:i/>
          <w:sz w:val="20"/>
          <w:szCs w:val="20"/>
        </w:rPr>
        <w:t>PPPA</w:t>
      </w:r>
      <w:r w:rsidRPr="00104AB5">
        <w:rPr>
          <w:sz w:val="20"/>
          <w:szCs w:val="20"/>
        </w:rPr>
        <w:t xml:space="preserve">”) came into force. The </w:t>
      </w:r>
      <w:r w:rsidRPr="00104AB5">
        <w:rPr>
          <w:i/>
          <w:sz w:val="20"/>
          <w:szCs w:val="20"/>
        </w:rPr>
        <w:t>PPPA</w:t>
      </w:r>
      <w:r w:rsidRPr="00104AB5">
        <w:rPr>
          <w:sz w:val="20"/>
          <w:szCs w:val="20"/>
        </w:rPr>
        <w:t xml:space="preserve"> amended various statutes including the </w:t>
      </w:r>
      <w:r w:rsidRPr="00104AB5">
        <w:rPr>
          <w:i/>
          <w:sz w:val="20"/>
          <w:szCs w:val="20"/>
        </w:rPr>
        <w:t>Courts of Justice Act</w:t>
      </w:r>
      <w:r w:rsidRPr="00104AB5">
        <w:rPr>
          <w:sz w:val="20"/>
          <w:szCs w:val="20"/>
        </w:rPr>
        <w:t xml:space="preserve">, R.S.O. 1990, </w:t>
      </w:r>
      <w:proofErr w:type="gramStart"/>
      <w:r w:rsidRPr="00104AB5">
        <w:rPr>
          <w:sz w:val="20"/>
          <w:szCs w:val="20"/>
        </w:rPr>
        <w:t>c</w:t>
      </w:r>
      <w:proofErr w:type="gramEnd"/>
      <w:r w:rsidRPr="00104AB5">
        <w:rPr>
          <w:sz w:val="20"/>
          <w:szCs w:val="20"/>
        </w:rPr>
        <w:t>. C. 43 by introducing ss. 137.1 to 137.5. Those sections created a new pretrial procedure allowing defendants to move expeditiously and early in the litigation for an order dismissing claims arising out of expressions by defendants on matters of public interest.</w:t>
      </w:r>
    </w:p>
    <w:p w:rsidR="005F79BB" w:rsidRPr="00104AB5" w:rsidRDefault="005F79BB" w:rsidP="005F79BB">
      <w:pPr>
        <w:rPr>
          <w:sz w:val="20"/>
          <w:szCs w:val="20"/>
        </w:rPr>
      </w:pPr>
    </w:p>
    <w:p w:rsidR="005F79BB" w:rsidRPr="00104AB5" w:rsidRDefault="005F79BB" w:rsidP="005F79BB">
      <w:pPr>
        <w:rPr>
          <w:sz w:val="20"/>
          <w:szCs w:val="20"/>
        </w:rPr>
      </w:pPr>
      <w:r w:rsidRPr="00104AB5">
        <w:rPr>
          <w:sz w:val="20"/>
          <w:szCs w:val="20"/>
        </w:rPr>
        <w:t>The applicant, 1704604 Ontario Ltd (“170 Ontario”) wanted to develop a subdivision in Sault Ste. Marie. The respondent, Pointes Protection Association (“PPA”) is a not-for-profit corporation incorporated to provide a coordinated response on behalf of some area residents to 170 Ontario’s development proposal. 170 Ontario’s first application for approval to the Conservation Authority was denied, but a second application passed the necessary resolutions. PPA brought an application for judicial review of the decision and sought a declaration that the Conservation Authorities’ resolutions were illegal and beyond the scope of its jurisdiction. While the judicial review application was pending, 170 Ontario sought the approval of the City Council as the proposed development required an amendment to the City’s official plan. City Council turned down 170 Ontario’s application. 170 Ontario appealed this decision to the Ontario Municipal Board (“OMB”) and the PPA was granted standing in the proceedings.</w:t>
      </w:r>
    </w:p>
    <w:p w:rsidR="005F79BB" w:rsidRPr="00104AB5" w:rsidRDefault="005F79BB" w:rsidP="005F79BB">
      <w:pPr>
        <w:rPr>
          <w:sz w:val="20"/>
          <w:szCs w:val="20"/>
        </w:rPr>
      </w:pPr>
    </w:p>
    <w:p w:rsidR="00CE5B8D" w:rsidRPr="00104AB5" w:rsidRDefault="00CE5B8D">
      <w:pPr>
        <w:rPr>
          <w:sz w:val="20"/>
          <w:szCs w:val="20"/>
        </w:rPr>
      </w:pPr>
      <w:r w:rsidRPr="00104AB5">
        <w:rPr>
          <w:sz w:val="20"/>
          <w:szCs w:val="20"/>
        </w:rPr>
        <w:br w:type="page"/>
      </w:r>
    </w:p>
    <w:p w:rsidR="005F79BB" w:rsidRPr="00104AB5" w:rsidRDefault="005F79BB" w:rsidP="005F79BB">
      <w:pPr>
        <w:rPr>
          <w:sz w:val="20"/>
          <w:szCs w:val="20"/>
        </w:rPr>
      </w:pPr>
      <w:r w:rsidRPr="00104AB5">
        <w:rPr>
          <w:sz w:val="20"/>
          <w:szCs w:val="20"/>
        </w:rPr>
        <w:lastRenderedPageBreak/>
        <w:t>While both the application for judicial review and the appeal were pending, the parties settled the judicial review proceeding. In accordance with the terms of the agreement, the judicial review application was dismissed on consent without costs and the PPA and the individual members of the executive agreed they would take no further court proceedings seeking the same or similar relief that had been sought in their judicial review application. The PPA also promised that in any proceeding before the OMB, or in any other subsequent legal proceeding, PPA would not advance the position that the Conservation Authorities’ resolutions were illegal, invalid, or contrary to the relevant environmental legislation.</w:t>
      </w:r>
    </w:p>
    <w:p w:rsidR="005F79BB" w:rsidRPr="00104AB5" w:rsidRDefault="005F79BB" w:rsidP="005F79BB">
      <w:pPr>
        <w:rPr>
          <w:sz w:val="20"/>
          <w:szCs w:val="20"/>
        </w:rPr>
      </w:pPr>
    </w:p>
    <w:p w:rsidR="005F79BB" w:rsidRPr="00104AB5" w:rsidRDefault="005F79BB" w:rsidP="005F79BB">
      <w:pPr>
        <w:rPr>
          <w:sz w:val="20"/>
          <w:szCs w:val="20"/>
        </w:rPr>
      </w:pPr>
      <w:r w:rsidRPr="00104AB5">
        <w:rPr>
          <w:sz w:val="20"/>
          <w:szCs w:val="20"/>
        </w:rPr>
        <w:t>170 Ontario’s appeal to the OMB from the City Council’s refusal to amend the official plan proceeded. In the course of the OMB hearing, PPA called its president who testified that, in his opinion, the proposed development would result in significant loss of coastal wetlands, thereby causing substantial environmental damage. The OMB dismissed 170 Ontario’s appeal.</w:t>
      </w:r>
    </w:p>
    <w:p w:rsidR="005F79BB" w:rsidRPr="00104AB5" w:rsidRDefault="005F79BB" w:rsidP="005F79BB">
      <w:pPr>
        <w:rPr>
          <w:sz w:val="20"/>
          <w:szCs w:val="20"/>
        </w:rPr>
      </w:pPr>
    </w:p>
    <w:p w:rsidR="005F79BB" w:rsidRPr="00104AB5" w:rsidRDefault="005F79BB" w:rsidP="005F79BB">
      <w:pPr>
        <w:rPr>
          <w:sz w:val="20"/>
          <w:szCs w:val="20"/>
        </w:rPr>
      </w:pPr>
      <w:r w:rsidRPr="00104AB5">
        <w:rPr>
          <w:sz w:val="20"/>
          <w:szCs w:val="20"/>
        </w:rPr>
        <w:t xml:space="preserve">170 Ontario sued PPA for breach of contract asserting that PPA breached the terms of the agreement when the president gave evidence at the OMB concerning the proposed development’s negative impact on the wetlands. PPA did not file a defence, but responded with a motion under s. 137.1 of the </w:t>
      </w:r>
      <w:r w:rsidRPr="00104AB5">
        <w:rPr>
          <w:i/>
          <w:sz w:val="20"/>
          <w:szCs w:val="20"/>
        </w:rPr>
        <w:t>Courts of Justice Act</w:t>
      </w:r>
      <w:r w:rsidRPr="00104AB5">
        <w:rPr>
          <w:sz w:val="20"/>
          <w:szCs w:val="20"/>
        </w:rPr>
        <w:t xml:space="preserve"> for an order dismissing 170 Ontario’s claim. The motion judge dismissed PPA’s motion and ordered that the action proceed. The Court of Appeal allowed PPA’s appeal. The order below was set aside and the action 170 Ontario’s action was dismissed.</w:t>
      </w:r>
    </w:p>
    <w:p w:rsidR="005F79BB" w:rsidRPr="00104AB5" w:rsidRDefault="005F79BB" w:rsidP="005F79BB">
      <w:pPr>
        <w:rPr>
          <w:sz w:val="20"/>
          <w:szCs w:val="20"/>
        </w:rPr>
      </w:pPr>
    </w:p>
    <w:p w:rsidR="005F79BB" w:rsidRPr="00104AB5" w:rsidRDefault="00B54B7D" w:rsidP="005F79BB">
      <w:pPr>
        <w:rPr>
          <w:sz w:val="20"/>
        </w:rPr>
      </w:pPr>
      <w:r w:rsidRPr="00104AB5">
        <w:rPr>
          <w:szCs w:val="24"/>
          <w:lang w:val="fr-CA"/>
        </w:rPr>
        <w:pict>
          <v:rect id="_x0000_i1074" style="width:108pt;height:1pt" o:hrpct="0" o:hralign="center" o:hrstd="t" o:hrnoshade="t" o:hr="t" fillcolor="black [3213]" stroked="f"/>
        </w:pict>
      </w:r>
    </w:p>
    <w:p w:rsidR="005F79BB" w:rsidRPr="00104AB5" w:rsidRDefault="005F79BB" w:rsidP="005F79BB">
      <w:pPr>
        <w:rPr>
          <w:sz w:val="20"/>
        </w:rPr>
      </w:pPr>
    </w:p>
    <w:p w:rsidR="005F79BB" w:rsidRPr="00104AB5" w:rsidRDefault="005F79BB" w:rsidP="005F79BB">
      <w:pPr>
        <w:pStyle w:val="SCCLsocParty"/>
        <w:ind w:left="720" w:hanging="720"/>
        <w:jc w:val="both"/>
        <w:rPr>
          <w:b/>
          <w:i/>
          <w:sz w:val="20"/>
          <w:szCs w:val="20"/>
        </w:rPr>
      </w:pPr>
      <w:r w:rsidRPr="00104AB5">
        <w:rPr>
          <w:rStyle w:val="SCCFileNumberChar"/>
          <w:sz w:val="20"/>
          <w:szCs w:val="20"/>
          <w:lang w:val="fr-CA"/>
        </w:rPr>
        <w:t>38376</w:t>
      </w:r>
      <w:r w:rsidRPr="00104AB5">
        <w:rPr>
          <w:rStyle w:val="SCCFileNumberChar"/>
          <w:sz w:val="20"/>
          <w:szCs w:val="20"/>
          <w:lang w:val="fr-CA"/>
        </w:rPr>
        <w:tab/>
      </w:r>
      <w:r w:rsidRPr="00104AB5">
        <w:rPr>
          <w:b/>
          <w:i/>
          <w:sz w:val="20"/>
          <w:szCs w:val="20"/>
        </w:rPr>
        <w:t>1704604 Ontario Limited c. Pointes Protection Association, Peter Gagnon, Lou Simionetti, Patricia Grattan, Gay Gartshore, Rick Gartshore et Glen Stortini</w:t>
      </w:r>
    </w:p>
    <w:p w:rsidR="005F79BB" w:rsidRPr="00104AB5" w:rsidRDefault="005F79BB" w:rsidP="005F79BB">
      <w:pPr>
        <w:ind w:firstLine="720"/>
        <w:rPr>
          <w:sz w:val="20"/>
          <w:lang w:val="fr-CA"/>
        </w:rPr>
      </w:pPr>
      <w:r w:rsidRPr="00104AB5">
        <w:rPr>
          <w:sz w:val="20"/>
          <w:szCs w:val="20"/>
          <w:lang w:val="fr-CA"/>
        </w:rPr>
        <w:t>(Ont.) (Civile) (Autorisation)</w:t>
      </w:r>
    </w:p>
    <w:p w:rsidR="005F79BB" w:rsidRPr="00104AB5" w:rsidRDefault="005F79BB" w:rsidP="005F79BB">
      <w:pPr>
        <w:rPr>
          <w:sz w:val="20"/>
          <w:lang w:val="fr-CA"/>
        </w:rPr>
      </w:pPr>
    </w:p>
    <w:p w:rsidR="005F79BB" w:rsidRPr="00104AB5" w:rsidRDefault="005F79BB" w:rsidP="005F79BB">
      <w:pPr>
        <w:rPr>
          <w:sz w:val="20"/>
          <w:lang w:val="fr-CA"/>
        </w:rPr>
      </w:pPr>
      <w:r w:rsidRPr="00104AB5">
        <w:rPr>
          <w:sz w:val="20"/>
          <w:szCs w:val="20"/>
          <w:lang w:val="fr-CA"/>
        </w:rPr>
        <w:t xml:space="preserve">Législation — Interprétation — Loi anti-SLAPP — Expression sur des questions d’intérêt public — Rejet de l’instance — Violation de contrat — Pour ce qui est de la condition préalable, qu’est-ce qui constitue des éléments dont doit tenir compte le juge pour décider si une instance « découle » d’une expression? — Quant au fardeau d’établir le bien-fondé, que doit démontrer l’intimé pour établir que le « bien-fondé de l’instance est substantiel » et que l’auteur de la motion n’a « pas de défense valable » au sens de l’al. 137.1(4)b) de la </w:t>
      </w:r>
      <w:r w:rsidRPr="00104AB5">
        <w:rPr>
          <w:i/>
          <w:sz w:val="20"/>
          <w:szCs w:val="20"/>
          <w:lang w:val="fr-CA"/>
        </w:rPr>
        <w:t>Loi sur les tribunaux judiciaires</w:t>
      </w:r>
      <w:r w:rsidRPr="00104AB5">
        <w:rPr>
          <w:sz w:val="20"/>
          <w:szCs w:val="20"/>
          <w:lang w:val="fr-CA"/>
        </w:rPr>
        <w:t>? — En ce qui concerne l’obstacle de l’intérêt public, que doit démontrer l’intimé pour établir que le préjudice subi</w:t>
      </w:r>
      <w:r w:rsidRPr="00104AB5">
        <w:rPr>
          <w:i/>
          <w:sz w:val="20"/>
          <w:szCs w:val="20"/>
          <w:lang w:val="fr-CA"/>
        </w:rPr>
        <w:t xml:space="preserve"> </w:t>
      </w:r>
      <w:r w:rsidRPr="00104AB5">
        <w:rPr>
          <w:sz w:val="20"/>
          <w:szCs w:val="20"/>
          <w:lang w:val="fr-CA"/>
        </w:rPr>
        <w:t xml:space="preserve">ou le préjudice qui sera vraisemblablement subi est assez grave pour que l’intérêt public dans l’instance en cours l’emporte sur l’intérêt public à l’expression au sens de l’al. 137.1(4)b)? — Si l’on applique les principes modernes d’interprétation des lois, l’art. 137.1 </w:t>
      </w:r>
      <w:proofErr w:type="gramStart"/>
      <w:r w:rsidRPr="00104AB5">
        <w:rPr>
          <w:sz w:val="20"/>
          <w:szCs w:val="20"/>
          <w:lang w:val="fr-CA"/>
        </w:rPr>
        <w:t>s’applique</w:t>
      </w:r>
      <w:proofErr w:type="gramEnd"/>
      <w:r w:rsidRPr="00104AB5">
        <w:rPr>
          <w:sz w:val="20"/>
          <w:szCs w:val="20"/>
          <w:lang w:val="fr-CA"/>
        </w:rPr>
        <w:t xml:space="preserve">-t-il en l’espèce? — </w:t>
      </w:r>
      <w:r w:rsidRPr="00104AB5">
        <w:rPr>
          <w:i/>
          <w:sz w:val="20"/>
          <w:szCs w:val="20"/>
          <w:lang w:val="fr-CA"/>
        </w:rPr>
        <w:t>Loi de 2015 sur la protection du droit à la participation aux affaires publiques</w:t>
      </w:r>
      <w:r w:rsidRPr="00104AB5">
        <w:rPr>
          <w:sz w:val="20"/>
          <w:szCs w:val="20"/>
          <w:lang w:val="fr-CA"/>
        </w:rPr>
        <w:t xml:space="preserve">, L.O. 2015, c. 23 — </w:t>
      </w:r>
      <w:r w:rsidRPr="00104AB5">
        <w:rPr>
          <w:i/>
          <w:sz w:val="20"/>
          <w:szCs w:val="20"/>
          <w:lang w:val="fr-CA"/>
        </w:rPr>
        <w:t>Loi sur les tribunaux judiciaires</w:t>
      </w:r>
      <w:r w:rsidRPr="00104AB5">
        <w:rPr>
          <w:sz w:val="20"/>
          <w:szCs w:val="20"/>
          <w:lang w:val="fr-CA"/>
        </w:rPr>
        <w:t>, L.R.O. 1990, c. C. 43, art. 137.1 à 137.5.</w:t>
      </w:r>
    </w:p>
    <w:p w:rsidR="005F79BB" w:rsidRPr="00104AB5" w:rsidRDefault="005F79BB" w:rsidP="005F79BB">
      <w:pPr>
        <w:rPr>
          <w:sz w:val="20"/>
          <w:lang w:val="fr-CA"/>
        </w:rPr>
      </w:pPr>
    </w:p>
    <w:p w:rsidR="005F79BB" w:rsidRPr="00104AB5" w:rsidRDefault="005F79BB" w:rsidP="005F79BB">
      <w:pPr>
        <w:rPr>
          <w:sz w:val="20"/>
          <w:szCs w:val="20"/>
          <w:lang w:val="fr-CA"/>
        </w:rPr>
      </w:pPr>
      <w:r w:rsidRPr="00104AB5">
        <w:rPr>
          <w:sz w:val="20"/>
          <w:szCs w:val="20"/>
          <w:lang w:val="fr-CA"/>
        </w:rPr>
        <w:t xml:space="preserve">Le projet de loi 52, la </w:t>
      </w:r>
      <w:r w:rsidRPr="00104AB5">
        <w:rPr>
          <w:i/>
          <w:sz w:val="20"/>
          <w:szCs w:val="20"/>
          <w:lang w:val="fr-CA"/>
        </w:rPr>
        <w:t>Loi de 2015 sur la protection du droit à la participation aux affaires publiques</w:t>
      </w:r>
      <w:r w:rsidRPr="00104AB5">
        <w:rPr>
          <w:sz w:val="20"/>
          <w:szCs w:val="20"/>
          <w:lang w:val="fr-CA"/>
        </w:rPr>
        <w:t xml:space="preserve">, L.O. 2015, c. 23, est entré en vigueur en novembre 2015. La LPDPAP a modifié plusieurs lois, y compris la </w:t>
      </w:r>
      <w:r w:rsidRPr="00104AB5">
        <w:rPr>
          <w:i/>
          <w:sz w:val="20"/>
          <w:szCs w:val="20"/>
          <w:lang w:val="fr-CA"/>
        </w:rPr>
        <w:t>Loi sur les tribunaux judiciaires</w:t>
      </w:r>
      <w:r w:rsidRPr="00104AB5">
        <w:rPr>
          <w:sz w:val="20"/>
          <w:szCs w:val="20"/>
          <w:lang w:val="fr-CA"/>
        </w:rPr>
        <w:t xml:space="preserve">, L.R.O. 1990, c. C.43, en édictant </w:t>
      </w:r>
      <w:proofErr w:type="gramStart"/>
      <w:r w:rsidRPr="00104AB5">
        <w:rPr>
          <w:sz w:val="20"/>
          <w:szCs w:val="20"/>
          <w:lang w:val="fr-CA"/>
        </w:rPr>
        <w:t>les art</w:t>
      </w:r>
      <w:proofErr w:type="gramEnd"/>
      <w:r w:rsidRPr="00104AB5">
        <w:rPr>
          <w:sz w:val="20"/>
          <w:szCs w:val="20"/>
          <w:lang w:val="fr-CA"/>
        </w:rPr>
        <w:t>. 137.1 à 137.5. Ces articles créaient une nouvelle procédure préalable au procès qui permet au défendeur d’obtenir  rapidement et tôt dans l’instance une ordonnance rejetant les réclamations découlant d’expressions du défendeur sur des questions d’intérêt public.</w:t>
      </w:r>
    </w:p>
    <w:p w:rsidR="005F79BB" w:rsidRPr="00104AB5" w:rsidRDefault="005F79BB" w:rsidP="005F79BB">
      <w:pPr>
        <w:rPr>
          <w:sz w:val="20"/>
          <w:lang w:val="fr-CA"/>
        </w:rPr>
      </w:pPr>
    </w:p>
    <w:p w:rsidR="005F79BB" w:rsidRPr="00104AB5" w:rsidRDefault="005F79BB" w:rsidP="005F79BB">
      <w:pPr>
        <w:rPr>
          <w:sz w:val="20"/>
          <w:szCs w:val="20"/>
          <w:lang w:val="fr-CA"/>
        </w:rPr>
      </w:pPr>
      <w:r w:rsidRPr="00104AB5">
        <w:rPr>
          <w:sz w:val="20"/>
          <w:szCs w:val="20"/>
          <w:lang w:val="fr-CA"/>
        </w:rPr>
        <w:t xml:space="preserve">La demanderesse, 1704604 Ontario Ltd (« 170 Ontario ») voulait aménager un lotissement dans Sault Ste. Marie. L’intimée, Pointes Protection Association (« PPA ») est une personne morale sans but lucratif constituée pour offrir une réponse concertée au nom de certains résidents locaux à la proposition d’aménagement de 170 Ontario. La première demande d’approbation de l’office de protection de la nature présentée par 170 Ontario a été rejetée, mais une deuxième demande a permis d’obtenir les résolutions nécessaires. PPA a présenté une demande de contrôle judiciaire de la décision et a sollicité un jugement déclarant que les résolutions des offices de protection de la nature étaient illégales et outrepassaient leur compétence. Pendant que la demande de contrôle judiciaire était en instance, 170 Ontario </w:t>
      </w:r>
      <w:proofErr w:type="gramStart"/>
      <w:r w:rsidRPr="00104AB5">
        <w:rPr>
          <w:sz w:val="20"/>
          <w:szCs w:val="20"/>
          <w:lang w:val="fr-CA"/>
        </w:rPr>
        <w:t>a</w:t>
      </w:r>
      <w:proofErr w:type="gramEnd"/>
      <w:r w:rsidRPr="00104AB5">
        <w:rPr>
          <w:sz w:val="20"/>
          <w:szCs w:val="20"/>
          <w:lang w:val="fr-CA"/>
        </w:rPr>
        <w:t xml:space="preserve"> demandé l’autorisation du conseil municipal, puisque l’aménagement proposé nécessitait une modification du plan officiel de la Ville. Le conseil municipal a rejeté la demande de 170 Ontario. 170 Ontario </w:t>
      </w:r>
      <w:proofErr w:type="gramStart"/>
      <w:r w:rsidRPr="00104AB5">
        <w:rPr>
          <w:sz w:val="20"/>
          <w:szCs w:val="20"/>
          <w:lang w:val="fr-CA"/>
        </w:rPr>
        <w:t>a</w:t>
      </w:r>
      <w:proofErr w:type="gramEnd"/>
      <w:r w:rsidRPr="00104AB5">
        <w:rPr>
          <w:sz w:val="20"/>
          <w:szCs w:val="20"/>
          <w:lang w:val="fr-CA"/>
        </w:rPr>
        <w:t xml:space="preserve"> interjeté appel de cette décision à la Commission des affaires municipales de l’Ontario (la « Commission ») et PPA s’est vu reconnaître la qualité pour agir en l’instance.</w:t>
      </w:r>
    </w:p>
    <w:p w:rsidR="005F79BB" w:rsidRPr="00104AB5" w:rsidRDefault="005F79BB" w:rsidP="005F79BB">
      <w:pPr>
        <w:rPr>
          <w:sz w:val="20"/>
          <w:szCs w:val="20"/>
          <w:lang w:val="fr-CA"/>
        </w:rPr>
      </w:pPr>
    </w:p>
    <w:p w:rsidR="005F79BB" w:rsidRPr="00104AB5" w:rsidRDefault="005F79BB" w:rsidP="005F79BB">
      <w:pPr>
        <w:rPr>
          <w:sz w:val="20"/>
          <w:szCs w:val="20"/>
          <w:lang w:val="fr-CA"/>
        </w:rPr>
      </w:pPr>
      <w:r w:rsidRPr="00104AB5">
        <w:rPr>
          <w:sz w:val="20"/>
          <w:szCs w:val="20"/>
          <w:lang w:val="fr-CA"/>
        </w:rPr>
        <w:lastRenderedPageBreak/>
        <w:t>Pendant que la demande de contrôle judiciaire et l’appel étaient tous les deux en instance, les parties ont réglé à l’amiable la demande de contrôle judiciaire. Conformément aux dispositions de l’entente, la demande de contrôle judiciaire a été rejetée de consentement sans frais et la PPA et les membres individuels de l’exécutif ont convenu de ne pas introduire d’autres instances judiciaires sollicitant la même réparation ou une réparation semblable que celle qu’ils avaient demandée dans leur demande de contrôle judiciaire. La PPA a en outre promis que dans toute instance devant la Commission ou dans toute instance judiciaire subséquente, la PPA ne plaiderait pas que les résolutions des offices de protection de la nature étaient illégales, invalides ou contraires aux lois environnementales pertinentes.</w:t>
      </w:r>
    </w:p>
    <w:p w:rsidR="005F79BB" w:rsidRPr="00104AB5" w:rsidRDefault="005F79BB" w:rsidP="005F79BB">
      <w:pPr>
        <w:rPr>
          <w:sz w:val="20"/>
          <w:szCs w:val="20"/>
          <w:lang w:val="fr-CA"/>
        </w:rPr>
      </w:pPr>
    </w:p>
    <w:p w:rsidR="005F79BB" w:rsidRPr="00104AB5" w:rsidRDefault="005F79BB" w:rsidP="005F79BB">
      <w:pPr>
        <w:rPr>
          <w:sz w:val="20"/>
          <w:szCs w:val="20"/>
          <w:lang w:val="fr-CA"/>
        </w:rPr>
      </w:pPr>
      <w:r w:rsidRPr="00104AB5">
        <w:rPr>
          <w:sz w:val="20"/>
          <w:szCs w:val="20"/>
          <w:lang w:val="fr-CA"/>
        </w:rPr>
        <w:t>L’appel interjeté par 170 Ontario à la Commission du refus du conseil municipal de modifier le plan officiel est allé de l’avant. Pendant l’audience devant la Commission, PPA a fait témoigner son président qui a affirmé qu’à son avis, l’aménagement proposé allait entraîner une perte importante de zones humides côtières, causant ainsi des dommages environnementaux importants.  La Commission a rejeté l’appel de 170 Ontario.</w:t>
      </w:r>
    </w:p>
    <w:p w:rsidR="005F79BB" w:rsidRPr="00104AB5" w:rsidRDefault="005F79BB" w:rsidP="005F79BB">
      <w:pPr>
        <w:rPr>
          <w:sz w:val="20"/>
          <w:szCs w:val="20"/>
          <w:lang w:val="fr-CA"/>
        </w:rPr>
      </w:pPr>
    </w:p>
    <w:p w:rsidR="005F79BB" w:rsidRPr="00104AB5" w:rsidRDefault="005F79BB" w:rsidP="005F79BB">
      <w:pPr>
        <w:rPr>
          <w:sz w:val="20"/>
          <w:lang w:val="fr-CA"/>
        </w:rPr>
      </w:pPr>
      <w:r w:rsidRPr="00104AB5">
        <w:rPr>
          <w:sz w:val="20"/>
          <w:szCs w:val="20"/>
          <w:lang w:val="fr-CA"/>
        </w:rPr>
        <w:t xml:space="preserve">170 Ontario a poursuivi PPA pour violation de contrat, alléguant que PPA avait violé les dispositions de l’entente lorsque le président a témoigné devant la Commission relativement à l’incidence nuisible de l’aménagement proposé sur les zones humides. PPA n’a pas déposé de défense, mais a répondu par une motion fondée sur l’art. 137.1 </w:t>
      </w:r>
      <w:proofErr w:type="gramStart"/>
      <w:r w:rsidRPr="00104AB5">
        <w:rPr>
          <w:sz w:val="20"/>
          <w:szCs w:val="20"/>
          <w:lang w:val="fr-CA"/>
        </w:rPr>
        <w:t>de</w:t>
      </w:r>
      <w:proofErr w:type="gramEnd"/>
      <w:r w:rsidRPr="00104AB5">
        <w:rPr>
          <w:sz w:val="20"/>
          <w:szCs w:val="20"/>
          <w:lang w:val="fr-CA"/>
        </w:rPr>
        <w:t xml:space="preserve"> la </w:t>
      </w:r>
      <w:r w:rsidRPr="00104AB5">
        <w:rPr>
          <w:i/>
          <w:sz w:val="20"/>
          <w:szCs w:val="20"/>
          <w:lang w:val="fr-CA"/>
        </w:rPr>
        <w:t>Loi sur les tribunaux judiciaires</w:t>
      </w:r>
      <w:r w:rsidRPr="00104AB5">
        <w:rPr>
          <w:sz w:val="20"/>
          <w:szCs w:val="20"/>
          <w:lang w:val="fr-CA"/>
        </w:rPr>
        <w:t xml:space="preserve"> pour obtenir une ordonnance rejetant la demande de 170 Ontario. Le juge de première instance a rejeté la motion de PPA et a ordonné que l’action aille de l’avant. La Cour d’appel a accueilli l’appel de PPA. L’ordonnance de la juridiction inférieure a été annulée et l’action de 170 Ontario a été rejetée.</w:t>
      </w:r>
    </w:p>
    <w:p w:rsidR="005F79BB" w:rsidRPr="00104AB5" w:rsidRDefault="005F79BB" w:rsidP="005F79BB">
      <w:pPr>
        <w:rPr>
          <w:sz w:val="20"/>
          <w:lang w:val="fr-CA"/>
        </w:rPr>
      </w:pPr>
    </w:p>
    <w:p w:rsidR="005F79BB" w:rsidRPr="00104AB5" w:rsidRDefault="00B54B7D" w:rsidP="005F79BB">
      <w:pPr>
        <w:rPr>
          <w:sz w:val="20"/>
          <w:lang w:val="fr-CA"/>
        </w:rPr>
      </w:pPr>
      <w:r w:rsidRPr="00104AB5">
        <w:rPr>
          <w:szCs w:val="24"/>
          <w:lang w:val="fr-CA"/>
        </w:rPr>
        <w:pict>
          <v:rect id="_x0000_i1075" style="width:108pt;height:1pt" o:hrpct="0" o:hralign="center" o:hrstd="t" o:hrnoshade="t" o:hr="t" fillcolor="black [3213]" stroked="f"/>
        </w:pict>
      </w:r>
    </w:p>
    <w:p w:rsidR="005F79BB" w:rsidRPr="00104AB5" w:rsidRDefault="005F79BB" w:rsidP="005F79BB">
      <w:pPr>
        <w:rPr>
          <w:sz w:val="20"/>
          <w:lang w:val="fr-CA"/>
        </w:rPr>
      </w:pPr>
    </w:p>
    <w:p w:rsidR="005F79BB" w:rsidRPr="00104AB5" w:rsidRDefault="005F79BB" w:rsidP="005F79BB">
      <w:pPr>
        <w:pStyle w:val="SCCLsocParty"/>
        <w:ind w:left="720" w:hanging="720"/>
        <w:jc w:val="both"/>
        <w:rPr>
          <w:b/>
          <w:i/>
          <w:sz w:val="20"/>
          <w:szCs w:val="20"/>
        </w:rPr>
      </w:pPr>
      <w:r w:rsidRPr="00104AB5">
        <w:rPr>
          <w:rStyle w:val="SCCFileNumberChar"/>
          <w:sz w:val="20"/>
          <w:szCs w:val="20"/>
          <w:lang w:val="fr-CA"/>
        </w:rPr>
        <w:t>38297</w:t>
      </w:r>
      <w:r w:rsidRPr="00104AB5">
        <w:rPr>
          <w:rStyle w:val="SCCFileNumberChar"/>
          <w:sz w:val="20"/>
          <w:szCs w:val="20"/>
          <w:lang w:val="fr-CA"/>
        </w:rPr>
        <w:tab/>
      </w:r>
      <w:r w:rsidRPr="00104AB5">
        <w:rPr>
          <w:b/>
          <w:i/>
          <w:sz w:val="20"/>
          <w:szCs w:val="20"/>
        </w:rPr>
        <w:t>Volkswagen Group Canada Inc., Volkswagen Group of America Inc., Volkswagen AG, Audi Canada Inc., Audi of America and Audi AG v. Association québécoise de lutte contre la pollution atmosphérique and André Bélisle</w:t>
      </w:r>
    </w:p>
    <w:p w:rsidR="005F79BB" w:rsidRPr="00104AB5" w:rsidRDefault="005F79BB" w:rsidP="005F79BB">
      <w:pPr>
        <w:ind w:firstLine="720"/>
        <w:jc w:val="both"/>
        <w:rPr>
          <w:sz w:val="20"/>
          <w:szCs w:val="20"/>
        </w:rPr>
      </w:pPr>
      <w:r w:rsidRPr="00104AB5">
        <w:rPr>
          <w:sz w:val="20"/>
          <w:szCs w:val="20"/>
        </w:rPr>
        <w:t>(Que.) (Civil) (By Leave)</w:t>
      </w:r>
    </w:p>
    <w:p w:rsidR="005F79BB" w:rsidRPr="00104AB5" w:rsidRDefault="005F79BB" w:rsidP="005F79BB">
      <w:pPr>
        <w:rPr>
          <w:sz w:val="20"/>
          <w:lang w:val="en-US"/>
        </w:rPr>
      </w:pPr>
    </w:p>
    <w:p w:rsidR="005F79BB" w:rsidRPr="00104AB5" w:rsidRDefault="005F79BB" w:rsidP="005F79BB">
      <w:pPr>
        <w:rPr>
          <w:sz w:val="20"/>
          <w:lang w:val="en-US"/>
        </w:rPr>
      </w:pPr>
      <w:r w:rsidRPr="00104AB5">
        <w:rPr>
          <w:sz w:val="20"/>
          <w:szCs w:val="20"/>
        </w:rPr>
        <w:t xml:space="preserve">Civil procedure - Class action - Criteria for authorizing class action - Application for authorization to institute class action in civil liability - Whether class action based on </w:t>
      </w:r>
      <w:r w:rsidRPr="00104AB5">
        <w:rPr>
          <w:i/>
          <w:sz w:val="20"/>
          <w:szCs w:val="20"/>
        </w:rPr>
        <w:t>Charter of human rights and freedoms</w:t>
      </w:r>
      <w:r w:rsidRPr="00104AB5">
        <w:rPr>
          <w:sz w:val="20"/>
          <w:szCs w:val="20"/>
        </w:rPr>
        <w:t xml:space="preserve">, on behalf of all Quebecers, can be authorized where, as in this case, neither representative plaintiff nor any member of proposed class has sufficient interest to assert rights on which action based - Sections 46.1 and 49 of </w:t>
      </w:r>
      <w:r w:rsidRPr="00104AB5">
        <w:rPr>
          <w:i/>
          <w:sz w:val="20"/>
          <w:szCs w:val="20"/>
        </w:rPr>
        <w:t>Charter of human rights and freedoms</w:t>
      </w:r>
      <w:r w:rsidRPr="00104AB5">
        <w:rPr>
          <w:sz w:val="20"/>
          <w:szCs w:val="20"/>
        </w:rPr>
        <w:t xml:space="preserve">, CQLR, c. C-12 - Article 575 of </w:t>
      </w:r>
      <w:r w:rsidRPr="00104AB5">
        <w:rPr>
          <w:i/>
          <w:sz w:val="20"/>
          <w:szCs w:val="20"/>
        </w:rPr>
        <w:t>Code of Civil Procedure</w:t>
      </w:r>
      <w:r w:rsidRPr="00104AB5">
        <w:rPr>
          <w:sz w:val="20"/>
          <w:szCs w:val="20"/>
        </w:rPr>
        <w:t>, CQLR, c. C-25.01.</w:t>
      </w:r>
    </w:p>
    <w:p w:rsidR="005F79BB" w:rsidRPr="00104AB5" w:rsidRDefault="005F79BB" w:rsidP="005F79BB">
      <w:pPr>
        <w:rPr>
          <w:sz w:val="20"/>
          <w:szCs w:val="20"/>
          <w:lang w:val="en-US"/>
        </w:rPr>
      </w:pPr>
    </w:p>
    <w:p w:rsidR="005F79BB" w:rsidRPr="00104AB5" w:rsidRDefault="005F79BB" w:rsidP="005F79BB">
      <w:pPr>
        <w:rPr>
          <w:sz w:val="20"/>
          <w:szCs w:val="20"/>
          <w:lang w:val="en-US"/>
        </w:rPr>
      </w:pPr>
      <w:r w:rsidRPr="00104AB5">
        <w:rPr>
          <w:sz w:val="20"/>
          <w:szCs w:val="20"/>
        </w:rPr>
        <w:t>In 2015, a scandal involving the appellants, automobile manufacturers Volkswagen Group Canada Inc. et al. and Audi Canada Inc. et al., erupted when it was revealed that certain diesel models of their cars had been equipped with software allowing them to falsify the results of emissions tests. This scheme concerned models manufactured between 2009 and 2015. In addition to the class actions brought on behalf of owners and lessees of cars equipped with the software in the province of Quebec, the respondents, Association québécoise de lutte contre la pollution atmosphérique and André Bélisle, filed an application for authorization to institute a class action in which they sought compensation for all residents of the province of Quebec for environmental consequences of the use of the software. The Superior Court granted the application for authorization to institute a class action in part, authorizing one for a claim for punitive damages. The Court of Appeal dismissed a motion by the appellants for leave to appeal that decision.</w:t>
      </w:r>
    </w:p>
    <w:p w:rsidR="005F79BB" w:rsidRPr="00104AB5" w:rsidRDefault="005F79BB" w:rsidP="005F79BB">
      <w:pPr>
        <w:widowControl w:val="0"/>
        <w:outlineLvl w:val="0"/>
        <w:rPr>
          <w:sz w:val="20"/>
          <w:szCs w:val="20"/>
          <w:lang w:val="en-US"/>
        </w:rPr>
      </w:pPr>
    </w:p>
    <w:p w:rsidR="005F79BB" w:rsidRPr="00104AB5" w:rsidRDefault="00B54B7D" w:rsidP="005F79BB">
      <w:pPr>
        <w:widowControl w:val="0"/>
        <w:rPr>
          <w:sz w:val="20"/>
        </w:rPr>
      </w:pPr>
      <w:r w:rsidRPr="00104AB5">
        <w:rPr>
          <w:szCs w:val="24"/>
          <w:lang w:val="fr-CA"/>
        </w:rPr>
        <w:pict>
          <v:rect id="_x0000_i1076" style="width:108pt;height:1pt" o:hrpct="0" o:hralign="center" o:hrstd="t" o:hrnoshade="t" o:hr="t" fillcolor="black [3213]" stroked="f"/>
        </w:pict>
      </w:r>
    </w:p>
    <w:p w:rsidR="005F79BB" w:rsidRPr="00104AB5" w:rsidRDefault="005F79BB" w:rsidP="005F79BB">
      <w:pPr>
        <w:widowControl w:val="0"/>
        <w:rPr>
          <w:sz w:val="20"/>
        </w:rPr>
      </w:pPr>
    </w:p>
    <w:p w:rsidR="005F79BB" w:rsidRPr="00104AB5" w:rsidRDefault="005F79BB" w:rsidP="005F79BB">
      <w:pPr>
        <w:pStyle w:val="SCCLsocParty"/>
        <w:ind w:left="720" w:hanging="720"/>
        <w:jc w:val="both"/>
        <w:rPr>
          <w:b/>
          <w:i/>
          <w:sz w:val="20"/>
          <w:szCs w:val="20"/>
          <w:lang w:val="en-CA"/>
        </w:rPr>
      </w:pPr>
      <w:r w:rsidRPr="00104AB5">
        <w:rPr>
          <w:rStyle w:val="SCCFileNumberChar"/>
          <w:sz w:val="20"/>
          <w:szCs w:val="20"/>
        </w:rPr>
        <w:t>38297</w:t>
      </w:r>
      <w:r w:rsidRPr="00104AB5">
        <w:rPr>
          <w:rStyle w:val="SCCFileNumberChar"/>
          <w:sz w:val="20"/>
          <w:szCs w:val="20"/>
        </w:rPr>
        <w:tab/>
      </w:r>
      <w:r w:rsidRPr="00104AB5">
        <w:rPr>
          <w:b/>
          <w:i/>
          <w:sz w:val="20"/>
          <w:szCs w:val="20"/>
          <w:lang w:val="en-CA"/>
        </w:rPr>
        <w:t>Volkswagen Group Canada Inc., Volkswagen Group of America Inc., Volkswagen AG, Audi Canada Inc., Audi of America et Audi AG c. Association québécoise de lutte contre la pollution atmosphérique et André Bélisle</w:t>
      </w:r>
    </w:p>
    <w:p w:rsidR="005F79BB" w:rsidRPr="00104AB5" w:rsidRDefault="005F79BB" w:rsidP="005F79BB">
      <w:pPr>
        <w:widowControl w:val="0"/>
        <w:ind w:firstLine="720"/>
        <w:rPr>
          <w:sz w:val="20"/>
          <w:lang w:val="fr-CA"/>
        </w:rPr>
      </w:pPr>
      <w:r w:rsidRPr="00104AB5">
        <w:rPr>
          <w:sz w:val="20"/>
          <w:szCs w:val="20"/>
          <w:lang w:val="fr-CA"/>
        </w:rPr>
        <w:t>(Qc) (Civile) (Autorisation)</w:t>
      </w:r>
    </w:p>
    <w:p w:rsidR="005F79BB" w:rsidRPr="00104AB5" w:rsidRDefault="005F79BB" w:rsidP="005F79BB">
      <w:pPr>
        <w:widowControl w:val="0"/>
        <w:rPr>
          <w:sz w:val="20"/>
          <w:lang w:val="fr-CA"/>
        </w:rPr>
      </w:pPr>
    </w:p>
    <w:p w:rsidR="005F79BB" w:rsidRPr="00104AB5" w:rsidRDefault="005F79BB" w:rsidP="005F79BB">
      <w:pPr>
        <w:widowControl w:val="0"/>
        <w:rPr>
          <w:sz w:val="20"/>
          <w:lang w:val="fr-CA"/>
        </w:rPr>
      </w:pPr>
      <w:r w:rsidRPr="00104AB5">
        <w:rPr>
          <w:sz w:val="20"/>
          <w:szCs w:val="20"/>
          <w:lang w:val="fr-CA"/>
        </w:rPr>
        <w:t xml:space="preserve">Procédure civile - Action collective - Critères d’autorisation - Demande d’autorisation d’exercer une action collective en responsabilité civile - Une action collective en vertu de la </w:t>
      </w:r>
      <w:r w:rsidRPr="00104AB5">
        <w:rPr>
          <w:i/>
          <w:sz w:val="20"/>
          <w:szCs w:val="20"/>
          <w:lang w:val="fr-FR"/>
        </w:rPr>
        <w:t>Charte des droits et libertés de la personne</w:t>
      </w:r>
      <w:r w:rsidRPr="00104AB5">
        <w:rPr>
          <w:sz w:val="20"/>
          <w:szCs w:val="20"/>
          <w:lang w:val="fr-CA"/>
        </w:rPr>
        <w:t xml:space="preserve">, au nom de tous les Québécois, peut-elle être autorisée si, comme en l’espèce, ni le représentant, ni aucun membre du groupe proposé n’a d’intérêt suffisant pour faire valoir les droits sur lesquels se fonde l’action? - Art. 46.1 </w:t>
      </w:r>
      <w:proofErr w:type="gramStart"/>
      <w:r w:rsidRPr="00104AB5">
        <w:rPr>
          <w:sz w:val="20"/>
          <w:szCs w:val="20"/>
          <w:lang w:val="fr-CA"/>
        </w:rPr>
        <w:t>et</w:t>
      </w:r>
      <w:proofErr w:type="gramEnd"/>
      <w:r w:rsidRPr="00104AB5">
        <w:rPr>
          <w:sz w:val="20"/>
          <w:szCs w:val="20"/>
          <w:lang w:val="fr-CA"/>
        </w:rPr>
        <w:t xml:space="preserve"> 49, </w:t>
      </w:r>
      <w:r w:rsidRPr="00104AB5">
        <w:rPr>
          <w:i/>
          <w:sz w:val="20"/>
          <w:szCs w:val="20"/>
          <w:lang w:val="fr-FR"/>
        </w:rPr>
        <w:t>Charte des droits et libertés de la personne</w:t>
      </w:r>
      <w:r w:rsidRPr="00104AB5">
        <w:rPr>
          <w:sz w:val="20"/>
          <w:szCs w:val="20"/>
          <w:lang w:val="fr-FR"/>
        </w:rPr>
        <w:t xml:space="preserve">, RLRQ c. C-12 </w:t>
      </w:r>
      <w:r w:rsidRPr="00104AB5">
        <w:rPr>
          <w:sz w:val="20"/>
          <w:szCs w:val="20"/>
          <w:lang w:val="fr-CA"/>
        </w:rPr>
        <w:t xml:space="preserve">- Art. 575, </w:t>
      </w:r>
      <w:r w:rsidRPr="00104AB5">
        <w:rPr>
          <w:i/>
          <w:sz w:val="20"/>
          <w:szCs w:val="20"/>
          <w:lang w:val="fr-FR"/>
        </w:rPr>
        <w:t>Code de procédure civile</w:t>
      </w:r>
      <w:r w:rsidRPr="00104AB5">
        <w:rPr>
          <w:sz w:val="20"/>
          <w:szCs w:val="20"/>
          <w:lang w:val="fr-FR"/>
        </w:rPr>
        <w:t>, RLRQ c. C-25.01.</w:t>
      </w:r>
    </w:p>
    <w:p w:rsidR="005F79BB" w:rsidRPr="00104AB5" w:rsidRDefault="005F79BB" w:rsidP="005F79BB">
      <w:pPr>
        <w:widowControl w:val="0"/>
        <w:rPr>
          <w:sz w:val="20"/>
          <w:lang w:val="fr-CA"/>
        </w:rPr>
      </w:pPr>
    </w:p>
    <w:p w:rsidR="005F79BB" w:rsidRPr="00104AB5" w:rsidRDefault="005F79BB" w:rsidP="005F79BB">
      <w:pPr>
        <w:widowControl w:val="0"/>
        <w:rPr>
          <w:sz w:val="20"/>
          <w:lang w:val="fr-CA"/>
        </w:rPr>
      </w:pPr>
      <w:r w:rsidRPr="00104AB5">
        <w:rPr>
          <w:sz w:val="20"/>
          <w:szCs w:val="20"/>
          <w:lang w:val="fr-CA"/>
        </w:rPr>
        <w:t xml:space="preserve">En 2015, un scandale impliquant les appelantes, les fabricants automobiles Volkswagen Group Canada Inc., et al. </w:t>
      </w:r>
      <w:proofErr w:type="gramStart"/>
      <w:r w:rsidRPr="00104AB5">
        <w:rPr>
          <w:sz w:val="20"/>
          <w:szCs w:val="20"/>
          <w:lang w:val="fr-CA"/>
        </w:rPr>
        <w:t>et</w:t>
      </w:r>
      <w:proofErr w:type="gramEnd"/>
      <w:r w:rsidRPr="00104AB5">
        <w:rPr>
          <w:sz w:val="20"/>
          <w:szCs w:val="20"/>
          <w:lang w:val="fr-CA"/>
        </w:rPr>
        <w:t xml:space="preserve"> Audi Canada Inc. et al. </w:t>
      </w:r>
      <w:proofErr w:type="gramStart"/>
      <w:r w:rsidRPr="00104AB5">
        <w:rPr>
          <w:sz w:val="20"/>
          <w:szCs w:val="20"/>
          <w:lang w:val="fr-CA"/>
        </w:rPr>
        <w:t>a</w:t>
      </w:r>
      <w:proofErr w:type="gramEnd"/>
      <w:r w:rsidRPr="00104AB5">
        <w:rPr>
          <w:sz w:val="20"/>
          <w:szCs w:val="20"/>
          <w:lang w:val="fr-CA"/>
        </w:rPr>
        <w:t xml:space="preserve"> explosé lorsqu’il fut révélé qu’un logiciel permettant de fausser les résultats des tests d’émissions polluantes avait été installé dans certains de leurs modèles de voitures carburant au diesel. Ce stratagème visait des modèles fabriqués entre 2009 et 2015. Outre les actions collectives entreprises au nom des propriétaires et locataires de voitures dans la province du Québec, les intimés, l’Association québécoise de lutte contre la pollution atmosphérique et Monsieur André Bélisle, ont déposé une demande d’autorisation d’exercer une action collective qui vise à obtenir une indemnisation pour l’ensemble des résidents de la province de Québec en regard de conséquences environnementales découlant de l’utilisation du logiciel. La Cour supérieure a partiellement accueilli la demande d’autorisation d’exercer une action collective autorisant ainsi l’action collective ayant trait à la réclamation de dommages-intérêts punitifs. La Cour d’appel a rejeté la requête pour permission d’en appeler déposée par les appelantes.</w:t>
      </w:r>
    </w:p>
    <w:p w:rsidR="005F79BB" w:rsidRPr="00104AB5" w:rsidRDefault="005F79BB" w:rsidP="005F79BB">
      <w:pPr>
        <w:widowControl w:val="0"/>
        <w:rPr>
          <w:sz w:val="20"/>
          <w:lang w:val="fr-CA"/>
        </w:rPr>
      </w:pPr>
    </w:p>
    <w:p w:rsidR="005F79BB" w:rsidRPr="00104AB5" w:rsidRDefault="00B54B7D" w:rsidP="005F79BB">
      <w:pPr>
        <w:widowControl w:val="0"/>
        <w:rPr>
          <w:sz w:val="20"/>
          <w:szCs w:val="20"/>
          <w:lang w:val="fr-CA"/>
        </w:rPr>
      </w:pPr>
      <w:r w:rsidRPr="00104AB5">
        <w:rPr>
          <w:szCs w:val="24"/>
          <w:lang w:val="fr-CA"/>
        </w:rPr>
        <w:pict>
          <v:rect id="_x0000_i1077" style="width:108pt;height:1pt" o:hrpct="0" o:hralign="center" o:hrstd="t" o:hrnoshade="t" o:hr="t" fillcolor="black [3213]" stroked="f"/>
        </w:pict>
      </w:r>
    </w:p>
    <w:p w:rsidR="005F79BB" w:rsidRPr="00104AB5" w:rsidRDefault="005F79BB" w:rsidP="005F79BB">
      <w:pPr>
        <w:widowControl w:val="0"/>
        <w:outlineLvl w:val="0"/>
        <w:rPr>
          <w:sz w:val="20"/>
          <w:szCs w:val="20"/>
          <w:lang w:val="fr-CA"/>
        </w:rPr>
      </w:pPr>
    </w:p>
    <w:p w:rsidR="005F79BB" w:rsidRPr="00B54B7D" w:rsidRDefault="005F79BB" w:rsidP="005F79BB">
      <w:pPr>
        <w:widowControl w:val="0"/>
        <w:ind w:left="720" w:hanging="720"/>
        <w:jc w:val="both"/>
        <w:rPr>
          <w:b/>
          <w:i/>
          <w:sz w:val="20"/>
          <w:szCs w:val="20"/>
          <w:lang w:val="fr-CA"/>
        </w:rPr>
      </w:pPr>
      <w:r w:rsidRPr="00104AB5">
        <w:rPr>
          <w:b/>
          <w:sz w:val="20"/>
          <w:szCs w:val="20"/>
        </w:rPr>
        <w:fldChar w:fldCharType="begin"/>
      </w:r>
      <w:r w:rsidRPr="00B54B7D">
        <w:rPr>
          <w:b/>
          <w:sz w:val="20"/>
          <w:szCs w:val="20"/>
          <w:lang w:val="fr-CA"/>
        </w:rPr>
        <w:instrText xml:space="preserve"> SEQ CHAPTER \h \r 1</w:instrText>
      </w:r>
      <w:r w:rsidRPr="00104AB5">
        <w:rPr>
          <w:b/>
          <w:sz w:val="20"/>
          <w:szCs w:val="20"/>
        </w:rPr>
        <w:fldChar w:fldCharType="end"/>
      </w:r>
      <w:r w:rsidRPr="00B54B7D">
        <w:rPr>
          <w:b/>
          <w:sz w:val="20"/>
          <w:szCs w:val="20"/>
          <w:lang w:val="fr-CA"/>
        </w:rPr>
        <w:t>38498</w:t>
      </w:r>
      <w:r w:rsidRPr="00B54B7D">
        <w:rPr>
          <w:b/>
          <w:sz w:val="20"/>
          <w:szCs w:val="20"/>
          <w:lang w:val="fr-CA"/>
        </w:rPr>
        <w:tab/>
      </w:r>
      <w:proofErr w:type="spellStart"/>
      <w:r w:rsidRPr="00B54B7D">
        <w:rPr>
          <w:b/>
          <w:i/>
          <w:sz w:val="20"/>
          <w:szCs w:val="20"/>
          <w:lang w:val="fr-CA"/>
        </w:rPr>
        <w:t>Danelle</w:t>
      </w:r>
      <w:proofErr w:type="spellEnd"/>
      <w:r w:rsidRPr="00B54B7D">
        <w:rPr>
          <w:b/>
          <w:i/>
          <w:sz w:val="20"/>
          <w:szCs w:val="20"/>
          <w:lang w:val="fr-CA"/>
        </w:rPr>
        <w:t xml:space="preserve"> Michel v. Sean </w:t>
      </w:r>
      <w:proofErr w:type="spellStart"/>
      <w:r w:rsidRPr="00B54B7D">
        <w:rPr>
          <w:b/>
          <w:i/>
          <w:sz w:val="20"/>
          <w:szCs w:val="20"/>
          <w:lang w:val="fr-CA"/>
        </w:rPr>
        <w:t>Graydon</w:t>
      </w:r>
      <w:proofErr w:type="spellEnd"/>
    </w:p>
    <w:p w:rsidR="005F79BB" w:rsidRPr="00104AB5" w:rsidRDefault="005F79BB" w:rsidP="005F79BB">
      <w:pPr>
        <w:widowControl w:val="0"/>
        <w:ind w:left="720" w:hanging="720"/>
        <w:jc w:val="both"/>
        <w:rPr>
          <w:sz w:val="20"/>
          <w:szCs w:val="20"/>
        </w:rPr>
      </w:pPr>
      <w:r w:rsidRPr="00B54B7D">
        <w:rPr>
          <w:sz w:val="20"/>
          <w:szCs w:val="20"/>
          <w:lang w:val="fr-CA"/>
        </w:rPr>
        <w:tab/>
      </w:r>
      <w:r w:rsidRPr="00104AB5">
        <w:rPr>
          <w:sz w:val="20"/>
          <w:szCs w:val="20"/>
        </w:rPr>
        <w:t>(B.C.) (Civil) (By Leave)</w:t>
      </w:r>
    </w:p>
    <w:p w:rsidR="005F79BB" w:rsidRPr="00104AB5" w:rsidRDefault="005F79BB" w:rsidP="005F79BB">
      <w:pPr>
        <w:pStyle w:val="SCCBanSummary0"/>
        <w:rPr>
          <w:sz w:val="20"/>
          <w:szCs w:val="20"/>
        </w:rPr>
      </w:pPr>
    </w:p>
    <w:p w:rsidR="005F79BB" w:rsidRPr="00104AB5" w:rsidRDefault="005F79BB" w:rsidP="005F79BB">
      <w:pPr>
        <w:pStyle w:val="SCCBanSummary0"/>
        <w:rPr>
          <w:sz w:val="20"/>
          <w:szCs w:val="20"/>
        </w:rPr>
      </w:pPr>
      <w:r w:rsidRPr="00104AB5">
        <w:rPr>
          <w:sz w:val="20"/>
          <w:szCs w:val="20"/>
        </w:rPr>
        <w:t>(Court file contains information that is not available for inspection by the public)</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szCs w:val="20"/>
        </w:rPr>
      </w:pPr>
      <w:r w:rsidRPr="00104AB5">
        <w:rPr>
          <w:sz w:val="20"/>
          <w:szCs w:val="20"/>
        </w:rPr>
        <w:t>Family law - Support - Child support - Retroactive support - Mother of child seeking retroactive variation of child support for child who was adult at time of application - Whether a court has jurisdiction to make a retroactive child support award where the application is made after child has ceased to be child of marriage.</w:t>
      </w:r>
    </w:p>
    <w:p w:rsidR="005F79BB" w:rsidRPr="00104AB5" w:rsidRDefault="005F79BB" w:rsidP="005F79BB">
      <w:pPr>
        <w:widowControl w:val="0"/>
        <w:jc w:val="both"/>
        <w:rPr>
          <w:sz w:val="20"/>
          <w:szCs w:val="20"/>
        </w:rPr>
      </w:pPr>
    </w:p>
    <w:p w:rsidR="005F79BB" w:rsidRPr="00104AB5" w:rsidRDefault="005F79BB" w:rsidP="005F79BB">
      <w:pPr>
        <w:jc w:val="both"/>
        <w:rPr>
          <w:sz w:val="20"/>
        </w:rPr>
      </w:pPr>
      <w:r w:rsidRPr="00104AB5">
        <w:rPr>
          <w:sz w:val="20"/>
          <w:szCs w:val="20"/>
        </w:rPr>
        <w:t xml:space="preserve">The applicant and respondent resided with one another as common law spouses from 1990 until 1994. Their daughter, A.G., was born in 1991. When the relationship ended, A.G. lived with Ms. Michel. Child support was originally dealt with by way of a Provincial Court order that was subsequently subject to a consent variation order in March, 2001, whereby Mr. Graydon agreed to pay child support in the amount of $341 per month, based on his </w:t>
      </w:r>
      <w:r w:rsidRPr="00104AB5">
        <w:rPr>
          <w:i/>
          <w:sz w:val="20"/>
          <w:szCs w:val="20"/>
        </w:rPr>
        <w:t>Federal Child Support Guidelines</w:t>
      </w:r>
      <w:r w:rsidRPr="00104AB5">
        <w:rPr>
          <w:sz w:val="20"/>
          <w:szCs w:val="20"/>
        </w:rPr>
        <w:t xml:space="preserve">, SOR/97-175 income. Mr. Graydon refused Ms. Michel’s request at the time for an annual review of the child support amount and no review was conducted during the period that A.G. was a child. In 2012, Mr. Graydon obtained an order cancelling the child support on the ground that A.G. had reached the age of majority, had completed a certificate program and was working. In 2015, Ms. Michel applied for a retroactive increase of child support back to 2001 pursuant to s. 152 of the </w:t>
      </w:r>
      <w:r w:rsidRPr="00104AB5">
        <w:rPr>
          <w:i/>
          <w:sz w:val="20"/>
          <w:szCs w:val="20"/>
        </w:rPr>
        <w:t>Family Law Act</w:t>
      </w:r>
      <w:r w:rsidRPr="00104AB5">
        <w:rPr>
          <w:sz w:val="20"/>
          <w:szCs w:val="20"/>
        </w:rPr>
        <w:t xml:space="preserve">, S.B.C. 2011, </w:t>
      </w:r>
      <w:proofErr w:type="gramStart"/>
      <w:r w:rsidRPr="00104AB5">
        <w:rPr>
          <w:sz w:val="20"/>
          <w:szCs w:val="20"/>
        </w:rPr>
        <w:t>c</w:t>
      </w:r>
      <w:proofErr w:type="gramEnd"/>
      <w:r w:rsidRPr="00104AB5">
        <w:rPr>
          <w:sz w:val="20"/>
          <w:szCs w:val="20"/>
        </w:rPr>
        <w:t>. 25. Mr. Graydon contested the jurisdiction of the court to make such an order on the basis that A.G. was not a “child of the marriage”. At the time the application was heard in Provincial Court, A.G. was 24 years of age. The trial judge concluded that Mr. Graydon was obliged to pay $23,000 in retroactive child support. This decision was overturned on appeal. Ms. Michel’s appeal was dismissed.</w:t>
      </w:r>
    </w:p>
    <w:p w:rsidR="005F79BB" w:rsidRPr="00104AB5" w:rsidRDefault="005F79BB" w:rsidP="005F79BB">
      <w:pPr>
        <w:jc w:val="both"/>
        <w:rPr>
          <w:sz w:val="20"/>
        </w:rPr>
      </w:pPr>
    </w:p>
    <w:p w:rsidR="005F79BB" w:rsidRPr="00104AB5" w:rsidRDefault="00B54B7D" w:rsidP="005F79BB">
      <w:pPr>
        <w:jc w:val="both"/>
        <w:rPr>
          <w:sz w:val="20"/>
        </w:rPr>
      </w:pPr>
      <w:r w:rsidRPr="00104AB5">
        <w:rPr>
          <w:szCs w:val="24"/>
          <w:lang w:val="fr-CA"/>
        </w:rPr>
        <w:pict>
          <v:rect id="_x0000_i1078" style="width:108pt;height:1pt" o:hrpct="0" o:hralign="center" o:hrstd="t" o:hrnoshade="t" o:hr="t" fillcolor="black [3213]" stroked="f"/>
        </w:pict>
      </w:r>
    </w:p>
    <w:p w:rsidR="005F79BB" w:rsidRPr="00104AB5" w:rsidRDefault="005F79BB" w:rsidP="005F79BB">
      <w:pPr>
        <w:jc w:val="both"/>
        <w:rPr>
          <w:sz w:val="20"/>
        </w:rPr>
      </w:pPr>
    </w:p>
    <w:p w:rsidR="005F79BB" w:rsidRPr="00104AB5" w:rsidRDefault="005F79BB" w:rsidP="005F79BB">
      <w:pPr>
        <w:pStyle w:val="SCCLsocParty"/>
        <w:jc w:val="both"/>
        <w:rPr>
          <w:b/>
          <w:sz w:val="20"/>
          <w:szCs w:val="20"/>
        </w:rPr>
      </w:pPr>
      <w:r w:rsidRPr="00104AB5">
        <w:rPr>
          <w:rStyle w:val="SCCFileNumberChar"/>
          <w:sz w:val="20"/>
          <w:szCs w:val="20"/>
          <w:lang w:val="fr-CA"/>
        </w:rPr>
        <w:t>38498</w:t>
      </w:r>
      <w:r w:rsidRPr="00104AB5">
        <w:rPr>
          <w:rStyle w:val="SCCFileNumberChar"/>
          <w:sz w:val="20"/>
          <w:szCs w:val="20"/>
          <w:lang w:val="fr-CA"/>
        </w:rPr>
        <w:tab/>
      </w:r>
      <w:r w:rsidRPr="00104AB5">
        <w:rPr>
          <w:b/>
          <w:sz w:val="20"/>
          <w:szCs w:val="20"/>
        </w:rPr>
        <w:t>Danelle Michel c. Sean Graydon</w:t>
      </w:r>
    </w:p>
    <w:p w:rsidR="005F79BB" w:rsidRPr="00104AB5" w:rsidRDefault="005F79BB" w:rsidP="005F79BB">
      <w:pPr>
        <w:ind w:firstLine="720"/>
        <w:jc w:val="both"/>
        <w:rPr>
          <w:sz w:val="20"/>
          <w:lang w:val="fr-CA"/>
        </w:rPr>
      </w:pPr>
      <w:r w:rsidRPr="00104AB5">
        <w:rPr>
          <w:sz w:val="20"/>
          <w:szCs w:val="20"/>
          <w:lang w:val="fr-CA"/>
        </w:rPr>
        <w:t>(C.</w:t>
      </w:r>
      <w:r w:rsidRPr="00104AB5">
        <w:rPr>
          <w:sz w:val="20"/>
          <w:szCs w:val="20"/>
          <w:lang w:val="fr-CA"/>
        </w:rPr>
        <w:noBreakHyphen/>
        <w:t>B.) (Civile) (Autorisation)</w:t>
      </w:r>
    </w:p>
    <w:p w:rsidR="005F79BB" w:rsidRPr="00104AB5" w:rsidRDefault="005F79BB" w:rsidP="005F79BB">
      <w:pPr>
        <w:jc w:val="both"/>
        <w:rPr>
          <w:sz w:val="20"/>
          <w:lang w:val="fr-CA"/>
        </w:rPr>
      </w:pPr>
    </w:p>
    <w:p w:rsidR="005F79BB" w:rsidRPr="00104AB5" w:rsidRDefault="005F79BB" w:rsidP="005F79BB">
      <w:pPr>
        <w:pStyle w:val="SCCBanSummary0"/>
        <w:rPr>
          <w:sz w:val="20"/>
          <w:szCs w:val="20"/>
          <w:lang w:val="fr-CA"/>
        </w:rPr>
      </w:pPr>
      <w:r w:rsidRPr="00104AB5">
        <w:rPr>
          <w:sz w:val="20"/>
          <w:szCs w:val="20"/>
          <w:lang w:val="fr-CA"/>
        </w:rPr>
        <w:t>(Le dossier de la Cour renferme des données que le public n’est pas autorisé à consulter)</w:t>
      </w:r>
    </w:p>
    <w:p w:rsidR="005F79BB" w:rsidRPr="00104AB5" w:rsidRDefault="005F79BB" w:rsidP="005F79BB">
      <w:pPr>
        <w:rPr>
          <w:sz w:val="20"/>
          <w:szCs w:val="20"/>
          <w:lang w:val="fr-CA"/>
        </w:rPr>
      </w:pPr>
    </w:p>
    <w:p w:rsidR="005F79BB" w:rsidRPr="00104AB5" w:rsidRDefault="005F79BB" w:rsidP="005F79BB">
      <w:pPr>
        <w:jc w:val="both"/>
        <w:rPr>
          <w:sz w:val="20"/>
          <w:lang w:val="fr-CA"/>
        </w:rPr>
      </w:pPr>
      <w:r w:rsidRPr="00104AB5">
        <w:rPr>
          <w:sz w:val="20"/>
          <w:szCs w:val="20"/>
          <w:lang w:val="fr-CA"/>
        </w:rPr>
        <w:t>Droit de la famille - Aliments - Pension alimentaire pour enfants - Pension alimentaire rétroactive - La mère demande la modification rétroactive de la pension alimentaire pour une enfant qui était adulte au moment de la demande - Un tribunal a</w:t>
      </w:r>
      <w:r w:rsidRPr="00104AB5">
        <w:rPr>
          <w:sz w:val="20"/>
          <w:szCs w:val="20"/>
          <w:lang w:val="fr-CA"/>
        </w:rPr>
        <w:noBreakHyphen/>
        <w:t>t</w:t>
      </w:r>
      <w:r w:rsidRPr="00104AB5">
        <w:rPr>
          <w:sz w:val="20"/>
          <w:szCs w:val="20"/>
          <w:lang w:val="fr-CA"/>
        </w:rPr>
        <w:noBreakHyphen/>
        <w:t xml:space="preserve">il compétence pour </w:t>
      </w:r>
      <w:r w:rsidRPr="00104AB5">
        <w:rPr>
          <w:iCs/>
          <w:sz w:val="20"/>
          <w:szCs w:val="20"/>
          <w:lang w:val="fr-CA"/>
        </w:rPr>
        <w:t xml:space="preserve">rendre une ordonnance alimentaire rétroactive au profit d’une enfant </w:t>
      </w:r>
      <w:r w:rsidRPr="00104AB5">
        <w:rPr>
          <w:sz w:val="20"/>
          <w:szCs w:val="20"/>
          <w:lang w:val="fr-CA"/>
        </w:rPr>
        <w:t>lorsque la demande est faite après que l’enfant a cessé d’être une enfant à charge?</w:t>
      </w:r>
    </w:p>
    <w:p w:rsidR="005F79BB" w:rsidRPr="00104AB5" w:rsidRDefault="005F79BB" w:rsidP="005F79BB">
      <w:pPr>
        <w:jc w:val="both"/>
        <w:rPr>
          <w:sz w:val="20"/>
          <w:lang w:val="fr-CA"/>
        </w:rPr>
      </w:pPr>
    </w:p>
    <w:p w:rsidR="00CE5B8D" w:rsidRPr="00104AB5" w:rsidRDefault="00CE5B8D">
      <w:pPr>
        <w:rPr>
          <w:sz w:val="20"/>
          <w:szCs w:val="20"/>
          <w:lang w:val="fr-CA"/>
        </w:rPr>
      </w:pPr>
      <w:r w:rsidRPr="00104AB5">
        <w:rPr>
          <w:sz w:val="20"/>
          <w:szCs w:val="20"/>
          <w:lang w:val="fr-CA"/>
        </w:rPr>
        <w:br w:type="page"/>
      </w:r>
    </w:p>
    <w:p w:rsidR="005F79BB" w:rsidRPr="00104AB5" w:rsidRDefault="005F79BB" w:rsidP="005F79BB">
      <w:pPr>
        <w:jc w:val="both"/>
        <w:rPr>
          <w:sz w:val="20"/>
          <w:lang w:val="fr-CA"/>
        </w:rPr>
      </w:pPr>
      <w:r w:rsidRPr="00104AB5">
        <w:rPr>
          <w:sz w:val="20"/>
          <w:szCs w:val="20"/>
          <w:lang w:val="fr-CA"/>
        </w:rPr>
        <w:lastRenderedPageBreak/>
        <w:t xml:space="preserve">La demanderesse et l’intimé ont cohabité en union libre de 1990 à 1994. Leur fille, A.G., est née en 1991. Lorsque la relation a pris fin, A.G. vivait avec Mme Michel. La pension alimentaire pour l’enfant a d’abord été traitée par voie d’ordonnance de la Cour provinciale, qui a fait l’objet d’une ordonnance de modification sur consentement en mars 2001, en vertu de laquelle M. Graydon a accepté de verser une pension alimentaire de 341 $ par mois, en fonction de son revenu suivant les  </w:t>
      </w:r>
      <w:r w:rsidRPr="00104AB5">
        <w:rPr>
          <w:i/>
          <w:sz w:val="20"/>
          <w:szCs w:val="20"/>
          <w:lang w:val="fr-CA"/>
        </w:rPr>
        <w:t>Lignes directrices fédérales sur les pensions alimentaires pour enfants</w:t>
      </w:r>
      <w:r w:rsidRPr="00104AB5">
        <w:rPr>
          <w:sz w:val="20"/>
          <w:szCs w:val="20"/>
          <w:lang w:val="fr-CA"/>
        </w:rPr>
        <w:t>, DORS/97</w:t>
      </w:r>
      <w:r w:rsidRPr="00104AB5">
        <w:rPr>
          <w:sz w:val="20"/>
          <w:szCs w:val="20"/>
          <w:lang w:val="fr-CA"/>
        </w:rPr>
        <w:noBreakHyphen/>
        <w:t xml:space="preserve">175. Monsieur Graydon a rejeté la demande que Mme Michel avait faite à l’époque pour une révision annuelle du montant de la pension alimentaire pour l’enfant et aucune révision n’a été faite pendant la période où A.G. était une enfant. En 2012, M. Graydon a obtenu une ordonnance annulant la pension alimentaire pour l’enfant au motif qu’A.G. avait atteint l’âge de la majorité, qu’elle avait réussi un programme menant à un certificat et qu’elle travaillait. En 2015, Mme Michel a demandé une augmentation rétroactive de la pension alimentaire pour l’enfant, remontant à 2001, en vertu de l’art. 152 de la </w:t>
      </w:r>
      <w:r w:rsidRPr="00104AB5">
        <w:rPr>
          <w:i/>
          <w:sz w:val="20"/>
          <w:szCs w:val="20"/>
          <w:lang w:val="fr-CA"/>
        </w:rPr>
        <w:t>Family Law Act</w:t>
      </w:r>
      <w:r w:rsidRPr="00104AB5">
        <w:rPr>
          <w:sz w:val="20"/>
          <w:szCs w:val="20"/>
          <w:lang w:val="fr-CA"/>
        </w:rPr>
        <w:t>, S.B.C. 2011, ch. 25. Monsieur Graydon a contesté la compétence du tribunal pour rendre une telle ordonnance, plaidant qu’A.G. n’était pas une « enfant à charge ». Au moment où la demande a été instruite en Cour provinciale, A.G. était âgée de 24 ans. Le juge de première instance a conclu que M. Graydon était obligé de verser 23 000 $ à titre de pension alimentaire rétroactive pour l’enfant. Cette décision a été infirmée en appel. L’appel de Mme Michel a été rejeté.</w:t>
      </w:r>
    </w:p>
    <w:p w:rsidR="005F79BB" w:rsidRPr="00104AB5" w:rsidRDefault="005F79BB" w:rsidP="005F79BB">
      <w:pPr>
        <w:jc w:val="both"/>
        <w:rPr>
          <w:sz w:val="20"/>
          <w:szCs w:val="20"/>
          <w:lang w:val="fr-CA"/>
        </w:rPr>
      </w:pPr>
    </w:p>
    <w:p w:rsidR="005F79BB" w:rsidRPr="00104AB5" w:rsidRDefault="00B54B7D" w:rsidP="005F79BB">
      <w:pPr>
        <w:rPr>
          <w:sz w:val="20"/>
          <w:szCs w:val="20"/>
          <w:lang w:val="fr-CA"/>
        </w:rPr>
      </w:pPr>
      <w:r w:rsidRPr="00104AB5">
        <w:rPr>
          <w:szCs w:val="24"/>
          <w:lang w:val="fr-CA"/>
        </w:rPr>
        <w:pict>
          <v:rect id="_x0000_i1079" style="width:108pt;height:1pt" o:hrpct="0" o:hralign="center" o:hrstd="t" o:hrnoshade="t" o:hr="t" fillcolor="black [3213]" stroked="f"/>
        </w:pict>
      </w:r>
    </w:p>
    <w:p w:rsidR="005F79BB" w:rsidRPr="00104AB5" w:rsidRDefault="005F79BB" w:rsidP="005F79BB">
      <w:pPr>
        <w:widowControl w:val="0"/>
        <w:outlineLvl w:val="0"/>
        <w:rPr>
          <w:sz w:val="20"/>
          <w:szCs w:val="20"/>
          <w:lang w:val="fr-CA"/>
        </w:rPr>
      </w:pPr>
    </w:p>
    <w:p w:rsidR="005F79BB" w:rsidRPr="00104AB5" w:rsidRDefault="005F79BB" w:rsidP="005F79BB">
      <w:pPr>
        <w:widowControl w:val="0"/>
        <w:ind w:left="720" w:hanging="720"/>
        <w:jc w:val="both"/>
        <w:rPr>
          <w:b/>
          <w:i/>
          <w:sz w:val="20"/>
          <w:szCs w:val="20"/>
        </w:rPr>
      </w:pPr>
      <w:r w:rsidRPr="00104AB5">
        <w:rPr>
          <w:b/>
          <w:sz w:val="20"/>
          <w:szCs w:val="20"/>
        </w:rPr>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38661</w:t>
      </w:r>
      <w:r w:rsidRPr="00104AB5">
        <w:rPr>
          <w:sz w:val="20"/>
          <w:szCs w:val="20"/>
        </w:rPr>
        <w:tab/>
      </w:r>
      <w:r w:rsidRPr="00104AB5">
        <w:rPr>
          <w:b/>
          <w:i/>
          <w:sz w:val="20"/>
          <w:szCs w:val="20"/>
        </w:rPr>
        <w:t>Assmar Ryiad Shlah v. Her Majesty the Queen</w:t>
      </w:r>
    </w:p>
    <w:p w:rsidR="005F79BB" w:rsidRPr="00104AB5" w:rsidRDefault="005F79BB" w:rsidP="005F79BB">
      <w:pPr>
        <w:widowControl w:val="0"/>
        <w:ind w:left="720" w:hanging="720"/>
        <w:jc w:val="both"/>
        <w:rPr>
          <w:sz w:val="20"/>
          <w:szCs w:val="20"/>
        </w:rPr>
      </w:pPr>
      <w:r w:rsidRPr="00104AB5">
        <w:rPr>
          <w:sz w:val="20"/>
          <w:szCs w:val="20"/>
        </w:rPr>
        <w:tab/>
        <w:t>(Alta.) (Criminal) (As of Right)</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szCs w:val="20"/>
        </w:rPr>
      </w:pPr>
      <w:r w:rsidRPr="00104AB5">
        <w:rPr>
          <w:sz w:val="20"/>
          <w:szCs w:val="20"/>
        </w:rPr>
        <w:t xml:space="preserve">Criminal law - Unreasonable verdict - Second degree murder - Whether the verdict was unreasonable. </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rPr>
      </w:pPr>
      <w:r w:rsidRPr="00104AB5">
        <w:rPr>
          <w:sz w:val="20"/>
          <w:szCs w:val="20"/>
        </w:rPr>
        <w:t>The appellant was tried by judge and jury and convicted of second degree murder in the death of a young man who was attacked and beaten by a group of people in an alley behind a Calgary nightclub. The man was first beaten by several individuals and then stabbed four times. There was a short break in the beating, during which time some bystanders called for help, but a second wave of assailants arrived shortly thereafter and continued the assault by kicking and punching the man as he lay in a pool of his own blood, pleading for his life. The appellant appealed his conviction, arguing among other things that the verdict was unreasonable. A majority of the Court of Appeal dismissed the appeal. Veldhuis J.A., dissenting, would have allowed the appeal and entered an acquittal. In her view, a reasonable jury, properly instructed, could not have convicted the appellant of second degree murder on any of the pathways to conviction. In particular, she pointed to unreliable eyewitness evidence, DNA evidence which could not be used to infer that the appellant had kicked the man in a particularly violent fashion, a lack of evidence of blood where it would have been expected if the appellant had participated in a violent attack, and a history of the altercation which, while it might have explained the appellant’s presence in the alley or spoken to his motive or intent, did not assist in establishing whether he administered any blows to the deceased. Veldhuis J.A. also concluded that there was no reliable evidence which suggested that the appellant had helped or encouraged the individual who had stabbed the deceased or the group of individuals who had violently beat him.</w:t>
      </w:r>
    </w:p>
    <w:p w:rsidR="005F79BB" w:rsidRPr="00104AB5" w:rsidRDefault="005F79BB" w:rsidP="005F79BB">
      <w:pPr>
        <w:widowControl w:val="0"/>
        <w:jc w:val="both"/>
        <w:rPr>
          <w:sz w:val="20"/>
        </w:rPr>
      </w:pPr>
    </w:p>
    <w:p w:rsidR="005F79BB" w:rsidRPr="00104AB5" w:rsidRDefault="00B54B7D" w:rsidP="005F79BB">
      <w:pPr>
        <w:widowControl w:val="0"/>
        <w:jc w:val="both"/>
        <w:rPr>
          <w:sz w:val="20"/>
        </w:rPr>
      </w:pPr>
      <w:r w:rsidRPr="00104AB5">
        <w:rPr>
          <w:szCs w:val="24"/>
          <w:lang w:val="fr-CA"/>
        </w:rPr>
        <w:pict>
          <v:rect id="_x0000_i1080" style="width:108pt;height:1pt" o:hrpct="0" o:hralign="center" o:hrstd="t" o:hrnoshade="t" o:hr="t" fillcolor="black [3213]" stroked="f"/>
        </w:pict>
      </w:r>
    </w:p>
    <w:p w:rsidR="005F79BB" w:rsidRPr="00104AB5" w:rsidRDefault="005F79BB" w:rsidP="005F79BB">
      <w:pPr>
        <w:widowControl w:val="0"/>
        <w:jc w:val="both"/>
        <w:rPr>
          <w:sz w:val="20"/>
          <w:szCs w:val="20"/>
        </w:rPr>
      </w:pPr>
    </w:p>
    <w:p w:rsidR="005F79BB" w:rsidRPr="00104AB5" w:rsidRDefault="005F79BB" w:rsidP="005F79BB">
      <w:pPr>
        <w:widowControl w:val="0"/>
        <w:ind w:left="720" w:hanging="720"/>
        <w:jc w:val="both"/>
        <w:rPr>
          <w:b/>
          <w:i/>
          <w:sz w:val="20"/>
          <w:szCs w:val="20"/>
          <w:lang w:val="fr-CA"/>
        </w:rPr>
      </w:pPr>
      <w:r w:rsidRPr="00104AB5">
        <w:rPr>
          <w:b/>
          <w:sz w:val="20"/>
          <w:szCs w:val="20"/>
          <w:lang w:val="fr-CA"/>
        </w:rPr>
        <w:fldChar w:fldCharType="begin"/>
      </w:r>
      <w:r w:rsidRPr="00104AB5">
        <w:rPr>
          <w:b/>
          <w:sz w:val="20"/>
          <w:szCs w:val="20"/>
          <w:lang w:val="fr-CA"/>
        </w:rPr>
        <w:instrText xml:space="preserve"> SEQ CHAPTER \h \r 1</w:instrText>
      </w:r>
      <w:r w:rsidRPr="00104AB5">
        <w:rPr>
          <w:b/>
          <w:sz w:val="20"/>
          <w:szCs w:val="20"/>
          <w:lang w:val="fr-CA"/>
        </w:rPr>
        <w:fldChar w:fldCharType="end"/>
      </w:r>
      <w:r w:rsidRPr="00104AB5">
        <w:rPr>
          <w:b/>
          <w:sz w:val="20"/>
          <w:szCs w:val="20"/>
          <w:lang w:val="fr-CA"/>
        </w:rPr>
        <w:t>38661</w:t>
      </w:r>
      <w:r w:rsidRPr="00104AB5">
        <w:rPr>
          <w:sz w:val="20"/>
          <w:szCs w:val="20"/>
          <w:lang w:val="fr-CA"/>
        </w:rPr>
        <w:tab/>
      </w:r>
      <w:r w:rsidRPr="00104AB5">
        <w:rPr>
          <w:b/>
          <w:i/>
          <w:sz w:val="20"/>
          <w:szCs w:val="20"/>
          <w:lang w:val="fr-CA"/>
        </w:rPr>
        <w:t>Assmar Ryiad Shlah c. Sa Majesté la Reine</w:t>
      </w:r>
    </w:p>
    <w:p w:rsidR="005F79BB" w:rsidRPr="00104AB5" w:rsidRDefault="005F79BB" w:rsidP="005F79BB">
      <w:pPr>
        <w:widowControl w:val="0"/>
        <w:ind w:left="720" w:hanging="720"/>
        <w:jc w:val="both"/>
        <w:rPr>
          <w:sz w:val="20"/>
          <w:szCs w:val="20"/>
          <w:lang w:val="fr-CA"/>
        </w:rPr>
      </w:pPr>
      <w:r w:rsidRPr="00104AB5">
        <w:rPr>
          <w:sz w:val="20"/>
          <w:szCs w:val="20"/>
          <w:lang w:val="fr-CA"/>
        </w:rPr>
        <w:tab/>
        <w:t>(Alb.) (Criminelle) (De plein droit)</w:t>
      </w:r>
    </w:p>
    <w:p w:rsidR="005F79BB" w:rsidRPr="00104AB5" w:rsidRDefault="005F79BB" w:rsidP="005F79BB">
      <w:pPr>
        <w:widowControl w:val="0"/>
        <w:jc w:val="both"/>
        <w:rPr>
          <w:sz w:val="20"/>
          <w:szCs w:val="20"/>
          <w:lang w:val="fr-CA"/>
        </w:rPr>
      </w:pPr>
    </w:p>
    <w:p w:rsidR="005F79BB" w:rsidRPr="00104AB5" w:rsidRDefault="005F79BB" w:rsidP="005F79BB">
      <w:pPr>
        <w:widowControl w:val="0"/>
        <w:jc w:val="both"/>
        <w:rPr>
          <w:sz w:val="20"/>
          <w:szCs w:val="20"/>
          <w:lang w:val="fr-CA"/>
        </w:rPr>
      </w:pPr>
      <w:r w:rsidRPr="00104AB5">
        <w:rPr>
          <w:sz w:val="20"/>
          <w:szCs w:val="20"/>
          <w:lang w:val="fr-CA"/>
        </w:rPr>
        <w:t xml:space="preserve">Droit criminel - Verdict déraisonnable - Meurtre au deuxième degré - Le verdict était-il déraisonnable? </w:t>
      </w:r>
    </w:p>
    <w:p w:rsidR="005F79BB" w:rsidRPr="00104AB5" w:rsidRDefault="005F79BB" w:rsidP="005F79BB">
      <w:pPr>
        <w:widowControl w:val="0"/>
        <w:jc w:val="both"/>
        <w:rPr>
          <w:sz w:val="20"/>
          <w:szCs w:val="20"/>
          <w:lang w:val="fr-CA"/>
        </w:rPr>
      </w:pPr>
    </w:p>
    <w:p w:rsidR="00CE5B8D" w:rsidRPr="00104AB5" w:rsidRDefault="00CE5B8D">
      <w:pPr>
        <w:rPr>
          <w:sz w:val="20"/>
          <w:szCs w:val="20"/>
          <w:lang w:val="fr-CA"/>
        </w:rPr>
      </w:pPr>
      <w:r w:rsidRPr="00104AB5">
        <w:rPr>
          <w:sz w:val="20"/>
          <w:szCs w:val="20"/>
          <w:lang w:val="fr-CA"/>
        </w:rPr>
        <w:br w:type="page"/>
      </w:r>
    </w:p>
    <w:p w:rsidR="005F79BB" w:rsidRPr="00104AB5" w:rsidRDefault="005F79BB" w:rsidP="005F79BB">
      <w:pPr>
        <w:widowControl w:val="0"/>
        <w:jc w:val="both"/>
        <w:rPr>
          <w:sz w:val="20"/>
          <w:szCs w:val="20"/>
          <w:lang w:val="fr-CA"/>
        </w:rPr>
      </w:pPr>
      <w:r w:rsidRPr="00104AB5">
        <w:rPr>
          <w:sz w:val="20"/>
          <w:szCs w:val="20"/>
          <w:lang w:val="fr-CA"/>
        </w:rPr>
        <w:lastRenderedPageBreak/>
        <w:t>L’appelant a subi son procès devant un juge et un jury et il a été déclaré coupable de meurtre au deuxième degré relativement au décès d’un jeune homme qui avait été attaqué et battu par un groupe de personnes dans une ruelle derrière une boîte de nuit de Calgary. L’homme a d’abord été battu par plusieurs individus, puis poignardé à quatre reprises. Il y a eu une brève accalmie pendant l’agression, au cours de laquelle certains spectateurs ont appelé à l’aide, mais une seconde vague d’agresseurs est arrivée peu de temps après et ils ont poursuivi l’agression en rouant l’homme de coups de pied et de coups de poing alors qu’il était étendu dans une mare de son propre sang, suppliant qu’on lui laisse la vie sauve. L’appelant a interjeté appel du verdict de culpabilité, plaidant notamment que le verdict était déraisonnable. Les juges majoritaires de la Cour d’appel ont rejeté l’appel. La juge Veldhuis, dissidente, aurait accueilli l’appel et inscrit un acquittement. À son avis, un jury raisonnable, ayant reçu des directives appropriées, n’aurait pas pu déclarer l’appelant coupable de meurtre au deuxième degré par les voies pouvant conduire à une déclaration de culpabilité. En particulier, elle a fait état de dépositions de témoins oculaires non fiables, d’une preuve génétique qui ne pouvait pas être utilisée pour inférer que l’accusé avait roué l’homme de coups de pied de façon particulièrement violente, de l’absence de preuve de sang à un endroit où on pouvait s’attendre à en trouver si l’appelant avait participé à une attaque violente et d’un historique de l’altercation qui, bien qu’il pût expliquer la présence de l’appelant dans la ruelle ou jeter un éclairage sur son mobile ou son intention, n’aidait pas à établir qu’il avait roué de coups le défunt. La juge Veldhuis a en outre conclu qu’il n’existait aucune preuve fiable indiquant que l’appelant avait aidé ou encouragé la personne qui avait poignardé le défunt ou les personnes qui l’avaient violemment battu.</w:t>
      </w:r>
    </w:p>
    <w:p w:rsidR="005F79BB" w:rsidRPr="00104AB5" w:rsidRDefault="005F79BB" w:rsidP="005F79BB">
      <w:pPr>
        <w:widowControl w:val="0"/>
        <w:outlineLvl w:val="0"/>
        <w:rPr>
          <w:sz w:val="20"/>
          <w:szCs w:val="20"/>
          <w:lang w:val="fr-CA"/>
        </w:rPr>
      </w:pPr>
    </w:p>
    <w:p w:rsidR="005F79BB" w:rsidRPr="00104AB5" w:rsidRDefault="00B54B7D" w:rsidP="005F79BB">
      <w:pPr>
        <w:widowControl w:val="0"/>
        <w:outlineLvl w:val="0"/>
        <w:rPr>
          <w:sz w:val="20"/>
          <w:lang w:val="fr-CA"/>
        </w:rPr>
      </w:pPr>
      <w:r w:rsidRPr="00104AB5">
        <w:rPr>
          <w:szCs w:val="24"/>
          <w:lang w:val="fr-CA"/>
        </w:rPr>
        <w:pict>
          <v:rect id="_x0000_i1081" style="width:108pt;height:1pt" o:hrpct="0" o:hralign="center" o:hrstd="t" o:hrnoshade="t" o:hr="t" fillcolor="black [3213]" stroked="f"/>
        </w:pict>
      </w:r>
    </w:p>
    <w:p w:rsidR="005F79BB" w:rsidRPr="00104AB5" w:rsidRDefault="005F79BB" w:rsidP="005F79BB">
      <w:pPr>
        <w:widowControl w:val="0"/>
        <w:outlineLvl w:val="0"/>
        <w:rPr>
          <w:sz w:val="20"/>
          <w:szCs w:val="20"/>
          <w:lang w:val="fr-CA"/>
        </w:rPr>
      </w:pPr>
    </w:p>
    <w:p w:rsidR="005F79BB" w:rsidRPr="00104AB5" w:rsidRDefault="005F79BB" w:rsidP="005F79BB">
      <w:pPr>
        <w:widowControl w:val="0"/>
        <w:ind w:left="720" w:hanging="720"/>
        <w:jc w:val="both"/>
        <w:rPr>
          <w:b/>
          <w:i/>
          <w:sz w:val="20"/>
          <w:szCs w:val="20"/>
        </w:rPr>
      </w:pPr>
      <w:r w:rsidRPr="00104AB5">
        <w:rPr>
          <w:b/>
          <w:sz w:val="20"/>
          <w:szCs w:val="20"/>
        </w:rPr>
        <w:fldChar w:fldCharType="begin"/>
      </w:r>
      <w:r w:rsidRPr="00104AB5">
        <w:rPr>
          <w:b/>
          <w:sz w:val="20"/>
          <w:szCs w:val="20"/>
        </w:rPr>
        <w:instrText xml:space="preserve"> SEQ CHAPTER \h \r 1</w:instrText>
      </w:r>
      <w:r w:rsidRPr="00104AB5">
        <w:rPr>
          <w:b/>
          <w:sz w:val="20"/>
          <w:szCs w:val="20"/>
        </w:rPr>
        <w:fldChar w:fldCharType="end"/>
      </w:r>
      <w:r w:rsidRPr="00104AB5">
        <w:rPr>
          <w:b/>
          <w:sz w:val="20"/>
          <w:szCs w:val="20"/>
        </w:rPr>
        <w:t>38677</w:t>
      </w:r>
      <w:r w:rsidRPr="00104AB5">
        <w:rPr>
          <w:sz w:val="20"/>
          <w:szCs w:val="20"/>
        </w:rPr>
        <w:tab/>
      </w:r>
      <w:r w:rsidRPr="00104AB5">
        <w:rPr>
          <w:b/>
          <w:i/>
          <w:sz w:val="20"/>
          <w:szCs w:val="20"/>
        </w:rPr>
        <w:t>Franz Emir Cabrera v. Her Majesty the Queen</w:t>
      </w:r>
    </w:p>
    <w:p w:rsidR="005F79BB" w:rsidRPr="00104AB5" w:rsidRDefault="005F79BB" w:rsidP="005F79BB">
      <w:pPr>
        <w:widowControl w:val="0"/>
        <w:ind w:left="720" w:hanging="720"/>
        <w:jc w:val="both"/>
        <w:rPr>
          <w:sz w:val="20"/>
          <w:szCs w:val="20"/>
        </w:rPr>
      </w:pPr>
      <w:r w:rsidRPr="00104AB5">
        <w:rPr>
          <w:sz w:val="20"/>
          <w:szCs w:val="20"/>
        </w:rPr>
        <w:tab/>
        <w:t>(Alta.) (Criminal) (As of Right)</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szCs w:val="20"/>
        </w:rPr>
      </w:pPr>
      <w:r w:rsidRPr="00104AB5">
        <w:rPr>
          <w:sz w:val="20"/>
          <w:szCs w:val="20"/>
        </w:rPr>
        <w:t xml:space="preserve">Criminal law - Unreasonable verdict - Second degree murder - Parties to offence - Co-principal liability - Group assaults - Whether the trial judge misdirected the jury on the law of co-principal liability, and in particular, with respect to the law on group assaults - Whether verdict unreasonable - </w:t>
      </w:r>
      <w:r w:rsidRPr="00104AB5">
        <w:rPr>
          <w:i/>
          <w:sz w:val="20"/>
          <w:szCs w:val="20"/>
        </w:rPr>
        <w:t>Criminal Code</w:t>
      </w:r>
      <w:r w:rsidRPr="00104AB5">
        <w:rPr>
          <w:sz w:val="20"/>
          <w:szCs w:val="20"/>
        </w:rPr>
        <w:t>, R.S.C. 1985, c. C-46, s. 21(1)(a).</w:t>
      </w:r>
    </w:p>
    <w:p w:rsidR="005F79BB" w:rsidRPr="00104AB5" w:rsidRDefault="005F79BB" w:rsidP="005F79BB">
      <w:pPr>
        <w:widowControl w:val="0"/>
        <w:jc w:val="both"/>
        <w:rPr>
          <w:sz w:val="20"/>
          <w:szCs w:val="20"/>
        </w:rPr>
      </w:pPr>
    </w:p>
    <w:p w:rsidR="005F79BB" w:rsidRPr="00104AB5" w:rsidRDefault="005F79BB" w:rsidP="005F79BB">
      <w:pPr>
        <w:widowControl w:val="0"/>
        <w:jc w:val="both"/>
        <w:rPr>
          <w:sz w:val="20"/>
        </w:rPr>
      </w:pPr>
      <w:r w:rsidRPr="00104AB5">
        <w:rPr>
          <w:sz w:val="20"/>
          <w:szCs w:val="20"/>
        </w:rPr>
        <w:t>The appellant was tried by judge and jury and convicted of second degree murder in the death of a young man who was attacked and beaten by a group of people in an alley behind a Calgary nightclub. The man was first beaten by several individuals and then stabbed four times. There was a short break in the beating, during which time some bystanders called for help, but a second wave of assailants arrived shortly thereafter and continued the assault by kicking and punching the man as he lay in a pool of his own blood, pleading for his life. The Crown’s position was that the appellant was a stabber, but that even if his attack came after the stabbing and he was part of the second wave of assailants, the brutal nature of his attack was a significant contributing cause of the man’s death. The appellant appealed his conviction. While he did not dispute that there was evidence on the record from which a jury could conclude that he assaulted the deceased and committed an unlawful act, he argued that he could not have been found guilty of murder as a principal or co-principal because the death was caused by stabbing with a knife (and he was not the stabber), and that even if he were found to have assaulted the deceased, there was no evidence from which it could be reasonably inferred that he did anything to cause the deceased’s death. The appellant also argued that there was no evidence he had the requisite intent for murder. A majority of the Court of Appeal dismissed the appeal. Veldhuis J.A., dissenting, would have allowed the appeal and ordered a new trial on co-principal liability under s. 21(1</w:t>
      </w:r>
      <w:proofErr w:type="gramStart"/>
      <w:r w:rsidRPr="00104AB5">
        <w:rPr>
          <w:sz w:val="20"/>
          <w:szCs w:val="20"/>
        </w:rPr>
        <w:t>)(</w:t>
      </w:r>
      <w:proofErr w:type="gramEnd"/>
      <w:r w:rsidRPr="00104AB5">
        <w:rPr>
          <w:sz w:val="20"/>
          <w:szCs w:val="20"/>
        </w:rPr>
        <w:t xml:space="preserve">a) of the </w:t>
      </w:r>
      <w:r w:rsidRPr="00104AB5">
        <w:rPr>
          <w:i/>
          <w:sz w:val="20"/>
          <w:szCs w:val="20"/>
        </w:rPr>
        <w:t>Criminal Code</w:t>
      </w:r>
      <w:r w:rsidRPr="00104AB5">
        <w:rPr>
          <w:sz w:val="20"/>
          <w:szCs w:val="20"/>
        </w:rPr>
        <w:t>. In her view, there were errors in the trial judge’s treatment of the “group assault” pathway to conviction and because there was some evidence capable of supporting a conviction, a new trial was required.</w:t>
      </w:r>
    </w:p>
    <w:p w:rsidR="005F79BB" w:rsidRPr="00104AB5" w:rsidRDefault="005F79BB" w:rsidP="005F79BB">
      <w:pPr>
        <w:widowControl w:val="0"/>
        <w:jc w:val="both"/>
        <w:rPr>
          <w:sz w:val="20"/>
        </w:rPr>
      </w:pPr>
    </w:p>
    <w:p w:rsidR="005F79BB" w:rsidRPr="00104AB5" w:rsidRDefault="00B54B7D" w:rsidP="005F79BB">
      <w:pPr>
        <w:widowControl w:val="0"/>
        <w:jc w:val="both"/>
        <w:rPr>
          <w:sz w:val="20"/>
        </w:rPr>
      </w:pPr>
      <w:r w:rsidRPr="00104AB5">
        <w:rPr>
          <w:szCs w:val="24"/>
          <w:lang w:val="fr-CA"/>
        </w:rPr>
        <w:pict>
          <v:rect id="_x0000_i1082" style="width:108pt;height:1pt" o:hrpct="0" o:hralign="center" o:hrstd="t" o:hrnoshade="t" o:hr="t" fillcolor="black [3213]" stroked="f"/>
        </w:pict>
      </w:r>
    </w:p>
    <w:p w:rsidR="005F79BB" w:rsidRPr="00104AB5" w:rsidRDefault="005F79BB" w:rsidP="005F79BB">
      <w:pPr>
        <w:widowControl w:val="0"/>
        <w:jc w:val="both"/>
        <w:rPr>
          <w:sz w:val="20"/>
          <w:szCs w:val="20"/>
        </w:rPr>
      </w:pPr>
    </w:p>
    <w:p w:rsidR="005F79BB" w:rsidRPr="00104AB5" w:rsidRDefault="005F79BB" w:rsidP="005F79BB">
      <w:pPr>
        <w:widowControl w:val="0"/>
        <w:ind w:left="720" w:hanging="720"/>
        <w:jc w:val="both"/>
        <w:rPr>
          <w:b/>
          <w:i/>
          <w:sz w:val="20"/>
          <w:szCs w:val="20"/>
          <w:lang w:val="fr-CA"/>
        </w:rPr>
      </w:pPr>
      <w:r w:rsidRPr="00104AB5">
        <w:rPr>
          <w:b/>
          <w:sz w:val="20"/>
          <w:szCs w:val="20"/>
          <w:lang w:val="fr-CA"/>
        </w:rPr>
        <w:fldChar w:fldCharType="begin"/>
      </w:r>
      <w:r w:rsidRPr="00104AB5">
        <w:rPr>
          <w:b/>
          <w:sz w:val="20"/>
          <w:szCs w:val="20"/>
          <w:lang w:val="fr-CA"/>
        </w:rPr>
        <w:instrText xml:space="preserve"> SEQ CHAPTER \h \r 1</w:instrText>
      </w:r>
      <w:r w:rsidRPr="00104AB5">
        <w:rPr>
          <w:b/>
          <w:sz w:val="20"/>
          <w:szCs w:val="20"/>
          <w:lang w:val="fr-CA"/>
        </w:rPr>
        <w:fldChar w:fldCharType="end"/>
      </w:r>
      <w:r w:rsidRPr="00104AB5">
        <w:rPr>
          <w:b/>
          <w:sz w:val="20"/>
          <w:szCs w:val="20"/>
          <w:lang w:val="fr-CA"/>
        </w:rPr>
        <w:t>38677</w:t>
      </w:r>
      <w:r w:rsidRPr="00104AB5">
        <w:rPr>
          <w:sz w:val="20"/>
          <w:szCs w:val="20"/>
          <w:lang w:val="fr-CA"/>
        </w:rPr>
        <w:tab/>
      </w:r>
      <w:r w:rsidRPr="00104AB5">
        <w:rPr>
          <w:b/>
          <w:i/>
          <w:sz w:val="20"/>
          <w:szCs w:val="20"/>
          <w:lang w:val="fr-CA"/>
        </w:rPr>
        <w:t>Franz Emir Cabrera c. Sa Majesté la Reine</w:t>
      </w:r>
    </w:p>
    <w:p w:rsidR="005F79BB" w:rsidRPr="00104AB5" w:rsidRDefault="005F79BB" w:rsidP="005F79BB">
      <w:pPr>
        <w:widowControl w:val="0"/>
        <w:ind w:left="720" w:hanging="720"/>
        <w:jc w:val="both"/>
        <w:rPr>
          <w:sz w:val="20"/>
          <w:szCs w:val="20"/>
          <w:lang w:val="fr-CA"/>
        </w:rPr>
      </w:pPr>
      <w:r w:rsidRPr="00104AB5">
        <w:rPr>
          <w:sz w:val="20"/>
          <w:szCs w:val="20"/>
          <w:lang w:val="fr-CA"/>
        </w:rPr>
        <w:tab/>
        <w:t>(Alb.) (Criminelle) (De plein droit)</w:t>
      </w:r>
    </w:p>
    <w:p w:rsidR="005F79BB" w:rsidRPr="00104AB5" w:rsidRDefault="005F79BB" w:rsidP="005F79BB">
      <w:pPr>
        <w:widowControl w:val="0"/>
        <w:jc w:val="both"/>
        <w:rPr>
          <w:sz w:val="20"/>
          <w:szCs w:val="20"/>
          <w:lang w:val="fr-CA"/>
        </w:rPr>
      </w:pPr>
    </w:p>
    <w:p w:rsidR="005F79BB" w:rsidRPr="00104AB5" w:rsidRDefault="005F79BB" w:rsidP="005F79BB">
      <w:pPr>
        <w:widowControl w:val="0"/>
        <w:jc w:val="both"/>
        <w:rPr>
          <w:sz w:val="20"/>
          <w:szCs w:val="20"/>
          <w:lang w:val="fr-CA"/>
        </w:rPr>
      </w:pPr>
      <w:r w:rsidRPr="00104AB5">
        <w:rPr>
          <w:sz w:val="20"/>
          <w:szCs w:val="20"/>
          <w:lang w:val="fr-CA"/>
        </w:rPr>
        <w:t xml:space="preserve">Droit criminel - Verdict déraisonnable - Meurtre au deuxième degré - Parties à l’infraction - Responsabilité en tant que coauteur - Agressions collectives - Le juge du procès a-t-il donné des directives erronées au jury sur le droit de la responsabilité en tant que coauteur et, en particulier, à l’égard du droit en matière d’agressions collectives? - Le verdict était-il déraisonnable? - </w:t>
      </w:r>
      <w:r w:rsidRPr="00104AB5">
        <w:rPr>
          <w:i/>
          <w:sz w:val="20"/>
          <w:szCs w:val="20"/>
          <w:lang w:val="fr-CA"/>
        </w:rPr>
        <w:t>Code criminel</w:t>
      </w:r>
      <w:r w:rsidRPr="00104AB5">
        <w:rPr>
          <w:sz w:val="20"/>
          <w:szCs w:val="20"/>
          <w:lang w:val="fr-CA"/>
        </w:rPr>
        <w:t>, L.R.C. 1985, ch. C-46, al. 21(1)a).</w:t>
      </w:r>
    </w:p>
    <w:p w:rsidR="005F79BB" w:rsidRPr="00104AB5" w:rsidRDefault="005F79BB" w:rsidP="005F79BB">
      <w:pPr>
        <w:widowControl w:val="0"/>
        <w:jc w:val="both"/>
        <w:rPr>
          <w:sz w:val="20"/>
          <w:szCs w:val="20"/>
          <w:lang w:val="fr-CA"/>
        </w:rPr>
      </w:pPr>
    </w:p>
    <w:p w:rsidR="00CE5B8D" w:rsidRPr="00104AB5" w:rsidRDefault="00CE5B8D">
      <w:pPr>
        <w:rPr>
          <w:sz w:val="20"/>
          <w:szCs w:val="20"/>
          <w:lang w:val="fr-CA"/>
        </w:rPr>
      </w:pPr>
      <w:r w:rsidRPr="00104AB5">
        <w:rPr>
          <w:sz w:val="20"/>
          <w:szCs w:val="20"/>
          <w:lang w:val="fr-CA"/>
        </w:rPr>
        <w:br w:type="page"/>
      </w:r>
    </w:p>
    <w:p w:rsidR="005F79BB" w:rsidRPr="00104AB5" w:rsidRDefault="005F79BB" w:rsidP="005F79BB">
      <w:pPr>
        <w:widowControl w:val="0"/>
        <w:jc w:val="both"/>
        <w:rPr>
          <w:sz w:val="20"/>
          <w:szCs w:val="20"/>
          <w:lang w:val="fr-CA"/>
        </w:rPr>
      </w:pPr>
      <w:r w:rsidRPr="00104AB5">
        <w:rPr>
          <w:sz w:val="20"/>
          <w:szCs w:val="20"/>
          <w:lang w:val="fr-CA"/>
        </w:rPr>
        <w:lastRenderedPageBreak/>
        <w:t xml:space="preserve">L’appelant a subi son procès devant un juge et un jury et il a été déclaré coupable de meurtre au deuxième degré relativement au décès d’un jeune homme qui avait été attaqué et battu par un groupe de personnes dans une ruelle derrière une boîte de nuit de Calgary. L’homme a d’abord été battu par plusieurs individus, puis poignardé à quatre reprises. Il y a eu une brève accalmie pendant l’agression, au cours de laquelle certains spectateurs ont appelé à l’aide, mais une seconde vague d’agresseurs est arrivée peu de temps après et ils ont poursuivi l’agression en rouant l’homme de coups de pied et de coups de poing alors qu’il était étendu dans une mare de son propre sang, suppliant qu’on lui laisse la vie sauve. La thèse du ministère public était que l’appelant était l’un des ceux qui avait poignardé la victime, mais que même si son attaque est survenue après l’agression au couteau et qu’il avait fait partie de la deuxième vague d’agresseurs, la nature brutale de son attaque était une cause contributoire importante du décès de l’homme. L’appelant a interjeté appel du verdict de culpabilité. Même s’il ne contestait pas l’existence d’éléments de preuve au dossier à partir desquels un jury pouvait conclure qu’il avait agressé le défunt et commis un acte illégal, il a plaidé qu’il ne pouvait être déclaré coupable de meurtre en tant qu’auteur ou de coauteur parce que le décès avait été causé par des coups de couteau (et qu’il n’était pas celui qui avait poignardé la victime), et que même si on concluait qu’il avait agressé le défunt, il n’y avait aucune preuve à partir de laquelle on pouvait raisonnablement inférer qu’il avait fait quoi que ce soit pour causer le décès du défunt. L’appelant a également plaidé qu’il n’avait pas l’intention requise pour commettre un meurtre. Les juges majoritaires de la Cour d’appel ont rejeté l’appel. La juge Veldhuis, dissidente, aurait accueilli l’appel et ordonné la tenue d’un nouveau procès portant sur la responsabilité en tant que coauteur en application de l’al. 21(1)a) du </w:t>
      </w:r>
      <w:r w:rsidRPr="00104AB5">
        <w:rPr>
          <w:i/>
          <w:sz w:val="20"/>
          <w:szCs w:val="20"/>
          <w:lang w:val="fr-CA"/>
        </w:rPr>
        <w:t>Code criminel</w:t>
      </w:r>
      <w:r w:rsidRPr="00104AB5">
        <w:rPr>
          <w:sz w:val="20"/>
          <w:szCs w:val="20"/>
          <w:lang w:val="fr-CA"/>
        </w:rPr>
        <w:t>. À son avis, le juge du procès avait commis des erreurs dans son traitement de la voie pouvant conduire à une déclaration de culpabilité pour « agression collective » et, parce qu’il existait des éléments de preuve capables d’étayer un verdict de culpabilité, un nouveau procès devait être tenu.</w:t>
      </w:r>
    </w:p>
    <w:p w:rsidR="005F79BB" w:rsidRPr="00104AB5" w:rsidRDefault="005F79BB" w:rsidP="005F79BB">
      <w:pPr>
        <w:widowControl w:val="0"/>
        <w:outlineLvl w:val="0"/>
        <w:rPr>
          <w:sz w:val="20"/>
          <w:lang w:val="fr-CA"/>
        </w:rPr>
      </w:pPr>
    </w:p>
    <w:p w:rsidR="005F79BB" w:rsidRPr="00104AB5" w:rsidRDefault="00B54B7D" w:rsidP="005F79BB">
      <w:pPr>
        <w:widowControl w:val="0"/>
        <w:outlineLvl w:val="0"/>
        <w:rPr>
          <w:sz w:val="20"/>
          <w:lang w:val="fr-CA"/>
        </w:rPr>
      </w:pPr>
      <w:r w:rsidRPr="00104AB5">
        <w:rPr>
          <w:szCs w:val="24"/>
          <w:lang w:val="fr-CA"/>
        </w:rPr>
        <w:pict>
          <v:rect id="_x0000_i1083" style="width:108pt;height:1pt" o:hrpct="0" o:hralign="center" o:hrstd="t" o:hrnoshade="t" o:hr="t" fillcolor="black [3213]" stroked="f"/>
        </w:pict>
      </w:r>
    </w:p>
    <w:p w:rsidR="00E76CA0" w:rsidRPr="00104AB5" w:rsidRDefault="00E76CA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E5B8D" w:rsidRPr="00104AB5" w:rsidRDefault="00CE5B8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104AB5" w:rsidRDefault="0056248C" w:rsidP="00091BA6">
      <w:pPr>
        <w:rPr>
          <w:sz w:val="20"/>
          <w:szCs w:val="20"/>
          <w:lang w:val="fr-CA"/>
        </w:rPr>
      </w:pPr>
    </w:p>
    <w:p w:rsidR="00102926" w:rsidRPr="00104AB5" w:rsidRDefault="00102926" w:rsidP="00782AE4">
      <w:pPr>
        <w:jc w:val="both"/>
        <w:rPr>
          <w:sz w:val="20"/>
          <w:szCs w:val="20"/>
        </w:rPr>
        <w:sectPr w:rsidR="00102926" w:rsidRPr="00104AB5" w:rsidSect="00782AE4">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576" w:footer="960" w:gutter="0"/>
          <w:cols w:space="720"/>
          <w:titlePg/>
          <w:docGrid w:linePitch="272"/>
        </w:sectPr>
      </w:pPr>
    </w:p>
    <w:p w:rsidR="00961C83" w:rsidRPr="00104AB5" w:rsidRDefault="00961C83" w:rsidP="00F81B34">
      <w:pPr>
        <w:tabs>
          <w:tab w:val="center" w:pos="5220"/>
          <w:tab w:val="right" w:pos="10800"/>
        </w:tabs>
        <w:jc w:val="center"/>
        <w:rPr>
          <w:rFonts w:ascii="Arial" w:hAnsi="Arial" w:cs="Arial"/>
          <w:sz w:val="16"/>
          <w:szCs w:val="18"/>
          <w:lang w:val="fr-CA"/>
        </w:rPr>
      </w:pPr>
      <w:bookmarkStart w:id="13" w:name="1"/>
      <w:bookmarkStart w:id="14" w:name="QuickMark"/>
      <w:bookmarkEnd w:id="13"/>
      <w:bookmarkEnd w:id="14"/>
      <w:r w:rsidRPr="00104AB5">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104AB5"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DECEMBER – DÉCEMBRE</w:t>
            </w:r>
          </w:p>
        </w:tc>
      </w:tr>
      <w:tr w:rsidR="00961C83" w:rsidRPr="00104AB5"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4"/>
                <w:szCs w:val="14"/>
                <w:lang w:val="fr-FR"/>
              </w:rPr>
            </w:pPr>
            <w:r w:rsidRPr="00104AB5">
              <w:rPr>
                <w:rFonts w:ascii="Arial" w:hAnsi="Arial" w:cs="Arial"/>
                <w:b/>
                <w:sz w:val="14"/>
                <w:szCs w:val="14"/>
                <w:lang w:val="fr-FR"/>
              </w:rPr>
              <w:t>S</w:t>
            </w:r>
          </w:p>
          <w:p w:rsidR="00961C83" w:rsidRPr="00104AB5" w:rsidRDefault="00961C83">
            <w:pPr>
              <w:tabs>
                <w:tab w:val="center" w:pos="5220"/>
                <w:tab w:val="right" w:pos="10440"/>
              </w:tabs>
              <w:jc w:val="center"/>
              <w:rPr>
                <w:rFonts w:ascii="Arial" w:hAnsi="Arial" w:cs="Arial"/>
                <w:b/>
                <w:sz w:val="14"/>
                <w:szCs w:val="14"/>
                <w:lang w:val="fr-FR"/>
              </w:rPr>
            </w:pPr>
            <w:r w:rsidRPr="00104AB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T</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W</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T</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F</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T</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W</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T</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F</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S</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M</w:t>
            </w:r>
          </w:p>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lang w:val="fr-FR"/>
              </w:rPr>
            </w:pPr>
            <w:r w:rsidRPr="00104AB5">
              <w:rPr>
                <w:rFonts w:ascii="Arial" w:hAnsi="Arial" w:cs="Arial"/>
                <w:b/>
                <w:sz w:val="13"/>
                <w:szCs w:val="13"/>
                <w:lang w:val="fr-FR"/>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r>
      <w:tr w:rsidR="00961C83" w:rsidRPr="00104AB5"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RH</w:t>
            </w:r>
          </w:p>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r>
      <w:tr w:rsidR="00961C83" w:rsidRPr="00104AB5"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YK</w:t>
            </w:r>
          </w:p>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r>
      <w:tr w:rsidR="00961C83" w:rsidRPr="00104AB5"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r>
      <w:tr w:rsidR="00961C83" w:rsidRPr="00104AB5"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r>
      <w:tr w:rsidR="00961C83" w:rsidRPr="00104AB5"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r>
    </w:tbl>
    <w:p w:rsidR="00961C83" w:rsidRPr="00104AB5" w:rsidRDefault="00961C83" w:rsidP="00961C83">
      <w:pPr>
        <w:tabs>
          <w:tab w:val="center" w:pos="5220"/>
          <w:tab w:val="right" w:pos="10440"/>
        </w:tabs>
        <w:jc w:val="center"/>
        <w:rPr>
          <w:rFonts w:ascii="Arial" w:hAnsi="Arial" w:cs="Arial"/>
          <w:szCs w:val="28"/>
        </w:rPr>
      </w:pPr>
      <w:r w:rsidRPr="00104AB5">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104AB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MARCH – MARS</w:t>
            </w:r>
          </w:p>
        </w:tc>
      </w:tr>
      <w:tr w:rsidR="00961C83" w:rsidRPr="00104AB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r>
      <w:tr w:rsidR="00961C83" w:rsidRPr="00104AB5"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r>
      <w:tr w:rsidR="00961C83" w:rsidRPr="00104AB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JUNE – JUIN</w:t>
            </w:r>
          </w:p>
        </w:tc>
      </w:tr>
      <w:tr w:rsidR="00961C83" w:rsidRPr="00104AB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GO</w:t>
            </w:r>
          </w:p>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GO</w:t>
            </w:r>
          </w:p>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CC</w:t>
            </w:r>
          </w:p>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GO</w:t>
            </w:r>
          </w:p>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GO</w:t>
            </w:r>
          </w:p>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r>
      <w:tr w:rsidR="00961C83" w:rsidRPr="00104AB5"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rPr>
                <w:rFonts w:ascii="Arial" w:hAnsi="Arial" w:cs="Arial"/>
                <w:sz w:val="13"/>
                <w:szCs w:val="13"/>
              </w:rPr>
            </w:pPr>
            <w:r w:rsidRPr="00104AB5">
              <w:rPr>
                <w:rFonts w:ascii="Arial" w:hAnsi="Arial" w:cs="Arial"/>
                <w:sz w:val="13"/>
                <w:szCs w:val="13"/>
              </w:rPr>
              <w:t xml:space="preserve"> 24 </w:t>
            </w:r>
            <w:r w:rsidRPr="00104AB5">
              <w:rPr>
                <w:rFonts w:ascii="Arial" w:hAnsi="Arial" w:cs="Arial"/>
                <w:sz w:val="13"/>
                <w:szCs w:val="13"/>
                <w:lang w:val="en-US"/>
              </w:rPr>
              <w:t>/</w:t>
            </w:r>
          </w:p>
          <w:p w:rsidR="00961C83" w:rsidRPr="00104AB5" w:rsidRDefault="00961C83">
            <w:pPr>
              <w:jc w:val="right"/>
              <w:rPr>
                <w:rFonts w:ascii="Arial" w:hAnsi="Arial" w:cs="Arial"/>
                <w:sz w:val="13"/>
                <w:szCs w:val="13"/>
              </w:rPr>
            </w:pPr>
            <w:r w:rsidRPr="00104AB5">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r>
      <w:tr w:rsidR="00961C83" w:rsidRPr="00104AB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SEPTEMBER – SEPTEMBRE</w:t>
            </w:r>
          </w:p>
        </w:tc>
      </w:tr>
      <w:tr w:rsidR="00961C83" w:rsidRPr="00104AB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6"/>
                <w:szCs w:val="16"/>
              </w:rPr>
            </w:pPr>
            <w:r w:rsidRPr="00104AB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04AB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W</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T</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F</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p w:rsidR="00961C83" w:rsidRPr="00104AB5" w:rsidRDefault="00961C83">
            <w:pPr>
              <w:tabs>
                <w:tab w:val="center" w:pos="5220"/>
                <w:tab w:val="right" w:pos="10440"/>
              </w:tabs>
              <w:jc w:val="center"/>
              <w:rPr>
                <w:rFonts w:ascii="Arial" w:hAnsi="Arial" w:cs="Arial"/>
                <w:b/>
                <w:sz w:val="13"/>
                <w:szCs w:val="13"/>
              </w:rPr>
            </w:pPr>
            <w:r w:rsidRPr="00104AB5">
              <w:rPr>
                <w:rFonts w:ascii="Arial" w:hAnsi="Arial" w:cs="Arial"/>
                <w:b/>
                <w:sz w:val="13"/>
                <w:szCs w:val="13"/>
              </w:rPr>
              <w:t>S</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r>
      <w:tr w:rsidR="00961C83" w:rsidRPr="00104AB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H</w:t>
            </w:r>
          </w:p>
          <w:p w:rsidR="00961C83" w:rsidRPr="00104AB5" w:rsidRDefault="00961C83">
            <w:pPr>
              <w:jc w:val="center"/>
              <w:rPr>
                <w:rFonts w:ascii="Arial" w:hAnsi="Arial" w:cs="Arial"/>
                <w:sz w:val="13"/>
                <w:szCs w:val="13"/>
              </w:rPr>
            </w:pPr>
            <w:r w:rsidRPr="00104AB5">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RH</w:t>
            </w:r>
          </w:p>
          <w:p w:rsidR="00961C83" w:rsidRPr="00104AB5" w:rsidRDefault="00961C83">
            <w:pPr>
              <w:jc w:val="center"/>
              <w:rPr>
                <w:rFonts w:ascii="Arial" w:hAnsi="Arial" w:cs="Arial"/>
                <w:sz w:val="13"/>
                <w:szCs w:val="13"/>
              </w:rPr>
            </w:pPr>
            <w:r w:rsidRPr="00104AB5">
              <w:rPr>
                <w:rFonts w:ascii="Arial" w:hAnsi="Arial" w:cs="Arial"/>
                <w:sz w:val="13"/>
                <w:szCs w:val="13"/>
              </w:rPr>
              <w:t>19</w:t>
            </w:r>
          </w:p>
        </w:tc>
      </w:tr>
      <w:tr w:rsidR="00961C83" w:rsidRPr="00104AB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RH</w:t>
            </w:r>
          </w:p>
          <w:p w:rsidR="00961C83" w:rsidRPr="00104AB5" w:rsidRDefault="00961C83">
            <w:pPr>
              <w:jc w:val="center"/>
              <w:rPr>
                <w:rFonts w:ascii="Arial" w:hAnsi="Arial" w:cs="Arial"/>
                <w:sz w:val="13"/>
                <w:szCs w:val="13"/>
              </w:rPr>
            </w:pPr>
            <w:r w:rsidRPr="00104AB5">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r>
      <w:tr w:rsidR="00961C83" w:rsidRPr="00104AB5"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rPr>
                <w:rFonts w:ascii="Arial" w:hAnsi="Arial" w:cs="Arial"/>
                <w:sz w:val="13"/>
                <w:szCs w:val="13"/>
              </w:rPr>
            </w:pPr>
            <w:r w:rsidRPr="00104AB5">
              <w:rPr>
                <w:rFonts w:ascii="Arial" w:hAnsi="Arial" w:cs="Arial"/>
                <w:sz w:val="13"/>
                <w:szCs w:val="13"/>
              </w:rPr>
              <w:t> 23 /</w:t>
            </w:r>
          </w:p>
          <w:p w:rsidR="00961C83" w:rsidRPr="00104AB5" w:rsidRDefault="00961C83">
            <w:pPr>
              <w:jc w:val="right"/>
              <w:rPr>
                <w:rFonts w:ascii="Arial" w:hAnsi="Arial" w:cs="Arial"/>
                <w:sz w:val="13"/>
                <w:szCs w:val="13"/>
              </w:rPr>
            </w:pPr>
            <w:r w:rsidRPr="00104AB5">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rPr>
                <w:rFonts w:ascii="Arial" w:hAnsi="Arial" w:cs="Arial"/>
                <w:sz w:val="13"/>
                <w:szCs w:val="13"/>
              </w:rPr>
            </w:pPr>
            <w:r w:rsidRPr="00104AB5">
              <w:rPr>
                <w:rFonts w:ascii="Arial" w:hAnsi="Arial" w:cs="Arial"/>
                <w:sz w:val="13"/>
                <w:szCs w:val="13"/>
              </w:rPr>
              <w:t> 24 /</w:t>
            </w:r>
          </w:p>
          <w:p w:rsidR="00961C83" w:rsidRPr="00104AB5" w:rsidRDefault="00961C83">
            <w:pPr>
              <w:jc w:val="right"/>
              <w:rPr>
                <w:rFonts w:ascii="Arial" w:hAnsi="Arial" w:cs="Arial"/>
                <w:sz w:val="13"/>
                <w:szCs w:val="13"/>
              </w:rPr>
            </w:pPr>
            <w:r w:rsidRPr="00104AB5">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04AB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104AB5" w:rsidRDefault="00961C83">
            <w:pPr>
              <w:jc w:val="center"/>
              <w:rPr>
                <w:rFonts w:ascii="Arial" w:hAnsi="Arial" w:cs="Arial"/>
                <w:b/>
                <w:sz w:val="13"/>
                <w:szCs w:val="13"/>
              </w:rPr>
            </w:pPr>
            <w:r w:rsidRPr="00104AB5">
              <w:rPr>
                <w:rFonts w:ascii="Arial" w:hAnsi="Arial" w:cs="Arial"/>
                <w:b/>
                <w:sz w:val="13"/>
                <w:szCs w:val="13"/>
              </w:rPr>
              <w:t>YK</w:t>
            </w:r>
          </w:p>
          <w:p w:rsidR="00961C83" w:rsidRPr="00104AB5" w:rsidRDefault="00961C83">
            <w:pPr>
              <w:jc w:val="center"/>
              <w:rPr>
                <w:rFonts w:ascii="Arial" w:hAnsi="Arial" w:cs="Arial"/>
                <w:sz w:val="13"/>
                <w:szCs w:val="13"/>
              </w:rPr>
            </w:pPr>
            <w:r w:rsidRPr="00104AB5">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04AB5" w:rsidRDefault="00961C83">
            <w:pPr>
              <w:jc w:val="center"/>
              <w:rPr>
                <w:rFonts w:ascii="Arial" w:hAnsi="Arial" w:cs="Arial"/>
                <w:sz w:val="13"/>
                <w:szCs w:val="13"/>
              </w:rPr>
            </w:pPr>
            <w:r w:rsidRPr="00104AB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04AB5" w:rsidRDefault="00961C83">
            <w:pPr>
              <w:jc w:val="center"/>
              <w:rPr>
                <w:rFonts w:ascii="Arial" w:hAnsi="Arial" w:cs="Arial"/>
                <w:sz w:val="13"/>
                <w:szCs w:val="13"/>
              </w:rPr>
            </w:pPr>
          </w:p>
        </w:tc>
      </w:tr>
    </w:tbl>
    <w:p w:rsidR="00961C83" w:rsidRPr="00104AB5"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104AB5" w:rsidTr="00961C83">
        <w:tc>
          <w:tcPr>
            <w:tcW w:w="1890" w:type="dxa"/>
            <w:tcBorders>
              <w:top w:val="nil"/>
              <w:left w:val="nil"/>
              <w:bottom w:val="nil"/>
              <w:right w:val="single" w:sz="4" w:space="0" w:color="000000" w:themeColor="text1"/>
            </w:tcBorders>
            <w:vAlign w:val="center"/>
            <w:hideMark/>
          </w:tcPr>
          <w:p w:rsidR="00961C83" w:rsidRPr="00104AB5" w:rsidRDefault="00961C83">
            <w:pPr>
              <w:rPr>
                <w:rFonts w:ascii="Arial" w:hAnsi="Arial" w:cs="Arial"/>
                <w:b/>
                <w:sz w:val="14"/>
                <w:szCs w:val="14"/>
              </w:rPr>
            </w:pPr>
            <w:r w:rsidRPr="00104AB5">
              <w:rPr>
                <w:rFonts w:ascii="Arial" w:hAnsi="Arial" w:cs="Arial"/>
                <w:b/>
                <w:sz w:val="14"/>
                <w:szCs w:val="14"/>
              </w:rPr>
              <w:t>Sitting of the Court /</w:t>
            </w:r>
          </w:p>
          <w:p w:rsidR="00961C83" w:rsidRPr="00104AB5" w:rsidRDefault="00961C83">
            <w:pPr>
              <w:rPr>
                <w:rFonts w:ascii="Arial" w:hAnsi="Arial" w:cs="Arial"/>
                <w:b/>
                <w:sz w:val="14"/>
                <w:szCs w:val="14"/>
              </w:rPr>
            </w:pPr>
            <w:r w:rsidRPr="00104AB5">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104AB5"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104AB5" w:rsidRDefault="00961C83">
            <w:pPr>
              <w:tabs>
                <w:tab w:val="left" w:pos="203"/>
              </w:tabs>
              <w:spacing w:after="120"/>
              <w:rPr>
                <w:rFonts w:ascii="Arial" w:hAnsi="Arial" w:cs="Arial"/>
                <w:b/>
                <w:sz w:val="14"/>
                <w:szCs w:val="14"/>
                <w:lang w:val="fr-CA"/>
              </w:rPr>
            </w:pPr>
            <w:r w:rsidRPr="00104AB5">
              <w:rPr>
                <w:rFonts w:ascii="Arial" w:hAnsi="Arial" w:cs="Arial"/>
                <w:b/>
                <w:sz w:val="14"/>
                <w:szCs w:val="14"/>
                <w:lang w:val="fr-CA"/>
              </w:rPr>
              <w:t>18</w:t>
            </w:r>
            <w:r w:rsidRPr="00104AB5">
              <w:rPr>
                <w:rFonts w:ascii="Arial" w:hAnsi="Arial" w:cs="Arial"/>
                <w:b/>
                <w:sz w:val="14"/>
                <w:szCs w:val="14"/>
                <w:lang w:val="fr-CA"/>
              </w:rPr>
              <w:tab/>
              <w:t xml:space="preserve"> </w:t>
            </w:r>
            <w:proofErr w:type="spellStart"/>
            <w:r w:rsidRPr="00104AB5">
              <w:rPr>
                <w:rFonts w:ascii="Arial" w:hAnsi="Arial" w:cs="Arial"/>
                <w:b/>
                <w:sz w:val="14"/>
                <w:szCs w:val="14"/>
                <w:lang w:val="fr-CA"/>
              </w:rPr>
              <w:t>sitting</w:t>
            </w:r>
            <w:proofErr w:type="spellEnd"/>
            <w:r w:rsidRPr="00104AB5">
              <w:rPr>
                <w:rFonts w:ascii="Arial" w:hAnsi="Arial" w:cs="Arial"/>
                <w:b/>
                <w:sz w:val="14"/>
                <w:szCs w:val="14"/>
                <w:lang w:val="fr-CA"/>
              </w:rPr>
              <w:t xml:space="preserve"> </w:t>
            </w:r>
            <w:proofErr w:type="spellStart"/>
            <w:r w:rsidRPr="00104AB5">
              <w:rPr>
                <w:rFonts w:ascii="Arial" w:hAnsi="Arial" w:cs="Arial"/>
                <w:b/>
                <w:sz w:val="14"/>
                <w:szCs w:val="14"/>
                <w:lang w:val="fr-CA"/>
              </w:rPr>
              <w:t>weeks</w:t>
            </w:r>
            <w:proofErr w:type="spellEnd"/>
            <w:r w:rsidRPr="00104AB5">
              <w:rPr>
                <w:rFonts w:ascii="Arial" w:hAnsi="Arial" w:cs="Arial"/>
                <w:b/>
                <w:sz w:val="14"/>
                <w:szCs w:val="14"/>
                <w:lang w:val="fr-CA"/>
              </w:rPr>
              <w:t xml:space="preserve"> / semaines séances de la Cour</w:t>
            </w:r>
          </w:p>
          <w:p w:rsidR="00961C83" w:rsidRPr="00104AB5" w:rsidRDefault="00961C83">
            <w:pPr>
              <w:tabs>
                <w:tab w:val="left" w:pos="203"/>
              </w:tabs>
              <w:rPr>
                <w:rFonts w:ascii="Arial" w:hAnsi="Arial" w:cs="Arial"/>
                <w:b/>
                <w:sz w:val="14"/>
                <w:szCs w:val="14"/>
                <w:lang w:val="fr-CA"/>
              </w:rPr>
            </w:pPr>
            <w:r w:rsidRPr="00104AB5">
              <w:rPr>
                <w:rFonts w:ascii="Arial" w:hAnsi="Arial" w:cs="Arial"/>
                <w:b/>
                <w:sz w:val="14"/>
                <w:szCs w:val="14"/>
                <w:lang w:val="fr-CA"/>
              </w:rPr>
              <w:t>86</w:t>
            </w:r>
            <w:r w:rsidRPr="00104AB5">
              <w:rPr>
                <w:rFonts w:ascii="Arial" w:hAnsi="Arial" w:cs="Arial"/>
                <w:b/>
                <w:sz w:val="14"/>
                <w:szCs w:val="14"/>
                <w:lang w:val="fr-CA"/>
              </w:rPr>
              <w:tab/>
              <w:t xml:space="preserve"> </w:t>
            </w:r>
            <w:proofErr w:type="spellStart"/>
            <w:r w:rsidRPr="00104AB5">
              <w:rPr>
                <w:rFonts w:ascii="Arial" w:hAnsi="Arial" w:cs="Arial"/>
                <w:b/>
                <w:sz w:val="14"/>
                <w:szCs w:val="14"/>
                <w:lang w:val="fr-CA"/>
              </w:rPr>
              <w:t>sitting</w:t>
            </w:r>
            <w:proofErr w:type="spellEnd"/>
            <w:r w:rsidRPr="00104AB5">
              <w:rPr>
                <w:rFonts w:ascii="Arial" w:hAnsi="Arial" w:cs="Arial"/>
                <w:b/>
                <w:sz w:val="14"/>
                <w:szCs w:val="14"/>
                <w:lang w:val="fr-CA"/>
              </w:rPr>
              <w:t xml:space="preserve"> </w:t>
            </w:r>
            <w:proofErr w:type="spellStart"/>
            <w:r w:rsidRPr="00104AB5">
              <w:rPr>
                <w:rFonts w:ascii="Arial" w:hAnsi="Arial" w:cs="Arial"/>
                <w:b/>
                <w:sz w:val="14"/>
                <w:szCs w:val="14"/>
                <w:lang w:val="fr-CA"/>
              </w:rPr>
              <w:t>days</w:t>
            </w:r>
            <w:proofErr w:type="spellEnd"/>
            <w:r w:rsidRPr="00104AB5">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Pr="00104AB5" w:rsidRDefault="00961C83">
            <w:pPr>
              <w:spacing w:after="120"/>
              <w:rPr>
                <w:rFonts w:ascii="Arial" w:hAnsi="Arial" w:cs="Arial"/>
                <w:b/>
                <w:sz w:val="14"/>
                <w:szCs w:val="14"/>
                <w:lang w:val="fr-FR"/>
              </w:rPr>
            </w:pPr>
            <w:r w:rsidRPr="00104AB5">
              <w:rPr>
                <w:rFonts w:ascii="Arial" w:hAnsi="Arial" w:cs="Arial"/>
                <w:b/>
                <w:sz w:val="14"/>
                <w:szCs w:val="14"/>
                <w:lang w:val="fr-FR"/>
              </w:rPr>
              <w:t xml:space="preserve">Rosh </w:t>
            </w:r>
            <w:proofErr w:type="spellStart"/>
            <w:r w:rsidRPr="00104AB5">
              <w:rPr>
                <w:rFonts w:ascii="Arial" w:hAnsi="Arial" w:cs="Arial"/>
                <w:b/>
                <w:sz w:val="14"/>
                <w:szCs w:val="14"/>
                <w:lang w:val="fr-FR"/>
              </w:rPr>
              <w:t>Hashanah</w:t>
            </w:r>
            <w:proofErr w:type="spellEnd"/>
            <w:r w:rsidRPr="00104AB5">
              <w:rPr>
                <w:rFonts w:ascii="Arial" w:hAnsi="Arial" w:cs="Arial"/>
                <w:b/>
                <w:sz w:val="14"/>
                <w:szCs w:val="14"/>
                <w:lang w:val="fr-FR"/>
              </w:rPr>
              <w:t xml:space="preserve"> / Nouvel An juif</w:t>
            </w:r>
          </w:p>
          <w:p w:rsidR="00961C83" w:rsidRPr="00104AB5" w:rsidRDefault="00961C83">
            <w:pPr>
              <w:spacing w:after="120"/>
              <w:rPr>
                <w:rFonts w:ascii="Arial" w:hAnsi="Arial" w:cs="Arial"/>
                <w:b/>
                <w:sz w:val="14"/>
                <w:szCs w:val="14"/>
                <w:lang w:val="fr-CA"/>
              </w:rPr>
            </w:pPr>
            <w:r w:rsidRPr="00104AB5">
              <w:rPr>
                <w:rFonts w:ascii="Arial" w:hAnsi="Arial" w:cs="Arial"/>
                <w:b/>
                <w:sz w:val="14"/>
                <w:szCs w:val="14"/>
                <w:lang w:val="fr-FR"/>
              </w:rPr>
              <w:t xml:space="preserve">Yom </w:t>
            </w:r>
            <w:proofErr w:type="spellStart"/>
            <w:r w:rsidRPr="00104AB5">
              <w:rPr>
                <w:rFonts w:ascii="Arial" w:hAnsi="Arial" w:cs="Arial"/>
                <w:b/>
                <w:sz w:val="14"/>
                <w:szCs w:val="14"/>
                <w:lang w:val="fr-FR"/>
              </w:rPr>
              <w:t>Kippur</w:t>
            </w:r>
            <w:proofErr w:type="spellEnd"/>
            <w:r w:rsidRPr="00104AB5">
              <w:rPr>
                <w:rFonts w:ascii="Arial" w:hAnsi="Arial" w:cs="Arial"/>
                <w:b/>
                <w:sz w:val="14"/>
                <w:szCs w:val="14"/>
                <w:lang w:val="fr-FR"/>
              </w:rPr>
              <w:t xml:space="preserve"> / Yom Kippour</w:t>
            </w:r>
          </w:p>
        </w:tc>
        <w:tc>
          <w:tcPr>
            <w:tcW w:w="450" w:type="dxa"/>
            <w:hideMark/>
          </w:tcPr>
          <w:p w:rsidR="00961C83" w:rsidRPr="00104AB5" w:rsidRDefault="00961C83">
            <w:pPr>
              <w:spacing w:after="120"/>
              <w:jc w:val="center"/>
              <w:rPr>
                <w:rFonts w:ascii="Arial" w:hAnsi="Arial" w:cs="Arial"/>
                <w:b/>
                <w:sz w:val="14"/>
                <w:szCs w:val="14"/>
                <w:lang w:val="fr-CA"/>
              </w:rPr>
            </w:pPr>
            <w:r w:rsidRPr="00104AB5">
              <w:rPr>
                <w:rFonts w:ascii="Arial" w:hAnsi="Arial" w:cs="Arial"/>
                <w:b/>
                <w:sz w:val="14"/>
                <w:szCs w:val="14"/>
                <w:lang w:val="fr-CA"/>
              </w:rPr>
              <w:t>RH</w:t>
            </w:r>
          </w:p>
          <w:p w:rsidR="00961C83" w:rsidRPr="00104AB5" w:rsidRDefault="00961C83">
            <w:pPr>
              <w:jc w:val="center"/>
              <w:rPr>
                <w:rFonts w:ascii="Arial" w:hAnsi="Arial" w:cs="Arial"/>
                <w:b/>
                <w:sz w:val="14"/>
                <w:szCs w:val="14"/>
                <w:lang w:val="fr-CA"/>
              </w:rPr>
            </w:pPr>
            <w:r w:rsidRPr="00104AB5">
              <w:rPr>
                <w:rFonts w:ascii="Arial" w:hAnsi="Arial" w:cs="Arial"/>
                <w:b/>
                <w:sz w:val="14"/>
                <w:szCs w:val="14"/>
                <w:lang w:val="fr-CA"/>
              </w:rPr>
              <w:t>YK</w:t>
            </w:r>
          </w:p>
        </w:tc>
      </w:tr>
      <w:tr w:rsidR="00961C83" w:rsidRPr="00104AB5" w:rsidTr="00961C83">
        <w:tc>
          <w:tcPr>
            <w:tcW w:w="1890" w:type="dxa"/>
            <w:tcBorders>
              <w:top w:val="nil"/>
              <w:left w:val="nil"/>
              <w:bottom w:val="nil"/>
              <w:right w:val="double" w:sz="4" w:space="0" w:color="auto"/>
            </w:tcBorders>
            <w:vAlign w:val="center"/>
            <w:hideMark/>
          </w:tcPr>
          <w:p w:rsidR="00961C83" w:rsidRPr="00104AB5" w:rsidRDefault="00961C83">
            <w:pPr>
              <w:spacing w:before="60"/>
              <w:rPr>
                <w:rFonts w:ascii="Arial" w:hAnsi="Arial" w:cs="Arial"/>
                <w:b/>
                <w:sz w:val="14"/>
                <w:szCs w:val="14"/>
                <w:lang w:val="fr-CA"/>
              </w:rPr>
            </w:pPr>
            <w:r w:rsidRPr="00104AB5">
              <w:rPr>
                <w:rFonts w:ascii="Arial" w:hAnsi="Arial" w:cs="Arial"/>
                <w:b/>
                <w:sz w:val="14"/>
                <w:szCs w:val="14"/>
                <w:lang w:val="fr-CA"/>
              </w:rPr>
              <w:t xml:space="preserve">Court </w:t>
            </w:r>
            <w:proofErr w:type="spellStart"/>
            <w:r w:rsidRPr="00104AB5">
              <w:rPr>
                <w:rFonts w:ascii="Arial" w:hAnsi="Arial" w:cs="Arial"/>
                <w:b/>
                <w:sz w:val="14"/>
                <w:szCs w:val="14"/>
                <w:lang w:val="fr-CA"/>
              </w:rPr>
              <w:t>conference</w:t>
            </w:r>
            <w:proofErr w:type="spellEnd"/>
            <w:r w:rsidRPr="00104AB5">
              <w:rPr>
                <w:rFonts w:ascii="Arial" w:hAnsi="Arial" w:cs="Arial"/>
                <w:b/>
                <w:sz w:val="14"/>
                <w:szCs w:val="14"/>
                <w:lang w:val="fr-CA"/>
              </w:rPr>
              <w:t xml:space="preserve"> /</w:t>
            </w:r>
          </w:p>
          <w:p w:rsidR="00961C83" w:rsidRPr="00104AB5" w:rsidRDefault="00961C83">
            <w:pPr>
              <w:rPr>
                <w:rFonts w:ascii="Arial" w:hAnsi="Arial" w:cs="Arial"/>
                <w:b/>
                <w:sz w:val="14"/>
                <w:szCs w:val="14"/>
                <w:lang w:val="fr-CA"/>
              </w:rPr>
            </w:pPr>
            <w:r w:rsidRPr="00104AB5">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104AB5" w:rsidRDefault="00961C83">
            <w:pPr>
              <w:jc w:val="center"/>
              <w:rPr>
                <w:rFonts w:ascii="Arial" w:hAnsi="Arial" w:cs="Arial"/>
                <w:b/>
                <w:sz w:val="14"/>
                <w:szCs w:val="14"/>
                <w:lang w:val="fr-FR"/>
              </w:rPr>
            </w:pPr>
            <w:r w:rsidRPr="00104AB5">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104AB5" w:rsidRDefault="00961C83">
            <w:pPr>
              <w:tabs>
                <w:tab w:val="left" w:pos="203"/>
              </w:tabs>
              <w:spacing w:before="120"/>
              <w:rPr>
                <w:rFonts w:ascii="Arial" w:hAnsi="Arial" w:cs="Arial"/>
                <w:b/>
                <w:sz w:val="14"/>
                <w:szCs w:val="14"/>
                <w:lang w:val="fr-CA"/>
              </w:rPr>
            </w:pPr>
            <w:r w:rsidRPr="00104AB5">
              <w:rPr>
                <w:rFonts w:ascii="Arial" w:hAnsi="Arial" w:cs="Arial"/>
                <w:b/>
                <w:sz w:val="14"/>
                <w:szCs w:val="14"/>
                <w:lang w:val="fr-CA"/>
              </w:rPr>
              <w:t>9</w:t>
            </w:r>
            <w:r w:rsidRPr="00104AB5">
              <w:rPr>
                <w:rFonts w:ascii="Arial" w:hAnsi="Arial" w:cs="Arial"/>
                <w:b/>
                <w:sz w:val="14"/>
                <w:szCs w:val="14"/>
                <w:lang w:val="fr-CA"/>
              </w:rPr>
              <w:tab/>
              <w:t xml:space="preserve">Court </w:t>
            </w:r>
            <w:proofErr w:type="spellStart"/>
            <w:r w:rsidRPr="00104AB5">
              <w:rPr>
                <w:rFonts w:ascii="Arial" w:hAnsi="Arial" w:cs="Arial"/>
                <w:b/>
                <w:sz w:val="14"/>
                <w:szCs w:val="14"/>
                <w:lang w:val="fr-CA"/>
              </w:rPr>
              <w:t>conference</w:t>
            </w:r>
            <w:proofErr w:type="spellEnd"/>
            <w:r w:rsidRPr="00104AB5">
              <w:rPr>
                <w:rFonts w:ascii="Arial" w:hAnsi="Arial" w:cs="Arial"/>
                <w:b/>
                <w:sz w:val="14"/>
                <w:szCs w:val="14"/>
                <w:lang w:val="fr-CA"/>
              </w:rPr>
              <w:t xml:space="preserve"> </w:t>
            </w:r>
            <w:proofErr w:type="spellStart"/>
            <w:r w:rsidRPr="00104AB5">
              <w:rPr>
                <w:rFonts w:ascii="Arial" w:hAnsi="Arial" w:cs="Arial"/>
                <w:b/>
                <w:sz w:val="14"/>
                <w:szCs w:val="14"/>
                <w:lang w:val="fr-CA"/>
              </w:rPr>
              <w:t>days</w:t>
            </w:r>
            <w:proofErr w:type="spellEnd"/>
            <w:r w:rsidRPr="00104AB5">
              <w:rPr>
                <w:rFonts w:ascii="Arial" w:hAnsi="Arial" w:cs="Arial"/>
                <w:b/>
                <w:sz w:val="14"/>
                <w:szCs w:val="14"/>
                <w:lang w:val="fr-CA"/>
              </w:rPr>
              <w:t xml:space="preserve"> /</w:t>
            </w:r>
          </w:p>
          <w:p w:rsidR="00961C83" w:rsidRPr="00104AB5" w:rsidRDefault="00961C83">
            <w:pPr>
              <w:tabs>
                <w:tab w:val="left" w:pos="203"/>
              </w:tabs>
              <w:rPr>
                <w:rFonts w:ascii="Arial" w:hAnsi="Arial" w:cs="Arial"/>
                <w:b/>
                <w:sz w:val="14"/>
                <w:szCs w:val="14"/>
                <w:lang w:val="fr-CA"/>
              </w:rPr>
            </w:pPr>
            <w:r w:rsidRPr="00104AB5">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104AB5" w:rsidRDefault="00961C83">
            <w:pPr>
              <w:rPr>
                <w:rFonts w:ascii="Arial" w:hAnsi="Arial" w:cs="Arial"/>
                <w:b/>
                <w:sz w:val="14"/>
                <w:szCs w:val="14"/>
                <w:lang w:val="en-US"/>
              </w:rPr>
            </w:pPr>
            <w:r w:rsidRPr="00104AB5">
              <w:rPr>
                <w:rFonts w:ascii="Arial" w:hAnsi="Arial" w:cs="Arial"/>
                <w:b/>
                <w:sz w:val="14"/>
                <w:szCs w:val="14"/>
                <w:lang w:val="en-US"/>
              </w:rPr>
              <w:t xml:space="preserve">Greek Orthodox Easter / </w:t>
            </w:r>
            <w:proofErr w:type="spellStart"/>
            <w:r w:rsidRPr="00104AB5">
              <w:rPr>
                <w:rFonts w:ascii="Arial" w:hAnsi="Arial" w:cs="Arial"/>
                <w:b/>
                <w:sz w:val="14"/>
                <w:szCs w:val="14"/>
                <w:lang w:val="en-US"/>
              </w:rPr>
              <w:t>Pâques</w:t>
            </w:r>
            <w:proofErr w:type="spellEnd"/>
            <w:r w:rsidRPr="00104AB5">
              <w:rPr>
                <w:rFonts w:ascii="Arial" w:hAnsi="Arial" w:cs="Arial"/>
                <w:b/>
                <w:sz w:val="14"/>
                <w:szCs w:val="14"/>
                <w:lang w:val="en-US"/>
              </w:rPr>
              <w:t xml:space="preserve"> </w:t>
            </w:r>
            <w:proofErr w:type="spellStart"/>
            <w:r w:rsidRPr="00104AB5">
              <w:rPr>
                <w:rFonts w:ascii="Arial" w:hAnsi="Arial" w:cs="Arial"/>
                <w:b/>
                <w:sz w:val="14"/>
                <w:szCs w:val="14"/>
                <w:lang w:val="en-US"/>
              </w:rPr>
              <w:t>orthodoxe</w:t>
            </w:r>
            <w:proofErr w:type="spellEnd"/>
            <w:r w:rsidRPr="00104AB5">
              <w:rPr>
                <w:rFonts w:ascii="Arial" w:hAnsi="Arial" w:cs="Arial"/>
                <w:b/>
                <w:sz w:val="14"/>
                <w:szCs w:val="14"/>
                <w:lang w:val="en-US"/>
              </w:rPr>
              <w:t xml:space="preserve"> </w:t>
            </w:r>
            <w:proofErr w:type="spellStart"/>
            <w:r w:rsidRPr="00104AB5">
              <w:rPr>
                <w:rFonts w:ascii="Arial" w:hAnsi="Arial" w:cs="Arial"/>
                <w:b/>
                <w:sz w:val="14"/>
                <w:szCs w:val="14"/>
                <w:lang w:val="en-US"/>
              </w:rPr>
              <w:t>grecque</w:t>
            </w:r>
            <w:proofErr w:type="spellEnd"/>
          </w:p>
        </w:tc>
        <w:tc>
          <w:tcPr>
            <w:tcW w:w="450" w:type="dxa"/>
            <w:hideMark/>
          </w:tcPr>
          <w:p w:rsidR="00961C83" w:rsidRPr="00104AB5" w:rsidRDefault="00961C83">
            <w:pPr>
              <w:jc w:val="center"/>
              <w:rPr>
                <w:rFonts w:ascii="Arial" w:hAnsi="Arial" w:cs="Arial"/>
                <w:b/>
                <w:sz w:val="14"/>
                <w:szCs w:val="14"/>
                <w:lang w:val="en-US"/>
              </w:rPr>
            </w:pPr>
            <w:r w:rsidRPr="00104AB5">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104AB5" w:rsidRDefault="00961C83">
            <w:pPr>
              <w:rPr>
                <w:rFonts w:ascii="Arial" w:hAnsi="Arial" w:cs="Arial"/>
                <w:b/>
                <w:sz w:val="14"/>
                <w:szCs w:val="14"/>
              </w:rPr>
            </w:pPr>
            <w:r w:rsidRPr="00104AB5">
              <w:rPr>
                <w:rFonts w:ascii="Arial" w:hAnsi="Arial" w:cs="Arial"/>
                <w:b/>
                <w:sz w:val="14"/>
                <w:szCs w:val="14"/>
              </w:rPr>
              <w:t xml:space="preserve">Holiday / </w:t>
            </w:r>
            <w:r w:rsidRPr="00104AB5">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104AB5" w:rsidRDefault="00961C83">
            <w:pPr>
              <w:jc w:val="center"/>
              <w:rPr>
                <w:rFonts w:ascii="Arial" w:hAnsi="Arial" w:cs="Arial"/>
                <w:b/>
                <w:sz w:val="14"/>
                <w:szCs w:val="14"/>
              </w:rPr>
            </w:pPr>
            <w:r w:rsidRPr="00104AB5">
              <w:rPr>
                <w:rFonts w:ascii="Arial" w:hAnsi="Arial" w:cs="Arial"/>
                <w:b/>
                <w:sz w:val="14"/>
                <w:szCs w:val="14"/>
              </w:rPr>
              <w:t>H</w:t>
            </w:r>
          </w:p>
        </w:tc>
        <w:tc>
          <w:tcPr>
            <w:tcW w:w="3666" w:type="dxa"/>
            <w:tcBorders>
              <w:top w:val="nil"/>
              <w:left w:val="double" w:sz="4" w:space="0" w:color="auto"/>
              <w:bottom w:val="nil"/>
              <w:right w:val="nil"/>
            </w:tcBorders>
            <w:hideMark/>
          </w:tcPr>
          <w:p w:rsidR="00961C83" w:rsidRPr="00104AB5" w:rsidRDefault="00961C83">
            <w:pPr>
              <w:tabs>
                <w:tab w:val="left" w:pos="203"/>
              </w:tabs>
              <w:spacing w:before="120"/>
              <w:rPr>
                <w:rFonts w:ascii="Arial" w:hAnsi="Arial" w:cs="Arial"/>
                <w:b/>
                <w:sz w:val="14"/>
                <w:szCs w:val="14"/>
              </w:rPr>
            </w:pPr>
            <w:r w:rsidRPr="00104AB5">
              <w:rPr>
                <w:rFonts w:ascii="Arial" w:hAnsi="Arial" w:cs="Arial"/>
                <w:b/>
                <w:sz w:val="14"/>
                <w:szCs w:val="14"/>
              </w:rPr>
              <w:t>4</w:t>
            </w:r>
            <w:r w:rsidRPr="00104AB5">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104AB5">
              <w:rPr>
                <w:rFonts w:ascii="Arial" w:hAnsi="Arial" w:cs="Arial"/>
                <w:b/>
                <w:sz w:val="14"/>
                <w:szCs w:val="14"/>
              </w:rPr>
              <w:tab/>
            </w:r>
            <w:r w:rsidRPr="00104AB5">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86"/>
      <w:footerReference w:type="default" r:id="rId87"/>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34" w:rsidRDefault="00014134" w:rsidP="00A87207">
      <w:r>
        <w:separator/>
      </w:r>
    </w:p>
  </w:endnote>
  <w:endnote w:type="continuationSeparator" w:id="0">
    <w:p w:rsidR="00014134" w:rsidRDefault="0001413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A87207">
    <w:pPr>
      <w:pStyle w:val="Footer"/>
    </w:pPr>
    <w:r>
      <w:pict>
        <v:rect id="_x0000_i1035"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54B7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EB2B90">
    <w:pPr>
      <w:tabs>
        <w:tab w:val="center" w:pos="4680"/>
      </w:tabs>
    </w:pPr>
    <w:r>
      <w:pict>
        <v:rect id="_x0000_i1058" style="width:480.95pt;height:1pt" o:hralign="center" o:hrstd="t" o:hrnoshade="t" o:hr="t" fillcolor="black [3213]" stroked="f"/>
      </w:pict>
    </w:r>
  </w:p>
  <w:p w:rsidR="00893449" w:rsidRPr="0031432F" w:rsidRDefault="00893449" w:rsidP="00EB2B90">
    <w:pPr>
      <w:tabs>
        <w:tab w:val="center" w:pos="4680"/>
      </w:tabs>
    </w:pPr>
    <w:r>
      <w:tab/>
      <w:t xml:space="preserve">- </w:t>
    </w:r>
    <w:r>
      <w:fldChar w:fldCharType="begin"/>
    </w:r>
    <w:r>
      <w:instrText xml:space="preserve"> PAGE   \* MERGEFORMAT </w:instrText>
    </w:r>
    <w:r>
      <w:fldChar w:fldCharType="separate"/>
    </w:r>
    <w:r w:rsidR="00B54B7D">
      <w:rPr>
        <w:noProof/>
      </w:rPr>
      <w:t>16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732DB7">
    <w:r>
      <w:pict>
        <v:rect id="_x0000_i1060" style="width:480.95pt;height:1pt" o:hralign="center" o:hrstd="t" o:hrnoshade="t" o:hr="t" fillcolor="black" stroked="f"/>
      </w:pict>
    </w:r>
  </w:p>
  <w:p w:rsidR="00893449" w:rsidRDefault="00893449">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pPr>
      <w:pStyle w:val="Footer"/>
    </w:pPr>
    <w:r>
      <w:pict>
        <v:rect id="_x0000_i1061" style="width:480.95pt;height:1pt" o:hralign="center" o:hrstd="t" o:hrnoshade="t" o:hr="t" fillcolor="black" stroked="f"/>
      </w:pict>
    </w:r>
  </w:p>
  <w:p w:rsidR="00893449" w:rsidRPr="00283C52" w:rsidRDefault="00893449">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A0" w:rsidRDefault="00E76CA0">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E76CA0" w:rsidRDefault="00E76CA0">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E76CA0" w:rsidRDefault="00E76CA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A0" w:rsidRDefault="00B54B7D" w:rsidP="007A3EAE">
    <w:pPr>
      <w:pStyle w:val="Footer"/>
    </w:pPr>
    <w:r>
      <w:pict>
        <v:rect id="_x0000_i1063" style="width:480.95pt;height:1pt" o:hralign="center" o:hrstd="t" o:hrnoshade="t" o:hr="t" fillcolor="black [3213]" stroked="f"/>
      </w:pict>
    </w:r>
  </w:p>
  <w:p w:rsidR="00E76CA0" w:rsidRPr="003160AB" w:rsidRDefault="00E76CA0" w:rsidP="007A3EAE">
    <w:pPr>
      <w:pStyle w:val="Footer"/>
    </w:pPr>
    <w:r w:rsidRPr="003160AB">
      <w:tab/>
    </w:r>
    <w:r>
      <w:t xml:space="preserve">- </w:t>
    </w:r>
    <w:r>
      <w:fldChar w:fldCharType="begin"/>
    </w:r>
    <w:r>
      <w:instrText xml:space="preserve"> PAGE   \* MERGEFORMAT </w:instrText>
    </w:r>
    <w:r>
      <w:fldChar w:fldCharType="separate"/>
    </w:r>
    <w:r>
      <w:rPr>
        <w:noProof/>
      </w:rPr>
      <w:t>533</w:t>
    </w:r>
    <w:r>
      <w:rPr>
        <w:noProof/>
      </w:rPr>
      <w:fldChar w:fldCharType="end"/>
    </w:r>
    <w: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A0" w:rsidRDefault="00B54B7D" w:rsidP="00782AE4">
    <w:pPr>
      <w:tabs>
        <w:tab w:val="center" w:pos="4680"/>
      </w:tabs>
    </w:pPr>
    <w:r>
      <w:pict>
        <v:rect id="_x0000_i1064" style="width:480.95pt;height:1pt" o:hralign="center" o:hrstd="t" o:hrnoshade="t" o:hr="t" fillcolor="black [3213]" stroked="f"/>
      </w:pict>
    </w:r>
  </w:p>
  <w:p w:rsidR="00E76CA0" w:rsidRDefault="00E76CA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54B7D">
      <w:rPr>
        <w:noProof/>
        <w:szCs w:val="24"/>
      </w:rPr>
      <w:t>21</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B54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54B7D">
      <w:rPr>
        <w:noProof/>
        <w:szCs w:val="24"/>
      </w:rPr>
      <w:t>33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782AE4">
    <w:pPr>
      <w:tabs>
        <w:tab w:val="center" w:pos="4680"/>
      </w:tabs>
    </w:pPr>
    <w:r>
      <w:pict>
        <v:rect id="_x0000_i1085"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54B7D">
      <w:rPr>
        <w:noProof/>
        <w:szCs w:val="24"/>
      </w:rPr>
      <w:t>22</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755F22">
    <w:pPr>
      <w:tabs>
        <w:tab w:val="left" w:pos="-1440"/>
        <w:tab w:val="left" w:pos="-720"/>
      </w:tabs>
    </w:pPr>
    <w:r>
      <w:pict>
        <v:rect id="_x0000_i1036"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54B7D">
      <w:rPr>
        <w:noProof/>
        <w:szCs w:val="24"/>
      </w:rPr>
      <w:t>1</w:t>
    </w:r>
    <w:r>
      <w:rPr>
        <w:szCs w:val="24"/>
      </w:rPr>
      <w:fldChar w:fldCharType="end"/>
    </w:r>
    <w:r w:rsidRPr="00954D22">
      <w:rPr>
        <w:szCs w:val="24"/>
      </w:rPr>
      <w:t xml:space="preserve"> -</w:t>
    </w:r>
  </w:p>
  <w:p w:rsidR="00893449" w:rsidRDefault="0089344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Pr="00924065" w:rsidRDefault="0089344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A87207">
    <w:pPr>
      <w:pStyle w:val="Footer"/>
    </w:pPr>
    <w:r>
      <w:pict>
        <v:rect id="_x0000_i1038"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500C5">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54B7D">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893449" w:rsidRPr="0009648D" w:rsidRDefault="00893449" w:rsidP="00ED7E83">
    <w:pPr>
      <w:tabs>
        <w:tab w:val="center" w:pos="4680"/>
      </w:tabs>
    </w:pPr>
    <w:r>
      <w:tab/>
    </w:r>
    <w:r w:rsidRPr="0009648D">
      <w:t xml:space="preserve">- </w:t>
    </w:r>
    <w:r>
      <w:fldChar w:fldCharType="begin"/>
    </w:r>
    <w:r>
      <w:instrText xml:space="preserve"> PAGE   \* MERGEFORMAT </w:instrText>
    </w:r>
    <w:r>
      <w:fldChar w:fldCharType="separate"/>
    </w:r>
    <w:r w:rsidR="00B54B7D">
      <w:rPr>
        <w:noProof/>
      </w:rPr>
      <w:t>15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pPr>
      <w:pStyle w:val="Footer"/>
      <w:rPr>
        <w:lang w:val="fr-CA"/>
      </w:rPr>
    </w:pPr>
    <w:r>
      <w:rPr>
        <w:lang w:val="fr-CA"/>
      </w:rPr>
      <w:pict>
        <v:rect id="_x0000_i1053" style="width:480.95pt;height:1pt" o:hralign="center" o:hrstd="t" o:hrnoshade="t" o:hr="t" fillcolor="black [3213]" stroked="f"/>
      </w:pict>
    </w:r>
  </w:p>
  <w:p w:rsidR="00893449" w:rsidRDefault="00893449" w:rsidP="00245129">
    <w:pPr>
      <w:tabs>
        <w:tab w:val="center" w:pos="4680"/>
      </w:tabs>
    </w:pPr>
    <w:r>
      <w:tab/>
    </w:r>
    <w:r w:rsidRPr="0009648D">
      <w:t xml:space="preserve">- </w:t>
    </w:r>
    <w:r>
      <w:fldChar w:fldCharType="begin"/>
    </w:r>
    <w:r>
      <w:instrText xml:space="preserve"> PAGE   \* MERGEFORMAT </w:instrText>
    </w:r>
    <w:r>
      <w:fldChar w:fldCharType="separate"/>
    </w:r>
    <w:r w:rsidR="00B54B7D">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B54B7D" w:rsidP="00755F22">
    <w:pPr>
      <w:tabs>
        <w:tab w:val="left" w:pos="-1440"/>
        <w:tab w:val="left" w:pos="-720"/>
      </w:tabs>
    </w:pPr>
    <w:r>
      <w:pict>
        <v:rect id="_x0000_i1057" style="width:480.95pt;height:1pt" o:hralign="center" o:hrstd="t" o:hrnoshade="t" o:hr="t" fillcolor="black [3213]" stroked="f"/>
      </w:pict>
    </w:r>
  </w:p>
  <w:p w:rsidR="00893449" w:rsidRDefault="00893449" w:rsidP="00EB2B90">
    <w:pPr>
      <w:tabs>
        <w:tab w:val="center" w:pos="4680"/>
      </w:tabs>
    </w:pPr>
    <w:r>
      <w:tab/>
      <w:t xml:space="preserve">- </w:t>
    </w:r>
    <w:r>
      <w:fldChar w:fldCharType="begin"/>
    </w:r>
    <w:r>
      <w:instrText xml:space="preserve"> PAGE   \* MERGEFORMAT </w:instrText>
    </w:r>
    <w:r>
      <w:fldChar w:fldCharType="separate"/>
    </w:r>
    <w:r w:rsidR="00B54B7D">
      <w:rPr>
        <w:noProof/>
      </w:rPr>
      <w:t>19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34" w:rsidRDefault="00014134" w:rsidP="00A87207">
      <w:r>
        <w:separator/>
      </w:r>
    </w:p>
  </w:footnote>
  <w:footnote w:type="continuationSeparator" w:id="0">
    <w:p w:rsidR="00014134" w:rsidRDefault="0001413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93449" w:rsidRPr="0044776A" w:rsidTr="00245129">
      <w:tc>
        <w:tcPr>
          <w:tcW w:w="4290" w:type="dxa"/>
          <w:tcMar>
            <w:left w:w="0" w:type="dxa"/>
            <w:right w:w="0" w:type="dxa"/>
          </w:tcMar>
        </w:tcPr>
        <w:p w:rsidR="00893449" w:rsidRPr="0044776A" w:rsidRDefault="0089344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93449" w:rsidRPr="0044776A" w:rsidRDefault="00893449" w:rsidP="002E2327">
          <w:pPr>
            <w:keepNext/>
            <w:keepLines/>
            <w:tabs>
              <w:tab w:val="left" w:pos="-1440"/>
              <w:tab w:val="left" w:pos="-720"/>
            </w:tabs>
            <w:jc w:val="center"/>
            <w:rPr>
              <w:sz w:val="20"/>
              <w:szCs w:val="20"/>
            </w:rPr>
          </w:pPr>
        </w:p>
        <w:p w:rsidR="00893449" w:rsidRPr="0044776A" w:rsidRDefault="00893449" w:rsidP="002E2327">
          <w:pPr>
            <w:keepNext/>
            <w:keepLines/>
            <w:tabs>
              <w:tab w:val="left" w:pos="-1440"/>
              <w:tab w:val="left" w:pos="-720"/>
            </w:tabs>
            <w:jc w:val="center"/>
            <w:rPr>
              <w:sz w:val="20"/>
              <w:szCs w:val="20"/>
            </w:rPr>
          </w:pPr>
        </w:p>
        <w:p w:rsidR="00893449" w:rsidRPr="0044776A" w:rsidRDefault="00893449" w:rsidP="002E2327">
          <w:pPr>
            <w:keepNext/>
            <w:keepLines/>
            <w:tabs>
              <w:tab w:val="left" w:pos="-1440"/>
              <w:tab w:val="left" w:pos="-720"/>
            </w:tabs>
            <w:jc w:val="center"/>
            <w:rPr>
              <w:sz w:val="20"/>
              <w:szCs w:val="20"/>
            </w:rPr>
          </w:pPr>
        </w:p>
      </w:tc>
      <w:tc>
        <w:tcPr>
          <w:tcW w:w="4320" w:type="dxa"/>
          <w:tcMar>
            <w:left w:w="0" w:type="dxa"/>
            <w:right w:w="0" w:type="dxa"/>
          </w:tcMar>
        </w:tcPr>
        <w:p w:rsidR="00893449" w:rsidRPr="0044776A" w:rsidRDefault="00893449" w:rsidP="002E2327">
          <w:pPr>
            <w:keepLines/>
            <w:rPr>
              <w:sz w:val="20"/>
              <w:szCs w:val="20"/>
              <w:lang w:val="fr-CA"/>
            </w:rPr>
          </w:pPr>
          <w:r w:rsidRPr="0044776A">
            <w:rPr>
              <w:sz w:val="20"/>
              <w:szCs w:val="20"/>
              <w:lang w:val="fr-CA"/>
            </w:rPr>
            <w:t>DEMANDES D'AUTORISATION D'APPEL DÉPOSÉES</w:t>
          </w:r>
        </w:p>
      </w:tc>
    </w:tr>
  </w:tbl>
  <w:p w:rsidR="00893449" w:rsidRDefault="008934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104AB5">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283C52"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104AB5" w:rsidTr="00245129">
      <w:tc>
        <w:tcPr>
          <w:tcW w:w="4200" w:type="dxa"/>
          <w:tcMar>
            <w:left w:w="0" w:type="dxa"/>
            <w:right w:w="0" w:type="dxa"/>
          </w:tcMar>
        </w:tcPr>
        <w:p w:rsidR="00893449" w:rsidRPr="00732DB7" w:rsidRDefault="00893449"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tc>
      <w:tc>
        <w:tcPr>
          <w:tcW w:w="4080" w:type="dxa"/>
          <w:tcMar>
            <w:left w:w="0" w:type="dxa"/>
            <w:right w:w="0" w:type="dxa"/>
          </w:tcMar>
        </w:tcPr>
        <w:p w:rsidR="00893449" w:rsidRPr="00732DB7" w:rsidRDefault="0089344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93449" w:rsidRPr="00283C52" w:rsidRDefault="0089344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76CA0">
      <w:tc>
        <w:tcPr>
          <w:tcW w:w="4200" w:type="dxa"/>
          <w:tcMar>
            <w:left w:w="0" w:type="dxa"/>
            <w:right w:w="0" w:type="dxa"/>
          </w:tcMar>
        </w:tcPr>
        <w:p w:rsidR="00E76CA0" w:rsidRDefault="00E76CA0">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E76CA0" w:rsidRDefault="00E76CA0">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E76CA0" w:rsidRDefault="00E76CA0">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E76CA0" w:rsidRDefault="00E76CA0">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E76CA0" w:rsidRDefault="00E76CA0">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76CA0" w:rsidRPr="00102926" w:rsidTr="00245129">
      <w:tc>
        <w:tcPr>
          <w:tcW w:w="4200" w:type="dxa"/>
          <w:tcMar>
            <w:left w:w="0" w:type="dxa"/>
            <w:right w:w="0" w:type="dxa"/>
          </w:tcMar>
        </w:tcPr>
        <w:p w:rsidR="00E76CA0" w:rsidRPr="00102926" w:rsidRDefault="00E76CA0"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E76CA0" w:rsidRDefault="00E76CA0" w:rsidP="00102926">
          <w:pPr>
            <w:jc w:val="center"/>
            <w:rPr>
              <w:sz w:val="20"/>
              <w:szCs w:val="20"/>
            </w:rPr>
          </w:pPr>
        </w:p>
        <w:p w:rsidR="00E76CA0" w:rsidRPr="00102926" w:rsidRDefault="00E76CA0" w:rsidP="00102926">
          <w:pPr>
            <w:jc w:val="center"/>
            <w:rPr>
              <w:sz w:val="20"/>
              <w:szCs w:val="20"/>
            </w:rPr>
          </w:pPr>
        </w:p>
      </w:tc>
      <w:tc>
        <w:tcPr>
          <w:tcW w:w="4080" w:type="dxa"/>
          <w:tcMar>
            <w:left w:w="0" w:type="dxa"/>
            <w:right w:w="0" w:type="dxa"/>
          </w:tcMar>
        </w:tcPr>
        <w:p w:rsidR="00E76CA0" w:rsidRPr="00102926" w:rsidRDefault="00E76CA0" w:rsidP="007A3EAE">
          <w:pPr>
            <w:rPr>
              <w:sz w:val="20"/>
              <w:szCs w:val="20"/>
            </w:rPr>
          </w:pPr>
          <w:r w:rsidRPr="00102926">
            <w:rPr>
              <w:sz w:val="20"/>
              <w:szCs w:val="20"/>
            </w:rPr>
            <w:t>NOUVELLE AUDITION</w:t>
          </w:r>
        </w:p>
      </w:tc>
    </w:tr>
  </w:tbl>
  <w:p w:rsidR="00E76CA0" w:rsidRDefault="00E76CA0"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A0" w:rsidRDefault="00E76C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104AB5" w:rsidTr="00245129">
      <w:tc>
        <w:tcPr>
          <w:tcW w:w="4230" w:type="dxa"/>
          <w:tcMar>
            <w:left w:w="0" w:type="dxa"/>
            <w:right w:w="0" w:type="dxa"/>
          </w:tcMar>
        </w:tcPr>
        <w:p w:rsidR="00893449" w:rsidRPr="00782AE4" w:rsidRDefault="00E76CA0" w:rsidP="00E76C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02792">
            <w:rPr>
              <w:szCs w:val="24"/>
            </w:rPr>
            <w:t xml:space="preserve">Agenda and </w:t>
          </w:r>
          <w:r>
            <w:rPr>
              <w:szCs w:val="24"/>
            </w:rPr>
            <w:t xml:space="preserve">case </w:t>
          </w:r>
          <w:r w:rsidRPr="00102792">
            <w:rPr>
              <w:szCs w:val="24"/>
            </w:rPr>
            <w:t xml:space="preserve">summaries for </w:t>
          </w:r>
          <w:r>
            <w:rPr>
              <w:szCs w:val="24"/>
            </w:rPr>
            <w:br/>
            <w:t>November</w:t>
          </w:r>
          <w:r w:rsidRPr="00102792">
            <w:rPr>
              <w:szCs w:val="24"/>
            </w:rPr>
            <w:t xml:space="preserve"> 201</w:t>
          </w:r>
          <w:r>
            <w:rPr>
              <w:szCs w:val="24"/>
            </w:rPr>
            <w:t>9</w:t>
          </w:r>
        </w:p>
      </w:tc>
      <w:tc>
        <w:tcPr>
          <w:tcW w:w="1170" w:type="dxa"/>
          <w:tcMar>
            <w:left w:w="0" w:type="dxa"/>
            <w:right w:w="0" w:type="dxa"/>
          </w:tcMar>
        </w:tcPr>
        <w:p w:rsidR="00893449" w:rsidRDefault="00893449" w:rsidP="00102926">
          <w:pPr>
            <w:keepNext/>
            <w:keepLines/>
            <w:tabs>
              <w:tab w:val="left" w:pos="-1440"/>
              <w:tab w:val="left" w:pos="-720"/>
            </w:tabs>
            <w:jc w:val="center"/>
            <w:rPr>
              <w:sz w:val="20"/>
              <w:szCs w:val="20"/>
            </w:rPr>
          </w:pPr>
        </w:p>
        <w:p w:rsidR="00893449" w:rsidRDefault="00893449" w:rsidP="00102926">
          <w:pPr>
            <w:keepNext/>
            <w:keepLines/>
            <w:tabs>
              <w:tab w:val="left" w:pos="-1440"/>
              <w:tab w:val="left" w:pos="-720"/>
            </w:tabs>
            <w:jc w:val="center"/>
            <w:rPr>
              <w:sz w:val="20"/>
              <w:szCs w:val="20"/>
            </w:rPr>
          </w:pPr>
        </w:p>
        <w:p w:rsidR="00893449" w:rsidRPr="00782AE4" w:rsidRDefault="00893449" w:rsidP="00102926">
          <w:pPr>
            <w:keepNext/>
            <w:keepLines/>
            <w:tabs>
              <w:tab w:val="left" w:pos="-1440"/>
              <w:tab w:val="left" w:pos="-720"/>
            </w:tabs>
            <w:jc w:val="center"/>
            <w:rPr>
              <w:sz w:val="20"/>
              <w:szCs w:val="20"/>
            </w:rPr>
          </w:pPr>
        </w:p>
      </w:tc>
      <w:tc>
        <w:tcPr>
          <w:tcW w:w="4080" w:type="dxa"/>
          <w:tcMar>
            <w:left w:w="0" w:type="dxa"/>
            <w:right w:w="0" w:type="dxa"/>
          </w:tcMar>
        </w:tcPr>
        <w:p w:rsidR="00893449" w:rsidRPr="00E76CA0" w:rsidRDefault="00E76CA0" w:rsidP="00E76CA0">
          <w:pPr>
            <w:keepLines/>
            <w:tabs>
              <w:tab w:val="left" w:pos="-1440"/>
              <w:tab w:val="left" w:pos="-720"/>
            </w:tabs>
            <w:rPr>
              <w:sz w:val="20"/>
              <w:szCs w:val="20"/>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novembre</w:t>
          </w:r>
          <w:r w:rsidRPr="00102792">
            <w:rPr>
              <w:szCs w:val="24"/>
              <w:lang w:val="fr-CA"/>
            </w:rPr>
            <w:t xml:space="preserve"> 201</w:t>
          </w:r>
          <w:r>
            <w:rPr>
              <w:szCs w:val="24"/>
              <w:lang w:val="fr-CA"/>
            </w:rPr>
            <w:t>9</w:t>
          </w:r>
        </w:p>
      </w:tc>
    </w:tr>
  </w:tbl>
  <w:p w:rsidR="00893449" w:rsidRPr="00E76CA0" w:rsidRDefault="008934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104AB5" w:rsidTr="00245129">
      <w:tc>
        <w:tcPr>
          <w:tcW w:w="4200" w:type="dxa"/>
          <w:tcMar>
            <w:left w:w="0" w:type="dxa"/>
            <w:right w:w="0" w:type="dxa"/>
          </w:tcMar>
        </w:tcPr>
        <w:p w:rsidR="00893449" w:rsidRPr="00A81DCF" w:rsidRDefault="00A81DCF"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tc>
      <w:tc>
        <w:tcPr>
          <w:tcW w:w="4080" w:type="dxa"/>
          <w:tcMar>
            <w:left w:w="0" w:type="dxa"/>
            <w:right w:w="0" w:type="dxa"/>
          </w:tcMar>
        </w:tcPr>
        <w:p w:rsidR="00893449" w:rsidRPr="0044776A" w:rsidRDefault="00A81DCF"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893449" w:rsidRPr="002E2327" w:rsidRDefault="0089344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104AB5">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FF6BA5"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104AB5" w:rsidTr="00245129">
      <w:tc>
        <w:tcPr>
          <w:tcW w:w="4200" w:type="dxa"/>
          <w:tcMar>
            <w:left w:w="0" w:type="dxa"/>
            <w:right w:w="0" w:type="dxa"/>
          </w:tcMar>
        </w:tcPr>
        <w:p w:rsidR="00893449" w:rsidRPr="00634F42" w:rsidRDefault="00634F4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3449" w:rsidRPr="00755F22" w:rsidRDefault="00634F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93449" w:rsidRPr="00FF6BA5" w:rsidRDefault="0089344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3449">
      <w:trPr>
        <w:gridAfter w:val="2"/>
        <w:wAfter w:w="5250" w:type="dxa"/>
      </w:trPr>
      <w:tc>
        <w:tcPr>
          <w:tcW w:w="4230" w:type="dxa"/>
          <w:tcMar>
            <w:left w:w="0" w:type="dxa"/>
            <w:right w:w="0" w:type="dxa"/>
          </w:tcMar>
        </w:tcPr>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55F22" w:rsidTr="00245129">
      <w:tc>
        <w:tcPr>
          <w:tcW w:w="4230" w:type="dxa"/>
          <w:tcMar>
            <w:left w:w="0" w:type="dxa"/>
            <w:right w:w="0" w:type="dxa"/>
          </w:tcMar>
        </w:tcPr>
        <w:p w:rsidR="00893449" w:rsidRPr="00755F22" w:rsidRDefault="001434B9" w:rsidP="00831CA9">
          <w:pPr>
            <w:keepNext/>
            <w:keepLines/>
            <w:rPr>
              <w:sz w:val="20"/>
              <w:szCs w:val="20"/>
            </w:rPr>
          </w:pPr>
          <w:r w:rsidRPr="00755F22">
            <w:rPr>
              <w:sz w:val="20"/>
              <w:szCs w:val="20"/>
            </w:rPr>
            <w:t>Motions</w:t>
          </w:r>
        </w:p>
      </w:tc>
      <w:tc>
        <w:tcPr>
          <w:tcW w:w="1170" w:type="dxa"/>
          <w:tcMar>
            <w:left w:w="0" w:type="dxa"/>
            <w:right w:w="0" w:type="dxa"/>
          </w:tcMar>
        </w:tcPr>
        <w:p w:rsidR="00893449" w:rsidRPr="00755F22" w:rsidRDefault="00893449" w:rsidP="00831CA9">
          <w:pPr>
            <w:keepLines/>
            <w:jc w:val="center"/>
            <w:rPr>
              <w:sz w:val="20"/>
              <w:szCs w:val="20"/>
            </w:rPr>
          </w:pPr>
        </w:p>
        <w:p w:rsidR="00893449" w:rsidRPr="00755F22" w:rsidRDefault="00893449" w:rsidP="00831CA9">
          <w:pPr>
            <w:keepLines/>
            <w:tabs>
              <w:tab w:val="left" w:pos="-1440"/>
              <w:tab w:val="left" w:pos="-720"/>
            </w:tabs>
            <w:jc w:val="center"/>
            <w:rPr>
              <w:sz w:val="20"/>
              <w:szCs w:val="20"/>
            </w:rPr>
          </w:pPr>
        </w:p>
      </w:tc>
      <w:tc>
        <w:tcPr>
          <w:tcW w:w="4080" w:type="dxa"/>
          <w:tcMar>
            <w:left w:w="0" w:type="dxa"/>
            <w:right w:w="0" w:type="dxa"/>
          </w:tcMar>
        </w:tcPr>
        <w:p w:rsidR="00893449" w:rsidRPr="00BA6468" w:rsidRDefault="001434B9" w:rsidP="00BA6468">
          <w:pPr>
            <w:keepLines/>
            <w:rPr>
              <w:sz w:val="20"/>
              <w:szCs w:val="20"/>
              <w:lang w:val="fr-CA"/>
            </w:rPr>
          </w:pPr>
          <w:r w:rsidRPr="00BA6468">
            <w:rPr>
              <w:sz w:val="20"/>
              <w:szCs w:val="20"/>
              <w:lang w:val="fr-CA"/>
            </w:rPr>
            <w:t>Requêtes</w:t>
          </w:r>
        </w:p>
      </w:tc>
    </w:tr>
  </w:tbl>
  <w:p w:rsidR="00893449" w:rsidRDefault="0089344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18D7"/>
    <w:multiLevelType w:val="hybridMultilevel"/>
    <w:tmpl w:val="AD10E9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53D020C"/>
    <w:multiLevelType w:val="hybridMultilevel"/>
    <w:tmpl w:val="FF1ED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02704"/>
    <w:rsid w:val="00014134"/>
    <w:rsid w:val="00016B53"/>
    <w:rsid w:val="00020DC3"/>
    <w:rsid w:val="0003223B"/>
    <w:rsid w:val="000327B2"/>
    <w:rsid w:val="00033A57"/>
    <w:rsid w:val="00037091"/>
    <w:rsid w:val="0004528B"/>
    <w:rsid w:val="00064FBA"/>
    <w:rsid w:val="00074A3B"/>
    <w:rsid w:val="00091BA6"/>
    <w:rsid w:val="00091FA6"/>
    <w:rsid w:val="0009686C"/>
    <w:rsid w:val="00096BD9"/>
    <w:rsid w:val="000B3C9A"/>
    <w:rsid w:val="000B40A2"/>
    <w:rsid w:val="000B4624"/>
    <w:rsid w:val="000C0ACD"/>
    <w:rsid w:val="000C0D2A"/>
    <w:rsid w:val="000C1D9D"/>
    <w:rsid w:val="000C48D7"/>
    <w:rsid w:val="000C5CE8"/>
    <w:rsid w:val="000E27A5"/>
    <w:rsid w:val="000E2959"/>
    <w:rsid w:val="000F00A5"/>
    <w:rsid w:val="000F0B60"/>
    <w:rsid w:val="000F2CA3"/>
    <w:rsid w:val="00102792"/>
    <w:rsid w:val="00102926"/>
    <w:rsid w:val="001031F4"/>
    <w:rsid w:val="00104AB5"/>
    <w:rsid w:val="0010587F"/>
    <w:rsid w:val="00111B7F"/>
    <w:rsid w:val="00111C6B"/>
    <w:rsid w:val="0012102B"/>
    <w:rsid w:val="00124D41"/>
    <w:rsid w:val="0013369E"/>
    <w:rsid w:val="0013595D"/>
    <w:rsid w:val="001434B9"/>
    <w:rsid w:val="0014374D"/>
    <w:rsid w:val="00143EF6"/>
    <w:rsid w:val="001459B8"/>
    <w:rsid w:val="00151DF4"/>
    <w:rsid w:val="00152E76"/>
    <w:rsid w:val="00164E6D"/>
    <w:rsid w:val="0016538E"/>
    <w:rsid w:val="00183454"/>
    <w:rsid w:val="00185DD4"/>
    <w:rsid w:val="0019203D"/>
    <w:rsid w:val="00195C7C"/>
    <w:rsid w:val="00195F99"/>
    <w:rsid w:val="001B0E72"/>
    <w:rsid w:val="001B157C"/>
    <w:rsid w:val="001B1994"/>
    <w:rsid w:val="001B4006"/>
    <w:rsid w:val="001B5C23"/>
    <w:rsid w:val="001D0D5F"/>
    <w:rsid w:val="001D6B8C"/>
    <w:rsid w:val="001F1F83"/>
    <w:rsid w:val="001F40DF"/>
    <w:rsid w:val="001F43F8"/>
    <w:rsid w:val="001F6B2D"/>
    <w:rsid w:val="001F794D"/>
    <w:rsid w:val="002021A9"/>
    <w:rsid w:val="002139A7"/>
    <w:rsid w:val="00215574"/>
    <w:rsid w:val="00215F7C"/>
    <w:rsid w:val="00221DEF"/>
    <w:rsid w:val="0022323B"/>
    <w:rsid w:val="00227E3D"/>
    <w:rsid w:val="002410B8"/>
    <w:rsid w:val="00242AEE"/>
    <w:rsid w:val="00245129"/>
    <w:rsid w:val="00245879"/>
    <w:rsid w:val="0025020B"/>
    <w:rsid w:val="00253236"/>
    <w:rsid w:val="002534CE"/>
    <w:rsid w:val="00267FD5"/>
    <w:rsid w:val="00271E1E"/>
    <w:rsid w:val="00274D34"/>
    <w:rsid w:val="00283AFF"/>
    <w:rsid w:val="00283ED8"/>
    <w:rsid w:val="002868D0"/>
    <w:rsid w:val="0028760B"/>
    <w:rsid w:val="002A008C"/>
    <w:rsid w:val="002A0FFA"/>
    <w:rsid w:val="002A1BA5"/>
    <w:rsid w:val="002A27D1"/>
    <w:rsid w:val="002A4AFA"/>
    <w:rsid w:val="002B2610"/>
    <w:rsid w:val="002B3AEB"/>
    <w:rsid w:val="002B516C"/>
    <w:rsid w:val="002B5D82"/>
    <w:rsid w:val="002C4E0D"/>
    <w:rsid w:val="002C4FA4"/>
    <w:rsid w:val="002C6385"/>
    <w:rsid w:val="002D72EB"/>
    <w:rsid w:val="002E2327"/>
    <w:rsid w:val="002E3583"/>
    <w:rsid w:val="002E5576"/>
    <w:rsid w:val="0030050B"/>
    <w:rsid w:val="003008F5"/>
    <w:rsid w:val="00304081"/>
    <w:rsid w:val="003245A2"/>
    <w:rsid w:val="003308AA"/>
    <w:rsid w:val="00331B52"/>
    <w:rsid w:val="00333403"/>
    <w:rsid w:val="003359D3"/>
    <w:rsid w:val="00336F64"/>
    <w:rsid w:val="0034657E"/>
    <w:rsid w:val="00351475"/>
    <w:rsid w:val="00355967"/>
    <w:rsid w:val="00356121"/>
    <w:rsid w:val="00382C47"/>
    <w:rsid w:val="00384384"/>
    <w:rsid w:val="003866AE"/>
    <w:rsid w:val="003A48B6"/>
    <w:rsid w:val="003B3977"/>
    <w:rsid w:val="003D49B1"/>
    <w:rsid w:val="003E1D4C"/>
    <w:rsid w:val="003E5F3E"/>
    <w:rsid w:val="00407C5D"/>
    <w:rsid w:val="0041245B"/>
    <w:rsid w:val="004137A0"/>
    <w:rsid w:val="00422D9A"/>
    <w:rsid w:val="004317DE"/>
    <w:rsid w:val="00432989"/>
    <w:rsid w:val="004342A0"/>
    <w:rsid w:val="00437F58"/>
    <w:rsid w:val="00440E24"/>
    <w:rsid w:val="0044776A"/>
    <w:rsid w:val="00460AFC"/>
    <w:rsid w:val="00467D19"/>
    <w:rsid w:val="00474280"/>
    <w:rsid w:val="0047471F"/>
    <w:rsid w:val="00494407"/>
    <w:rsid w:val="004B195E"/>
    <w:rsid w:val="004B66B4"/>
    <w:rsid w:val="004B7AD3"/>
    <w:rsid w:val="004B7F60"/>
    <w:rsid w:val="004C1AAC"/>
    <w:rsid w:val="004C1C35"/>
    <w:rsid w:val="004E0BA7"/>
    <w:rsid w:val="004E1E0A"/>
    <w:rsid w:val="004E44A7"/>
    <w:rsid w:val="004E5524"/>
    <w:rsid w:val="004F090E"/>
    <w:rsid w:val="004F187E"/>
    <w:rsid w:val="00501F3C"/>
    <w:rsid w:val="00506BE1"/>
    <w:rsid w:val="00516A32"/>
    <w:rsid w:val="00520F9E"/>
    <w:rsid w:val="0052229C"/>
    <w:rsid w:val="00527CC7"/>
    <w:rsid w:val="005525BD"/>
    <w:rsid w:val="00560DF1"/>
    <w:rsid w:val="0056248C"/>
    <w:rsid w:val="00564B09"/>
    <w:rsid w:val="00567602"/>
    <w:rsid w:val="00567680"/>
    <w:rsid w:val="00571CA4"/>
    <w:rsid w:val="00573AF2"/>
    <w:rsid w:val="00582136"/>
    <w:rsid w:val="005827DF"/>
    <w:rsid w:val="005B2A91"/>
    <w:rsid w:val="005B42CB"/>
    <w:rsid w:val="005C52B2"/>
    <w:rsid w:val="005C6840"/>
    <w:rsid w:val="005F1ED8"/>
    <w:rsid w:val="005F263E"/>
    <w:rsid w:val="005F40BA"/>
    <w:rsid w:val="005F79BB"/>
    <w:rsid w:val="00600252"/>
    <w:rsid w:val="00600B96"/>
    <w:rsid w:val="00602731"/>
    <w:rsid w:val="00602816"/>
    <w:rsid w:val="006046C4"/>
    <w:rsid w:val="00610A9D"/>
    <w:rsid w:val="00612A40"/>
    <w:rsid w:val="0062714A"/>
    <w:rsid w:val="00634F42"/>
    <w:rsid w:val="006615F4"/>
    <w:rsid w:val="00675479"/>
    <w:rsid w:val="00680709"/>
    <w:rsid w:val="00681F61"/>
    <w:rsid w:val="00684F23"/>
    <w:rsid w:val="006856B1"/>
    <w:rsid w:val="00693C38"/>
    <w:rsid w:val="00696BF9"/>
    <w:rsid w:val="00697C62"/>
    <w:rsid w:val="006A329B"/>
    <w:rsid w:val="006A7EB8"/>
    <w:rsid w:val="006B1E4C"/>
    <w:rsid w:val="006B6926"/>
    <w:rsid w:val="006C3F47"/>
    <w:rsid w:val="006C5F7A"/>
    <w:rsid w:val="006E06AF"/>
    <w:rsid w:val="006E1CB0"/>
    <w:rsid w:val="006F350F"/>
    <w:rsid w:val="00717608"/>
    <w:rsid w:val="00727571"/>
    <w:rsid w:val="00732DB7"/>
    <w:rsid w:val="007404E3"/>
    <w:rsid w:val="00742348"/>
    <w:rsid w:val="0074238B"/>
    <w:rsid w:val="00745EF7"/>
    <w:rsid w:val="00755F22"/>
    <w:rsid w:val="00766E4A"/>
    <w:rsid w:val="007820CE"/>
    <w:rsid w:val="00782AE4"/>
    <w:rsid w:val="0079724F"/>
    <w:rsid w:val="007A3EAE"/>
    <w:rsid w:val="007B31F0"/>
    <w:rsid w:val="007B4DFF"/>
    <w:rsid w:val="007C04FC"/>
    <w:rsid w:val="007C3D5F"/>
    <w:rsid w:val="007C3DB0"/>
    <w:rsid w:val="007C47C2"/>
    <w:rsid w:val="007D3E0F"/>
    <w:rsid w:val="007E138C"/>
    <w:rsid w:val="007E4282"/>
    <w:rsid w:val="007E7732"/>
    <w:rsid w:val="007F387B"/>
    <w:rsid w:val="00802863"/>
    <w:rsid w:val="00803A57"/>
    <w:rsid w:val="008112A9"/>
    <w:rsid w:val="0081473A"/>
    <w:rsid w:val="00815B3C"/>
    <w:rsid w:val="0081610A"/>
    <w:rsid w:val="00822D62"/>
    <w:rsid w:val="008277C4"/>
    <w:rsid w:val="0082783A"/>
    <w:rsid w:val="00831CA9"/>
    <w:rsid w:val="00842B6B"/>
    <w:rsid w:val="00844E40"/>
    <w:rsid w:val="00845C2A"/>
    <w:rsid w:val="00845D94"/>
    <w:rsid w:val="00850E1F"/>
    <w:rsid w:val="0085476B"/>
    <w:rsid w:val="0086262A"/>
    <w:rsid w:val="0086340B"/>
    <w:rsid w:val="00877FBB"/>
    <w:rsid w:val="008859F1"/>
    <w:rsid w:val="008902B1"/>
    <w:rsid w:val="00890FEB"/>
    <w:rsid w:val="00893449"/>
    <w:rsid w:val="00895E7E"/>
    <w:rsid w:val="008961FD"/>
    <w:rsid w:val="008A28DB"/>
    <w:rsid w:val="008A3945"/>
    <w:rsid w:val="008A5C1A"/>
    <w:rsid w:val="008C2318"/>
    <w:rsid w:val="008D085E"/>
    <w:rsid w:val="008D175B"/>
    <w:rsid w:val="008D292F"/>
    <w:rsid w:val="008D3D4B"/>
    <w:rsid w:val="008D6453"/>
    <w:rsid w:val="008E03DC"/>
    <w:rsid w:val="00900C02"/>
    <w:rsid w:val="00902E51"/>
    <w:rsid w:val="00904C54"/>
    <w:rsid w:val="00924065"/>
    <w:rsid w:val="00930B8A"/>
    <w:rsid w:val="00930D68"/>
    <w:rsid w:val="00932DB4"/>
    <w:rsid w:val="00941A4B"/>
    <w:rsid w:val="00946242"/>
    <w:rsid w:val="0095096B"/>
    <w:rsid w:val="00954A9D"/>
    <w:rsid w:val="00955827"/>
    <w:rsid w:val="00957556"/>
    <w:rsid w:val="00961C83"/>
    <w:rsid w:val="00970CD3"/>
    <w:rsid w:val="009723FA"/>
    <w:rsid w:val="00980DDC"/>
    <w:rsid w:val="00982449"/>
    <w:rsid w:val="00984546"/>
    <w:rsid w:val="00996510"/>
    <w:rsid w:val="009A75CF"/>
    <w:rsid w:val="009C4E23"/>
    <w:rsid w:val="009C70FE"/>
    <w:rsid w:val="009D1F15"/>
    <w:rsid w:val="009D555E"/>
    <w:rsid w:val="009F3024"/>
    <w:rsid w:val="009F39BA"/>
    <w:rsid w:val="00A0355E"/>
    <w:rsid w:val="00A234E1"/>
    <w:rsid w:val="00A242F4"/>
    <w:rsid w:val="00A375D1"/>
    <w:rsid w:val="00A41D2B"/>
    <w:rsid w:val="00A51D10"/>
    <w:rsid w:val="00A52A83"/>
    <w:rsid w:val="00A61252"/>
    <w:rsid w:val="00A6552C"/>
    <w:rsid w:val="00A71801"/>
    <w:rsid w:val="00A744AF"/>
    <w:rsid w:val="00A760C7"/>
    <w:rsid w:val="00A81DCF"/>
    <w:rsid w:val="00A87207"/>
    <w:rsid w:val="00A91469"/>
    <w:rsid w:val="00A935AA"/>
    <w:rsid w:val="00A956D3"/>
    <w:rsid w:val="00AA00A3"/>
    <w:rsid w:val="00AB2201"/>
    <w:rsid w:val="00AC3CBD"/>
    <w:rsid w:val="00AC5CD8"/>
    <w:rsid w:val="00AD1D34"/>
    <w:rsid w:val="00AD3259"/>
    <w:rsid w:val="00AE043C"/>
    <w:rsid w:val="00AF1715"/>
    <w:rsid w:val="00AF3904"/>
    <w:rsid w:val="00AF61BA"/>
    <w:rsid w:val="00B010C0"/>
    <w:rsid w:val="00B15CBE"/>
    <w:rsid w:val="00B27D0F"/>
    <w:rsid w:val="00B40FD9"/>
    <w:rsid w:val="00B4740D"/>
    <w:rsid w:val="00B500C5"/>
    <w:rsid w:val="00B54B7D"/>
    <w:rsid w:val="00B61629"/>
    <w:rsid w:val="00B635E0"/>
    <w:rsid w:val="00B7374B"/>
    <w:rsid w:val="00B82179"/>
    <w:rsid w:val="00B90DC0"/>
    <w:rsid w:val="00B94139"/>
    <w:rsid w:val="00B95ED0"/>
    <w:rsid w:val="00BA116A"/>
    <w:rsid w:val="00BA5582"/>
    <w:rsid w:val="00BA6468"/>
    <w:rsid w:val="00BA64DC"/>
    <w:rsid w:val="00BB15A8"/>
    <w:rsid w:val="00BB1D44"/>
    <w:rsid w:val="00BB3F8C"/>
    <w:rsid w:val="00BC680C"/>
    <w:rsid w:val="00BD06DA"/>
    <w:rsid w:val="00BD264E"/>
    <w:rsid w:val="00BD4217"/>
    <w:rsid w:val="00BD51A9"/>
    <w:rsid w:val="00BE34F7"/>
    <w:rsid w:val="00BF25F3"/>
    <w:rsid w:val="00C01FCB"/>
    <w:rsid w:val="00C14362"/>
    <w:rsid w:val="00C1697B"/>
    <w:rsid w:val="00C1791A"/>
    <w:rsid w:val="00C20EA4"/>
    <w:rsid w:val="00C21644"/>
    <w:rsid w:val="00C21CB5"/>
    <w:rsid w:val="00C257CD"/>
    <w:rsid w:val="00C27015"/>
    <w:rsid w:val="00C406CA"/>
    <w:rsid w:val="00C46376"/>
    <w:rsid w:val="00C50A5C"/>
    <w:rsid w:val="00C50FDF"/>
    <w:rsid w:val="00C54F58"/>
    <w:rsid w:val="00C63381"/>
    <w:rsid w:val="00C73D06"/>
    <w:rsid w:val="00C73E1B"/>
    <w:rsid w:val="00C73EE8"/>
    <w:rsid w:val="00C7556C"/>
    <w:rsid w:val="00C759B4"/>
    <w:rsid w:val="00C77713"/>
    <w:rsid w:val="00C8528C"/>
    <w:rsid w:val="00C85BB7"/>
    <w:rsid w:val="00C86E0F"/>
    <w:rsid w:val="00CA2DEA"/>
    <w:rsid w:val="00CA63D3"/>
    <w:rsid w:val="00CA6637"/>
    <w:rsid w:val="00CB3520"/>
    <w:rsid w:val="00CB43D5"/>
    <w:rsid w:val="00CB6338"/>
    <w:rsid w:val="00CC4D84"/>
    <w:rsid w:val="00CD0A4E"/>
    <w:rsid w:val="00CE198A"/>
    <w:rsid w:val="00CE4217"/>
    <w:rsid w:val="00CE5B8D"/>
    <w:rsid w:val="00CF08C8"/>
    <w:rsid w:val="00CF4FDF"/>
    <w:rsid w:val="00D004FC"/>
    <w:rsid w:val="00D07B78"/>
    <w:rsid w:val="00D22BC0"/>
    <w:rsid w:val="00D4102D"/>
    <w:rsid w:val="00D52F50"/>
    <w:rsid w:val="00D6331A"/>
    <w:rsid w:val="00D63497"/>
    <w:rsid w:val="00D64901"/>
    <w:rsid w:val="00D76BDF"/>
    <w:rsid w:val="00D818B6"/>
    <w:rsid w:val="00D82A57"/>
    <w:rsid w:val="00D82BFF"/>
    <w:rsid w:val="00D8443D"/>
    <w:rsid w:val="00D862C1"/>
    <w:rsid w:val="00D93B50"/>
    <w:rsid w:val="00D94028"/>
    <w:rsid w:val="00D9426E"/>
    <w:rsid w:val="00D94670"/>
    <w:rsid w:val="00DA46F6"/>
    <w:rsid w:val="00DA756F"/>
    <w:rsid w:val="00DA7FDC"/>
    <w:rsid w:val="00DB55CA"/>
    <w:rsid w:val="00DC0577"/>
    <w:rsid w:val="00DC6B2E"/>
    <w:rsid w:val="00DD0B49"/>
    <w:rsid w:val="00DD0BDC"/>
    <w:rsid w:val="00DE0502"/>
    <w:rsid w:val="00DE349D"/>
    <w:rsid w:val="00DE668C"/>
    <w:rsid w:val="00DF6C40"/>
    <w:rsid w:val="00E01E86"/>
    <w:rsid w:val="00E0270C"/>
    <w:rsid w:val="00E06DFA"/>
    <w:rsid w:val="00E20153"/>
    <w:rsid w:val="00E20A0A"/>
    <w:rsid w:val="00E240C2"/>
    <w:rsid w:val="00E356C7"/>
    <w:rsid w:val="00E414CA"/>
    <w:rsid w:val="00E41A5A"/>
    <w:rsid w:val="00E43156"/>
    <w:rsid w:val="00E45FE4"/>
    <w:rsid w:val="00E53345"/>
    <w:rsid w:val="00E64FA7"/>
    <w:rsid w:val="00E65960"/>
    <w:rsid w:val="00E664DA"/>
    <w:rsid w:val="00E670F7"/>
    <w:rsid w:val="00E71254"/>
    <w:rsid w:val="00E75CFD"/>
    <w:rsid w:val="00E76CA0"/>
    <w:rsid w:val="00E770CB"/>
    <w:rsid w:val="00E8544A"/>
    <w:rsid w:val="00E903A1"/>
    <w:rsid w:val="00E92A37"/>
    <w:rsid w:val="00E940EB"/>
    <w:rsid w:val="00E942C2"/>
    <w:rsid w:val="00E9703F"/>
    <w:rsid w:val="00E97984"/>
    <w:rsid w:val="00EA2EA2"/>
    <w:rsid w:val="00EB2B90"/>
    <w:rsid w:val="00ED078F"/>
    <w:rsid w:val="00ED7E83"/>
    <w:rsid w:val="00EE091F"/>
    <w:rsid w:val="00EF4B63"/>
    <w:rsid w:val="00F0068D"/>
    <w:rsid w:val="00F04BB2"/>
    <w:rsid w:val="00F0576D"/>
    <w:rsid w:val="00F14E6D"/>
    <w:rsid w:val="00F15EA8"/>
    <w:rsid w:val="00F16063"/>
    <w:rsid w:val="00F16C8D"/>
    <w:rsid w:val="00F253CC"/>
    <w:rsid w:val="00F26C61"/>
    <w:rsid w:val="00F320A7"/>
    <w:rsid w:val="00F33CCE"/>
    <w:rsid w:val="00F40249"/>
    <w:rsid w:val="00F46DAD"/>
    <w:rsid w:val="00F526C8"/>
    <w:rsid w:val="00F554B5"/>
    <w:rsid w:val="00F655E3"/>
    <w:rsid w:val="00F663FF"/>
    <w:rsid w:val="00F75954"/>
    <w:rsid w:val="00F761A3"/>
    <w:rsid w:val="00F81B34"/>
    <w:rsid w:val="00F82043"/>
    <w:rsid w:val="00F84632"/>
    <w:rsid w:val="00F9272D"/>
    <w:rsid w:val="00F9518C"/>
    <w:rsid w:val="00FA316E"/>
    <w:rsid w:val="00FA3373"/>
    <w:rsid w:val="00FA59EF"/>
    <w:rsid w:val="00FB19A2"/>
    <w:rsid w:val="00FB1DB6"/>
    <w:rsid w:val="00FB4A2E"/>
    <w:rsid w:val="00FC4FD1"/>
    <w:rsid w:val="00FD053D"/>
    <w:rsid w:val="00FE068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character" w:customStyle="1" w:styleId="reflex3-block">
    <w:name w:val="reflex3-block"/>
    <w:basedOn w:val="DefaultParagraphFont"/>
    <w:rsid w:val="008D175B"/>
  </w:style>
  <w:style w:type="paragraph" w:customStyle="1" w:styleId="SCCLsocSubfileSeparator0">
    <w:name w:val="SCC.Lsoc.SubfileSeparator"/>
    <w:basedOn w:val="Normal"/>
    <w:next w:val="Normal"/>
    <w:link w:val="SCCLsocSubfileSeparatorChar"/>
    <w:rsid w:val="008D175B"/>
    <w:pPr>
      <w:jc w:val="both"/>
    </w:pPr>
    <w:rPr>
      <w:rFonts w:cs="Times New Roman"/>
      <w:b/>
      <w:szCs w:val="24"/>
    </w:rPr>
  </w:style>
  <w:style w:type="character" w:customStyle="1" w:styleId="SCCLsocSubfileSeparatorChar">
    <w:name w:val="SCC.Lsoc.SubfileSeparator Char"/>
    <w:basedOn w:val="DefaultParagraphFont"/>
    <w:link w:val="SCCLsocSubfileSeparator0"/>
    <w:rsid w:val="008D175B"/>
    <w:rPr>
      <w:rFonts w:cs="Times New Roman"/>
      <w:b/>
      <w:szCs w:val="24"/>
      <w:lang w:val="en-CA"/>
    </w:rPr>
  </w:style>
  <w:style w:type="paragraph" w:customStyle="1" w:styleId="scclsocparty1">
    <w:name w:val="scclsocparty1"/>
    <w:basedOn w:val="Normal"/>
    <w:rsid w:val="00904C54"/>
    <w:pPr>
      <w:jc w:val="both"/>
    </w:pPr>
    <w:rPr>
      <w:rFonts w:eastAsia="Times New Roman" w:cs="Times New Roman"/>
      <w:b/>
      <w:bCs/>
      <w:szCs w:val="24"/>
      <w:lang w:val="en-US"/>
    </w:rPr>
  </w:style>
  <w:style w:type="paragraph" w:customStyle="1" w:styleId="SCCBanSummary0">
    <w:name w:val="SCC.BanSummary"/>
    <w:basedOn w:val="Normal"/>
    <w:next w:val="Normal"/>
    <w:link w:val="SCCBanSummaryChar"/>
    <w:rsid w:val="005F79BB"/>
    <w:pPr>
      <w:jc w:val="both"/>
    </w:pPr>
    <w:rPr>
      <w:rFonts w:eastAsia="Calibri" w:cs="Times New Roman"/>
      <w:smallCaps/>
    </w:rPr>
  </w:style>
  <w:style w:type="character" w:customStyle="1" w:styleId="SCCBanSummaryChar">
    <w:name w:val="SCC.BanSummary Char"/>
    <w:link w:val="SCCBanSummary0"/>
    <w:rsid w:val="005F79BB"/>
    <w:rPr>
      <w:rFonts w:eastAsia="Calibri" w:cs="Times New Roman"/>
      <w:smallCaps/>
      <w:lang w:val="en-CA"/>
    </w:rPr>
  </w:style>
  <w:style w:type="paragraph" w:styleId="NoSpacing">
    <w:name w:val="No Spacing"/>
    <w:uiPriority w:val="1"/>
    <w:qFormat/>
    <w:rsid w:val="005F79BB"/>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5F79BB"/>
    <w:rPr>
      <w:rFonts w:eastAsia="Calibri" w:cs="Times New Roman"/>
      <w:szCs w:val="24"/>
    </w:rPr>
  </w:style>
  <w:style w:type="character" w:customStyle="1" w:styleId="SCCAppellantInfoAppellantInfoChar">
    <w:name w:val="SCC.AppellantInfo.AppellantInfo Char"/>
    <w:link w:val="SCCAppellantInfoAppellantInfo"/>
    <w:rsid w:val="005F79BB"/>
    <w:rPr>
      <w:rFonts w:eastAsia="Calibri" w:cs="Times New Roman"/>
      <w:szCs w:val="24"/>
      <w:lang w:val="en-CA"/>
    </w:rPr>
  </w:style>
  <w:style w:type="paragraph" w:styleId="DocumentMap">
    <w:name w:val="Document Map"/>
    <w:basedOn w:val="Normal"/>
    <w:link w:val="DocumentMapChar"/>
    <w:uiPriority w:val="99"/>
    <w:semiHidden/>
    <w:unhideWhenUsed/>
    <w:rsid w:val="005F79B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F79BB"/>
    <w:rPr>
      <w:rFonts w:ascii="Tahoma" w:eastAsia="Times New Roman" w:hAnsi="Tahoma" w:cs="Tahoma"/>
      <w:sz w:val="16"/>
      <w:szCs w:val="16"/>
    </w:rPr>
  </w:style>
  <w:style w:type="paragraph" w:customStyle="1" w:styleId="Style268435469">
    <w:name w:val="Style268435469"/>
    <w:rsid w:val="005F79BB"/>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F79B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F79BB"/>
    <w:rPr>
      <w:rFonts w:ascii="Consolas" w:eastAsia="Times New Roman" w:hAnsi="Consolas" w:cs="Times New Roman"/>
      <w:sz w:val="21"/>
      <w:szCs w:val="21"/>
    </w:rPr>
  </w:style>
  <w:style w:type="paragraph" w:customStyle="1" w:styleId="SCCSsoc">
    <w:name w:val="SCC.Ssoc"/>
    <w:basedOn w:val="Normal"/>
    <w:next w:val="Normal"/>
    <w:link w:val="SCCSsocChar0"/>
    <w:rsid w:val="005F79BB"/>
    <w:rPr>
      <w:rFonts w:eastAsia="Calibri" w:cs="Times New Roman"/>
      <w:i/>
      <w:sz w:val="20"/>
      <w:szCs w:val="20"/>
    </w:rPr>
  </w:style>
  <w:style w:type="character" w:customStyle="1" w:styleId="SCCSsocChar0">
    <w:name w:val="SCC.Ssoc Char"/>
    <w:link w:val="SCCSsoc"/>
    <w:rsid w:val="005F79BB"/>
    <w:rPr>
      <w:rFonts w:eastAsia="Calibri" w:cs="Times New Roman"/>
      <w:i/>
      <w:sz w:val="20"/>
      <w:szCs w:val="20"/>
      <w:lang w:val="en-CA"/>
    </w:rPr>
  </w:style>
  <w:style w:type="table" w:customStyle="1" w:styleId="TableGrid21">
    <w:name w:val="Table Grid21"/>
    <w:basedOn w:val="TableNormal"/>
    <w:next w:val="TableGrid"/>
    <w:uiPriority w:val="59"/>
    <w:rsid w:val="005F79BB"/>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F79BB"/>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F79BB"/>
    <w:rPr>
      <w:sz w:val="16"/>
      <w:szCs w:val="16"/>
    </w:rPr>
  </w:style>
  <w:style w:type="paragraph" w:styleId="CommentText">
    <w:name w:val="annotation text"/>
    <w:basedOn w:val="Normal"/>
    <w:link w:val="CommentTextChar"/>
    <w:uiPriority w:val="99"/>
    <w:semiHidden/>
    <w:unhideWhenUsed/>
    <w:rsid w:val="005F79B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F79B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9BB"/>
    <w:rPr>
      <w:b/>
      <w:bCs/>
    </w:rPr>
  </w:style>
  <w:style w:type="character" w:customStyle="1" w:styleId="CommentSubjectChar">
    <w:name w:val="Comment Subject Char"/>
    <w:basedOn w:val="CommentTextChar"/>
    <w:link w:val="CommentSubject"/>
    <w:uiPriority w:val="99"/>
    <w:semiHidden/>
    <w:rsid w:val="005F79BB"/>
    <w:rPr>
      <w:rFonts w:eastAsia="Times New Roman" w:cs="Times New Roman"/>
      <w:b/>
      <w:bCs/>
      <w:sz w:val="20"/>
      <w:szCs w:val="20"/>
    </w:rPr>
  </w:style>
  <w:style w:type="table" w:customStyle="1" w:styleId="TableGrid4">
    <w:name w:val="Table Grid4"/>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F79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0">
    <w:name w:val="SCC.CaseDescriptor"/>
    <w:basedOn w:val="Normal"/>
    <w:link w:val="SCCCaseDescriptorChar"/>
    <w:qFormat/>
    <w:rsid w:val="005F79BB"/>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5F79BB"/>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171">
      <w:bodyDiv w:val="1"/>
      <w:marLeft w:val="0"/>
      <w:marRight w:val="0"/>
      <w:marTop w:val="0"/>
      <w:marBottom w:val="0"/>
      <w:divBdr>
        <w:top w:val="none" w:sz="0" w:space="0" w:color="auto"/>
        <w:left w:val="none" w:sz="0" w:space="0" w:color="auto"/>
        <w:bottom w:val="none" w:sz="0" w:space="0" w:color="auto"/>
        <w:right w:val="none" w:sz="0" w:space="0" w:color="auto"/>
      </w:divBdr>
      <w:divsChild>
        <w:div w:id="332613680">
          <w:marLeft w:val="-225"/>
          <w:marRight w:val="-225"/>
          <w:marTop w:val="60"/>
          <w:marBottom w:val="60"/>
          <w:divBdr>
            <w:top w:val="none" w:sz="0" w:space="0" w:color="auto"/>
            <w:left w:val="none" w:sz="0" w:space="0" w:color="auto"/>
            <w:bottom w:val="none" w:sz="0" w:space="0" w:color="auto"/>
            <w:right w:val="none" w:sz="0" w:space="0" w:color="auto"/>
          </w:divBdr>
          <w:divsChild>
            <w:div w:id="1609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26097040">
      <w:bodyDiv w:val="1"/>
      <w:marLeft w:val="0"/>
      <w:marRight w:val="0"/>
      <w:marTop w:val="0"/>
      <w:marBottom w:val="0"/>
      <w:divBdr>
        <w:top w:val="none" w:sz="0" w:space="0" w:color="auto"/>
        <w:left w:val="none" w:sz="0" w:space="0" w:color="auto"/>
        <w:bottom w:val="none" w:sz="0" w:space="0" w:color="auto"/>
        <w:right w:val="none" w:sz="0" w:space="0" w:color="auto"/>
      </w:divBdr>
      <w:divsChild>
        <w:div w:id="205029141">
          <w:marLeft w:val="-225"/>
          <w:marRight w:val="-225"/>
          <w:marTop w:val="60"/>
          <w:marBottom w:val="60"/>
          <w:divBdr>
            <w:top w:val="none" w:sz="0" w:space="0" w:color="auto"/>
            <w:left w:val="none" w:sz="0" w:space="0" w:color="auto"/>
            <w:bottom w:val="none" w:sz="0" w:space="0" w:color="auto"/>
            <w:right w:val="none" w:sz="0" w:space="0" w:color="auto"/>
          </w:divBdr>
          <w:divsChild>
            <w:div w:id="13294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0496">
      <w:bodyDiv w:val="1"/>
      <w:marLeft w:val="0"/>
      <w:marRight w:val="0"/>
      <w:marTop w:val="0"/>
      <w:marBottom w:val="0"/>
      <w:divBdr>
        <w:top w:val="none" w:sz="0" w:space="0" w:color="auto"/>
        <w:left w:val="none" w:sz="0" w:space="0" w:color="auto"/>
        <w:bottom w:val="none" w:sz="0" w:space="0" w:color="auto"/>
        <w:right w:val="none" w:sz="0" w:space="0" w:color="auto"/>
      </w:divBdr>
      <w:divsChild>
        <w:div w:id="1848670664">
          <w:marLeft w:val="-225"/>
          <w:marRight w:val="-225"/>
          <w:marTop w:val="60"/>
          <w:marBottom w:val="60"/>
          <w:divBdr>
            <w:top w:val="none" w:sz="0" w:space="0" w:color="auto"/>
            <w:left w:val="none" w:sz="0" w:space="0" w:color="auto"/>
            <w:bottom w:val="none" w:sz="0" w:space="0" w:color="auto"/>
            <w:right w:val="none" w:sz="0" w:space="0" w:color="auto"/>
          </w:divBdr>
          <w:divsChild>
            <w:div w:id="2020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8480">
      <w:bodyDiv w:val="1"/>
      <w:marLeft w:val="0"/>
      <w:marRight w:val="0"/>
      <w:marTop w:val="0"/>
      <w:marBottom w:val="0"/>
      <w:divBdr>
        <w:top w:val="none" w:sz="0" w:space="0" w:color="auto"/>
        <w:left w:val="none" w:sz="0" w:space="0" w:color="auto"/>
        <w:bottom w:val="none" w:sz="0" w:space="0" w:color="auto"/>
        <w:right w:val="none" w:sz="0" w:space="0" w:color="auto"/>
      </w:divBdr>
      <w:divsChild>
        <w:div w:id="2058311109">
          <w:marLeft w:val="-225"/>
          <w:marRight w:val="-225"/>
          <w:marTop w:val="60"/>
          <w:marBottom w:val="60"/>
          <w:divBdr>
            <w:top w:val="none" w:sz="0" w:space="0" w:color="auto"/>
            <w:left w:val="none" w:sz="0" w:space="0" w:color="auto"/>
            <w:bottom w:val="none" w:sz="0" w:space="0" w:color="auto"/>
            <w:right w:val="none" w:sz="0" w:space="0" w:color="auto"/>
          </w:divBdr>
          <w:divsChild>
            <w:div w:id="973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78654019">
      <w:bodyDiv w:val="1"/>
      <w:marLeft w:val="0"/>
      <w:marRight w:val="0"/>
      <w:marTop w:val="0"/>
      <w:marBottom w:val="0"/>
      <w:divBdr>
        <w:top w:val="none" w:sz="0" w:space="0" w:color="auto"/>
        <w:left w:val="none" w:sz="0" w:space="0" w:color="auto"/>
        <w:bottom w:val="none" w:sz="0" w:space="0" w:color="auto"/>
        <w:right w:val="none" w:sz="0" w:space="0" w:color="auto"/>
      </w:divBdr>
      <w:divsChild>
        <w:div w:id="809396279">
          <w:marLeft w:val="-225"/>
          <w:marRight w:val="-225"/>
          <w:marTop w:val="60"/>
          <w:marBottom w:val="60"/>
          <w:divBdr>
            <w:top w:val="none" w:sz="0" w:space="0" w:color="auto"/>
            <w:left w:val="none" w:sz="0" w:space="0" w:color="auto"/>
            <w:bottom w:val="none" w:sz="0" w:space="0" w:color="auto"/>
            <w:right w:val="none" w:sz="0" w:space="0" w:color="auto"/>
          </w:divBdr>
          <w:divsChild>
            <w:div w:id="20866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6907">
      <w:bodyDiv w:val="1"/>
      <w:marLeft w:val="0"/>
      <w:marRight w:val="0"/>
      <w:marTop w:val="0"/>
      <w:marBottom w:val="0"/>
      <w:divBdr>
        <w:top w:val="none" w:sz="0" w:space="0" w:color="auto"/>
        <w:left w:val="none" w:sz="0" w:space="0" w:color="auto"/>
        <w:bottom w:val="none" w:sz="0" w:space="0" w:color="auto"/>
        <w:right w:val="none" w:sz="0" w:space="0" w:color="auto"/>
      </w:divBdr>
      <w:divsChild>
        <w:div w:id="452335145">
          <w:marLeft w:val="-225"/>
          <w:marRight w:val="-225"/>
          <w:marTop w:val="60"/>
          <w:marBottom w:val="60"/>
          <w:divBdr>
            <w:top w:val="none" w:sz="0" w:space="0" w:color="auto"/>
            <w:left w:val="none" w:sz="0" w:space="0" w:color="auto"/>
            <w:bottom w:val="none" w:sz="0" w:space="0" w:color="auto"/>
            <w:right w:val="none" w:sz="0" w:space="0" w:color="auto"/>
          </w:divBdr>
          <w:divsChild>
            <w:div w:id="4489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04681712">
      <w:bodyDiv w:val="1"/>
      <w:marLeft w:val="0"/>
      <w:marRight w:val="0"/>
      <w:marTop w:val="0"/>
      <w:marBottom w:val="0"/>
      <w:divBdr>
        <w:top w:val="none" w:sz="0" w:space="0" w:color="auto"/>
        <w:left w:val="none" w:sz="0" w:space="0" w:color="auto"/>
        <w:bottom w:val="none" w:sz="0" w:space="0" w:color="auto"/>
        <w:right w:val="none" w:sz="0" w:space="0" w:color="auto"/>
      </w:divBdr>
      <w:divsChild>
        <w:div w:id="1242836560">
          <w:marLeft w:val="-225"/>
          <w:marRight w:val="-225"/>
          <w:marTop w:val="60"/>
          <w:marBottom w:val="60"/>
          <w:divBdr>
            <w:top w:val="none" w:sz="0" w:space="0" w:color="auto"/>
            <w:left w:val="none" w:sz="0" w:space="0" w:color="auto"/>
            <w:bottom w:val="none" w:sz="0" w:space="0" w:color="auto"/>
            <w:right w:val="none" w:sz="0" w:space="0" w:color="auto"/>
          </w:divBdr>
          <w:divsChild>
            <w:div w:id="1732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746">
      <w:bodyDiv w:val="1"/>
      <w:marLeft w:val="0"/>
      <w:marRight w:val="0"/>
      <w:marTop w:val="0"/>
      <w:marBottom w:val="0"/>
      <w:divBdr>
        <w:top w:val="none" w:sz="0" w:space="0" w:color="auto"/>
        <w:left w:val="none" w:sz="0" w:space="0" w:color="auto"/>
        <w:bottom w:val="none" w:sz="0" w:space="0" w:color="auto"/>
        <w:right w:val="none" w:sz="0" w:space="0" w:color="auto"/>
      </w:divBdr>
      <w:divsChild>
        <w:div w:id="1421607991">
          <w:marLeft w:val="-225"/>
          <w:marRight w:val="-225"/>
          <w:marTop w:val="60"/>
          <w:marBottom w:val="60"/>
          <w:divBdr>
            <w:top w:val="none" w:sz="0" w:space="0" w:color="auto"/>
            <w:left w:val="none" w:sz="0" w:space="0" w:color="auto"/>
            <w:bottom w:val="none" w:sz="0" w:space="0" w:color="auto"/>
            <w:right w:val="none" w:sz="0" w:space="0" w:color="auto"/>
          </w:divBdr>
          <w:divsChild>
            <w:div w:id="5867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4586">
      <w:bodyDiv w:val="1"/>
      <w:marLeft w:val="0"/>
      <w:marRight w:val="0"/>
      <w:marTop w:val="0"/>
      <w:marBottom w:val="0"/>
      <w:divBdr>
        <w:top w:val="none" w:sz="0" w:space="0" w:color="auto"/>
        <w:left w:val="none" w:sz="0" w:space="0" w:color="auto"/>
        <w:bottom w:val="none" w:sz="0" w:space="0" w:color="auto"/>
        <w:right w:val="none" w:sz="0" w:space="0" w:color="auto"/>
      </w:divBdr>
      <w:divsChild>
        <w:div w:id="1741974694">
          <w:marLeft w:val="-225"/>
          <w:marRight w:val="-225"/>
          <w:marTop w:val="60"/>
          <w:marBottom w:val="60"/>
          <w:divBdr>
            <w:top w:val="none" w:sz="0" w:space="0" w:color="auto"/>
            <w:left w:val="none" w:sz="0" w:space="0" w:color="auto"/>
            <w:bottom w:val="none" w:sz="0" w:space="0" w:color="auto"/>
            <w:right w:val="none" w:sz="0" w:space="0" w:color="auto"/>
          </w:divBdr>
          <w:divsChild>
            <w:div w:id="6090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190">
      <w:bodyDiv w:val="1"/>
      <w:marLeft w:val="0"/>
      <w:marRight w:val="0"/>
      <w:marTop w:val="0"/>
      <w:marBottom w:val="0"/>
      <w:divBdr>
        <w:top w:val="none" w:sz="0" w:space="0" w:color="auto"/>
        <w:left w:val="none" w:sz="0" w:space="0" w:color="auto"/>
        <w:bottom w:val="none" w:sz="0" w:space="0" w:color="auto"/>
        <w:right w:val="none" w:sz="0" w:space="0" w:color="auto"/>
      </w:divBdr>
      <w:divsChild>
        <w:div w:id="2082020733">
          <w:marLeft w:val="-225"/>
          <w:marRight w:val="-225"/>
          <w:marTop w:val="60"/>
          <w:marBottom w:val="60"/>
          <w:divBdr>
            <w:top w:val="none" w:sz="0" w:space="0" w:color="auto"/>
            <w:left w:val="none" w:sz="0" w:space="0" w:color="auto"/>
            <w:bottom w:val="none" w:sz="0" w:space="0" w:color="auto"/>
            <w:right w:val="none" w:sz="0" w:space="0" w:color="auto"/>
          </w:divBdr>
          <w:divsChild>
            <w:div w:id="194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15944301">
      <w:bodyDiv w:val="1"/>
      <w:marLeft w:val="0"/>
      <w:marRight w:val="0"/>
      <w:marTop w:val="0"/>
      <w:marBottom w:val="0"/>
      <w:divBdr>
        <w:top w:val="none" w:sz="0" w:space="0" w:color="auto"/>
        <w:left w:val="none" w:sz="0" w:space="0" w:color="auto"/>
        <w:bottom w:val="none" w:sz="0" w:space="0" w:color="auto"/>
        <w:right w:val="none" w:sz="0" w:space="0" w:color="auto"/>
      </w:divBdr>
      <w:divsChild>
        <w:div w:id="1647514972">
          <w:marLeft w:val="-225"/>
          <w:marRight w:val="-225"/>
          <w:marTop w:val="60"/>
          <w:marBottom w:val="60"/>
          <w:divBdr>
            <w:top w:val="none" w:sz="0" w:space="0" w:color="auto"/>
            <w:left w:val="none" w:sz="0" w:space="0" w:color="auto"/>
            <w:bottom w:val="none" w:sz="0" w:space="0" w:color="auto"/>
            <w:right w:val="none" w:sz="0" w:space="0" w:color="auto"/>
          </w:divBdr>
          <w:divsChild>
            <w:div w:id="883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79336019">
      <w:bodyDiv w:val="1"/>
      <w:marLeft w:val="0"/>
      <w:marRight w:val="0"/>
      <w:marTop w:val="0"/>
      <w:marBottom w:val="0"/>
      <w:divBdr>
        <w:top w:val="none" w:sz="0" w:space="0" w:color="auto"/>
        <w:left w:val="none" w:sz="0" w:space="0" w:color="auto"/>
        <w:bottom w:val="none" w:sz="0" w:space="0" w:color="auto"/>
        <w:right w:val="none" w:sz="0" w:space="0" w:color="auto"/>
      </w:divBdr>
      <w:divsChild>
        <w:div w:id="867304495">
          <w:marLeft w:val="-225"/>
          <w:marRight w:val="-225"/>
          <w:marTop w:val="60"/>
          <w:marBottom w:val="60"/>
          <w:divBdr>
            <w:top w:val="none" w:sz="0" w:space="0" w:color="auto"/>
            <w:left w:val="none" w:sz="0" w:space="0" w:color="auto"/>
            <w:bottom w:val="none" w:sz="0" w:space="0" w:color="auto"/>
            <w:right w:val="none" w:sz="0" w:space="0" w:color="auto"/>
          </w:divBdr>
          <w:divsChild>
            <w:div w:id="10119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bc/bcca/doc/2019/2019bcca151/2019bcca151.html?resultIndex=1" TargetMode="External"/><Relationship Id="rId39" Type="http://schemas.openxmlformats.org/officeDocument/2006/relationships/hyperlink" Target="https://www.canlii.org/en/ns/nsca/doc/2019/2019nsca14/2019nsca14.html?autocompleteStr=2019%20NSCA%2014%20&amp;autocompletePos=1" TargetMode="External"/><Relationship Id="rId21" Type="http://schemas.openxmlformats.org/officeDocument/2006/relationships/hyperlink" Target="https://www.canlii.org/en/bc/laws/stat/rsbc-1996-c-488/latest/rsbc-1996-c-488.html" TargetMode="External"/><Relationship Id="rId34" Type="http://schemas.openxmlformats.org/officeDocument/2006/relationships/hyperlink" Target="https://www.canlii.org/en/ab/abqb/doc/2018/2018abqb324/2018abqb324.html" TargetMode="External"/><Relationship Id="rId42" Type="http://schemas.openxmlformats.org/officeDocument/2006/relationships/hyperlink" Target="https://www.canlii.org/en/on/onsc/doc/2018/2018onsc4307/2018onsc4307.html" TargetMode="External"/><Relationship Id="rId47" Type="http://schemas.openxmlformats.org/officeDocument/2006/relationships/footer" Target="footer6.xm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yperlink" Target="https://decisions.scc-csc.ca/scc-csc/scc-csc/en/item/17985/index.do" TargetMode="External"/><Relationship Id="rId68" Type="http://schemas.openxmlformats.org/officeDocument/2006/relationships/footer" Target="footer15.xml"/><Relationship Id="rId76" Type="http://schemas.openxmlformats.org/officeDocument/2006/relationships/hyperlink" Target="http://www.scc-csc.ca/case-dossier/info/sum-som-fra.aspx?cas=38297" TargetMode="External"/><Relationship Id="rId84" Type="http://schemas.openxmlformats.org/officeDocument/2006/relationships/header" Target="header19.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cc-csc.ca/case-dossier/info/sum-som-eng.aspx?cas=38534"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bc/bcca/doc/2019/2019bcca151/2019bcca151.html?resultIndex=1" TargetMode="External"/><Relationship Id="rId11" Type="http://schemas.openxmlformats.org/officeDocument/2006/relationships/header" Target="header1.xml"/><Relationship Id="rId24" Type="http://schemas.openxmlformats.org/officeDocument/2006/relationships/hyperlink" Target="https://www.canlii.org/en/bc/bcpc/doc/2017/2017bcpc84/2017bcpc84.html?resultIndex=1" TargetMode="External"/><Relationship Id="rId32" Type="http://schemas.openxmlformats.org/officeDocument/2006/relationships/hyperlink" Target="https://www.canlii.org/en/ab/abqb/doc/2018/2018abqb324/2018abqb324.html" TargetMode="External"/><Relationship Id="rId37" Type="http://schemas.openxmlformats.org/officeDocument/2006/relationships/hyperlink" Target="https://www.canlii.org/en/ns/nsca/doc/2019/2019nsca14/2019nsca14.html?autocompleteStr=2019%20NSCA%2014%20&amp;autocompletePos=1" TargetMode="External"/><Relationship Id="rId40" Type="http://schemas.openxmlformats.org/officeDocument/2006/relationships/hyperlink" Target="https://www.canlii.org/en/on/onsc/doc/2018/2018onsc4307/2018onsc4307.html" TargetMode="Externa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2.xml"/><Relationship Id="rId66" Type="http://schemas.openxmlformats.org/officeDocument/2006/relationships/header" Target="header15.xml"/><Relationship Id="rId74" Type="http://schemas.openxmlformats.org/officeDocument/2006/relationships/hyperlink" Target="http://www.scc-csc.ca/case-dossier/info/sum-som-eng.aspx?cas=38374" TargetMode="External"/><Relationship Id="rId79" Type="http://schemas.openxmlformats.org/officeDocument/2006/relationships/hyperlink" Target="http://www.scc-csc.ca/case-dossier/info/sum-som-eng.aspx?cas=38677" TargetMode="Externa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header" Target="header13.xml"/><Relationship Id="rId82" Type="http://schemas.openxmlformats.org/officeDocument/2006/relationships/footer" Target="footer17.xml"/><Relationship Id="rId19" Type="http://schemas.openxmlformats.org/officeDocument/2006/relationships/hyperlink" Target="https://www.canlii.org/en/nl/nlca/doc/2019/2019nlca6/2019nlca6.html?autocompleteStr=2019%20NLCA%206&amp;autocompletePos=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bc/laws/stat/rsbc-1996-c-488/latest/rsbc-1996-c-488.html" TargetMode="External"/><Relationship Id="rId27" Type="http://schemas.openxmlformats.org/officeDocument/2006/relationships/hyperlink" Target="https://www.canlii.org/en/bc/bcpc/doc/2017/2017bcpc84/2017bcpc84.html?resultIndex=1" TargetMode="External"/><Relationship Id="rId30" Type="http://schemas.openxmlformats.org/officeDocument/2006/relationships/hyperlink" Target="https://www.canlii.org/en/mb/mbca/doc/2019/2019mbca43/2019mbca43.html?searchUrlHash=AAAAAQAMMjAxOSBtYmNhIDQzAAAAAAE&amp;resultIndex=1" TargetMode="External"/><Relationship Id="rId35" Type="http://schemas.openxmlformats.org/officeDocument/2006/relationships/hyperlink" Target="https://www.canlii.org/en/ab/abca/doc/2019/2019abca125/2019abca125.html?autocompleteStr=2019%20abca%20125&amp;autocompletePos=1" TargetMode="External"/><Relationship Id="rId43" Type="http://schemas.openxmlformats.org/officeDocument/2006/relationships/hyperlink" Target="https://www.canlii.org/en/on/onca/doc/2019/2019onca267/2019onca267.html" TargetMode="External"/><Relationship Id="rId48" Type="http://schemas.openxmlformats.org/officeDocument/2006/relationships/header" Target="header7.xml"/><Relationship Id="rId56" Type="http://schemas.openxmlformats.org/officeDocument/2006/relationships/hyperlink" Target="http://www.scc-csc.ca/case-dossier/info/sum-som-eng.aspx?cas=38642" TargetMode="External"/><Relationship Id="rId64" Type="http://schemas.openxmlformats.org/officeDocument/2006/relationships/hyperlink" Target="https://decisions.scc-csc.ca/scc-csc/scc-csc/fr/item/17985/index.do" TargetMode="External"/><Relationship Id="rId69" Type="http://schemas.openxmlformats.org/officeDocument/2006/relationships/header" Target="header16.xml"/><Relationship Id="rId77" Type="http://schemas.openxmlformats.org/officeDocument/2006/relationships/hyperlink" Target="http://www.scc-csc.ca/case-dossier/info/sum-som-eng.aspx?cas=38498" TargetMode="External"/><Relationship Id="rId8" Type="http://schemas.openxmlformats.org/officeDocument/2006/relationships/image" Target="media/image1.wmf"/><Relationship Id="rId51" Type="http://schemas.openxmlformats.org/officeDocument/2006/relationships/header" Target="header9.xml"/><Relationship Id="rId72" Type="http://schemas.openxmlformats.org/officeDocument/2006/relationships/hyperlink" Target="http://www.scc-csc.ca/case-dossier/info/sum-som-fra.aspx?cas=38242" TargetMode="External"/><Relationship Id="rId80" Type="http://schemas.openxmlformats.org/officeDocument/2006/relationships/header" Target="header17.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7/2017bcsc2389/2017bcsc2389.html?resultIndex=1" TargetMode="External"/><Relationship Id="rId33" Type="http://schemas.openxmlformats.org/officeDocument/2006/relationships/hyperlink" Target="https://www.canlii.org/en/ab/abca/doc/2019/2019abca125/2019abca125.html?autocompleteStr=2019%20abca%20125&amp;autocompletePos=1" TargetMode="External"/><Relationship Id="rId38" Type="http://schemas.openxmlformats.org/officeDocument/2006/relationships/hyperlink" Target="https://www.canlii.org/en/ns/nsuarb/doc/2018/2018nsuarb37/2018nsuarb37.html?autocompleteStr=2018%20nsuarb%2037&amp;autocompletePos=1" TargetMode="External"/><Relationship Id="rId46" Type="http://schemas.openxmlformats.org/officeDocument/2006/relationships/footer" Target="footer5.xml"/><Relationship Id="rId59" Type="http://schemas.openxmlformats.org/officeDocument/2006/relationships/footer" Target="footer11.xml"/><Relationship Id="rId67" Type="http://schemas.openxmlformats.org/officeDocument/2006/relationships/footer" Target="footer14.xml"/><Relationship Id="rId20" Type="http://schemas.openxmlformats.org/officeDocument/2006/relationships/hyperlink" Target="https://www.canlii.org/en/nl/nlca/doc/2019/2019nlca6/2019nlca6.html?autocompleteStr=2019%20NLCA%206&amp;autocompletePos=1" TargetMode="External"/><Relationship Id="rId41" Type="http://schemas.openxmlformats.org/officeDocument/2006/relationships/hyperlink" Target="https://www.canlii.org/en/on/onca/doc/2019/2019onca267/2019onca267.html" TargetMode="External"/><Relationship Id="rId54" Type="http://schemas.openxmlformats.org/officeDocument/2006/relationships/header" Target="header10.xml"/><Relationship Id="rId62" Type="http://schemas.openxmlformats.org/officeDocument/2006/relationships/footer" Target="footer13.xml"/><Relationship Id="rId70" Type="http://schemas.openxmlformats.org/officeDocument/2006/relationships/footer" Target="footer16.xml"/><Relationship Id="rId75" Type="http://schemas.openxmlformats.org/officeDocument/2006/relationships/hyperlink" Target="http://www.scc-csc.ca/case-dossier/info/sum-som-eng.aspx?cas=38376" TargetMode="External"/><Relationship Id="rId83" Type="http://schemas.openxmlformats.org/officeDocument/2006/relationships/footer" Target="footer1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laws/stat/rsbc-1996-c-488/latest/rsbc-1996-c-488.html" TargetMode="External"/><Relationship Id="rId28" Type="http://schemas.openxmlformats.org/officeDocument/2006/relationships/hyperlink" Target="https://www.canlii.org/en/bc/bcsc/doc/2017/2017bcsc2389/2017bcsc2389.html?resultIndex=1" TargetMode="External"/><Relationship Id="rId36" Type="http://schemas.openxmlformats.org/officeDocument/2006/relationships/hyperlink" Target="https://www.canlii.org/en/ns/nsuarb/doc/2018/2018nsuarb37/2018nsuarb37.html?autocompleteStr=2018%20nsuarb%2037&amp;autocompletePos=1" TargetMode="External"/><Relationship Id="rId49" Type="http://schemas.openxmlformats.org/officeDocument/2006/relationships/footer" Target="footer7.xml"/><Relationship Id="rId57" Type="http://schemas.openxmlformats.org/officeDocument/2006/relationships/header" Target="header11.xml"/><Relationship Id="rId10" Type="http://schemas.openxmlformats.org/officeDocument/2006/relationships/hyperlink" Target="http://www.scc-csc.ca" TargetMode="External"/><Relationship Id="rId31" Type="http://schemas.openxmlformats.org/officeDocument/2006/relationships/hyperlink" Target="https://www.canlii.org/en/mb/mbca/doc/2019/2019mbca43/2019mbca43.html?searchUrlHash=AAAAAQAMMjAxOSBtYmNhIDQzAAAAAAE&amp;resultIndex=1" TargetMode="External"/><Relationship Id="rId44" Type="http://schemas.openxmlformats.org/officeDocument/2006/relationships/header" Target="header5.xml"/><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header" Target="header14.xml"/><Relationship Id="rId73" Type="http://schemas.openxmlformats.org/officeDocument/2006/relationships/hyperlink" Target="http://www.scc-csc.ca/case-dossier/info/sum-som-eng.aspx?cas=38616" TargetMode="External"/><Relationship Id="rId78" Type="http://schemas.openxmlformats.org/officeDocument/2006/relationships/hyperlink" Target="http://www.scc-csc.ca/case-dossier/info/sum-som-eng.aspx?cas=38661" TargetMode="External"/><Relationship Id="rId81" Type="http://schemas.openxmlformats.org/officeDocument/2006/relationships/header" Target="header18.xml"/><Relationship Id="rId86"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D295-2DD2-4AB6-81FA-F4AA8C75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36</Pages>
  <Words>15932</Words>
  <Characters>90814</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2019-10-18T19:19:00Z</dcterms:created>
  <dcterms:modified xsi:type="dcterms:W3CDTF">2019-10-25T15:11:00Z</dcterms:modified>
</cp:coreProperties>
</file>