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047B76" w:rsidRDefault="00382C47" w:rsidP="00C7556C">
      <w:pPr>
        <w:jc w:val="center"/>
      </w:pPr>
      <w:r w:rsidRPr="00047B76">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047B76"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047B76" w:rsidTr="002E5576">
        <w:tc>
          <w:tcPr>
            <w:tcW w:w="4518" w:type="dxa"/>
          </w:tcPr>
          <w:p w:rsidR="00BF25F3" w:rsidRPr="00047B76" w:rsidRDefault="00BF25F3" w:rsidP="00BF25F3">
            <w:pPr>
              <w:tabs>
                <w:tab w:val="left" w:pos="6075"/>
              </w:tabs>
              <w:jc w:val="center"/>
              <w:rPr>
                <w:b/>
                <w:sz w:val="32"/>
                <w:szCs w:val="32"/>
              </w:rPr>
            </w:pPr>
            <w:r w:rsidRPr="00047B76">
              <w:rPr>
                <w:b/>
                <w:sz w:val="32"/>
                <w:szCs w:val="32"/>
              </w:rPr>
              <w:t>SUPREME COURT OF CANADA</w:t>
            </w:r>
          </w:p>
        </w:tc>
        <w:tc>
          <w:tcPr>
            <w:tcW w:w="630" w:type="dxa"/>
          </w:tcPr>
          <w:p w:rsidR="00BF25F3" w:rsidRPr="00047B76" w:rsidRDefault="00BF25F3" w:rsidP="00BF25F3">
            <w:pPr>
              <w:tabs>
                <w:tab w:val="left" w:pos="6075"/>
              </w:tabs>
              <w:jc w:val="center"/>
              <w:rPr>
                <w:sz w:val="32"/>
                <w:szCs w:val="32"/>
              </w:rPr>
            </w:pPr>
          </w:p>
        </w:tc>
        <w:tc>
          <w:tcPr>
            <w:tcW w:w="4428" w:type="dxa"/>
          </w:tcPr>
          <w:p w:rsidR="00BF25F3" w:rsidRPr="00047B76" w:rsidRDefault="00BF25F3" w:rsidP="00BF25F3">
            <w:pPr>
              <w:tabs>
                <w:tab w:val="left" w:pos="6075"/>
              </w:tabs>
              <w:jc w:val="center"/>
              <w:rPr>
                <w:b/>
                <w:sz w:val="32"/>
                <w:szCs w:val="32"/>
                <w:lang w:val="fr-CA"/>
              </w:rPr>
            </w:pPr>
            <w:r w:rsidRPr="00047B76">
              <w:rPr>
                <w:b/>
                <w:sz w:val="32"/>
                <w:szCs w:val="32"/>
                <w:lang w:val="fr-CA"/>
              </w:rPr>
              <w:t>COUR SUPRÊME DU CANADA</w:t>
            </w:r>
          </w:p>
        </w:tc>
      </w:tr>
      <w:tr w:rsidR="00BF25F3" w:rsidRPr="00047B76" w:rsidTr="002E5576">
        <w:tc>
          <w:tcPr>
            <w:tcW w:w="4518" w:type="dxa"/>
          </w:tcPr>
          <w:p w:rsidR="00BF25F3" w:rsidRPr="00047B76" w:rsidRDefault="00BF25F3" w:rsidP="00BF25F3">
            <w:pPr>
              <w:tabs>
                <w:tab w:val="left" w:pos="6075"/>
              </w:tabs>
            </w:pPr>
          </w:p>
          <w:p w:rsidR="001B5C23" w:rsidRPr="00047B76" w:rsidRDefault="001B5C23" w:rsidP="00BF25F3">
            <w:pPr>
              <w:tabs>
                <w:tab w:val="left" w:pos="6075"/>
              </w:tabs>
            </w:pPr>
          </w:p>
          <w:p w:rsidR="001B5C23" w:rsidRPr="00047B76" w:rsidRDefault="001B5C23" w:rsidP="00BF25F3">
            <w:pPr>
              <w:tabs>
                <w:tab w:val="left" w:pos="6075"/>
              </w:tabs>
            </w:pPr>
          </w:p>
        </w:tc>
        <w:tc>
          <w:tcPr>
            <w:tcW w:w="630" w:type="dxa"/>
          </w:tcPr>
          <w:p w:rsidR="00BF25F3" w:rsidRPr="00047B76" w:rsidRDefault="00BF25F3" w:rsidP="00BF25F3">
            <w:pPr>
              <w:tabs>
                <w:tab w:val="left" w:pos="6075"/>
              </w:tabs>
            </w:pPr>
          </w:p>
        </w:tc>
        <w:tc>
          <w:tcPr>
            <w:tcW w:w="4428" w:type="dxa"/>
          </w:tcPr>
          <w:p w:rsidR="00BF25F3" w:rsidRPr="00047B76" w:rsidRDefault="00BF25F3" w:rsidP="00BF25F3">
            <w:pPr>
              <w:tabs>
                <w:tab w:val="left" w:pos="6075"/>
              </w:tabs>
              <w:rPr>
                <w:lang w:val="fr-CA"/>
              </w:rPr>
            </w:pPr>
          </w:p>
        </w:tc>
      </w:tr>
      <w:tr w:rsidR="00BF25F3" w:rsidRPr="00047B76" w:rsidTr="002E5576">
        <w:tc>
          <w:tcPr>
            <w:tcW w:w="4518" w:type="dxa"/>
          </w:tcPr>
          <w:p w:rsidR="001B5C23" w:rsidRPr="00047B76" w:rsidRDefault="00BF25F3" w:rsidP="00BF25F3">
            <w:pPr>
              <w:tabs>
                <w:tab w:val="left" w:pos="6075"/>
              </w:tabs>
              <w:jc w:val="center"/>
              <w:rPr>
                <w:sz w:val="28"/>
                <w:szCs w:val="28"/>
              </w:rPr>
            </w:pPr>
            <w:r w:rsidRPr="00047B76">
              <w:rPr>
                <w:sz w:val="28"/>
                <w:szCs w:val="28"/>
              </w:rPr>
              <w:t>BULLETIN OF</w:t>
            </w:r>
          </w:p>
          <w:p w:rsidR="00BF25F3" w:rsidRPr="00047B76" w:rsidRDefault="00BF25F3" w:rsidP="00BF25F3">
            <w:pPr>
              <w:tabs>
                <w:tab w:val="left" w:pos="6075"/>
              </w:tabs>
              <w:jc w:val="center"/>
              <w:rPr>
                <w:sz w:val="28"/>
                <w:szCs w:val="28"/>
              </w:rPr>
            </w:pPr>
            <w:r w:rsidRPr="00047B76">
              <w:rPr>
                <w:sz w:val="28"/>
                <w:szCs w:val="28"/>
              </w:rPr>
              <w:t xml:space="preserve"> PROCEEDINGS</w:t>
            </w:r>
          </w:p>
        </w:tc>
        <w:tc>
          <w:tcPr>
            <w:tcW w:w="630" w:type="dxa"/>
          </w:tcPr>
          <w:p w:rsidR="00BF25F3" w:rsidRPr="00047B76" w:rsidRDefault="00BF25F3" w:rsidP="00BF25F3">
            <w:pPr>
              <w:tabs>
                <w:tab w:val="left" w:pos="6075"/>
              </w:tabs>
            </w:pPr>
          </w:p>
        </w:tc>
        <w:tc>
          <w:tcPr>
            <w:tcW w:w="4428" w:type="dxa"/>
          </w:tcPr>
          <w:p w:rsidR="001B5C23" w:rsidRPr="00047B76" w:rsidRDefault="00BF25F3" w:rsidP="00BF25F3">
            <w:pPr>
              <w:tabs>
                <w:tab w:val="left" w:pos="6075"/>
              </w:tabs>
              <w:jc w:val="center"/>
              <w:rPr>
                <w:sz w:val="28"/>
                <w:szCs w:val="28"/>
                <w:lang w:val="fr-CA"/>
              </w:rPr>
            </w:pPr>
            <w:r w:rsidRPr="00047B76">
              <w:rPr>
                <w:sz w:val="28"/>
                <w:szCs w:val="28"/>
                <w:lang w:val="fr-CA"/>
              </w:rPr>
              <w:t>BULLETIN DES</w:t>
            </w:r>
          </w:p>
          <w:p w:rsidR="00BF25F3" w:rsidRPr="00047B76" w:rsidRDefault="00BF25F3" w:rsidP="00BF25F3">
            <w:pPr>
              <w:tabs>
                <w:tab w:val="left" w:pos="6075"/>
              </w:tabs>
              <w:jc w:val="center"/>
              <w:rPr>
                <w:sz w:val="28"/>
                <w:szCs w:val="28"/>
                <w:lang w:val="fr-CA"/>
              </w:rPr>
            </w:pPr>
            <w:r w:rsidRPr="00047B76">
              <w:rPr>
                <w:sz w:val="28"/>
                <w:szCs w:val="28"/>
                <w:lang w:val="fr-CA"/>
              </w:rPr>
              <w:t xml:space="preserve"> PROCÉDURES</w:t>
            </w:r>
          </w:p>
        </w:tc>
      </w:tr>
      <w:tr w:rsidR="00BF25F3" w:rsidRPr="00047B76" w:rsidTr="002E5576">
        <w:tc>
          <w:tcPr>
            <w:tcW w:w="4518" w:type="dxa"/>
          </w:tcPr>
          <w:p w:rsidR="00BF25F3" w:rsidRPr="00047B76" w:rsidRDefault="00BF25F3" w:rsidP="00BF25F3">
            <w:pPr>
              <w:tabs>
                <w:tab w:val="left" w:pos="6075"/>
              </w:tabs>
            </w:pPr>
          </w:p>
          <w:p w:rsidR="001B5C23" w:rsidRPr="00047B76" w:rsidRDefault="001B5C23" w:rsidP="00BF25F3">
            <w:pPr>
              <w:tabs>
                <w:tab w:val="left" w:pos="6075"/>
              </w:tabs>
            </w:pPr>
          </w:p>
        </w:tc>
        <w:tc>
          <w:tcPr>
            <w:tcW w:w="630" w:type="dxa"/>
          </w:tcPr>
          <w:p w:rsidR="00BF25F3" w:rsidRPr="00047B76" w:rsidRDefault="00BF25F3" w:rsidP="00BF25F3">
            <w:pPr>
              <w:tabs>
                <w:tab w:val="left" w:pos="6075"/>
              </w:tabs>
            </w:pPr>
          </w:p>
        </w:tc>
        <w:tc>
          <w:tcPr>
            <w:tcW w:w="4428" w:type="dxa"/>
          </w:tcPr>
          <w:p w:rsidR="00BF25F3" w:rsidRPr="00047B76" w:rsidRDefault="00BF25F3" w:rsidP="00BF25F3">
            <w:pPr>
              <w:tabs>
                <w:tab w:val="left" w:pos="6075"/>
              </w:tabs>
              <w:rPr>
                <w:lang w:val="fr-CA"/>
              </w:rPr>
            </w:pPr>
          </w:p>
        </w:tc>
      </w:tr>
      <w:tr w:rsidR="00BF25F3" w:rsidRPr="00957F6E" w:rsidTr="002E5576">
        <w:tc>
          <w:tcPr>
            <w:tcW w:w="4518" w:type="dxa"/>
          </w:tcPr>
          <w:p w:rsidR="00BF25F3" w:rsidRPr="00047B76" w:rsidRDefault="00BF25F3" w:rsidP="00BF25F3">
            <w:pPr>
              <w:tabs>
                <w:tab w:val="left" w:pos="6075"/>
              </w:tabs>
              <w:jc w:val="both"/>
              <w:rPr>
                <w:rFonts w:ascii="Arial" w:hAnsi="Arial" w:cs="Arial"/>
                <w:i/>
                <w:sz w:val="20"/>
                <w:szCs w:val="20"/>
              </w:rPr>
            </w:pPr>
            <w:r w:rsidRPr="00047B76">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047B76" w:rsidRDefault="00BF25F3" w:rsidP="00BF25F3">
            <w:pPr>
              <w:tabs>
                <w:tab w:val="left" w:pos="6075"/>
              </w:tabs>
              <w:jc w:val="both"/>
              <w:rPr>
                <w:rFonts w:ascii="Arial" w:hAnsi="Arial" w:cs="Arial"/>
                <w:i/>
                <w:sz w:val="20"/>
                <w:szCs w:val="20"/>
              </w:rPr>
            </w:pPr>
          </w:p>
        </w:tc>
        <w:tc>
          <w:tcPr>
            <w:tcW w:w="4428" w:type="dxa"/>
          </w:tcPr>
          <w:p w:rsidR="00BF25F3" w:rsidRPr="00047B76" w:rsidRDefault="00BF25F3" w:rsidP="00BF25F3">
            <w:pPr>
              <w:tabs>
                <w:tab w:val="left" w:pos="6075"/>
              </w:tabs>
              <w:jc w:val="both"/>
              <w:rPr>
                <w:rFonts w:ascii="Arial" w:hAnsi="Arial" w:cs="Arial"/>
                <w:i/>
                <w:sz w:val="20"/>
                <w:szCs w:val="20"/>
                <w:lang w:val="fr-CA"/>
              </w:rPr>
            </w:pPr>
            <w:r w:rsidRPr="00047B76">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957F6E" w:rsidTr="002E5576">
        <w:tc>
          <w:tcPr>
            <w:tcW w:w="4518" w:type="dxa"/>
          </w:tcPr>
          <w:p w:rsidR="00BF25F3" w:rsidRPr="00047B76" w:rsidRDefault="00BF25F3" w:rsidP="00BF25F3">
            <w:pPr>
              <w:tabs>
                <w:tab w:val="left" w:pos="6075"/>
              </w:tabs>
              <w:rPr>
                <w:lang w:val="fr-CA"/>
              </w:rPr>
            </w:pPr>
          </w:p>
          <w:p w:rsidR="00D862C1" w:rsidRPr="00047B76" w:rsidRDefault="00D862C1" w:rsidP="00BF25F3">
            <w:pPr>
              <w:tabs>
                <w:tab w:val="left" w:pos="6075"/>
              </w:tabs>
              <w:rPr>
                <w:lang w:val="fr-CA"/>
              </w:rPr>
            </w:pPr>
          </w:p>
        </w:tc>
        <w:tc>
          <w:tcPr>
            <w:tcW w:w="630" w:type="dxa"/>
          </w:tcPr>
          <w:p w:rsidR="00BF25F3" w:rsidRPr="00047B76" w:rsidRDefault="00BF25F3" w:rsidP="00BF25F3">
            <w:pPr>
              <w:tabs>
                <w:tab w:val="left" w:pos="6075"/>
              </w:tabs>
              <w:rPr>
                <w:lang w:val="fr-CA"/>
              </w:rPr>
            </w:pPr>
          </w:p>
        </w:tc>
        <w:tc>
          <w:tcPr>
            <w:tcW w:w="4428" w:type="dxa"/>
          </w:tcPr>
          <w:p w:rsidR="00BF25F3" w:rsidRPr="00047B76" w:rsidRDefault="00BF25F3" w:rsidP="00BF25F3">
            <w:pPr>
              <w:tabs>
                <w:tab w:val="left" w:pos="6075"/>
              </w:tabs>
              <w:rPr>
                <w:lang w:val="fr-CA"/>
              </w:rPr>
            </w:pPr>
          </w:p>
        </w:tc>
      </w:tr>
      <w:tr w:rsidR="00BF25F3" w:rsidRPr="00957F6E" w:rsidTr="002E5576">
        <w:tc>
          <w:tcPr>
            <w:tcW w:w="4518" w:type="dxa"/>
          </w:tcPr>
          <w:p w:rsidR="00BF25F3" w:rsidRPr="00047B76" w:rsidRDefault="00BF25F3" w:rsidP="009F3024">
            <w:pPr>
              <w:tabs>
                <w:tab w:val="left" w:pos="6075"/>
              </w:tabs>
              <w:jc w:val="both"/>
              <w:rPr>
                <w:rFonts w:ascii="Arial" w:hAnsi="Arial" w:cs="Arial"/>
                <w:i/>
                <w:sz w:val="20"/>
                <w:szCs w:val="20"/>
              </w:rPr>
            </w:pPr>
            <w:r w:rsidRPr="00047B76">
              <w:rPr>
                <w:rFonts w:ascii="Arial" w:hAnsi="Arial" w:cs="Arial"/>
                <w:i/>
                <w:sz w:val="20"/>
                <w:szCs w:val="20"/>
              </w:rPr>
              <w:t>During Court sessions</w:t>
            </w:r>
            <w:r w:rsidR="00845C2A" w:rsidRPr="00047B76">
              <w:rPr>
                <w:rFonts w:ascii="Arial" w:hAnsi="Arial" w:cs="Arial"/>
                <w:i/>
                <w:sz w:val="20"/>
                <w:szCs w:val="20"/>
              </w:rPr>
              <w:t>,</w:t>
            </w:r>
            <w:r w:rsidRPr="00047B76">
              <w:rPr>
                <w:rFonts w:ascii="Arial" w:hAnsi="Arial" w:cs="Arial"/>
                <w:i/>
                <w:sz w:val="20"/>
                <w:szCs w:val="20"/>
              </w:rPr>
              <w:t xml:space="preserve"> </w:t>
            </w:r>
            <w:r w:rsidR="009F3024" w:rsidRPr="00047B76">
              <w:rPr>
                <w:rFonts w:ascii="Arial" w:hAnsi="Arial" w:cs="Arial"/>
                <w:i/>
                <w:sz w:val="20"/>
                <w:szCs w:val="20"/>
              </w:rPr>
              <w:t xml:space="preserve">the Bulletin </w:t>
            </w:r>
            <w:r w:rsidRPr="00047B76">
              <w:rPr>
                <w:rFonts w:ascii="Arial" w:hAnsi="Arial" w:cs="Arial"/>
                <w:i/>
                <w:sz w:val="20"/>
                <w:szCs w:val="20"/>
              </w:rPr>
              <w:t>is usually issued weekly.</w:t>
            </w:r>
          </w:p>
        </w:tc>
        <w:tc>
          <w:tcPr>
            <w:tcW w:w="630" w:type="dxa"/>
          </w:tcPr>
          <w:p w:rsidR="00BF25F3" w:rsidRPr="00047B76" w:rsidRDefault="00BF25F3" w:rsidP="00BF25F3">
            <w:pPr>
              <w:tabs>
                <w:tab w:val="left" w:pos="6075"/>
              </w:tabs>
              <w:jc w:val="both"/>
              <w:rPr>
                <w:rFonts w:ascii="Arial" w:hAnsi="Arial" w:cs="Arial"/>
                <w:i/>
                <w:sz w:val="20"/>
                <w:szCs w:val="20"/>
              </w:rPr>
            </w:pPr>
          </w:p>
        </w:tc>
        <w:tc>
          <w:tcPr>
            <w:tcW w:w="4428" w:type="dxa"/>
          </w:tcPr>
          <w:p w:rsidR="00BF25F3" w:rsidRPr="00047B76" w:rsidRDefault="00BF25F3" w:rsidP="00BF25F3">
            <w:pPr>
              <w:tabs>
                <w:tab w:val="left" w:pos="6075"/>
              </w:tabs>
              <w:jc w:val="both"/>
              <w:rPr>
                <w:rFonts w:ascii="Arial" w:hAnsi="Arial" w:cs="Arial"/>
                <w:i/>
                <w:sz w:val="20"/>
                <w:szCs w:val="20"/>
                <w:lang w:val="fr-CA"/>
              </w:rPr>
            </w:pPr>
            <w:r w:rsidRPr="00047B76">
              <w:rPr>
                <w:rFonts w:ascii="Arial" w:hAnsi="Arial" w:cs="Arial"/>
                <w:i/>
                <w:sz w:val="20"/>
                <w:szCs w:val="20"/>
                <w:lang w:val="fr-CA"/>
              </w:rPr>
              <w:t>Le Bulletin paraît en principe toutes les semaines pendant les sessions de la Cour.</w:t>
            </w:r>
          </w:p>
        </w:tc>
      </w:tr>
      <w:tr w:rsidR="00BF25F3" w:rsidRPr="00957F6E" w:rsidTr="002E5576">
        <w:tc>
          <w:tcPr>
            <w:tcW w:w="4518" w:type="dxa"/>
          </w:tcPr>
          <w:p w:rsidR="00BF25F3" w:rsidRPr="00047B76" w:rsidRDefault="00BF25F3" w:rsidP="00BF25F3">
            <w:pPr>
              <w:tabs>
                <w:tab w:val="left" w:pos="6075"/>
              </w:tabs>
              <w:rPr>
                <w:lang w:val="fr-CA"/>
              </w:rPr>
            </w:pPr>
          </w:p>
          <w:p w:rsidR="00D862C1" w:rsidRPr="00047B76" w:rsidRDefault="00D862C1" w:rsidP="00BF25F3">
            <w:pPr>
              <w:tabs>
                <w:tab w:val="left" w:pos="6075"/>
              </w:tabs>
              <w:rPr>
                <w:lang w:val="fr-CA"/>
              </w:rPr>
            </w:pPr>
          </w:p>
        </w:tc>
        <w:tc>
          <w:tcPr>
            <w:tcW w:w="630" w:type="dxa"/>
          </w:tcPr>
          <w:p w:rsidR="00BF25F3" w:rsidRPr="00047B76" w:rsidRDefault="00BF25F3" w:rsidP="00BF25F3">
            <w:pPr>
              <w:tabs>
                <w:tab w:val="left" w:pos="6075"/>
              </w:tabs>
              <w:rPr>
                <w:lang w:val="fr-CA"/>
              </w:rPr>
            </w:pPr>
          </w:p>
        </w:tc>
        <w:tc>
          <w:tcPr>
            <w:tcW w:w="4428" w:type="dxa"/>
          </w:tcPr>
          <w:p w:rsidR="00BF25F3" w:rsidRPr="00047B76" w:rsidRDefault="00BF25F3" w:rsidP="00BF25F3">
            <w:pPr>
              <w:tabs>
                <w:tab w:val="left" w:pos="6075"/>
              </w:tabs>
              <w:rPr>
                <w:lang w:val="fr-CA"/>
              </w:rPr>
            </w:pPr>
          </w:p>
        </w:tc>
      </w:tr>
      <w:tr w:rsidR="00BF25F3" w:rsidRPr="00957F6E" w:rsidTr="002E5576">
        <w:tc>
          <w:tcPr>
            <w:tcW w:w="4518" w:type="dxa"/>
          </w:tcPr>
          <w:p w:rsidR="00BF25F3" w:rsidRPr="00047B76" w:rsidRDefault="000E27A5" w:rsidP="00BF25F3">
            <w:pPr>
              <w:tabs>
                <w:tab w:val="left" w:pos="6075"/>
              </w:tabs>
              <w:jc w:val="both"/>
              <w:rPr>
                <w:rFonts w:ascii="Arial" w:hAnsi="Arial" w:cs="Arial"/>
                <w:i/>
                <w:sz w:val="20"/>
                <w:szCs w:val="20"/>
              </w:rPr>
            </w:pPr>
            <w:r w:rsidRPr="00047B76">
              <w:rPr>
                <w:rFonts w:ascii="Arial" w:hAnsi="Arial" w:cs="Arial"/>
                <w:i/>
                <w:sz w:val="20"/>
                <w:szCs w:val="20"/>
              </w:rPr>
              <w:fldChar w:fldCharType="begin"/>
            </w:r>
            <w:r w:rsidR="00BF25F3" w:rsidRPr="00047B76">
              <w:rPr>
                <w:rFonts w:ascii="Arial" w:hAnsi="Arial" w:cs="Arial"/>
                <w:i/>
                <w:sz w:val="20"/>
                <w:szCs w:val="20"/>
              </w:rPr>
              <w:instrText xml:space="preserve"> SEQ CHAPTER \h \r 1</w:instrText>
            </w:r>
            <w:r w:rsidRPr="00047B76">
              <w:rPr>
                <w:rFonts w:ascii="Arial" w:hAnsi="Arial" w:cs="Arial"/>
                <w:i/>
                <w:sz w:val="20"/>
                <w:szCs w:val="20"/>
              </w:rPr>
              <w:fldChar w:fldCharType="end"/>
            </w:r>
            <w:r w:rsidR="00BF25F3" w:rsidRPr="00047B76">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047B76" w:rsidRDefault="00BF25F3" w:rsidP="00BF25F3">
            <w:pPr>
              <w:tabs>
                <w:tab w:val="left" w:pos="6075"/>
              </w:tabs>
              <w:jc w:val="both"/>
              <w:rPr>
                <w:rFonts w:ascii="Arial" w:hAnsi="Arial" w:cs="Arial"/>
                <w:i/>
                <w:sz w:val="20"/>
                <w:szCs w:val="20"/>
              </w:rPr>
            </w:pPr>
          </w:p>
        </w:tc>
        <w:tc>
          <w:tcPr>
            <w:tcW w:w="4428" w:type="dxa"/>
          </w:tcPr>
          <w:p w:rsidR="00BF25F3" w:rsidRPr="00047B76" w:rsidRDefault="000E27A5" w:rsidP="00BF25F3">
            <w:pPr>
              <w:tabs>
                <w:tab w:val="left" w:pos="6075"/>
              </w:tabs>
              <w:jc w:val="both"/>
              <w:rPr>
                <w:rFonts w:ascii="Arial" w:hAnsi="Arial" w:cs="Arial"/>
                <w:i/>
                <w:sz w:val="20"/>
                <w:szCs w:val="20"/>
                <w:lang w:val="fr-CA"/>
              </w:rPr>
            </w:pPr>
            <w:r w:rsidRPr="00047B76">
              <w:rPr>
                <w:rFonts w:ascii="Arial" w:hAnsi="Arial" w:cs="Arial"/>
                <w:i/>
                <w:sz w:val="20"/>
                <w:szCs w:val="20"/>
                <w:lang w:val="fr-CA"/>
              </w:rPr>
              <w:fldChar w:fldCharType="begin"/>
            </w:r>
            <w:r w:rsidR="00BF25F3" w:rsidRPr="00047B76">
              <w:rPr>
                <w:rFonts w:ascii="Arial" w:hAnsi="Arial" w:cs="Arial"/>
                <w:i/>
                <w:sz w:val="20"/>
                <w:szCs w:val="20"/>
                <w:lang w:val="fr-CA"/>
              </w:rPr>
              <w:instrText xml:space="preserve"> SEQ CHAPTER \h \r 1</w:instrText>
            </w:r>
            <w:r w:rsidRPr="00047B76">
              <w:rPr>
                <w:rFonts w:ascii="Arial" w:hAnsi="Arial" w:cs="Arial"/>
                <w:i/>
                <w:sz w:val="20"/>
                <w:szCs w:val="20"/>
                <w:lang w:val="fr-CA"/>
              </w:rPr>
              <w:fldChar w:fldCharType="end"/>
            </w:r>
            <w:r w:rsidR="00BF25F3" w:rsidRPr="00047B76">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957F6E" w:rsidTr="002E5576">
        <w:tc>
          <w:tcPr>
            <w:tcW w:w="4518" w:type="dxa"/>
          </w:tcPr>
          <w:p w:rsidR="009F3024" w:rsidRPr="00047B76" w:rsidRDefault="009F3024" w:rsidP="009F3024">
            <w:pPr>
              <w:tabs>
                <w:tab w:val="left" w:pos="6075"/>
              </w:tabs>
              <w:rPr>
                <w:rFonts w:cs="Times New Roman"/>
                <w:szCs w:val="24"/>
                <w:lang w:val="fr-CA"/>
              </w:rPr>
            </w:pPr>
          </w:p>
          <w:p w:rsidR="009F3024" w:rsidRPr="00047B76" w:rsidRDefault="009F3024" w:rsidP="009F3024">
            <w:pPr>
              <w:tabs>
                <w:tab w:val="left" w:pos="6075"/>
              </w:tabs>
              <w:rPr>
                <w:rFonts w:cs="Times New Roman"/>
                <w:szCs w:val="24"/>
                <w:lang w:val="fr-CA"/>
              </w:rPr>
            </w:pPr>
          </w:p>
        </w:tc>
        <w:tc>
          <w:tcPr>
            <w:tcW w:w="630" w:type="dxa"/>
          </w:tcPr>
          <w:p w:rsidR="009F3024" w:rsidRPr="00047B76" w:rsidRDefault="009F3024" w:rsidP="009F3024">
            <w:pPr>
              <w:tabs>
                <w:tab w:val="left" w:pos="6075"/>
              </w:tabs>
              <w:rPr>
                <w:rFonts w:cs="Times New Roman"/>
                <w:szCs w:val="24"/>
                <w:lang w:val="fr-CA"/>
              </w:rPr>
            </w:pPr>
          </w:p>
        </w:tc>
        <w:tc>
          <w:tcPr>
            <w:tcW w:w="4428" w:type="dxa"/>
          </w:tcPr>
          <w:p w:rsidR="009F3024" w:rsidRPr="00047B76" w:rsidRDefault="009F3024" w:rsidP="009F3024">
            <w:pPr>
              <w:tabs>
                <w:tab w:val="left" w:pos="6075"/>
              </w:tabs>
              <w:rPr>
                <w:rFonts w:cs="Times New Roman"/>
                <w:szCs w:val="24"/>
                <w:lang w:val="fr-CA"/>
              </w:rPr>
            </w:pPr>
          </w:p>
        </w:tc>
      </w:tr>
      <w:tr w:rsidR="009F3024" w:rsidRPr="00957F6E" w:rsidTr="002E5576">
        <w:tc>
          <w:tcPr>
            <w:tcW w:w="4518" w:type="dxa"/>
          </w:tcPr>
          <w:p w:rsidR="009F3024" w:rsidRPr="00047B76" w:rsidRDefault="00845C2A" w:rsidP="00845C2A">
            <w:pPr>
              <w:tabs>
                <w:tab w:val="left" w:pos="6075"/>
              </w:tabs>
              <w:jc w:val="both"/>
              <w:rPr>
                <w:rFonts w:ascii="Arial" w:hAnsi="Arial" w:cs="Arial"/>
                <w:i/>
                <w:sz w:val="20"/>
                <w:szCs w:val="20"/>
              </w:rPr>
            </w:pPr>
            <w:r w:rsidRPr="00047B76">
              <w:rPr>
                <w:rFonts w:ascii="Arial" w:hAnsi="Arial" w:cs="Arial"/>
                <w:i/>
                <w:sz w:val="20"/>
                <w:szCs w:val="20"/>
                <w:lang w:val="en-US"/>
              </w:rPr>
              <w:t>Please c</w:t>
            </w:r>
            <w:proofErr w:type="spellStart"/>
            <w:r w:rsidR="009F3024" w:rsidRPr="00047B76">
              <w:rPr>
                <w:rFonts w:ascii="Arial" w:hAnsi="Arial" w:cs="Arial"/>
                <w:i/>
                <w:sz w:val="20"/>
                <w:szCs w:val="20"/>
              </w:rPr>
              <w:t>onsult</w:t>
            </w:r>
            <w:proofErr w:type="spellEnd"/>
            <w:r w:rsidR="009F3024" w:rsidRPr="00047B76">
              <w:rPr>
                <w:rFonts w:ascii="Arial" w:hAnsi="Arial" w:cs="Arial"/>
                <w:i/>
                <w:sz w:val="20"/>
                <w:szCs w:val="20"/>
              </w:rPr>
              <w:t xml:space="preserve"> the Supreme Court of Canada website at </w:t>
            </w:r>
            <w:hyperlink r:id="rId9" w:history="1">
              <w:r w:rsidR="00E414CA" w:rsidRPr="00047B76">
                <w:rPr>
                  <w:rStyle w:val="Hyperlink"/>
                  <w:rFonts w:ascii="Arial" w:hAnsi="Arial" w:cs="Arial"/>
                  <w:i/>
                  <w:sz w:val="20"/>
                  <w:szCs w:val="20"/>
                </w:rPr>
                <w:t>www.scc-csc.ca</w:t>
              </w:r>
            </w:hyperlink>
            <w:r w:rsidR="009F3024" w:rsidRPr="00047B76">
              <w:rPr>
                <w:rFonts w:ascii="Arial" w:hAnsi="Arial" w:cs="Arial"/>
                <w:i/>
                <w:sz w:val="20"/>
                <w:szCs w:val="20"/>
              </w:rPr>
              <w:t xml:space="preserve"> for more information.</w:t>
            </w:r>
          </w:p>
        </w:tc>
        <w:tc>
          <w:tcPr>
            <w:tcW w:w="630" w:type="dxa"/>
          </w:tcPr>
          <w:p w:rsidR="009F3024" w:rsidRPr="00047B76" w:rsidRDefault="009F3024" w:rsidP="00BF25F3">
            <w:pPr>
              <w:tabs>
                <w:tab w:val="left" w:pos="6075"/>
              </w:tabs>
              <w:jc w:val="both"/>
              <w:rPr>
                <w:rFonts w:ascii="Arial" w:hAnsi="Arial" w:cs="Arial"/>
                <w:i/>
                <w:sz w:val="20"/>
                <w:szCs w:val="20"/>
              </w:rPr>
            </w:pPr>
          </w:p>
        </w:tc>
        <w:tc>
          <w:tcPr>
            <w:tcW w:w="4428" w:type="dxa"/>
          </w:tcPr>
          <w:p w:rsidR="009F3024" w:rsidRPr="00047B76" w:rsidRDefault="009F3024" w:rsidP="00E414CA">
            <w:pPr>
              <w:tabs>
                <w:tab w:val="left" w:pos="6075"/>
              </w:tabs>
              <w:jc w:val="both"/>
              <w:rPr>
                <w:rFonts w:ascii="Arial" w:hAnsi="Arial" w:cs="Arial"/>
                <w:i/>
                <w:sz w:val="20"/>
                <w:szCs w:val="20"/>
                <w:lang w:val="fr-CA"/>
              </w:rPr>
            </w:pPr>
            <w:r w:rsidRPr="00047B76">
              <w:rPr>
                <w:rFonts w:ascii="Arial" w:hAnsi="Arial" w:cs="Arial"/>
                <w:i/>
                <w:sz w:val="20"/>
                <w:szCs w:val="20"/>
                <w:lang w:val="fr-CA"/>
              </w:rPr>
              <w:t xml:space="preserve">Pour de plus amples informations, </w:t>
            </w:r>
            <w:r w:rsidR="00845C2A" w:rsidRPr="00047B76">
              <w:rPr>
                <w:rFonts w:ascii="Arial" w:hAnsi="Arial" w:cs="Arial"/>
                <w:i/>
                <w:sz w:val="20"/>
                <w:szCs w:val="20"/>
                <w:lang w:val="fr-CA"/>
              </w:rPr>
              <w:t xml:space="preserve">veuillez </w:t>
            </w:r>
            <w:r w:rsidRPr="00047B76">
              <w:rPr>
                <w:rFonts w:ascii="Arial" w:hAnsi="Arial" w:cs="Arial"/>
                <w:i/>
                <w:sz w:val="20"/>
                <w:szCs w:val="20"/>
                <w:lang w:val="fr-CA"/>
              </w:rPr>
              <w:t xml:space="preserve">consulter le site Web de la Cour suprême du Canada à l’adresse suivante : </w:t>
            </w:r>
            <w:hyperlink r:id="rId10" w:history="1">
              <w:r w:rsidR="0081473A" w:rsidRPr="00047B76">
                <w:rPr>
                  <w:rStyle w:val="Hyperlink"/>
                  <w:rFonts w:ascii="Arial" w:hAnsi="Arial" w:cs="Arial"/>
                  <w:i/>
                  <w:sz w:val="20"/>
                  <w:szCs w:val="20"/>
                  <w:lang w:val="fr-CA"/>
                </w:rPr>
                <w:t>www.scc-csc.ca</w:t>
              </w:r>
            </w:hyperlink>
            <w:r w:rsidRPr="00047B76">
              <w:rPr>
                <w:rFonts w:ascii="Arial" w:hAnsi="Arial" w:cs="Arial"/>
                <w:i/>
                <w:sz w:val="20"/>
                <w:szCs w:val="20"/>
                <w:lang w:val="fr-CA"/>
              </w:rPr>
              <w:t xml:space="preserve"> </w:t>
            </w:r>
          </w:p>
        </w:tc>
      </w:tr>
    </w:tbl>
    <w:p w:rsidR="00BF25F3" w:rsidRPr="00047B76" w:rsidRDefault="00BF25F3" w:rsidP="00BF25F3">
      <w:pPr>
        <w:tabs>
          <w:tab w:val="left" w:pos="6075"/>
        </w:tabs>
        <w:rPr>
          <w:lang w:val="fr-CA"/>
        </w:rPr>
      </w:pPr>
    </w:p>
    <w:p w:rsidR="00440E24" w:rsidRPr="00047B76" w:rsidRDefault="00440E24" w:rsidP="00440E24">
      <w:pPr>
        <w:pBdr>
          <w:bottom w:val="single" w:sz="6" w:space="1" w:color="auto"/>
        </w:pBdr>
        <w:tabs>
          <w:tab w:val="left" w:pos="6075"/>
        </w:tabs>
        <w:rPr>
          <w:lang w:val="fr-CA"/>
        </w:rPr>
      </w:pPr>
    </w:p>
    <w:p w:rsidR="00440E24" w:rsidRPr="00047B76" w:rsidRDefault="00440E24" w:rsidP="00440E24">
      <w:pPr>
        <w:rPr>
          <w:lang w:val="fr-CA"/>
        </w:rPr>
      </w:pPr>
    </w:p>
    <w:p w:rsidR="00600252" w:rsidRPr="00047B76" w:rsidRDefault="00A15E6F" w:rsidP="00F0068D">
      <w:pPr>
        <w:pBdr>
          <w:bottom w:val="single" w:sz="6" w:space="1" w:color="auto"/>
        </w:pBdr>
        <w:tabs>
          <w:tab w:val="center" w:pos="4680"/>
          <w:tab w:val="right" w:pos="9360"/>
        </w:tabs>
        <w:rPr>
          <w:lang w:val="fr-CA"/>
        </w:rPr>
      </w:pPr>
      <w:r w:rsidRPr="00047B76">
        <w:rPr>
          <w:lang w:val="fr-CA"/>
        </w:rPr>
        <w:t>November</w:t>
      </w:r>
      <w:r w:rsidR="00440E24" w:rsidRPr="00047B76">
        <w:rPr>
          <w:lang w:val="fr-CA"/>
        </w:rPr>
        <w:t xml:space="preserve"> </w:t>
      </w:r>
      <w:r w:rsidR="004317DE" w:rsidRPr="00047B76">
        <w:rPr>
          <w:lang w:val="fr-CA"/>
        </w:rPr>
        <w:t>1</w:t>
      </w:r>
      <w:r w:rsidRPr="00047B76">
        <w:rPr>
          <w:lang w:val="fr-CA"/>
        </w:rPr>
        <w:t>5</w:t>
      </w:r>
      <w:r w:rsidR="00440E24" w:rsidRPr="00047B76">
        <w:rPr>
          <w:lang w:val="fr-CA"/>
        </w:rPr>
        <w:t>, 201</w:t>
      </w:r>
      <w:r w:rsidR="004317DE" w:rsidRPr="00047B76">
        <w:rPr>
          <w:lang w:val="fr-CA"/>
        </w:rPr>
        <w:t>9</w:t>
      </w:r>
      <w:r w:rsidR="00F0068D" w:rsidRPr="00047B76">
        <w:rPr>
          <w:lang w:val="fr-CA"/>
        </w:rPr>
        <w:tab/>
        <w:t xml:space="preserve">1 - </w:t>
      </w:r>
      <w:r w:rsidR="00DC38E4" w:rsidRPr="00047B76">
        <w:rPr>
          <w:lang w:val="fr-CA"/>
        </w:rPr>
        <w:t>3</w:t>
      </w:r>
      <w:r w:rsidR="00453A3F">
        <w:rPr>
          <w:lang w:val="fr-CA"/>
        </w:rPr>
        <w:t>9</w:t>
      </w:r>
      <w:bookmarkStart w:id="0" w:name="_GoBack"/>
      <w:bookmarkEnd w:id="0"/>
      <w:r w:rsidR="00440E24" w:rsidRPr="00047B76">
        <w:rPr>
          <w:lang w:val="fr-CA"/>
        </w:rPr>
        <w:tab/>
        <w:t>Le</w:t>
      </w:r>
      <w:r w:rsidR="00C73D06" w:rsidRPr="00047B76">
        <w:rPr>
          <w:lang w:val="fr-CA"/>
        </w:rPr>
        <w:t xml:space="preserve"> </w:t>
      </w:r>
      <w:r w:rsidR="004317DE" w:rsidRPr="00047B76">
        <w:rPr>
          <w:lang w:val="fr-CA"/>
        </w:rPr>
        <w:t>1</w:t>
      </w:r>
      <w:r w:rsidRPr="00047B76">
        <w:rPr>
          <w:lang w:val="fr-CA"/>
        </w:rPr>
        <w:t>5</w:t>
      </w:r>
      <w:r w:rsidR="00C73D06" w:rsidRPr="00047B76">
        <w:rPr>
          <w:lang w:val="fr-CA"/>
        </w:rPr>
        <w:t xml:space="preserve"> </w:t>
      </w:r>
      <w:r w:rsidRPr="00047B76">
        <w:rPr>
          <w:lang w:val="fr-CA"/>
        </w:rPr>
        <w:t>novembre</w:t>
      </w:r>
      <w:r w:rsidR="00440E24" w:rsidRPr="00047B76">
        <w:rPr>
          <w:lang w:val="fr-CA"/>
        </w:rPr>
        <w:t xml:space="preserve"> 201</w:t>
      </w:r>
      <w:r w:rsidR="004317DE" w:rsidRPr="00047B76">
        <w:rPr>
          <w:lang w:val="fr-CA"/>
        </w:rPr>
        <w:t>9</w:t>
      </w:r>
    </w:p>
    <w:p w:rsidR="00440E24" w:rsidRPr="00047B76" w:rsidRDefault="00440E24" w:rsidP="00440E24">
      <w:pPr>
        <w:pBdr>
          <w:bottom w:val="single" w:sz="6" w:space="1" w:color="auto"/>
        </w:pBdr>
        <w:tabs>
          <w:tab w:val="right" w:pos="9360"/>
        </w:tabs>
        <w:rPr>
          <w:lang w:val="fr-CA"/>
        </w:rPr>
      </w:pPr>
    </w:p>
    <w:p w:rsidR="00440E24" w:rsidRPr="00047B76" w:rsidRDefault="00440E24" w:rsidP="00440E24">
      <w:pPr>
        <w:pBdr>
          <w:bottom w:val="single" w:sz="6" w:space="1" w:color="auto"/>
        </w:pBdr>
        <w:tabs>
          <w:tab w:val="right" w:pos="9360"/>
        </w:tabs>
        <w:rPr>
          <w:sz w:val="18"/>
          <w:szCs w:val="18"/>
          <w:lang w:val="fr-CA"/>
        </w:rPr>
      </w:pPr>
      <w:r w:rsidRPr="00047B76">
        <w:rPr>
          <w:sz w:val="18"/>
          <w:szCs w:val="18"/>
          <w:lang w:val="fr-CA"/>
        </w:rPr>
        <w:t>© Supreme Court of Canada (</w:t>
      </w:r>
      <w:r w:rsidR="0030050B" w:rsidRPr="00047B76">
        <w:rPr>
          <w:sz w:val="18"/>
          <w:szCs w:val="18"/>
          <w:lang w:val="fr-CA"/>
        </w:rPr>
        <w:t>201</w:t>
      </w:r>
      <w:r w:rsidR="004317DE" w:rsidRPr="00047B76">
        <w:rPr>
          <w:sz w:val="18"/>
          <w:szCs w:val="18"/>
          <w:lang w:val="fr-CA"/>
        </w:rPr>
        <w:t>9</w:t>
      </w:r>
      <w:r w:rsidRPr="00047B76">
        <w:rPr>
          <w:sz w:val="18"/>
          <w:szCs w:val="18"/>
          <w:lang w:val="fr-CA"/>
        </w:rPr>
        <w:t>)</w:t>
      </w:r>
      <w:r w:rsidRPr="00047B76">
        <w:rPr>
          <w:sz w:val="18"/>
          <w:szCs w:val="18"/>
          <w:lang w:val="fr-CA"/>
        </w:rPr>
        <w:tab/>
        <w:t>© Cour suprême du Canada (</w:t>
      </w:r>
      <w:r w:rsidR="0030050B" w:rsidRPr="00047B76">
        <w:rPr>
          <w:sz w:val="18"/>
          <w:szCs w:val="18"/>
          <w:lang w:val="fr-CA"/>
        </w:rPr>
        <w:t>201</w:t>
      </w:r>
      <w:r w:rsidR="004317DE" w:rsidRPr="00047B76">
        <w:rPr>
          <w:sz w:val="18"/>
          <w:szCs w:val="18"/>
          <w:lang w:val="fr-CA"/>
        </w:rPr>
        <w:t>9</w:t>
      </w:r>
      <w:r w:rsidRPr="00047B76">
        <w:rPr>
          <w:sz w:val="18"/>
          <w:szCs w:val="18"/>
          <w:lang w:val="fr-CA"/>
        </w:rPr>
        <w:t>)</w:t>
      </w:r>
    </w:p>
    <w:p w:rsidR="00440E24" w:rsidRPr="00047B76" w:rsidRDefault="00440E24" w:rsidP="00440E24">
      <w:pPr>
        <w:pBdr>
          <w:bottom w:val="single" w:sz="6" w:space="1" w:color="auto"/>
        </w:pBdr>
        <w:tabs>
          <w:tab w:val="right" w:pos="9360"/>
        </w:tabs>
        <w:rPr>
          <w:sz w:val="18"/>
          <w:szCs w:val="18"/>
          <w:lang w:val="fr-CA"/>
        </w:rPr>
      </w:pPr>
      <w:r w:rsidRPr="00047B76">
        <w:rPr>
          <w:sz w:val="18"/>
          <w:szCs w:val="18"/>
          <w:lang w:val="fr-CA"/>
        </w:rPr>
        <w:t>ISSN 1918-8358 (Online)</w:t>
      </w:r>
      <w:r w:rsidRPr="00047B76">
        <w:rPr>
          <w:sz w:val="18"/>
          <w:szCs w:val="18"/>
          <w:lang w:val="fr-CA"/>
        </w:rPr>
        <w:tab/>
        <w:t>ISSN 1918-8358 (En ligne)</w:t>
      </w:r>
    </w:p>
    <w:p w:rsidR="00600252" w:rsidRPr="00047B76" w:rsidRDefault="00600252" w:rsidP="00BF25F3">
      <w:pPr>
        <w:pBdr>
          <w:bottom w:val="single" w:sz="6" w:space="1" w:color="auto"/>
        </w:pBdr>
        <w:tabs>
          <w:tab w:val="left" w:pos="6075"/>
        </w:tabs>
        <w:rPr>
          <w:lang w:val="fr-CA"/>
        </w:rPr>
      </w:pPr>
    </w:p>
    <w:p w:rsidR="0030050B" w:rsidRPr="00047B76" w:rsidRDefault="0030050B" w:rsidP="00BF25F3">
      <w:pPr>
        <w:pBdr>
          <w:bottom w:val="single" w:sz="6" w:space="1" w:color="auto"/>
        </w:pBdr>
        <w:tabs>
          <w:tab w:val="left" w:pos="6075"/>
        </w:tabs>
        <w:rPr>
          <w:lang w:val="fr-CA"/>
        </w:rPr>
      </w:pPr>
    </w:p>
    <w:p w:rsidR="00560DF1" w:rsidRPr="00047B76" w:rsidRDefault="00560DF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047B76" w:rsidRDefault="00DC6B2E" w:rsidP="00693C38">
          <w:pPr>
            <w:pStyle w:val="Title"/>
            <w:jc w:val="center"/>
            <w:rPr>
              <w:rFonts w:ascii="Times New Roman" w:hAnsi="Times New Roman" w:cs="Times New Roman"/>
              <w:b/>
              <w:sz w:val="24"/>
              <w:szCs w:val="28"/>
              <w:lang w:val="fr-CA"/>
            </w:rPr>
          </w:pPr>
          <w:r w:rsidRPr="00047B76">
            <w:rPr>
              <w:rFonts w:ascii="Times New Roman" w:hAnsi="Times New Roman" w:cs="Times New Roman"/>
              <w:b/>
              <w:sz w:val="24"/>
              <w:szCs w:val="28"/>
              <w:lang w:val="fr-CA"/>
            </w:rPr>
            <w:t>Contents</w:t>
          </w:r>
        </w:p>
        <w:p w:rsidR="00693C38" w:rsidRPr="00047B76" w:rsidRDefault="00DC6B2E" w:rsidP="00693C38">
          <w:pPr>
            <w:jc w:val="center"/>
            <w:rPr>
              <w:b/>
              <w:szCs w:val="28"/>
              <w:lang w:val="fr-CA"/>
            </w:rPr>
          </w:pPr>
          <w:r w:rsidRPr="00047B76">
            <w:rPr>
              <w:b/>
              <w:szCs w:val="28"/>
              <w:lang w:val="fr-CA"/>
            </w:rPr>
            <w:t>Table des matières</w:t>
          </w:r>
        </w:p>
        <w:p w:rsidR="00693C38" w:rsidRPr="00047B76" w:rsidRDefault="00693C38" w:rsidP="00693C38">
          <w:pPr>
            <w:rPr>
              <w:lang w:val="fr-CA"/>
            </w:rPr>
          </w:pPr>
        </w:p>
        <w:p w:rsidR="005C3583" w:rsidRPr="00047B76" w:rsidRDefault="00DC6B2E">
          <w:pPr>
            <w:pStyle w:val="TOC1"/>
            <w:tabs>
              <w:tab w:val="right" w:leader="dot" w:pos="9638"/>
            </w:tabs>
            <w:rPr>
              <w:rFonts w:asciiTheme="minorHAnsi" w:eastAsiaTheme="minorEastAsia" w:hAnsiTheme="minorHAnsi"/>
              <w:noProof/>
              <w:sz w:val="22"/>
              <w:lang w:val="en-US"/>
            </w:rPr>
          </w:pPr>
          <w:r w:rsidRPr="00047B76">
            <w:rPr>
              <w:b/>
              <w:bCs/>
              <w:noProof/>
            </w:rPr>
            <w:fldChar w:fldCharType="begin"/>
          </w:r>
          <w:r w:rsidRPr="00047B76">
            <w:rPr>
              <w:b/>
              <w:bCs/>
              <w:noProof/>
            </w:rPr>
            <w:instrText xml:space="preserve"> TOC \o "1-3" \h \z \u </w:instrText>
          </w:r>
          <w:r w:rsidRPr="00047B76">
            <w:rPr>
              <w:b/>
              <w:bCs/>
              <w:noProof/>
            </w:rPr>
            <w:fldChar w:fldCharType="separate"/>
          </w:r>
          <w:hyperlink w:anchor="_Toc24615296" w:history="1">
            <w:r w:rsidR="005C3583" w:rsidRPr="00047B76">
              <w:rPr>
                <w:rStyle w:val="Hyperlink"/>
                <w:noProof/>
                <w:lang w:val="fr-CA"/>
              </w:rPr>
              <w:t>Applications for leave to appeal filed /  Demandes d’autorisation d’appel déposées</w:t>
            </w:r>
            <w:r w:rsidR="005C3583" w:rsidRPr="00047B76">
              <w:rPr>
                <w:noProof/>
                <w:webHidden/>
              </w:rPr>
              <w:tab/>
            </w:r>
            <w:r w:rsidR="005C3583" w:rsidRPr="00047B76">
              <w:rPr>
                <w:noProof/>
                <w:webHidden/>
              </w:rPr>
              <w:fldChar w:fldCharType="begin"/>
            </w:r>
            <w:r w:rsidR="005C3583" w:rsidRPr="00047B76">
              <w:rPr>
                <w:noProof/>
                <w:webHidden/>
              </w:rPr>
              <w:instrText xml:space="preserve"> PAGEREF _Toc24615296 \h </w:instrText>
            </w:r>
            <w:r w:rsidR="005C3583" w:rsidRPr="00047B76">
              <w:rPr>
                <w:noProof/>
                <w:webHidden/>
              </w:rPr>
            </w:r>
            <w:r w:rsidR="005C3583" w:rsidRPr="00047B76">
              <w:rPr>
                <w:noProof/>
                <w:webHidden/>
              </w:rPr>
              <w:fldChar w:fldCharType="separate"/>
            </w:r>
            <w:r w:rsidR="00453A3F">
              <w:rPr>
                <w:noProof/>
                <w:webHidden/>
              </w:rPr>
              <w:t>1</w:t>
            </w:r>
            <w:r w:rsidR="005C3583" w:rsidRPr="00047B76">
              <w:rPr>
                <w:noProof/>
                <w:webHidden/>
              </w:rPr>
              <w:fldChar w:fldCharType="end"/>
            </w:r>
          </w:hyperlink>
        </w:p>
        <w:p w:rsidR="005C3583" w:rsidRPr="00047B76" w:rsidRDefault="009A56E8">
          <w:pPr>
            <w:pStyle w:val="TOC1"/>
            <w:tabs>
              <w:tab w:val="right" w:leader="dot" w:pos="9638"/>
            </w:tabs>
            <w:rPr>
              <w:rFonts w:asciiTheme="minorHAnsi" w:eastAsiaTheme="minorEastAsia" w:hAnsiTheme="minorHAnsi"/>
              <w:noProof/>
              <w:sz w:val="22"/>
              <w:lang w:val="en-US"/>
            </w:rPr>
          </w:pPr>
          <w:hyperlink w:anchor="_Toc24615297" w:history="1">
            <w:r w:rsidR="005C3583" w:rsidRPr="00047B76">
              <w:rPr>
                <w:rStyle w:val="Hyperlink"/>
                <w:noProof/>
                <w:lang w:val="fr-CA"/>
              </w:rPr>
              <w:t>Applications for leave submitted to the Court since the last issue /  Demandes soumises à la Cour depuis la dernière parution</w:t>
            </w:r>
            <w:r w:rsidR="005C3583" w:rsidRPr="00047B76">
              <w:rPr>
                <w:noProof/>
                <w:webHidden/>
              </w:rPr>
              <w:tab/>
            </w:r>
            <w:r w:rsidR="005C3583" w:rsidRPr="00047B76">
              <w:rPr>
                <w:noProof/>
                <w:webHidden/>
              </w:rPr>
              <w:fldChar w:fldCharType="begin"/>
            </w:r>
            <w:r w:rsidR="005C3583" w:rsidRPr="00047B76">
              <w:rPr>
                <w:noProof/>
                <w:webHidden/>
              </w:rPr>
              <w:instrText xml:space="preserve"> PAGEREF _Toc24615297 \h </w:instrText>
            </w:r>
            <w:r w:rsidR="005C3583" w:rsidRPr="00047B76">
              <w:rPr>
                <w:noProof/>
                <w:webHidden/>
              </w:rPr>
            </w:r>
            <w:r w:rsidR="005C3583" w:rsidRPr="00047B76">
              <w:rPr>
                <w:noProof/>
                <w:webHidden/>
              </w:rPr>
              <w:fldChar w:fldCharType="separate"/>
            </w:r>
            <w:r w:rsidR="00453A3F">
              <w:rPr>
                <w:noProof/>
                <w:webHidden/>
              </w:rPr>
              <w:t>2</w:t>
            </w:r>
            <w:r w:rsidR="005C3583" w:rsidRPr="00047B76">
              <w:rPr>
                <w:noProof/>
                <w:webHidden/>
              </w:rPr>
              <w:fldChar w:fldCharType="end"/>
            </w:r>
          </w:hyperlink>
        </w:p>
        <w:p w:rsidR="005C3583" w:rsidRPr="00047B76" w:rsidRDefault="009A56E8">
          <w:pPr>
            <w:pStyle w:val="TOC1"/>
            <w:tabs>
              <w:tab w:val="right" w:leader="dot" w:pos="9638"/>
            </w:tabs>
            <w:rPr>
              <w:rFonts w:asciiTheme="minorHAnsi" w:eastAsiaTheme="minorEastAsia" w:hAnsiTheme="minorHAnsi"/>
              <w:noProof/>
              <w:sz w:val="22"/>
              <w:lang w:val="en-US"/>
            </w:rPr>
          </w:pPr>
          <w:hyperlink w:anchor="_Toc24615298" w:history="1">
            <w:r w:rsidR="005C3583" w:rsidRPr="00047B76">
              <w:rPr>
                <w:rStyle w:val="Hyperlink"/>
                <w:noProof/>
                <w:lang w:val="fr-CA"/>
              </w:rPr>
              <w:t>Judgments on applications for leave /  Jugements rendus sur les demandes d’autorisation</w:t>
            </w:r>
            <w:r w:rsidR="005C3583" w:rsidRPr="00047B76">
              <w:rPr>
                <w:noProof/>
                <w:webHidden/>
              </w:rPr>
              <w:tab/>
            </w:r>
            <w:r w:rsidR="005C3583" w:rsidRPr="00047B76">
              <w:rPr>
                <w:noProof/>
                <w:webHidden/>
              </w:rPr>
              <w:fldChar w:fldCharType="begin"/>
            </w:r>
            <w:r w:rsidR="005C3583" w:rsidRPr="00047B76">
              <w:rPr>
                <w:noProof/>
                <w:webHidden/>
              </w:rPr>
              <w:instrText xml:space="preserve"> PAGEREF _Toc24615298 \h </w:instrText>
            </w:r>
            <w:r w:rsidR="005C3583" w:rsidRPr="00047B76">
              <w:rPr>
                <w:noProof/>
                <w:webHidden/>
              </w:rPr>
            </w:r>
            <w:r w:rsidR="005C3583" w:rsidRPr="00047B76">
              <w:rPr>
                <w:noProof/>
                <w:webHidden/>
              </w:rPr>
              <w:fldChar w:fldCharType="separate"/>
            </w:r>
            <w:r w:rsidR="00453A3F">
              <w:rPr>
                <w:noProof/>
                <w:webHidden/>
              </w:rPr>
              <w:t>3</w:t>
            </w:r>
            <w:r w:rsidR="005C3583" w:rsidRPr="00047B76">
              <w:rPr>
                <w:noProof/>
                <w:webHidden/>
              </w:rPr>
              <w:fldChar w:fldCharType="end"/>
            </w:r>
          </w:hyperlink>
        </w:p>
        <w:p w:rsidR="005C3583" w:rsidRPr="00047B76" w:rsidRDefault="009A56E8">
          <w:pPr>
            <w:pStyle w:val="TOC1"/>
            <w:tabs>
              <w:tab w:val="right" w:leader="dot" w:pos="9638"/>
            </w:tabs>
            <w:rPr>
              <w:rFonts w:asciiTheme="minorHAnsi" w:eastAsiaTheme="minorEastAsia" w:hAnsiTheme="minorHAnsi"/>
              <w:noProof/>
              <w:sz w:val="22"/>
              <w:lang w:val="en-US"/>
            </w:rPr>
          </w:pPr>
          <w:hyperlink w:anchor="_Toc24615299" w:history="1">
            <w:r w:rsidR="005C3583" w:rsidRPr="00047B76">
              <w:rPr>
                <w:rStyle w:val="Hyperlink"/>
                <w:noProof/>
                <w:lang w:val="fr-CA"/>
              </w:rPr>
              <w:t>Motions /  Requêtes</w:t>
            </w:r>
            <w:r w:rsidR="005C3583" w:rsidRPr="00047B76">
              <w:rPr>
                <w:noProof/>
                <w:webHidden/>
              </w:rPr>
              <w:tab/>
            </w:r>
            <w:r w:rsidR="005C3583" w:rsidRPr="00047B76">
              <w:rPr>
                <w:noProof/>
                <w:webHidden/>
              </w:rPr>
              <w:fldChar w:fldCharType="begin"/>
            </w:r>
            <w:r w:rsidR="005C3583" w:rsidRPr="00047B76">
              <w:rPr>
                <w:noProof/>
                <w:webHidden/>
              </w:rPr>
              <w:instrText xml:space="preserve"> PAGEREF _Toc24615299 \h </w:instrText>
            </w:r>
            <w:r w:rsidR="005C3583" w:rsidRPr="00047B76">
              <w:rPr>
                <w:noProof/>
                <w:webHidden/>
              </w:rPr>
            </w:r>
            <w:r w:rsidR="005C3583" w:rsidRPr="00047B76">
              <w:rPr>
                <w:noProof/>
                <w:webHidden/>
              </w:rPr>
              <w:fldChar w:fldCharType="separate"/>
            </w:r>
            <w:r w:rsidR="00453A3F">
              <w:rPr>
                <w:noProof/>
                <w:webHidden/>
              </w:rPr>
              <w:t>34</w:t>
            </w:r>
            <w:r w:rsidR="005C3583" w:rsidRPr="00047B76">
              <w:rPr>
                <w:noProof/>
                <w:webHidden/>
              </w:rPr>
              <w:fldChar w:fldCharType="end"/>
            </w:r>
          </w:hyperlink>
        </w:p>
        <w:p w:rsidR="005C3583" w:rsidRPr="00047B76" w:rsidRDefault="009A56E8">
          <w:pPr>
            <w:pStyle w:val="TOC1"/>
            <w:tabs>
              <w:tab w:val="right" w:leader="dot" w:pos="9638"/>
            </w:tabs>
            <w:rPr>
              <w:rFonts w:asciiTheme="minorHAnsi" w:eastAsiaTheme="minorEastAsia" w:hAnsiTheme="minorHAnsi"/>
              <w:noProof/>
              <w:sz w:val="22"/>
              <w:lang w:val="en-US"/>
            </w:rPr>
          </w:pPr>
          <w:hyperlink w:anchor="_Toc24615300" w:history="1">
            <w:r w:rsidR="005C3583" w:rsidRPr="00047B76">
              <w:rPr>
                <w:rStyle w:val="Hyperlink"/>
                <w:noProof/>
                <w:lang w:val="fr-CA"/>
              </w:rPr>
              <w:t>Appeals heard since the last issue and disposition /  Appels entendus depuis la dernière parution et résultat</w:t>
            </w:r>
            <w:r w:rsidR="005C3583" w:rsidRPr="00047B76">
              <w:rPr>
                <w:noProof/>
                <w:webHidden/>
              </w:rPr>
              <w:tab/>
            </w:r>
            <w:r w:rsidR="005C3583" w:rsidRPr="00047B76">
              <w:rPr>
                <w:noProof/>
                <w:webHidden/>
              </w:rPr>
              <w:fldChar w:fldCharType="begin"/>
            </w:r>
            <w:r w:rsidR="005C3583" w:rsidRPr="00047B76">
              <w:rPr>
                <w:noProof/>
                <w:webHidden/>
              </w:rPr>
              <w:instrText xml:space="preserve"> PAGEREF _Toc24615300 \h </w:instrText>
            </w:r>
            <w:r w:rsidR="005C3583" w:rsidRPr="00047B76">
              <w:rPr>
                <w:noProof/>
                <w:webHidden/>
              </w:rPr>
            </w:r>
            <w:r w:rsidR="005C3583" w:rsidRPr="00047B76">
              <w:rPr>
                <w:noProof/>
                <w:webHidden/>
              </w:rPr>
              <w:fldChar w:fldCharType="separate"/>
            </w:r>
            <w:r w:rsidR="00453A3F">
              <w:rPr>
                <w:noProof/>
                <w:webHidden/>
              </w:rPr>
              <w:t>36</w:t>
            </w:r>
            <w:r w:rsidR="005C3583" w:rsidRPr="00047B76">
              <w:rPr>
                <w:noProof/>
                <w:webHidden/>
              </w:rPr>
              <w:fldChar w:fldCharType="end"/>
            </w:r>
          </w:hyperlink>
        </w:p>
        <w:p w:rsidR="005C3583" w:rsidRPr="00047B76" w:rsidRDefault="009A56E8">
          <w:pPr>
            <w:pStyle w:val="TOC1"/>
            <w:tabs>
              <w:tab w:val="right" w:leader="dot" w:pos="9638"/>
            </w:tabs>
            <w:rPr>
              <w:rFonts w:asciiTheme="minorHAnsi" w:eastAsiaTheme="minorEastAsia" w:hAnsiTheme="minorHAnsi"/>
              <w:noProof/>
              <w:sz w:val="22"/>
              <w:lang w:val="en-US"/>
            </w:rPr>
          </w:pPr>
          <w:hyperlink w:anchor="_Toc24615301" w:history="1">
            <w:r w:rsidR="005C3583" w:rsidRPr="00047B76">
              <w:rPr>
                <w:rStyle w:val="Hyperlink"/>
                <w:noProof/>
                <w:lang w:val="fr-CA"/>
              </w:rPr>
              <w:t>Pronouncements of reserved appeals /  Jugements rendus sur les appels en délibéré</w:t>
            </w:r>
            <w:r w:rsidR="005C3583" w:rsidRPr="00047B76">
              <w:rPr>
                <w:noProof/>
                <w:webHidden/>
              </w:rPr>
              <w:tab/>
            </w:r>
            <w:r w:rsidR="005C3583" w:rsidRPr="00047B76">
              <w:rPr>
                <w:noProof/>
                <w:webHidden/>
              </w:rPr>
              <w:fldChar w:fldCharType="begin"/>
            </w:r>
            <w:r w:rsidR="005C3583" w:rsidRPr="00047B76">
              <w:rPr>
                <w:noProof/>
                <w:webHidden/>
              </w:rPr>
              <w:instrText xml:space="preserve"> PAGEREF _Toc24615301 \h </w:instrText>
            </w:r>
            <w:r w:rsidR="005C3583" w:rsidRPr="00047B76">
              <w:rPr>
                <w:noProof/>
                <w:webHidden/>
              </w:rPr>
            </w:r>
            <w:r w:rsidR="005C3583" w:rsidRPr="00047B76">
              <w:rPr>
                <w:noProof/>
                <w:webHidden/>
              </w:rPr>
              <w:fldChar w:fldCharType="separate"/>
            </w:r>
            <w:r w:rsidR="00453A3F">
              <w:rPr>
                <w:noProof/>
                <w:webHidden/>
              </w:rPr>
              <w:t>39</w:t>
            </w:r>
            <w:r w:rsidR="005C3583" w:rsidRPr="00047B76">
              <w:rPr>
                <w:noProof/>
                <w:webHidden/>
              </w:rPr>
              <w:fldChar w:fldCharType="end"/>
            </w:r>
          </w:hyperlink>
        </w:p>
        <w:p w:rsidR="00560DF1" w:rsidRPr="00047B76" w:rsidRDefault="00DC6B2E">
          <w:r w:rsidRPr="00047B76">
            <w:rPr>
              <w:b/>
              <w:bCs/>
              <w:noProof/>
              <w:sz w:val="20"/>
            </w:rPr>
            <w:fldChar w:fldCharType="end"/>
          </w:r>
        </w:p>
      </w:sdtContent>
    </w:sdt>
    <w:p w:rsidR="00560DF1" w:rsidRPr="00047B76" w:rsidRDefault="00560DF1" w:rsidP="0095096B">
      <w:pPr>
        <w:tabs>
          <w:tab w:val="right" w:pos="9360"/>
        </w:tabs>
      </w:pPr>
    </w:p>
    <w:tbl>
      <w:tblPr>
        <w:tblStyle w:val="TableGrid"/>
        <w:tblW w:w="0" w:type="auto"/>
        <w:tblLook w:val="04A0" w:firstRow="1" w:lastRow="0" w:firstColumn="1" w:lastColumn="0" w:noHBand="0" w:noVBand="1"/>
      </w:tblPr>
      <w:tblGrid>
        <w:gridCol w:w="9576"/>
      </w:tblGrid>
      <w:tr w:rsidR="0079724F" w:rsidRPr="00957F6E" w:rsidTr="0079724F">
        <w:tc>
          <w:tcPr>
            <w:tcW w:w="9576" w:type="dxa"/>
          </w:tcPr>
          <w:p w:rsidR="0079724F" w:rsidRPr="00047B76" w:rsidRDefault="0079724F" w:rsidP="00215F7C">
            <w:pPr>
              <w:keepNext/>
              <w:tabs>
                <w:tab w:val="right" w:pos="9360"/>
              </w:tabs>
              <w:jc w:val="center"/>
              <w:rPr>
                <w:szCs w:val="24"/>
              </w:rPr>
            </w:pPr>
            <w:r w:rsidRPr="00047B76">
              <w:rPr>
                <w:szCs w:val="24"/>
              </w:rPr>
              <w:t>NOTICE</w:t>
            </w:r>
          </w:p>
          <w:p w:rsidR="0079724F" w:rsidRPr="00047B76" w:rsidRDefault="0079724F" w:rsidP="00215F7C">
            <w:pPr>
              <w:keepNext/>
              <w:tabs>
                <w:tab w:val="right" w:pos="9360"/>
              </w:tabs>
              <w:rPr>
                <w:szCs w:val="24"/>
              </w:rPr>
            </w:pPr>
          </w:p>
          <w:p w:rsidR="0079724F" w:rsidRPr="00047B76" w:rsidRDefault="0079724F" w:rsidP="00215F7C">
            <w:pPr>
              <w:keepNext/>
              <w:tabs>
                <w:tab w:val="right" w:pos="9360"/>
              </w:tabs>
              <w:jc w:val="both"/>
              <w:rPr>
                <w:szCs w:val="24"/>
              </w:rPr>
            </w:pPr>
            <w:r w:rsidRPr="00047B76">
              <w:rPr>
                <w:szCs w:val="24"/>
              </w:rPr>
              <w:t>Case summaries included in the Bulletin are prepared by the Office of the Registrar of the Supreme Court of Canada (Law Branch) for information purposes only.</w:t>
            </w:r>
          </w:p>
          <w:p w:rsidR="0079724F" w:rsidRPr="00047B76" w:rsidRDefault="0079724F" w:rsidP="00215F7C">
            <w:pPr>
              <w:keepNext/>
              <w:tabs>
                <w:tab w:val="right" w:pos="9360"/>
              </w:tabs>
              <w:rPr>
                <w:szCs w:val="24"/>
              </w:rPr>
            </w:pPr>
          </w:p>
          <w:p w:rsidR="0079724F" w:rsidRPr="00047B76" w:rsidRDefault="0079724F" w:rsidP="00215F7C">
            <w:pPr>
              <w:keepNext/>
              <w:tabs>
                <w:tab w:val="right" w:pos="9360"/>
              </w:tabs>
              <w:rPr>
                <w:szCs w:val="24"/>
              </w:rPr>
            </w:pPr>
          </w:p>
          <w:p w:rsidR="0079724F" w:rsidRPr="00047B76" w:rsidRDefault="0079724F" w:rsidP="00215F7C">
            <w:pPr>
              <w:keepNext/>
              <w:tabs>
                <w:tab w:val="right" w:pos="9360"/>
              </w:tabs>
              <w:jc w:val="center"/>
              <w:rPr>
                <w:szCs w:val="24"/>
                <w:lang w:val="fr-CA"/>
              </w:rPr>
            </w:pPr>
            <w:r w:rsidRPr="00047B76">
              <w:rPr>
                <w:szCs w:val="24"/>
                <w:lang w:val="fr-CA"/>
              </w:rPr>
              <w:t>AVIS</w:t>
            </w:r>
          </w:p>
          <w:p w:rsidR="0079724F" w:rsidRPr="00047B76" w:rsidRDefault="0079724F" w:rsidP="00215F7C">
            <w:pPr>
              <w:keepNext/>
              <w:tabs>
                <w:tab w:val="right" w:pos="9360"/>
              </w:tabs>
              <w:rPr>
                <w:szCs w:val="24"/>
                <w:lang w:val="fr-CA"/>
              </w:rPr>
            </w:pPr>
          </w:p>
          <w:p w:rsidR="0079724F" w:rsidRPr="00047B76" w:rsidRDefault="0079724F" w:rsidP="004E44A7">
            <w:pPr>
              <w:keepNext/>
              <w:tabs>
                <w:tab w:val="right" w:pos="9360"/>
              </w:tabs>
              <w:jc w:val="both"/>
              <w:rPr>
                <w:sz w:val="20"/>
                <w:szCs w:val="20"/>
                <w:lang w:val="fr-CA"/>
              </w:rPr>
            </w:pPr>
            <w:r w:rsidRPr="00047B76">
              <w:rPr>
                <w:szCs w:val="24"/>
                <w:lang w:val="fr-CA"/>
              </w:rPr>
              <w:t>Les résumés de</w:t>
            </w:r>
            <w:r w:rsidR="004E44A7" w:rsidRPr="00047B76">
              <w:rPr>
                <w:szCs w:val="24"/>
                <w:lang w:val="fr-CA"/>
              </w:rPr>
              <w:t>s</w:t>
            </w:r>
            <w:r w:rsidRPr="00047B76">
              <w:rPr>
                <w:szCs w:val="24"/>
                <w:lang w:val="fr-CA"/>
              </w:rPr>
              <w:t xml:space="preserve"> </w:t>
            </w:r>
            <w:r w:rsidR="004E44A7" w:rsidRPr="00047B76">
              <w:rPr>
                <w:szCs w:val="24"/>
                <w:lang w:val="fr-CA"/>
              </w:rPr>
              <w:t>causes</w:t>
            </w:r>
            <w:r w:rsidRPr="00047B76">
              <w:rPr>
                <w:szCs w:val="24"/>
                <w:lang w:val="fr-CA"/>
              </w:rPr>
              <w:t xml:space="preserve"> publiés dans le bulletin sont préparés par le Bureau du registraire (Direction générale du droit) uniquement à titre d’information.</w:t>
            </w:r>
          </w:p>
        </w:tc>
      </w:tr>
    </w:tbl>
    <w:p w:rsidR="0095096B" w:rsidRPr="00047B76" w:rsidRDefault="0095096B" w:rsidP="0095096B">
      <w:pPr>
        <w:tabs>
          <w:tab w:val="right" w:pos="9360"/>
        </w:tabs>
        <w:rPr>
          <w:lang w:val="fr-CA"/>
        </w:rPr>
      </w:pPr>
    </w:p>
    <w:p w:rsidR="00C01FCB" w:rsidRPr="00047B76" w:rsidRDefault="00C01FCB" w:rsidP="0095096B">
      <w:pPr>
        <w:tabs>
          <w:tab w:val="right" w:pos="9360"/>
        </w:tabs>
        <w:rPr>
          <w:lang w:val="fr-CA"/>
        </w:rPr>
      </w:pPr>
    </w:p>
    <w:p w:rsidR="00A87207" w:rsidRPr="00047B76" w:rsidRDefault="00A87207" w:rsidP="0095096B">
      <w:pPr>
        <w:tabs>
          <w:tab w:val="right" w:pos="9360"/>
        </w:tabs>
        <w:rPr>
          <w:lang w:val="fr-CA"/>
        </w:rPr>
        <w:sectPr w:rsidR="00A87207" w:rsidRPr="00047B76" w:rsidSect="0044776A">
          <w:pgSz w:w="12240" w:h="15840"/>
          <w:pgMar w:top="720" w:right="1152" w:bottom="1080" w:left="1440" w:header="706" w:footer="706" w:gutter="0"/>
          <w:cols w:space="708"/>
          <w:titlePg/>
          <w:docGrid w:linePitch="360"/>
        </w:sectPr>
      </w:pPr>
    </w:p>
    <w:p w:rsidR="00560DF1" w:rsidRPr="00047B76" w:rsidRDefault="00DD0BDC" w:rsidP="00567602">
      <w:pPr>
        <w:pStyle w:val="Header1StyleE"/>
        <w:pBdr>
          <w:bottom w:val="single" w:sz="12" w:space="1" w:color="auto"/>
        </w:pBdr>
        <w:rPr>
          <w:lang w:val="fr-CA"/>
        </w:rPr>
      </w:pPr>
      <w:bookmarkStart w:id="1" w:name="_Toc24615296"/>
      <w:r w:rsidRPr="00047B76">
        <w:rPr>
          <w:lang w:val="fr-CA"/>
        </w:rPr>
        <w:lastRenderedPageBreak/>
        <w:t>Applications for leave to appeal filed</w:t>
      </w:r>
      <w:r w:rsidR="00271E1E" w:rsidRPr="00047B76">
        <w:rPr>
          <w:lang w:val="fr-CA"/>
        </w:rPr>
        <w:t xml:space="preserve"> / </w:t>
      </w:r>
      <w:r w:rsidR="00727571" w:rsidRPr="00047B76">
        <w:rPr>
          <w:lang w:val="fr-CA"/>
        </w:rPr>
        <w:br/>
      </w:r>
      <w:r w:rsidRPr="00047B76">
        <w:rPr>
          <w:lang w:val="fr-CA"/>
        </w:rPr>
        <w:t>Demandes d’autorisation d’appel déposées</w:t>
      </w:r>
      <w:bookmarkEnd w:id="1"/>
    </w:p>
    <w:p w:rsidR="00FB1DB6" w:rsidRPr="00047B76" w:rsidRDefault="00FB1DB6" w:rsidP="0095096B">
      <w:pPr>
        <w:tabs>
          <w:tab w:val="right" w:pos="9360"/>
        </w:tabs>
        <w:rPr>
          <w:sz w:val="20"/>
          <w:szCs w:val="20"/>
          <w:lang w:val="fr-CA"/>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047B76" w:rsidTr="003B3977">
        <w:tc>
          <w:tcPr>
            <w:tcW w:w="4320" w:type="dxa"/>
            <w:shd w:val="clear" w:color="auto" w:fill="auto"/>
          </w:tcPr>
          <w:p w:rsidR="00C21644" w:rsidRPr="00047B76" w:rsidRDefault="0061118C" w:rsidP="005F1ED8">
            <w:pPr>
              <w:rPr>
                <w:b/>
                <w:sz w:val="20"/>
                <w:szCs w:val="20"/>
                <w:lang w:val="en-US"/>
              </w:rPr>
            </w:pPr>
            <w:proofErr w:type="spellStart"/>
            <w:r w:rsidRPr="00047B76">
              <w:rPr>
                <w:b/>
                <w:sz w:val="20"/>
                <w:szCs w:val="20"/>
                <w:lang w:val="en-US"/>
              </w:rPr>
              <w:t>Cadine</w:t>
            </w:r>
            <w:proofErr w:type="spellEnd"/>
            <w:r w:rsidRPr="00047B76">
              <w:rPr>
                <w:b/>
                <w:sz w:val="20"/>
                <w:szCs w:val="20"/>
                <w:lang w:val="en-US"/>
              </w:rPr>
              <w:t xml:space="preserve"> </w:t>
            </w:r>
            <w:proofErr w:type="spellStart"/>
            <w:r w:rsidRPr="00047B76">
              <w:rPr>
                <w:b/>
                <w:sz w:val="20"/>
                <w:szCs w:val="20"/>
                <w:lang w:val="en-US"/>
              </w:rPr>
              <w:t>Boechler</w:t>
            </w:r>
            <w:proofErr w:type="spellEnd"/>
            <w:r w:rsidRPr="00047B76">
              <w:rPr>
                <w:b/>
                <w:sz w:val="20"/>
                <w:szCs w:val="20"/>
                <w:lang w:val="en-US"/>
              </w:rPr>
              <w:t>, et al.</w:t>
            </w:r>
          </w:p>
          <w:p w:rsidR="00C21644" w:rsidRPr="00047B76" w:rsidRDefault="00C21644" w:rsidP="005F1ED8">
            <w:pPr>
              <w:tabs>
                <w:tab w:val="left" w:pos="-1440"/>
                <w:tab w:val="left" w:pos="-720"/>
              </w:tabs>
              <w:rPr>
                <w:sz w:val="20"/>
                <w:szCs w:val="20"/>
                <w:lang w:val="en-US"/>
              </w:rPr>
            </w:pPr>
            <w:r w:rsidRPr="00047B76">
              <w:rPr>
                <w:sz w:val="20"/>
                <w:szCs w:val="20"/>
                <w:lang w:val="en-US"/>
              </w:rPr>
              <w:tab/>
            </w:r>
            <w:r w:rsidR="0061118C" w:rsidRPr="00047B76">
              <w:rPr>
                <w:sz w:val="20"/>
                <w:szCs w:val="20"/>
                <w:lang w:val="en-US"/>
              </w:rPr>
              <w:t xml:space="preserve">Cheng, </w:t>
            </w:r>
            <w:proofErr w:type="spellStart"/>
            <w:r w:rsidR="0061118C" w:rsidRPr="00047B76">
              <w:rPr>
                <w:sz w:val="20"/>
                <w:szCs w:val="20"/>
                <w:lang w:val="en-US"/>
              </w:rPr>
              <w:t>Chilwin</w:t>
            </w:r>
            <w:proofErr w:type="spellEnd"/>
          </w:p>
          <w:p w:rsidR="00C21644" w:rsidRPr="00047B76" w:rsidRDefault="00C21644" w:rsidP="005F1ED8">
            <w:pPr>
              <w:tabs>
                <w:tab w:val="left" w:pos="-1440"/>
                <w:tab w:val="left" w:pos="-720"/>
              </w:tabs>
              <w:rPr>
                <w:sz w:val="20"/>
                <w:szCs w:val="20"/>
                <w:lang w:val="en-US"/>
              </w:rPr>
            </w:pPr>
            <w:r w:rsidRPr="00047B76">
              <w:rPr>
                <w:sz w:val="20"/>
                <w:szCs w:val="20"/>
                <w:lang w:val="en-US"/>
              </w:rPr>
              <w:tab/>
            </w:r>
            <w:proofErr w:type="spellStart"/>
            <w:r w:rsidR="0061118C" w:rsidRPr="00047B76">
              <w:rPr>
                <w:sz w:val="20"/>
                <w:szCs w:val="20"/>
                <w:lang w:val="en-US"/>
              </w:rPr>
              <w:t>Ascendion</w:t>
            </w:r>
            <w:proofErr w:type="spellEnd"/>
            <w:r w:rsidR="0061118C" w:rsidRPr="00047B76">
              <w:rPr>
                <w:sz w:val="20"/>
                <w:szCs w:val="20"/>
                <w:lang w:val="en-US"/>
              </w:rPr>
              <w:t xml:space="preserve"> Law</w:t>
            </w:r>
          </w:p>
          <w:p w:rsidR="00C21644" w:rsidRPr="00047B76" w:rsidRDefault="00C21644" w:rsidP="005F1ED8">
            <w:pPr>
              <w:tabs>
                <w:tab w:val="left" w:pos="-1440"/>
                <w:tab w:val="left" w:pos="-720"/>
              </w:tabs>
              <w:rPr>
                <w:sz w:val="20"/>
                <w:szCs w:val="20"/>
                <w:lang w:val="en-US"/>
              </w:rPr>
            </w:pPr>
          </w:p>
          <w:p w:rsidR="00C21644" w:rsidRPr="00047B76" w:rsidRDefault="00C21644" w:rsidP="005F1ED8">
            <w:pPr>
              <w:tabs>
                <w:tab w:val="left" w:pos="-1440"/>
                <w:tab w:val="left" w:pos="-720"/>
              </w:tabs>
              <w:rPr>
                <w:sz w:val="20"/>
                <w:szCs w:val="20"/>
                <w:lang w:val="en-US"/>
              </w:rPr>
            </w:pPr>
            <w:r w:rsidRPr="00047B76">
              <w:rPr>
                <w:sz w:val="20"/>
                <w:szCs w:val="20"/>
                <w:lang w:val="en-US"/>
              </w:rPr>
              <w:tab/>
              <w:t>v. (3</w:t>
            </w:r>
            <w:r w:rsidR="0061118C" w:rsidRPr="00047B76">
              <w:rPr>
                <w:sz w:val="20"/>
                <w:szCs w:val="20"/>
                <w:lang w:val="en-US"/>
              </w:rPr>
              <w:t>8841</w:t>
            </w:r>
            <w:r w:rsidRPr="00047B76">
              <w:rPr>
                <w:sz w:val="20"/>
                <w:szCs w:val="20"/>
                <w:lang w:val="en-US"/>
              </w:rPr>
              <w:t>)</w:t>
            </w:r>
          </w:p>
          <w:p w:rsidR="00C21644" w:rsidRPr="00047B76" w:rsidRDefault="00C21644" w:rsidP="005F1ED8">
            <w:pPr>
              <w:tabs>
                <w:tab w:val="left" w:pos="-1440"/>
                <w:tab w:val="left" w:pos="-720"/>
              </w:tabs>
              <w:rPr>
                <w:sz w:val="20"/>
                <w:szCs w:val="20"/>
                <w:lang w:val="en-US"/>
              </w:rPr>
            </w:pPr>
          </w:p>
          <w:p w:rsidR="00C21644" w:rsidRPr="00047B76" w:rsidRDefault="0061118C" w:rsidP="005F1ED8">
            <w:pPr>
              <w:tabs>
                <w:tab w:val="left" w:pos="-1440"/>
                <w:tab w:val="left" w:pos="-720"/>
              </w:tabs>
              <w:rPr>
                <w:b/>
                <w:sz w:val="20"/>
                <w:szCs w:val="20"/>
                <w:lang w:val="en-US"/>
              </w:rPr>
            </w:pPr>
            <w:r w:rsidRPr="00047B76">
              <w:rPr>
                <w:b/>
                <w:sz w:val="20"/>
                <w:szCs w:val="20"/>
                <w:lang w:val="en-US"/>
              </w:rPr>
              <w:t>Regina</w:t>
            </w:r>
            <w:r w:rsidR="00C21644" w:rsidRPr="00047B76">
              <w:rPr>
                <w:sz w:val="20"/>
                <w:szCs w:val="20"/>
                <w:lang w:val="en-US"/>
              </w:rPr>
              <w:t xml:space="preserve"> </w:t>
            </w:r>
            <w:r w:rsidR="00C21644" w:rsidRPr="00047B76">
              <w:rPr>
                <w:b/>
                <w:sz w:val="20"/>
                <w:szCs w:val="20"/>
                <w:lang w:val="en-US"/>
              </w:rPr>
              <w:t>(</w:t>
            </w:r>
            <w:r w:rsidRPr="00047B76">
              <w:rPr>
                <w:b/>
                <w:sz w:val="20"/>
                <w:szCs w:val="20"/>
                <w:lang w:val="en-US"/>
              </w:rPr>
              <w:t>B.C</w:t>
            </w:r>
            <w:r w:rsidR="00C21644" w:rsidRPr="00047B76">
              <w:rPr>
                <w:b/>
                <w:sz w:val="20"/>
                <w:szCs w:val="20"/>
                <w:lang w:val="en-US"/>
              </w:rPr>
              <w:t>.)</w:t>
            </w:r>
          </w:p>
          <w:p w:rsidR="00C21644" w:rsidRPr="00047B76" w:rsidRDefault="00C21644" w:rsidP="005F1ED8">
            <w:pPr>
              <w:tabs>
                <w:tab w:val="left" w:pos="-1440"/>
                <w:tab w:val="left" w:pos="-720"/>
              </w:tabs>
              <w:rPr>
                <w:sz w:val="20"/>
                <w:szCs w:val="20"/>
              </w:rPr>
            </w:pPr>
            <w:r w:rsidRPr="00047B76">
              <w:rPr>
                <w:sz w:val="20"/>
                <w:szCs w:val="20"/>
                <w:lang w:val="en-US"/>
              </w:rPr>
              <w:tab/>
            </w:r>
            <w:r w:rsidR="0061118C" w:rsidRPr="00047B76">
              <w:rPr>
                <w:sz w:val="20"/>
                <w:szCs w:val="20"/>
                <w:lang w:val="en-US"/>
              </w:rPr>
              <w:t>Shaw, Trevor</w:t>
            </w:r>
          </w:p>
          <w:p w:rsidR="00C21644" w:rsidRPr="00047B76" w:rsidRDefault="00C21644" w:rsidP="005F1ED8">
            <w:pPr>
              <w:tabs>
                <w:tab w:val="left" w:pos="-1440"/>
                <w:tab w:val="left" w:pos="-720"/>
              </w:tabs>
              <w:rPr>
                <w:sz w:val="20"/>
                <w:szCs w:val="20"/>
              </w:rPr>
            </w:pPr>
            <w:r w:rsidRPr="00047B76">
              <w:rPr>
                <w:sz w:val="20"/>
                <w:szCs w:val="20"/>
              </w:rPr>
              <w:tab/>
            </w:r>
            <w:r w:rsidR="0061118C" w:rsidRPr="00047B76">
              <w:rPr>
                <w:sz w:val="20"/>
                <w:szCs w:val="20"/>
              </w:rPr>
              <w:t>Attorney General of British Columbia</w:t>
            </w:r>
          </w:p>
          <w:p w:rsidR="00C21644" w:rsidRPr="00047B76" w:rsidRDefault="00C21644" w:rsidP="005F1ED8">
            <w:pPr>
              <w:tabs>
                <w:tab w:val="left" w:pos="-1440"/>
                <w:tab w:val="left" w:pos="-720"/>
              </w:tabs>
              <w:rPr>
                <w:sz w:val="20"/>
                <w:szCs w:val="20"/>
              </w:rPr>
            </w:pPr>
          </w:p>
          <w:p w:rsidR="00C21644" w:rsidRPr="00047B76" w:rsidRDefault="00C21644" w:rsidP="005F1ED8">
            <w:pPr>
              <w:rPr>
                <w:sz w:val="20"/>
                <w:szCs w:val="20"/>
              </w:rPr>
            </w:pPr>
            <w:r w:rsidRPr="00047B76">
              <w:rPr>
                <w:sz w:val="20"/>
                <w:szCs w:val="20"/>
              </w:rPr>
              <w:t xml:space="preserve">FILING DATE: </w:t>
            </w:r>
            <w:r w:rsidR="0061118C" w:rsidRPr="00047B76">
              <w:rPr>
                <w:sz w:val="20"/>
                <w:szCs w:val="20"/>
              </w:rPr>
              <w:t>September</w:t>
            </w:r>
            <w:r w:rsidR="00684F23" w:rsidRPr="00047B76">
              <w:rPr>
                <w:sz w:val="20"/>
                <w:szCs w:val="20"/>
              </w:rPr>
              <w:t xml:space="preserve"> </w:t>
            </w:r>
            <w:r w:rsidR="0061118C" w:rsidRPr="00047B76">
              <w:rPr>
                <w:sz w:val="20"/>
                <w:szCs w:val="20"/>
              </w:rPr>
              <w:t>30</w:t>
            </w:r>
            <w:r w:rsidR="00684F23" w:rsidRPr="00047B76">
              <w:rPr>
                <w:sz w:val="20"/>
                <w:szCs w:val="20"/>
              </w:rPr>
              <w:t>, 2019</w:t>
            </w:r>
          </w:p>
          <w:p w:rsidR="00C21644" w:rsidRPr="00047B76" w:rsidRDefault="009A56E8"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047B76" w:rsidRDefault="00C21644" w:rsidP="00242AEE">
            <w:pPr>
              <w:jc w:val="center"/>
              <w:rPr>
                <w:sz w:val="20"/>
                <w:szCs w:val="20"/>
              </w:rPr>
            </w:pPr>
          </w:p>
          <w:p w:rsidR="00C21644" w:rsidRPr="00047B76" w:rsidRDefault="00C21644" w:rsidP="00242AEE">
            <w:pPr>
              <w:jc w:val="center"/>
              <w:rPr>
                <w:sz w:val="20"/>
                <w:szCs w:val="20"/>
              </w:rPr>
            </w:pPr>
          </w:p>
          <w:p w:rsidR="00C21644" w:rsidRPr="00047B76" w:rsidRDefault="00C21644" w:rsidP="00242AEE">
            <w:pPr>
              <w:jc w:val="center"/>
              <w:rPr>
                <w:sz w:val="20"/>
                <w:szCs w:val="20"/>
              </w:rPr>
            </w:pPr>
          </w:p>
          <w:p w:rsidR="00C21644" w:rsidRPr="00047B76" w:rsidRDefault="00C21644" w:rsidP="00242AEE">
            <w:pPr>
              <w:jc w:val="center"/>
              <w:rPr>
                <w:sz w:val="20"/>
                <w:szCs w:val="20"/>
              </w:rPr>
            </w:pPr>
          </w:p>
          <w:p w:rsidR="00C21644" w:rsidRPr="00047B76" w:rsidRDefault="00C21644" w:rsidP="00242AEE">
            <w:pPr>
              <w:jc w:val="center"/>
              <w:rPr>
                <w:sz w:val="20"/>
                <w:szCs w:val="20"/>
              </w:rPr>
            </w:pPr>
          </w:p>
          <w:p w:rsidR="00C21644" w:rsidRPr="00047B76" w:rsidRDefault="00C21644" w:rsidP="00242AEE">
            <w:pPr>
              <w:jc w:val="center"/>
              <w:rPr>
                <w:sz w:val="20"/>
                <w:szCs w:val="20"/>
              </w:rPr>
            </w:pPr>
          </w:p>
          <w:p w:rsidR="00C21644" w:rsidRPr="00047B76" w:rsidRDefault="00C21644" w:rsidP="00242AEE">
            <w:pPr>
              <w:jc w:val="center"/>
              <w:rPr>
                <w:sz w:val="20"/>
                <w:szCs w:val="20"/>
              </w:rPr>
            </w:pPr>
          </w:p>
          <w:p w:rsidR="00C21644" w:rsidRPr="00047B76" w:rsidRDefault="00C21644" w:rsidP="00242AEE">
            <w:pPr>
              <w:jc w:val="center"/>
              <w:rPr>
                <w:sz w:val="20"/>
                <w:szCs w:val="20"/>
              </w:rPr>
            </w:pPr>
          </w:p>
          <w:p w:rsidR="00C21644" w:rsidRPr="00047B76" w:rsidRDefault="00C21644" w:rsidP="00242AEE">
            <w:pPr>
              <w:jc w:val="center"/>
              <w:rPr>
                <w:sz w:val="20"/>
                <w:szCs w:val="20"/>
              </w:rPr>
            </w:pPr>
          </w:p>
          <w:p w:rsidR="00C21644" w:rsidRPr="00047B76" w:rsidRDefault="00C21644" w:rsidP="00242AEE">
            <w:pPr>
              <w:jc w:val="center"/>
              <w:rPr>
                <w:sz w:val="20"/>
                <w:szCs w:val="20"/>
              </w:rPr>
            </w:pPr>
          </w:p>
          <w:p w:rsidR="00C21644" w:rsidRPr="00047B76" w:rsidRDefault="00C21644" w:rsidP="00242AEE">
            <w:pPr>
              <w:jc w:val="center"/>
              <w:rPr>
                <w:sz w:val="20"/>
                <w:szCs w:val="20"/>
              </w:rPr>
            </w:pPr>
          </w:p>
          <w:p w:rsidR="00C21644" w:rsidRPr="00047B76" w:rsidRDefault="00C21644" w:rsidP="00242AEE">
            <w:pPr>
              <w:jc w:val="center"/>
              <w:rPr>
                <w:sz w:val="20"/>
                <w:szCs w:val="20"/>
              </w:rPr>
            </w:pPr>
          </w:p>
          <w:p w:rsidR="00C21644" w:rsidRPr="00047B76" w:rsidRDefault="00C21644" w:rsidP="00242AEE">
            <w:pPr>
              <w:jc w:val="center"/>
              <w:rPr>
                <w:sz w:val="20"/>
                <w:szCs w:val="20"/>
              </w:rPr>
            </w:pPr>
          </w:p>
        </w:tc>
        <w:tc>
          <w:tcPr>
            <w:tcW w:w="4320" w:type="dxa"/>
            <w:shd w:val="clear" w:color="auto" w:fill="auto"/>
          </w:tcPr>
          <w:p w:rsidR="008413EA" w:rsidRPr="00047B76" w:rsidRDefault="0051774C" w:rsidP="008413EA">
            <w:pPr>
              <w:rPr>
                <w:b/>
                <w:sz w:val="20"/>
                <w:szCs w:val="20"/>
                <w:lang w:val="en-US"/>
              </w:rPr>
            </w:pPr>
            <w:proofErr w:type="spellStart"/>
            <w:r w:rsidRPr="00047B76">
              <w:rPr>
                <w:b/>
                <w:sz w:val="20"/>
                <w:szCs w:val="20"/>
                <w:lang w:val="en-US"/>
              </w:rPr>
              <w:t>Tonu</w:t>
            </w:r>
            <w:proofErr w:type="spellEnd"/>
            <w:r w:rsidRPr="00047B76">
              <w:rPr>
                <w:b/>
                <w:sz w:val="20"/>
                <w:szCs w:val="20"/>
                <w:lang w:val="en-US"/>
              </w:rPr>
              <w:t xml:space="preserve"> </w:t>
            </w:r>
            <w:proofErr w:type="spellStart"/>
            <w:r w:rsidRPr="00047B76">
              <w:rPr>
                <w:b/>
                <w:sz w:val="20"/>
                <w:szCs w:val="20"/>
                <w:lang w:val="en-US"/>
              </w:rPr>
              <w:t>Elmar</w:t>
            </w:r>
            <w:proofErr w:type="spellEnd"/>
            <w:r w:rsidRPr="00047B76">
              <w:rPr>
                <w:b/>
                <w:sz w:val="20"/>
                <w:szCs w:val="20"/>
                <w:lang w:val="en-US"/>
              </w:rPr>
              <w:t xml:space="preserve"> </w:t>
            </w:r>
            <w:proofErr w:type="spellStart"/>
            <w:r w:rsidRPr="00047B76">
              <w:rPr>
                <w:b/>
                <w:sz w:val="20"/>
                <w:szCs w:val="20"/>
                <w:lang w:val="en-US"/>
              </w:rPr>
              <w:t>Petersoo</w:t>
            </w:r>
            <w:proofErr w:type="spellEnd"/>
          </w:p>
          <w:p w:rsidR="008413EA" w:rsidRPr="00047B76" w:rsidRDefault="008413EA" w:rsidP="008413EA">
            <w:pPr>
              <w:tabs>
                <w:tab w:val="left" w:pos="-1440"/>
                <w:tab w:val="left" w:pos="-720"/>
              </w:tabs>
              <w:rPr>
                <w:sz w:val="20"/>
                <w:szCs w:val="20"/>
                <w:lang w:val="en-US"/>
              </w:rPr>
            </w:pPr>
            <w:r w:rsidRPr="00047B76">
              <w:rPr>
                <w:sz w:val="20"/>
                <w:szCs w:val="20"/>
                <w:lang w:val="en-US"/>
              </w:rPr>
              <w:tab/>
            </w:r>
            <w:proofErr w:type="spellStart"/>
            <w:r w:rsidR="006C7EF1" w:rsidRPr="00047B76">
              <w:rPr>
                <w:sz w:val="20"/>
                <w:szCs w:val="20"/>
                <w:lang w:val="en-US"/>
              </w:rPr>
              <w:t>Stangarone</w:t>
            </w:r>
            <w:proofErr w:type="spellEnd"/>
            <w:r w:rsidR="006C7EF1" w:rsidRPr="00047B76">
              <w:rPr>
                <w:sz w:val="20"/>
                <w:szCs w:val="20"/>
                <w:lang w:val="en-US"/>
              </w:rPr>
              <w:t>, Michael J.</w:t>
            </w:r>
          </w:p>
          <w:p w:rsidR="008413EA" w:rsidRPr="00047B76" w:rsidRDefault="008413EA" w:rsidP="008413EA">
            <w:pPr>
              <w:tabs>
                <w:tab w:val="left" w:pos="-1440"/>
                <w:tab w:val="left" w:pos="-720"/>
              </w:tabs>
              <w:rPr>
                <w:sz w:val="20"/>
                <w:szCs w:val="20"/>
                <w:lang w:val="en-US"/>
              </w:rPr>
            </w:pPr>
            <w:r w:rsidRPr="00047B76">
              <w:rPr>
                <w:sz w:val="20"/>
                <w:szCs w:val="20"/>
                <w:lang w:val="en-US"/>
              </w:rPr>
              <w:tab/>
            </w:r>
            <w:r w:rsidR="006C7EF1" w:rsidRPr="00047B76">
              <w:rPr>
                <w:sz w:val="20"/>
                <w:szCs w:val="20"/>
                <w:lang w:val="en-US"/>
              </w:rPr>
              <w:t>MacDonald &amp; Partners LLP</w:t>
            </w:r>
          </w:p>
          <w:p w:rsidR="008413EA" w:rsidRPr="00047B76" w:rsidRDefault="008413EA" w:rsidP="008413EA">
            <w:pPr>
              <w:tabs>
                <w:tab w:val="left" w:pos="-1440"/>
                <w:tab w:val="left" w:pos="-720"/>
              </w:tabs>
              <w:rPr>
                <w:sz w:val="20"/>
                <w:szCs w:val="20"/>
                <w:lang w:val="en-US"/>
              </w:rPr>
            </w:pPr>
          </w:p>
          <w:p w:rsidR="008413EA" w:rsidRPr="00047B76" w:rsidRDefault="008413EA" w:rsidP="008413EA">
            <w:pPr>
              <w:tabs>
                <w:tab w:val="left" w:pos="-1440"/>
                <w:tab w:val="left" w:pos="-720"/>
              </w:tabs>
              <w:rPr>
                <w:sz w:val="20"/>
                <w:szCs w:val="20"/>
                <w:lang w:val="en-US"/>
              </w:rPr>
            </w:pPr>
            <w:r w:rsidRPr="00047B76">
              <w:rPr>
                <w:sz w:val="20"/>
                <w:szCs w:val="20"/>
                <w:lang w:val="en-US"/>
              </w:rPr>
              <w:tab/>
              <w:t>v. (38</w:t>
            </w:r>
            <w:r w:rsidR="0051774C" w:rsidRPr="00047B76">
              <w:rPr>
                <w:sz w:val="20"/>
                <w:szCs w:val="20"/>
                <w:lang w:val="en-US"/>
              </w:rPr>
              <w:t>843</w:t>
            </w:r>
            <w:r w:rsidRPr="00047B76">
              <w:rPr>
                <w:sz w:val="20"/>
                <w:szCs w:val="20"/>
                <w:lang w:val="en-US"/>
              </w:rPr>
              <w:t>)</w:t>
            </w:r>
          </w:p>
          <w:p w:rsidR="008413EA" w:rsidRPr="00047B76" w:rsidRDefault="008413EA" w:rsidP="008413EA">
            <w:pPr>
              <w:tabs>
                <w:tab w:val="left" w:pos="-1440"/>
                <w:tab w:val="left" w:pos="-720"/>
              </w:tabs>
              <w:rPr>
                <w:sz w:val="20"/>
                <w:szCs w:val="20"/>
                <w:lang w:val="en-US"/>
              </w:rPr>
            </w:pPr>
          </w:p>
          <w:p w:rsidR="008413EA" w:rsidRPr="00047B76" w:rsidRDefault="006C7EF1" w:rsidP="008413EA">
            <w:pPr>
              <w:tabs>
                <w:tab w:val="left" w:pos="-1440"/>
                <w:tab w:val="left" w:pos="-720"/>
              </w:tabs>
              <w:rPr>
                <w:b/>
                <w:sz w:val="20"/>
                <w:szCs w:val="20"/>
                <w:lang w:val="en-US"/>
              </w:rPr>
            </w:pPr>
            <w:proofErr w:type="spellStart"/>
            <w:r w:rsidRPr="00047B76">
              <w:rPr>
                <w:b/>
                <w:sz w:val="20"/>
                <w:szCs w:val="20"/>
                <w:lang w:val="en-US"/>
              </w:rPr>
              <w:t>Karinna</w:t>
            </w:r>
            <w:proofErr w:type="spellEnd"/>
            <w:r w:rsidRPr="00047B76">
              <w:rPr>
                <w:b/>
                <w:sz w:val="20"/>
                <w:szCs w:val="20"/>
                <w:lang w:val="en-US"/>
              </w:rPr>
              <w:t xml:space="preserve"> Margaret Gerda </w:t>
            </w:r>
            <w:proofErr w:type="spellStart"/>
            <w:r w:rsidRPr="00047B76">
              <w:rPr>
                <w:b/>
                <w:sz w:val="20"/>
                <w:szCs w:val="20"/>
                <w:lang w:val="en-US"/>
              </w:rPr>
              <w:t>Petersoo</w:t>
            </w:r>
            <w:proofErr w:type="spellEnd"/>
          </w:p>
          <w:p w:rsidR="008413EA" w:rsidRPr="00047B76" w:rsidRDefault="008413EA" w:rsidP="008413EA">
            <w:pPr>
              <w:tabs>
                <w:tab w:val="left" w:pos="-1440"/>
                <w:tab w:val="left" w:pos="-720"/>
              </w:tabs>
              <w:rPr>
                <w:sz w:val="20"/>
                <w:szCs w:val="20"/>
              </w:rPr>
            </w:pPr>
            <w:r w:rsidRPr="00047B76">
              <w:rPr>
                <w:sz w:val="20"/>
                <w:szCs w:val="20"/>
                <w:lang w:val="en-US"/>
              </w:rPr>
              <w:tab/>
            </w:r>
            <w:r w:rsidR="006C7EF1" w:rsidRPr="00047B76">
              <w:rPr>
                <w:sz w:val="20"/>
                <w:szCs w:val="20"/>
                <w:lang w:val="en-US"/>
              </w:rPr>
              <w:t>Normandin, Kristen</w:t>
            </w:r>
          </w:p>
          <w:p w:rsidR="008413EA" w:rsidRPr="00047B76" w:rsidRDefault="008413EA" w:rsidP="008413EA">
            <w:pPr>
              <w:tabs>
                <w:tab w:val="left" w:pos="-1440"/>
                <w:tab w:val="left" w:pos="-720"/>
              </w:tabs>
              <w:rPr>
                <w:sz w:val="20"/>
                <w:szCs w:val="20"/>
              </w:rPr>
            </w:pPr>
            <w:r w:rsidRPr="00047B76">
              <w:rPr>
                <w:sz w:val="20"/>
                <w:szCs w:val="20"/>
              </w:rPr>
              <w:tab/>
            </w:r>
            <w:r w:rsidR="006C7EF1" w:rsidRPr="00047B76">
              <w:rPr>
                <w:sz w:val="20"/>
                <w:szCs w:val="20"/>
              </w:rPr>
              <w:t>Normandin Chris LLP</w:t>
            </w:r>
          </w:p>
          <w:p w:rsidR="008413EA" w:rsidRPr="00047B76" w:rsidRDefault="008413EA" w:rsidP="008413EA">
            <w:pPr>
              <w:tabs>
                <w:tab w:val="left" w:pos="-1440"/>
                <w:tab w:val="left" w:pos="-720"/>
              </w:tabs>
              <w:rPr>
                <w:sz w:val="20"/>
                <w:szCs w:val="20"/>
              </w:rPr>
            </w:pPr>
          </w:p>
          <w:p w:rsidR="008413EA" w:rsidRPr="00047B76" w:rsidRDefault="008413EA" w:rsidP="008413EA">
            <w:pPr>
              <w:rPr>
                <w:sz w:val="20"/>
                <w:szCs w:val="20"/>
              </w:rPr>
            </w:pPr>
            <w:r w:rsidRPr="00047B76">
              <w:rPr>
                <w:sz w:val="20"/>
                <w:szCs w:val="20"/>
              </w:rPr>
              <w:t xml:space="preserve">FILING DATE: </w:t>
            </w:r>
            <w:r w:rsidR="0051774C" w:rsidRPr="00047B76">
              <w:rPr>
                <w:sz w:val="20"/>
                <w:szCs w:val="20"/>
              </w:rPr>
              <w:t>September</w:t>
            </w:r>
            <w:r w:rsidRPr="00047B76">
              <w:rPr>
                <w:sz w:val="20"/>
                <w:szCs w:val="20"/>
              </w:rPr>
              <w:t xml:space="preserve"> </w:t>
            </w:r>
            <w:r w:rsidR="0051774C" w:rsidRPr="00047B76">
              <w:rPr>
                <w:sz w:val="20"/>
                <w:szCs w:val="20"/>
              </w:rPr>
              <w:t>30</w:t>
            </w:r>
            <w:r w:rsidRPr="00047B76">
              <w:rPr>
                <w:sz w:val="20"/>
                <w:szCs w:val="20"/>
              </w:rPr>
              <w:t>, 2019</w:t>
            </w:r>
          </w:p>
          <w:p w:rsidR="00C21644" w:rsidRPr="00047B76" w:rsidRDefault="009A56E8" w:rsidP="008413EA">
            <w:pPr>
              <w:rPr>
                <w:sz w:val="20"/>
                <w:szCs w:val="20"/>
                <w:lang w:val="fr-CA"/>
              </w:rPr>
            </w:pPr>
            <w:r>
              <w:rPr>
                <w:sz w:val="20"/>
                <w:szCs w:val="20"/>
                <w:lang w:val="fr-CA"/>
              </w:rPr>
              <w:pict>
                <v:rect id="_x0000_i1026" style="width:108pt;height:1pt" o:hrpct="0" o:hralign="center" o:hrstd="t" o:hrnoshade="t" o:hr="t" fillcolor="black [3213]" stroked="f"/>
              </w:pict>
            </w:r>
          </w:p>
        </w:tc>
      </w:tr>
      <w:tr w:rsidR="00C21644" w:rsidRPr="00047B76" w:rsidTr="003B3977">
        <w:tc>
          <w:tcPr>
            <w:tcW w:w="4320" w:type="dxa"/>
            <w:shd w:val="clear" w:color="auto" w:fill="auto"/>
          </w:tcPr>
          <w:p w:rsidR="00A61252" w:rsidRPr="00047B76" w:rsidRDefault="003D67A1" w:rsidP="00A61252">
            <w:pPr>
              <w:keepNext/>
              <w:keepLines/>
              <w:tabs>
                <w:tab w:val="left" w:pos="-1440"/>
                <w:tab w:val="left" w:pos="-720"/>
              </w:tabs>
              <w:rPr>
                <w:b/>
                <w:sz w:val="20"/>
                <w:szCs w:val="20"/>
                <w:lang w:val="en-US"/>
              </w:rPr>
            </w:pPr>
            <w:r w:rsidRPr="00047B76">
              <w:rPr>
                <w:b/>
                <w:sz w:val="20"/>
                <w:szCs w:val="20"/>
                <w:lang w:val="en-US"/>
              </w:rPr>
              <w:t>Her Majesty the Queen in Right of Canada</w:t>
            </w:r>
          </w:p>
          <w:p w:rsidR="00A61252" w:rsidRPr="00047B76" w:rsidRDefault="00A61252" w:rsidP="00A61252">
            <w:pPr>
              <w:keepNext/>
              <w:keepLines/>
              <w:tabs>
                <w:tab w:val="left" w:pos="-1440"/>
                <w:tab w:val="left" w:pos="-720"/>
              </w:tabs>
              <w:rPr>
                <w:sz w:val="20"/>
                <w:szCs w:val="20"/>
                <w:lang w:val="en-US"/>
              </w:rPr>
            </w:pPr>
            <w:r w:rsidRPr="00047B76">
              <w:rPr>
                <w:sz w:val="20"/>
                <w:szCs w:val="20"/>
                <w:lang w:val="en-US"/>
              </w:rPr>
              <w:tab/>
            </w:r>
            <w:r w:rsidR="003D67A1" w:rsidRPr="00047B76">
              <w:rPr>
                <w:sz w:val="20"/>
                <w:szCs w:val="20"/>
                <w:lang w:val="en-US"/>
              </w:rPr>
              <w:t>Wilson, Kevin R.</w:t>
            </w:r>
          </w:p>
          <w:p w:rsidR="00A61252" w:rsidRPr="00047B76" w:rsidRDefault="00A61252" w:rsidP="00A61252">
            <w:pPr>
              <w:keepNext/>
              <w:keepLines/>
              <w:tabs>
                <w:tab w:val="left" w:pos="-1440"/>
                <w:tab w:val="left" w:pos="-720"/>
              </w:tabs>
              <w:rPr>
                <w:sz w:val="20"/>
                <w:szCs w:val="20"/>
                <w:lang w:val="en-US"/>
              </w:rPr>
            </w:pPr>
            <w:r w:rsidRPr="00047B76">
              <w:rPr>
                <w:sz w:val="20"/>
                <w:szCs w:val="20"/>
                <w:lang w:val="en-US"/>
              </w:rPr>
              <w:tab/>
            </w:r>
            <w:r w:rsidR="003D67A1" w:rsidRPr="00047B76">
              <w:rPr>
                <w:sz w:val="20"/>
                <w:szCs w:val="20"/>
                <w:lang w:val="en-US"/>
              </w:rPr>
              <w:t>Public Prosecution Service of Canada</w:t>
            </w:r>
          </w:p>
          <w:p w:rsidR="00A61252" w:rsidRPr="00047B76" w:rsidRDefault="00A61252" w:rsidP="00A61252">
            <w:pPr>
              <w:keepNext/>
              <w:keepLines/>
              <w:tabs>
                <w:tab w:val="left" w:pos="-1440"/>
                <w:tab w:val="left" w:pos="-720"/>
              </w:tabs>
              <w:rPr>
                <w:sz w:val="20"/>
                <w:szCs w:val="20"/>
                <w:lang w:val="en-US"/>
              </w:rPr>
            </w:pPr>
          </w:p>
          <w:p w:rsidR="00A61252" w:rsidRPr="00047B76" w:rsidRDefault="00A61252" w:rsidP="00A61252">
            <w:pPr>
              <w:keepNext/>
              <w:keepLines/>
              <w:tabs>
                <w:tab w:val="left" w:pos="-1440"/>
                <w:tab w:val="left" w:pos="-720"/>
              </w:tabs>
              <w:rPr>
                <w:sz w:val="20"/>
                <w:szCs w:val="20"/>
                <w:lang w:val="fr-CA"/>
              </w:rPr>
            </w:pPr>
            <w:r w:rsidRPr="00047B76">
              <w:rPr>
                <w:sz w:val="20"/>
                <w:szCs w:val="20"/>
                <w:lang w:val="en-US"/>
              </w:rPr>
              <w:tab/>
            </w:r>
            <w:r w:rsidR="003D67A1" w:rsidRPr="00047B76">
              <w:rPr>
                <w:sz w:val="20"/>
                <w:szCs w:val="20"/>
                <w:lang w:val="fr-CA"/>
              </w:rPr>
              <w:t>v</w:t>
            </w:r>
            <w:r w:rsidRPr="00047B76">
              <w:rPr>
                <w:sz w:val="20"/>
                <w:szCs w:val="20"/>
                <w:lang w:val="fr-CA"/>
              </w:rPr>
              <w:t>. (3</w:t>
            </w:r>
            <w:r w:rsidR="004220AC" w:rsidRPr="00047B76">
              <w:rPr>
                <w:sz w:val="20"/>
                <w:szCs w:val="20"/>
                <w:lang w:val="fr-CA"/>
              </w:rPr>
              <w:t>8861</w:t>
            </w:r>
            <w:r w:rsidRPr="00047B76">
              <w:rPr>
                <w:sz w:val="20"/>
                <w:szCs w:val="20"/>
                <w:lang w:val="fr-CA"/>
              </w:rPr>
              <w:t>)</w:t>
            </w:r>
          </w:p>
          <w:p w:rsidR="00A61252" w:rsidRPr="00047B76" w:rsidRDefault="00A61252" w:rsidP="00A61252">
            <w:pPr>
              <w:keepNext/>
              <w:keepLines/>
              <w:tabs>
                <w:tab w:val="left" w:pos="-1440"/>
                <w:tab w:val="left" w:pos="-720"/>
              </w:tabs>
              <w:rPr>
                <w:sz w:val="20"/>
                <w:szCs w:val="20"/>
                <w:lang w:val="fr-CA"/>
              </w:rPr>
            </w:pPr>
          </w:p>
          <w:p w:rsidR="00A61252" w:rsidRPr="00047B76" w:rsidRDefault="003D67A1" w:rsidP="00A61252">
            <w:pPr>
              <w:keepNext/>
              <w:keepLines/>
              <w:tabs>
                <w:tab w:val="left" w:pos="-1440"/>
                <w:tab w:val="left" w:pos="-720"/>
              </w:tabs>
              <w:rPr>
                <w:b/>
                <w:sz w:val="20"/>
                <w:szCs w:val="20"/>
                <w:lang w:val="en-US"/>
              </w:rPr>
            </w:pPr>
            <w:proofErr w:type="spellStart"/>
            <w:r w:rsidRPr="00047B76">
              <w:rPr>
                <w:b/>
                <w:sz w:val="20"/>
                <w:szCs w:val="20"/>
                <w:lang w:val="fr-CA"/>
              </w:rPr>
              <w:t>Chiheb</w:t>
            </w:r>
            <w:proofErr w:type="spellEnd"/>
            <w:r w:rsidRPr="00047B76">
              <w:rPr>
                <w:b/>
                <w:sz w:val="20"/>
                <w:szCs w:val="20"/>
                <w:lang w:val="fr-CA"/>
              </w:rPr>
              <w:t xml:space="preserve"> </w:t>
            </w:r>
            <w:proofErr w:type="spellStart"/>
            <w:r w:rsidRPr="00047B76">
              <w:rPr>
                <w:b/>
                <w:sz w:val="20"/>
                <w:szCs w:val="20"/>
                <w:lang w:val="fr-CA"/>
              </w:rPr>
              <w:t>Esseghaier</w:t>
            </w:r>
            <w:proofErr w:type="spellEnd"/>
            <w:r w:rsidRPr="00047B76">
              <w:rPr>
                <w:b/>
                <w:sz w:val="20"/>
                <w:szCs w:val="20"/>
                <w:lang w:val="fr-CA"/>
              </w:rPr>
              <w:t>, et al.</w:t>
            </w:r>
            <w:r w:rsidR="00A61252" w:rsidRPr="00047B76">
              <w:rPr>
                <w:b/>
                <w:sz w:val="20"/>
                <w:szCs w:val="20"/>
                <w:lang w:val="fr-CA"/>
              </w:rPr>
              <w:t xml:space="preserve"> </w:t>
            </w:r>
            <w:r w:rsidR="00A61252" w:rsidRPr="00047B76">
              <w:rPr>
                <w:b/>
                <w:sz w:val="20"/>
                <w:szCs w:val="20"/>
                <w:lang w:val="en-US"/>
              </w:rPr>
              <w:t>(</w:t>
            </w:r>
            <w:r w:rsidR="004220AC" w:rsidRPr="00047B76">
              <w:rPr>
                <w:b/>
                <w:sz w:val="20"/>
                <w:szCs w:val="20"/>
                <w:lang w:val="en-US"/>
              </w:rPr>
              <w:t>Ont.</w:t>
            </w:r>
            <w:r w:rsidR="00A61252" w:rsidRPr="00047B76">
              <w:rPr>
                <w:b/>
                <w:sz w:val="20"/>
                <w:szCs w:val="20"/>
                <w:lang w:val="en-US"/>
              </w:rPr>
              <w:t>)</w:t>
            </w:r>
          </w:p>
          <w:p w:rsidR="00A61252" w:rsidRPr="00047B76" w:rsidRDefault="00A61252" w:rsidP="00A61252">
            <w:pPr>
              <w:keepNext/>
              <w:keepLines/>
              <w:tabs>
                <w:tab w:val="left" w:pos="-1440"/>
                <w:tab w:val="left" w:pos="-720"/>
              </w:tabs>
              <w:rPr>
                <w:sz w:val="20"/>
                <w:szCs w:val="20"/>
                <w:lang w:val="en-US"/>
              </w:rPr>
            </w:pPr>
            <w:r w:rsidRPr="00047B76">
              <w:rPr>
                <w:sz w:val="20"/>
                <w:szCs w:val="20"/>
                <w:lang w:val="en-US"/>
              </w:rPr>
              <w:tab/>
            </w:r>
            <w:r w:rsidR="003D67A1" w:rsidRPr="00047B76">
              <w:rPr>
                <w:sz w:val="20"/>
                <w:szCs w:val="20"/>
                <w:lang w:val="en-US"/>
              </w:rPr>
              <w:t>Embry, Dean</w:t>
            </w:r>
          </w:p>
          <w:p w:rsidR="00A61252" w:rsidRPr="00047B76" w:rsidRDefault="00A61252" w:rsidP="00A61252">
            <w:pPr>
              <w:keepNext/>
              <w:keepLines/>
              <w:tabs>
                <w:tab w:val="left" w:pos="-1440"/>
                <w:tab w:val="left" w:pos="-720"/>
              </w:tabs>
              <w:rPr>
                <w:sz w:val="20"/>
                <w:szCs w:val="20"/>
                <w:lang w:val="en-US"/>
              </w:rPr>
            </w:pPr>
            <w:r w:rsidRPr="00047B76">
              <w:rPr>
                <w:sz w:val="20"/>
                <w:szCs w:val="20"/>
                <w:lang w:val="en-US"/>
              </w:rPr>
              <w:tab/>
            </w:r>
            <w:r w:rsidR="003D67A1" w:rsidRPr="00047B76">
              <w:rPr>
                <w:sz w:val="20"/>
                <w:szCs w:val="20"/>
                <w:lang w:val="en-US"/>
              </w:rPr>
              <w:t>Embry Dann LLP</w:t>
            </w:r>
          </w:p>
          <w:p w:rsidR="00A61252" w:rsidRPr="00047B76" w:rsidRDefault="00A61252" w:rsidP="00A61252">
            <w:pPr>
              <w:keepNext/>
              <w:keepLines/>
              <w:tabs>
                <w:tab w:val="left" w:pos="-1440"/>
                <w:tab w:val="left" w:pos="-720"/>
              </w:tabs>
              <w:rPr>
                <w:sz w:val="20"/>
                <w:szCs w:val="20"/>
                <w:lang w:val="en-US"/>
              </w:rPr>
            </w:pPr>
          </w:p>
          <w:p w:rsidR="00C21644" w:rsidRPr="00047B76" w:rsidRDefault="004220AC" w:rsidP="004220AC">
            <w:pPr>
              <w:rPr>
                <w:sz w:val="20"/>
                <w:szCs w:val="20"/>
                <w:lang w:val="en-US"/>
              </w:rPr>
            </w:pPr>
            <w:r w:rsidRPr="00047B76">
              <w:rPr>
                <w:sz w:val="20"/>
                <w:szCs w:val="20"/>
                <w:lang w:val="en-US"/>
              </w:rPr>
              <w:t xml:space="preserve">FILING </w:t>
            </w:r>
            <w:r w:rsidR="00A61252" w:rsidRPr="00047B76">
              <w:rPr>
                <w:sz w:val="20"/>
                <w:szCs w:val="20"/>
                <w:lang w:val="en-US"/>
              </w:rPr>
              <w:t xml:space="preserve">DATE: </w:t>
            </w:r>
            <w:r w:rsidRPr="00047B76">
              <w:rPr>
                <w:sz w:val="20"/>
                <w:szCs w:val="20"/>
                <w:lang w:val="en-US"/>
              </w:rPr>
              <w:t>October</w:t>
            </w:r>
            <w:r w:rsidR="00684F23" w:rsidRPr="00047B76">
              <w:rPr>
                <w:sz w:val="20"/>
                <w:szCs w:val="20"/>
                <w:lang w:val="en-US"/>
              </w:rPr>
              <w:t xml:space="preserve"> </w:t>
            </w:r>
            <w:r w:rsidRPr="00047B76">
              <w:rPr>
                <w:sz w:val="20"/>
                <w:szCs w:val="20"/>
                <w:lang w:val="en-US"/>
              </w:rPr>
              <w:t>11,</w:t>
            </w:r>
            <w:r w:rsidR="00684F23" w:rsidRPr="00047B76">
              <w:rPr>
                <w:sz w:val="20"/>
                <w:szCs w:val="20"/>
                <w:lang w:val="en-US"/>
              </w:rPr>
              <w:t xml:space="preserve"> 2019</w:t>
            </w:r>
            <w:r w:rsidR="009A56E8">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047B76" w:rsidRDefault="00C21644" w:rsidP="00242AEE">
            <w:pPr>
              <w:jc w:val="center"/>
              <w:rPr>
                <w:sz w:val="20"/>
                <w:szCs w:val="20"/>
                <w:lang w:val="en-US"/>
              </w:rPr>
            </w:pPr>
          </w:p>
          <w:p w:rsidR="008413EA" w:rsidRPr="00047B76" w:rsidRDefault="008413EA" w:rsidP="00242AEE">
            <w:pPr>
              <w:jc w:val="center"/>
              <w:rPr>
                <w:sz w:val="20"/>
                <w:szCs w:val="20"/>
                <w:lang w:val="en-US"/>
              </w:rPr>
            </w:pPr>
          </w:p>
          <w:p w:rsidR="008413EA" w:rsidRPr="00047B76" w:rsidRDefault="008413EA" w:rsidP="00242AEE">
            <w:pPr>
              <w:jc w:val="center"/>
              <w:rPr>
                <w:sz w:val="20"/>
                <w:szCs w:val="20"/>
                <w:lang w:val="en-US"/>
              </w:rPr>
            </w:pPr>
          </w:p>
          <w:p w:rsidR="008413EA" w:rsidRPr="00047B76" w:rsidRDefault="008413EA" w:rsidP="00242AEE">
            <w:pPr>
              <w:jc w:val="center"/>
              <w:rPr>
                <w:sz w:val="20"/>
                <w:szCs w:val="20"/>
                <w:lang w:val="en-US"/>
              </w:rPr>
            </w:pPr>
          </w:p>
          <w:p w:rsidR="008413EA" w:rsidRPr="00047B76" w:rsidRDefault="008413EA" w:rsidP="00242AEE">
            <w:pPr>
              <w:jc w:val="center"/>
              <w:rPr>
                <w:sz w:val="20"/>
                <w:szCs w:val="20"/>
                <w:lang w:val="en-US"/>
              </w:rPr>
            </w:pPr>
          </w:p>
          <w:p w:rsidR="008413EA" w:rsidRPr="00047B76" w:rsidRDefault="008413EA" w:rsidP="00242AEE">
            <w:pPr>
              <w:jc w:val="center"/>
              <w:rPr>
                <w:sz w:val="20"/>
                <w:szCs w:val="20"/>
                <w:lang w:val="en-US"/>
              </w:rPr>
            </w:pPr>
          </w:p>
          <w:p w:rsidR="008413EA" w:rsidRPr="00047B76" w:rsidRDefault="008413EA" w:rsidP="00242AEE">
            <w:pPr>
              <w:jc w:val="center"/>
              <w:rPr>
                <w:sz w:val="20"/>
                <w:szCs w:val="20"/>
                <w:lang w:val="en-US"/>
              </w:rPr>
            </w:pPr>
          </w:p>
          <w:p w:rsidR="008413EA" w:rsidRPr="00047B76" w:rsidRDefault="008413EA" w:rsidP="00242AEE">
            <w:pPr>
              <w:jc w:val="center"/>
              <w:rPr>
                <w:sz w:val="20"/>
                <w:szCs w:val="20"/>
                <w:lang w:val="en-US"/>
              </w:rPr>
            </w:pPr>
          </w:p>
          <w:p w:rsidR="008413EA" w:rsidRPr="00047B76" w:rsidRDefault="008413EA" w:rsidP="00242AEE">
            <w:pPr>
              <w:jc w:val="center"/>
              <w:rPr>
                <w:sz w:val="20"/>
                <w:szCs w:val="20"/>
                <w:lang w:val="en-US"/>
              </w:rPr>
            </w:pPr>
          </w:p>
          <w:p w:rsidR="008413EA" w:rsidRPr="00047B76" w:rsidRDefault="008413EA" w:rsidP="00242AEE">
            <w:pPr>
              <w:jc w:val="center"/>
              <w:rPr>
                <w:sz w:val="20"/>
                <w:szCs w:val="20"/>
                <w:lang w:val="en-US"/>
              </w:rPr>
            </w:pPr>
          </w:p>
          <w:p w:rsidR="008413EA" w:rsidRPr="00047B76" w:rsidRDefault="008413EA" w:rsidP="00242AEE">
            <w:pPr>
              <w:jc w:val="center"/>
              <w:rPr>
                <w:sz w:val="20"/>
                <w:szCs w:val="20"/>
                <w:lang w:val="en-US"/>
              </w:rPr>
            </w:pPr>
          </w:p>
          <w:p w:rsidR="008413EA" w:rsidRPr="00047B76" w:rsidRDefault="008413EA" w:rsidP="00242AEE">
            <w:pPr>
              <w:jc w:val="center"/>
              <w:rPr>
                <w:sz w:val="20"/>
                <w:szCs w:val="20"/>
                <w:lang w:val="en-US"/>
              </w:rPr>
            </w:pPr>
          </w:p>
          <w:p w:rsidR="008413EA" w:rsidRPr="00047B76" w:rsidRDefault="008413EA" w:rsidP="00242AEE">
            <w:pPr>
              <w:jc w:val="center"/>
              <w:rPr>
                <w:sz w:val="20"/>
                <w:szCs w:val="20"/>
                <w:lang w:val="en-US"/>
              </w:rPr>
            </w:pPr>
          </w:p>
          <w:p w:rsidR="008413EA" w:rsidRPr="00047B76" w:rsidRDefault="008413EA" w:rsidP="00242AEE">
            <w:pPr>
              <w:jc w:val="center"/>
              <w:rPr>
                <w:sz w:val="20"/>
                <w:szCs w:val="20"/>
                <w:lang w:val="en-US"/>
              </w:rPr>
            </w:pPr>
          </w:p>
        </w:tc>
        <w:tc>
          <w:tcPr>
            <w:tcW w:w="4320" w:type="dxa"/>
            <w:shd w:val="clear" w:color="auto" w:fill="auto"/>
          </w:tcPr>
          <w:p w:rsidR="008413EA" w:rsidRPr="00047B76" w:rsidRDefault="001B0B2D" w:rsidP="008413EA">
            <w:pPr>
              <w:rPr>
                <w:b/>
                <w:sz w:val="20"/>
                <w:szCs w:val="20"/>
                <w:lang w:val="fr-CA"/>
              </w:rPr>
            </w:pPr>
            <w:r w:rsidRPr="00047B76">
              <w:rPr>
                <w:b/>
                <w:sz w:val="20"/>
                <w:szCs w:val="20"/>
                <w:lang w:val="fr-CA"/>
              </w:rPr>
              <w:t>F.J.N.</w:t>
            </w:r>
          </w:p>
          <w:p w:rsidR="008413EA" w:rsidRPr="00047B76" w:rsidRDefault="008413EA" w:rsidP="008413EA">
            <w:pPr>
              <w:tabs>
                <w:tab w:val="left" w:pos="-1440"/>
                <w:tab w:val="left" w:pos="-720"/>
              </w:tabs>
              <w:rPr>
                <w:sz w:val="20"/>
                <w:szCs w:val="20"/>
                <w:lang w:val="fr-CA"/>
              </w:rPr>
            </w:pPr>
            <w:r w:rsidRPr="00047B76">
              <w:rPr>
                <w:sz w:val="20"/>
                <w:szCs w:val="20"/>
                <w:lang w:val="fr-CA"/>
              </w:rPr>
              <w:tab/>
            </w:r>
            <w:proofErr w:type="spellStart"/>
            <w:r w:rsidR="001B0B2D" w:rsidRPr="00047B76">
              <w:rPr>
                <w:sz w:val="20"/>
                <w:szCs w:val="20"/>
                <w:lang w:val="fr-CA"/>
              </w:rPr>
              <w:t>Rice</w:t>
            </w:r>
            <w:proofErr w:type="spellEnd"/>
            <w:r w:rsidR="001B0B2D" w:rsidRPr="00047B76">
              <w:rPr>
                <w:sz w:val="20"/>
                <w:szCs w:val="20"/>
                <w:lang w:val="fr-CA"/>
              </w:rPr>
              <w:t>, Q.C., Elsa G.</w:t>
            </w:r>
          </w:p>
          <w:p w:rsidR="008413EA" w:rsidRPr="00047B76" w:rsidRDefault="008413EA" w:rsidP="008413EA">
            <w:pPr>
              <w:tabs>
                <w:tab w:val="left" w:pos="-1440"/>
                <w:tab w:val="left" w:pos="-720"/>
              </w:tabs>
              <w:rPr>
                <w:sz w:val="20"/>
                <w:szCs w:val="20"/>
                <w:lang w:val="fr-CA"/>
              </w:rPr>
            </w:pPr>
          </w:p>
          <w:p w:rsidR="008413EA" w:rsidRPr="00047B76" w:rsidRDefault="008413EA" w:rsidP="008413EA">
            <w:pPr>
              <w:tabs>
                <w:tab w:val="left" w:pos="-1440"/>
                <w:tab w:val="left" w:pos="-720"/>
              </w:tabs>
              <w:rPr>
                <w:sz w:val="20"/>
                <w:szCs w:val="20"/>
                <w:lang w:val="en-US"/>
              </w:rPr>
            </w:pPr>
            <w:r w:rsidRPr="00047B76">
              <w:rPr>
                <w:sz w:val="20"/>
                <w:szCs w:val="20"/>
                <w:lang w:val="fr-CA"/>
              </w:rPr>
              <w:tab/>
            </w:r>
            <w:r w:rsidRPr="00047B76">
              <w:rPr>
                <w:sz w:val="20"/>
                <w:szCs w:val="20"/>
                <w:lang w:val="en-US"/>
              </w:rPr>
              <w:t>v. (3</w:t>
            </w:r>
            <w:r w:rsidR="001B0B2D" w:rsidRPr="00047B76">
              <w:rPr>
                <w:sz w:val="20"/>
                <w:szCs w:val="20"/>
                <w:lang w:val="en-US"/>
              </w:rPr>
              <w:t>8859</w:t>
            </w:r>
            <w:r w:rsidRPr="00047B76">
              <w:rPr>
                <w:sz w:val="20"/>
                <w:szCs w:val="20"/>
                <w:lang w:val="en-US"/>
              </w:rPr>
              <w:t>)</w:t>
            </w:r>
          </w:p>
          <w:p w:rsidR="008413EA" w:rsidRPr="00047B76" w:rsidRDefault="008413EA" w:rsidP="008413EA">
            <w:pPr>
              <w:tabs>
                <w:tab w:val="left" w:pos="-1440"/>
                <w:tab w:val="left" w:pos="-720"/>
              </w:tabs>
              <w:rPr>
                <w:sz w:val="20"/>
                <w:szCs w:val="20"/>
                <w:lang w:val="en-US"/>
              </w:rPr>
            </w:pPr>
          </w:p>
          <w:p w:rsidR="008413EA" w:rsidRPr="00047B76" w:rsidRDefault="001B0B2D" w:rsidP="008413EA">
            <w:pPr>
              <w:tabs>
                <w:tab w:val="left" w:pos="-1440"/>
                <w:tab w:val="left" w:pos="-720"/>
              </w:tabs>
              <w:rPr>
                <w:b/>
                <w:sz w:val="20"/>
                <w:szCs w:val="20"/>
                <w:lang w:val="en-US"/>
              </w:rPr>
            </w:pPr>
            <w:r w:rsidRPr="00047B76">
              <w:rPr>
                <w:b/>
                <w:sz w:val="20"/>
                <w:szCs w:val="20"/>
                <w:lang w:val="en-US"/>
              </w:rPr>
              <w:t>J.K.</w:t>
            </w:r>
            <w:r w:rsidR="008413EA" w:rsidRPr="00047B76">
              <w:rPr>
                <w:sz w:val="20"/>
                <w:szCs w:val="20"/>
                <w:lang w:val="en-US"/>
              </w:rPr>
              <w:t xml:space="preserve"> </w:t>
            </w:r>
            <w:r w:rsidR="008413EA" w:rsidRPr="00047B76">
              <w:rPr>
                <w:b/>
                <w:sz w:val="20"/>
                <w:szCs w:val="20"/>
                <w:lang w:val="en-US"/>
              </w:rPr>
              <w:t>(</w:t>
            </w:r>
            <w:r w:rsidRPr="00047B76">
              <w:rPr>
                <w:b/>
                <w:sz w:val="20"/>
                <w:szCs w:val="20"/>
                <w:lang w:val="en-US"/>
              </w:rPr>
              <w:t>Alta</w:t>
            </w:r>
            <w:r w:rsidR="008413EA" w:rsidRPr="00047B76">
              <w:rPr>
                <w:b/>
                <w:sz w:val="20"/>
                <w:szCs w:val="20"/>
                <w:lang w:val="en-US"/>
              </w:rPr>
              <w:t>.)</w:t>
            </w:r>
          </w:p>
          <w:p w:rsidR="008413EA" w:rsidRPr="00047B76" w:rsidRDefault="008413EA" w:rsidP="008413EA">
            <w:pPr>
              <w:tabs>
                <w:tab w:val="left" w:pos="-1440"/>
                <w:tab w:val="left" w:pos="-720"/>
              </w:tabs>
              <w:rPr>
                <w:sz w:val="20"/>
                <w:szCs w:val="20"/>
              </w:rPr>
            </w:pPr>
            <w:r w:rsidRPr="00047B76">
              <w:rPr>
                <w:sz w:val="20"/>
                <w:szCs w:val="20"/>
                <w:lang w:val="en-US"/>
              </w:rPr>
              <w:tab/>
            </w:r>
            <w:proofErr w:type="spellStart"/>
            <w:r w:rsidR="001B0B2D" w:rsidRPr="00047B76">
              <w:rPr>
                <w:sz w:val="20"/>
                <w:szCs w:val="20"/>
                <w:lang w:val="en-US"/>
              </w:rPr>
              <w:t>Hayher</w:t>
            </w:r>
            <w:proofErr w:type="spellEnd"/>
            <w:r w:rsidR="001B0B2D" w:rsidRPr="00047B76">
              <w:rPr>
                <w:sz w:val="20"/>
                <w:szCs w:val="20"/>
                <w:lang w:val="en-US"/>
              </w:rPr>
              <w:t>, Andy</w:t>
            </w:r>
          </w:p>
          <w:p w:rsidR="008413EA" w:rsidRPr="00047B76" w:rsidRDefault="008413EA" w:rsidP="008413EA">
            <w:pPr>
              <w:tabs>
                <w:tab w:val="left" w:pos="-1440"/>
                <w:tab w:val="left" w:pos="-720"/>
              </w:tabs>
              <w:rPr>
                <w:sz w:val="20"/>
                <w:szCs w:val="20"/>
              </w:rPr>
            </w:pPr>
            <w:r w:rsidRPr="00047B76">
              <w:rPr>
                <w:sz w:val="20"/>
                <w:szCs w:val="20"/>
              </w:rPr>
              <w:tab/>
            </w:r>
            <w:r w:rsidR="001B0B2D" w:rsidRPr="00047B76">
              <w:rPr>
                <w:sz w:val="20"/>
                <w:szCs w:val="20"/>
              </w:rPr>
              <w:t>Vogel LLP</w:t>
            </w:r>
          </w:p>
          <w:p w:rsidR="008413EA" w:rsidRPr="00047B76" w:rsidRDefault="008413EA" w:rsidP="008413EA">
            <w:pPr>
              <w:tabs>
                <w:tab w:val="left" w:pos="-1440"/>
                <w:tab w:val="left" w:pos="-720"/>
              </w:tabs>
              <w:rPr>
                <w:sz w:val="20"/>
                <w:szCs w:val="20"/>
              </w:rPr>
            </w:pPr>
          </w:p>
          <w:p w:rsidR="008413EA" w:rsidRPr="00047B76" w:rsidRDefault="008413EA" w:rsidP="008413EA">
            <w:pPr>
              <w:rPr>
                <w:sz w:val="20"/>
                <w:szCs w:val="20"/>
              </w:rPr>
            </w:pPr>
            <w:r w:rsidRPr="00047B76">
              <w:rPr>
                <w:sz w:val="20"/>
                <w:szCs w:val="20"/>
              </w:rPr>
              <w:t xml:space="preserve">FILING DATE: </w:t>
            </w:r>
            <w:r w:rsidR="001B0B2D" w:rsidRPr="00047B76">
              <w:rPr>
                <w:sz w:val="20"/>
                <w:szCs w:val="20"/>
              </w:rPr>
              <w:t>October</w:t>
            </w:r>
            <w:r w:rsidRPr="00047B76">
              <w:rPr>
                <w:sz w:val="20"/>
                <w:szCs w:val="20"/>
              </w:rPr>
              <w:t xml:space="preserve"> </w:t>
            </w:r>
            <w:r w:rsidR="001B0B2D" w:rsidRPr="00047B76">
              <w:rPr>
                <w:sz w:val="20"/>
                <w:szCs w:val="20"/>
              </w:rPr>
              <w:t>15</w:t>
            </w:r>
            <w:r w:rsidRPr="00047B76">
              <w:rPr>
                <w:sz w:val="20"/>
                <w:szCs w:val="20"/>
              </w:rPr>
              <w:t>, 2019</w:t>
            </w:r>
          </w:p>
          <w:p w:rsidR="00C21644" w:rsidRPr="00047B76" w:rsidRDefault="009A56E8" w:rsidP="008413EA">
            <w:pPr>
              <w:rPr>
                <w:sz w:val="20"/>
                <w:szCs w:val="20"/>
                <w:lang w:val="en-US"/>
              </w:rPr>
            </w:pPr>
            <w:r>
              <w:rPr>
                <w:sz w:val="20"/>
                <w:szCs w:val="20"/>
                <w:lang w:val="fr-CA"/>
              </w:rPr>
              <w:pict>
                <v:rect id="_x0000_i1028" style="width:108pt;height:1pt" o:hrpct="0" o:hralign="center" o:hrstd="t" o:hrnoshade="t" o:hr="t" fillcolor="black [3213]" stroked="f"/>
              </w:pict>
            </w:r>
          </w:p>
        </w:tc>
      </w:tr>
      <w:tr w:rsidR="00C21644" w:rsidRPr="00047B76" w:rsidTr="003B3977">
        <w:tc>
          <w:tcPr>
            <w:tcW w:w="4320" w:type="dxa"/>
            <w:shd w:val="clear" w:color="auto" w:fill="auto"/>
          </w:tcPr>
          <w:p w:rsidR="008413EA" w:rsidRPr="00047B76" w:rsidRDefault="002A1412" w:rsidP="008413EA">
            <w:pPr>
              <w:rPr>
                <w:b/>
                <w:sz w:val="20"/>
                <w:szCs w:val="20"/>
                <w:lang w:val="fr-CA"/>
              </w:rPr>
            </w:pPr>
            <w:r w:rsidRPr="00047B76">
              <w:rPr>
                <w:b/>
                <w:sz w:val="20"/>
                <w:szCs w:val="20"/>
                <w:lang w:val="fr-CA"/>
              </w:rPr>
              <w:t>J.M.</w:t>
            </w:r>
          </w:p>
          <w:p w:rsidR="008413EA" w:rsidRPr="00047B76" w:rsidRDefault="008413EA" w:rsidP="008413EA">
            <w:pPr>
              <w:tabs>
                <w:tab w:val="left" w:pos="-1440"/>
                <w:tab w:val="left" w:pos="-720"/>
              </w:tabs>
              <w:rPr>
                <w:sz w:val="20"/>
                <w:szCs w:val="20"/>
                <w:lang w:val="fr-CA"/>
              </w:rPr>
            </w:pPr>
            <w:r w:rsidRPr="00047B76">
              <w:rPr>
                <w:sz w:val="20"/>
                <w:szCs w:val="20"/>
                <w:lang w:val="fr-CA"/>
              </w:rPr>
              <w:tab/>
            </w:r>
            <w:r w:rsidR="002A1412" w:rsidRPr="00047B76">
              <w:rPr>
                <w:sz w:val="20"/>
                <w:szCs w:val="20"/>
                <w:lang w:val="fr-CA"/>
              </w:rPr>
              <w:t>Brunet, Marie-Laurence</w:t>
            </w:r>
          </w:p>
          <w:p w:rsidR="008413EA" w:rsidRPr="00047B76" w:rsidRDefault="008413EA" w:rsidP="008413EA">
            <w:pPr>
              <w:tabs>
                <w:tab w:val="left" w:pos="-1440"/>
                <w:tab w:val="left" w:pos="-720"/>
              </w:tabs>
              <w:rPr>
                <w:sz w:val="20"/>
                <w:szCs w:val="20"/>
                <w:lang w:val="fr-CA"/>
              </w:rPr>
            </w:pPr>
            <w:r w:rsidRPr="00047B76">
              <w:rPr>
                <w:sz w:val="20"/>
                <w:szCs w:val="20"/>
                <w:lang w:val="fr-CA"/>
              </w:rPr>
              <w:tab/>
            </w:r>
            <w:r w:rsidR="002A1412" w:rsidRPr="00047B76">
              <w:rPr>
                <w:sz w:val="20"/>
                <w:szCs w:val="20"/>
                <w:lang w:val="fr-CA"/>
              </w:rPr>
              <w:t>Brunet &amp; Associés avocats</w:t>
            </w:r>
          </w:p>
          <w:p w:rsidR="008413EA" w:rsidRPr="00047B76" w:rsidRDefault="008413EA" w:rsidP="008413EA">
            <w:pPr>
              <w:tabs>
                <w:tab w:val="left" w:pos="-1440"/>
                <w:tab w:val="left" w:pos="-720"/>
              </w:tabs>
              <w:rPr>
                <w:sz w:val="20"/>
                <w:szCs w:val="20"/>
                <w:lang w:val="fr-CA"/>
              </w:rPr>
            </w:pPr>
          </w:p>
          <w:p w:rsidR="008413EA" w:rsidRPr="00047B76" w:rsidRDefault="008413EA" w:rsidP="008413EA">
            <w:pPr>
              <w:tabs>
                <w:tab w:val="left" w:pos="-1440"/>
                <w:tab w:val="left" w:pos="-720"/>
              </w:tabs>
              <w:rPr>
                <w:sz w:val="20"/>
                <w:szCs w:val="20"/>
                <w:lang w:val="fr-CA"/>
              </w:rPr>
            </w:pPr>
            <w:r w:rsidRPr="00047B76">
              <w:rPr>
                <w:sz w:val="20"/>
                <w:szCs w:val="20"/>
                <w:lang w:val="fr-CA"/>
              </w:rPr>
              <w:tab/>
            </w:r>
            <w:r w:rsidR="002A1412" w:rsidRPr="00047B76">
              <w:rPr>
                <w:sz w:val="20"/>
                <w:szCs w:val="20"/>
                <w:lang w:val="fr-CA"/>
              </w:rPr>
              <w:t>c</w:t>
            </w:r>
            <w:r w:rsidRPr="00047B76">
              <w:rPr>
                <w:sz w:val="20"/>
                <w:szCs w:val="20"/>
                <w:lang w:val="fr-CA"/>
              </w:rPr>
              <w:t>. (38</w:t>
            </w:r>
            <w:r w:rsidR="002A1412" w:rsidRPr="00047B76">
              <w:rPr>
                <w:sz w:val="20"/>
                <w:szCs w:val="20"/>
                <w:lang w:val="fr-CA"/>
              </w:rPr>
              <w:t>860</w:t>
            </w:r>
            <w:r w:rsidRPr="00047B76">
              <w:rPr>
                <w:sz w:val="20"/>
                <w:szCs w:val="20"/>
                <w:lang w:val="fr-CA"/>
              </w:rPr>
              <w:t>)</w:t>
            </w:r>
          </w:p>
          <w:p w:rsidR="008413EA" w:rsidRPr="00047B76" w:rsidRDefault="008413EA" w:rsidP="008413EA">
            <w:pPr>
              <w:tabs>
                <w:tab w:val="left" w:pos="-1440"/>
                <w:tab w:val="left" w:pos="-720"/>
              </w:tabs>
              <w:rPr>
                <w:sz w:val="20"/>
                <w:szCs w:val="20"/>
                <w:lang w:val="fr-CA"/>
              </w:rPr>
            </w:pPr>
          </w:p>
          <w:p w:rsidR="008413EA" w:rsidRPr="00047B76" w:rsidRDefault="002A1412" w:rsidP="008413EA">
            <w:pPr>
              <w:tabs>
                <w:tab w:val="left" w:pos="-1440"/>
                <w:tab w:val="left" w:pos="-720"/>
              </w:tabs>
              <w:rPr>
                <w:b/>
                <w:sz w:val="20"/>
                <w:szCs w:val="20"/>
                <w:lang w:val="fr-CA"/>
              </w:rPr>
            </w:pPr>
            <w:r w:rsidRPr="00047B76">
              <w:rPr>
                <w:b/>
                <w:sz w:val="20"/>
                <w:szCs w:val="20"/>
                <w:lang w:val="fr-CA"/>
              </w:rPr>
              <w:t>C.L.</w:t>
            </w:r>
            <w:r w:rsidR="008413EA" w:rsidRPr="00047B76">
              <w:rPr>
                <w:sz w:val="20"/>
                <w:szCs w:val="20"/>
                <w:lang w:val="fr-CA"/>
              </w:rPr>
              <w:t xml:space="preserve"> </w:t>
            </w:r>
            <w:r w:rsidR="008413EA" w:rsidRPr="00047B76">
              <w:rPr>
                <w:b/>
                <w:sz w:val="20"/>
                <w:szCs w:val="20"/>
                <w:lang w:val="fr-CA"/>
              </w:rPr>
              <w:t>(</w:t>
            </w:r>
            <w:r w:rsidRPr="00047B76">
              <w:rPr>
                <w:b/>
                <w:sz w:val="20"/>
                <w:szCs w:val="20"/>
                <w:lang w:val="fr-CA"/>
              </w:rPr>
              <w:t>Qc</w:t>
            </w:r>
            <w:r w:rsidR="008413EA" w:rsidRPr="00047B76">
              <w:rPr>
                <w:b/>
                <w:sz w:val="20"/>
                <w:szCs w:val="20"/>
                <w:lang w:val="fr-CA"/>
              </w:rPr>
              <w:t>)</w:t>
            </w:r>
          </w:p>
          <w:p w:rsidR="008413EA" w:rsidRPr="00047B76" w:rsidRDefault="008413EA" w:rsidP="008413EA">
            <w:pPr>
              <w:tabs>
                <w:tab w:val="left" w:pos="-1440"/>
                <w:tab w:val="left" w:pos="-720"/>
              </w:tabs>
              <w:rPr>
                <w:sz w:val="20"/>
                <w:szCs w:val="20"/>
                <w:lang w:val="fr-CA"/>
              </w:rPr>
            </w:pPr>
            <w:r w:rsidRPr="00047B76">
              <w:rPr>
                <w:sz w:val="20"/>
                <w:szCs w:val="20"/>
                <w:lang w:val="fr-CA"/>
              </w:rPr>
              <w:tab/>
            </w:r>
            <w:r w:rsidR="002A1412" w:rsidRPr="00047B76">
              <w:rPr>
                <w:sz w:val="20"/>
                <w:szCs w:val="20"/>
                <w:lang w:val="fr-CA"/>
              </w:rPr>
              <w:t xml:space="preserve">Fontaine, </w:t>
            </w:r>
            <w:proofErr w:type="spellStart"/>
            <w:r w:rsidR="002A1412" w:rsidRPr="00047B76">
              <w:rPr>
                <w:sz w:val="20"/>
                <w:szCs w:val="20"/>
                <w:lang w:val="fr-CA"/>
              </w:rPr>
              <w:t>Viki</w:t>
            </w:r>
            <w:proofErr w:type="spellEnd"/>
          </w:p>
          <w:p w:rsidR="008413EA" w:rsidRPr="00047B76" w:rsidRDefault="008413EA" w:rsidP="008413EA">
            <w:pPr>
              <w:tabs>
                <w:tab w:val="left" w:pos="-1440"/>
                <w:tab w:val="left" w:pos="-720"/>
              </w:tabs>
              <w:rPr>
                <w:sz w:val="20"/>
                <w:szCs w:val="20"/>
                <w:lang w:val="fr-CA"/>
              </w:rPr>
            </w:pPr>
            <w:r w:rsidRPr="00047B76">
              <w:rPr>
                <w:sz w:val="20"/>
                <w:szCs w:val="20"/>
                <w:lang w:val="fr-CA"/>
              </w:rPr>
              <w:tab/>
            </w:r>
            <w:proofErr w:type="spellStart"/>
            <w:r w:rsidR="002A1412" w:rsidRPr="00047B76">
              <w:rPr>
                <w:sz w:val="20"/>
                <w:szCs w:val="20"/>
                <w:lang w:val="fr-CA"/>
              </w:rPr>
              <w:t>Ratelle</w:t>
            </w:r>
            <w:proofErr w:type="spellEnd"/>
            <w:r w:rsidR="002A1412" w:rsidRPr="00047B76">
              <w:rPr>
                <w:sz w:val="20"/>
                <w:szCs w:val="20"/>
                <w:lang w:val="fr-CA"/>
              </w:rPr>
              <w:t xml:space="preserve">, </w:t>
            </w:r>
            <w:proofErr w:type="spellStart"/>
            <w:r w:rsidR="002A1412" w:rsidRPr="00047B76">
              <w:rPr>
                <w:sz w:val="20"/>
                <w:szCs w:val="20"/>
                <w:lang w:val="fr-CA"/>
              </w:rPr>
              <w:t>Ratelle</w:t>
            </w:r>
            <w:proofErr w:type="spellEnd"/>
            <w:r w:rsidR="002A1412" w:rsidRPr="00047B76">
              <w:rPr>
                <w:sz w:val="20"/>
                <w:szCs w:val="20"/>
                <w:lang w:val="fr-CA"/>
              </w:rPr>
              <w:t xml:space="preserve"> &amp; Associés</w:t>
            </w:r>
          </w:p>
          <w:p w:rsidR="008413EA" w:rsidRPr="00047B76" w:rsidRDefault="008413EA" w:rsidP="008413EA">
            <w:pPr>
              <w:tabs>
                <w:tab w:val="left" w:pos="-1440"/>
                <w:tab w:val="left" w:pos="-720"/>
              </w:tabs>
              <w:rPr>
                <w:sz w:val="20"/>
                <w:szCs w:val="20"/>
                <w:lang w:val="fr-CA"/>
              </w:rPr>
            </w:pPr>
          </w:p>
          <w:p w:rsidR="008413EA" w:rsidRPr="00047B76" w:rsidRDefault="008413EA" w:rsidP="008413EA">
            <w:pPr>
              <w:rPr>
                <w:sz w:val="20"/>
                <w:szCs w:val="20"/>
                <w:lang w:val="fr-CA"/>
              </w:rPr>
            </w:pPr>
            <w:r w:rsidRPr="00047B76">
              <w:rPr>
                <w:sz w:val="20"/>
                <w:szCs w:val="20"/>
                <w:lang w:val="fr-CA"/>
              </w:rPr>
              <w:t>DATE</w:t>
            </w:r>
            <w:r w:rsidR="002A1412" w:rsidRPr="00047B76">
              <w:rPr>
                <w:sz w:val="20"/>
                <w:szCs w:val="20"/>
                <w:lang w:val="fr-CA"/>
              </w:rPr>
              <w:t xml:space="preserve"> DE PRODUCTION</w:t>
            </w:r>
            <w:r w:rsidRPr="00047B76">
              <w:rPr>
                <w:sz w:val="20"/>
                <w:szCs w:val="20"/>
                <w:lang w:val="fr-CA"/>
              </w:rPr>
              <w:t xml:space="preserve">: </w:t>
            </w:r>
            <w:r w:rsidR="002A1412" w:rsidRPr="00047B76">
              <w:rPr>
                <w:sz w:val="20"/>
                <w:szCs w:val="20"/>
                <w:lang w:val="fr-CA"/>
              </w:rPr>
              <w:t>Le 15 octobre</w:t>
            </w:r>
            <w:r w:rsidRPr="00047B76">
              <w:rPr>
                <w:sz w:val="20"/>
                <w:szCs w:val="20"/>
                <w:lang w:val="fr-CA"/>
              </w:rPr>
              <w:t xml:space="preserve"> 2019</w:t>
            </w:r>
          </w:p>
          <w:p w:rsidR="00C21644" w:rsidRPr="00047B76" w:rsidRDefault="009A56E8" w:rsidP="008413EA">
            <w:pPr>
              <w:rPr>
                <w:sz w:val="20"/>
                <w:szCs w:val="20"/>
                <w:lang w:val="en-US"/>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047B76" w:rsidRDefault="00C21644" w:rsidP="00242AEE">
            <w:pPr>
              <w:jc w:val="center"/>
              <w:rPr>
                <w:sz w:val="20"/>
                <w:szCs w:val="20"/>
                <w:lang w:val="en-US"/>
              </w:rPr>
            </w:pPr>
          </w:p>
          <w:p w:rsidR="008413EA" w:rsidRPr="00047B76" w:rsidRDefault="008413EA" w:rsidP="00242AEE">
            <w:pPr>
              <w:jc w:val="center"/>
              <w:rPr>
                <w:sz w:val="20"/>
                <w:szCs w:val="20"/>
                <w:lang w:val="en-US"/>
              </w:rPr>
            </w:pPr>
          </w:p>
          <w:p w:rsidR="008413EA" w:rsidRPr="00047B76" w:rsidRDefault="008413EA" w:rsidP="00242AEE">
            <w:pPr>
              <w:jc w:val="center"/>
              <w:rPr>
                <w:sz w:val="20"/>
                <w:szCs w:val="20"/>
                <w:lang w:val="en-US"/>
              </w:rPr>
            </w:pPr>
          </w:p>
          <w:p w:rsidR="008413EA" w:rsidRPr="00047B76" w:rsidRDefault="008413EA" w:rsidP="00242AEE">
            <w:pPr>
              <w:jc w:val="center"/>
              <w:rPr>
                <w:sz w:val="20"/>
                <w:szCs w:val="20"/>
                <w:lang w:val="en-US"/>
              </w:rPr>
            </w:pPr>
          </w:p>
          <w:p w:rsidR="008413EA" w:rsidRPr="00047B76" w:rsidRDefault="008413EA" w:rsidP="00242AEE">
            <w:pPr>
              <w:jc w:val="center"/>
              <w:rPr>
                <w:sz w:val="20"/>
                <w:szCs w:val="20"/>
                <w:lang w:val="en-US"/>
              </w:rPr>
            </w:pPr>
          </w:p>
          <w:p w:rsidR="008413EA" w:rsidRPr="00047B76" w:rsidRDefault="008413EA" w:rsidP="00242AEE">
            <w:pPr>
              <w:jc w:val="center"/>
              <w:rPr>
                <w:sz w:val="20"/>
                <w:szCs w:val="20"/>
                <w:lang w:val="en-US"/>
              </w:rPr>
            </w:pPr>
          </w:p>
          <w:p w:rsidR="008413EA" w:rsidRPr="00047B76" w:rsidRDefault="008413EA" w:rsidP="00242AEE">
            <w:pPr>
              <w:jc w:val="center"/>
              <w:rPr>
                <w:sz w:val="20"/>
                <w:szCs w:val="20"/>
                <w:lang w:val="en-US"/>
              </w:rPr>
            </w:pPr>
          </w:p>
          <w:p w:rsidR="008413EA" w:rsidRPr="00047B76" w:rsidRDefault="008413EA" w:rsidP="00242AEE">
            <w:pPr>
              <w:jc w:val="center"/>
              <w:rPr>
                <w:sz w:val="20"/>
                <w:szCs w:val="20"/>
                <w:lang w:val="en-US"/>
              </w:rPr>
            </w:pPr>
          </w:p>
          <w:p w:rsidR="008413EA" w:rsidRPr="00047B76" w:rsidRDefault="008413EA" w:rsidP="00242AEE">
            <w:pPr>
              <w:jc w:val="center"/>
              <w:rPr>
                <w:sz w:val="20"/>
                <w:szCs w:val="20"/>
                <w:lang w:val="en-US"/>
              </w:rPr>
            </w:pPr>
          </w:p>
          <w:p w:rsidR="008413EA" w:rsidRPr="00047B76" w:rsidRDefault="008413EA" w:rsidP="00242AEE">
            <w:pPr>
              <w:jc w:val="center"/>
              <w:rPr>
                <w:sz w:val="20"/>
                <w:szCs w:val="20"/>
                <w:lang w:val="en-US"/>
              </w:rPr>
            </w:pPr>
          </w:p>
          <w:p w:rsidR="008413EA" w:rsidRPr="00047B76" w:rsidRDefault="008413EA" w:rsidP="00242AEE">
            <w:pPr>
              <w:jc w:val="center"/>
              <w:rPr>
                <w:sz w:val="20"/>
                <w:szCs w:val="20"/>
                <w:lang w:val="en-US"/>
              </w:rPr>
            </w:pPr>
          </w:p>
          <w:p w:rsidR="008413EA" w:rsidRPr="00047B76" w:rsidRDefault="008413EA" w:rsidP="00242AEE">
            <w:pPr>
              <w:jc w:val="center"/>
              <w:rPr>
                <w:sz w:val="20"/>
                <w:szCs w:val="20"/>
                <w:lang w:val="en-US"/>
              </w:rPr>
            </w:pPr>
          </w:p>
          <w:p w:rsidR="008413EA" w:rsidRPr="00047B76" w:rsidRDefault="008413EA" w:rsidP="00242AEE">
            <w:pPr>
              <w:jc w:val="center"/>
              <w:rPr>
                <w:sz w:val="20"/>
                <w:szCs w:val="20"/>
                <w:lang w:val="en-US"/>
              </w:rPr>
            </w:pPr>
          </w:p>
        </w:tc>
        <w:tc>
          <w:tcPr>
            <w:tcW w:w="4320" w:type="dxa"/>
            <w:shd w:val="clear" w:color="auto" w:fill="auto"/>
          </w:tcPr>
          <w:p w:rsidR="008413EA" w:rsidRPr="00047B76" w:rsidRDefault="00E06D9F" w:rsidP="008413EA">
            <w:pPr>
              <w:rPr>
                <w:b/>
                <w:sz w:val="20"/>
                <w:szCs w:val="20"/>
                <w:lang w:val="en-US"/>
              </w:rPr>
            </w:pPr>
            <w:r w:rsidRPr="00047B76">
              <w:rPr>
                <w:b/>
                <w:sz w:val="20"/>
                <w:szCs w:val="20"/>
                <w:lang w:val="en-US"/>
              </w:rPr>
              <w:t xml:space="preserve">Bobby </w:t>
            </w:r>
            <w:proofErr w:type="spellStart"/>
            <w:r w:rsidRPr="00047B76">
              <w:rPr>
                <w:b/>
                <w:sz w:val="20"/>
                <w:szCs w:val="20"/>
                <w:lang w:val="en-US"/>
              </w:rPr>
              <w:t>Vorias</w:t>
            </w:r>
            <w:proofErr w:type="spellEnd"/>
          </w:p>
          <w:p w:rsidR="008413EA" w:rsidRPr="00047B76" w:rsidRDefault="008413EA" w:rsidP="008413EA">
            <w:pPr>
              <w:tabs>
                <w:tab w:val="left" w:pos="-1440"/>
                <w:tab w:val="left" w:pos="-720"/>
              </w:tabs>
              <w:rPr>
                <w:sz w:val="20"/>
                <w:szCs w:val="20"/>
                <w:lang w:val="en-US"/>
              </w:rPr>
            </w:pPr>
            <w:r w:rsidRPr="00047B76">
              <w:rPr>
                <w:sz w:val="20"/>
                <w:szCs w:val="20"/>
                <w:lang w:val="en-US"/>
              </w:rPr>
              <w:tab/>
            </w:r>
            <w:proofErr w:type="spellStart"/>
            <w:r w:rsidR="00E06D9F" w:rsidRPr="00047B76">
              <w:rPr>
                <w:sz w:val="20"/>
                <w:szCs w:val="20"/>
                <w:lang w:val="en-US"/>
              </w:rPr>
              <w:t>Magri</w:t>
            </w:r>
            <w:proofErr w:type="spellEnd"/>
            <w:r w:rsidR="00E06D9F" w:rsidRPr="00047B76">
              <w:rPr>
                <w:sz w:val="20"/>
                <w:szCs w:val="20"/>
                <w:lang w:val="en-US"/>
              </w:rPr>
              <w:t xml:space="preserve">, </w:t>
            </w:r>
            <w:proofErr w:type="spellStart"/>
            <w:r w:rsidR="00E06D9F" w:rsidRPr="00047B76">
              <w:rPr>
                <w:sz w:val="20"/>
                <w:szCs w:val="20"/>
                <w:lang w:val="en-US"/>
              </w:rPr>
              <w:t>Annik</w:t>
            </w:r>
            <w:proofErr w:type="spellEnd"/>
          </w:p>
          <w:p w:rsidR="008413EA" w:rsidRPr="00047B76" w:rsidRDefault="008413EA" w:rsidP="008413EA">
            <w:pPr>
              <w:tabs>
                <w:tab w:val="left" w:pos="-1440"/>
                <w:tab w:val="left" w:pos="-720"/>
              </w:tabs>
              <w:rPr>
                <w:sz w:val="20"/>
                <w:szCs w:val="20"/>
                <w:lang w:val="en-US"/>
              </w:rPr>
            </w:pPr>
          </w:p>
          <w:p w:rsidR="008413EA" w:rsidRPr="00047B76" w:rsidRDefault="008413EA" w:rsidP="008413EA">
            <w:pPr>
              <w:tabs>
                <w:tab w:val="left" w:pos="-1440"/>
                <w:tab w:val="left" w:pos="-720"/>
              </w:tabs>
              <w:rPr>
                <w:sz w:val="20"/>
                <w:szCs w:val="20"/>
                <w:lang w:val="en-US"/>
              </w:rPr>
            </w:pPr>
            <w:r w:rsidRPr="00047B76">
              <w:rPr>
                <w:sz w:val="20"/>
                <w:szCs w:val="20"/>
                <w:lang w:val="en-US"/>
              </w:rPr>
              <w:tab/>
              <w:t>v. (3</w:t>
            </w:r>
            <w:r w:rsidR="00E06D9F" w:rsidRPr="00047B76">
              <w:rPr>
                <w:sz w:val="20"/>
                <w:szCs w:val="20"/>
                <w:lang w:val="en-US"/>
              </w:rPr>
              <w:t>8839</w:t>
            </w:r>
            <w:r w:rsidRPr="00047B76">
              <w:rPr>
                <w:sz w:val="20"/>
                <w:szCs w:val="20"/>
                <w:lang w:val="en-US"/>
              </w:rPr>
              <w:t>)</w:t>
            </w:r>
          </w:p>
          <w:p w:rsidR="008413EA" w:rsidRPr="00047B76" w:rsidRDefault="008413EA" w:rsidP="008413EA">
            <w:pPr>
              <w:tabs>
                <w:tab w:val="left" w:pos="-1440"/>
                <w:tab w:val="left" w:pos="-720"/>
              </w:tabs>
              <w:rPr>
                <w:sz w:val="20"/>
                <w:szCs w:val="20"/>
                <w:lang w:val="en-US"/>
              </w:rPr>
            </w:pPr>
          </w:p>
          <w:p w:rsidR="008413EA" w:rsidRPr="00047B76" w:rsidRDefault="00E06D9F" w:rsidP="008413EA">
            <w:pPr>
              <w:tabs>
                <w:tab w:val="left" w:pos="-1440"/>
                <w:tab w:val="left" w:pos="-720"/>
              </w:tabs>
              <w:rPr>
                <w:b/>
                <w:sz w:val="20"/>
                <w:szCs w:val="20"/>
                <w:lang w:val="en-US"/>
              </w:rPr>
            </w:pPr>
            <w:r w:rsidRPr="00047B76">
              <w:rPr>
                <w:b/>
                <w:sz w:val="20"/>
                <w:szCs w:val="20"/>
                <w:lang w:val="en-US"/>
              </w:rPr>
              <w:t>Her Majesty the Queen</w:t>
            </w:r>
            <w:r w:rsidR="008413EA" w:rsidRPr="00047B76">
              <w:rPr>
                <w:sz w:val="20"/>
                <w:szCs w:val="20"/>
                <w:lang w:val="en-US"/>
              </w:rPr>
              <w:t xml:space="preserve"> </w:t>
            </w:r>
            <w:r w:rsidR="008413EA" w:rsidRPr="00047B76">
              <w:rPr>
                <w:b/>
                <w:sz w:val="20"/>
                <w:szCs w:val="20"/>
                <w:lang w:val="en-US"/>
              </w:rPr>
              <w:t>(</w:t>
            </w:r>
            <w:r w:rsidRPr="00047B76">
              <w:rPr>
                <w:b/>
                <w:sz w:val="20"/>
                <w:szCs w:val="20"/>
                <w:lang w:val="en-US"/>
              </w:rPr>
              <w:t>Que</w:t>
            </w:r>
            <w:r w:rsidR="008413EA" w:rsidRPr="00047B76">
              <w:rPr>
                <w:b/>
                <w:sz w:val="20"/>
                <w:szCs w:val="20"/>
                <w:lang w:val="en-US"/>
              </w:rPr>
              <w:t>.)</w:t>
            </w:r>
          </w:p>
          <w:p w:rsidR="008413EA" w:rsidRPr="00047B76" w:rsidRDefault="008413EA" w:rsidP="008413EA">
            <w:pPr>
              <w:tabs>
                <w:tab w:val="left" w:pos="-1440"/>
                <w:tab w:val="left" w:pos="-720"/>
              </w:tabs>
              <w:rPr>
                <w:sz w:val="20"/>
                <w:szCs w:val="20"/>
                <w:lang w:val="fr-CA"/>
              </w:rPr>
            </w:pPr>
            <w:r w:rsidRPr="00047B76">
              <w:rPr>
                <w:sz w:val="20"/>
                <w:szCs w:val="20"/>
                <w:lang w:val="en-US"/>
              </w:rPr>
              <w:tab/>
            </w:r>
            <w:proofErr w:type="spellStart"/>
            <w:r w:rsidR="00E06D9F" w:rsidRPr="00047B76">
              <w:rPr>
                <w:sz w:val="20"/>
                <w:szCs w:val="20"/>
                <w:lang w:val="fr-CA"/>
              </w:rPr>
              <w:t>Dalpé</w:t>
            </w:r>
            <w:proofErr w:type="spellEnd"/>
            <w:r w:rsidR="00E06D9F" w:rsidRPr="00047B76">
              <w:rPr>
                <w:sz w:val="20"/>
                <w:szCs w:val="20"/>
                <w:lang w:val="fr-CA"/>
              </w:rPr>
              <w:t>, Alex</w:t>
            </w:r>
          </w:p>
          <w:p w:rsidR="008413EA" w:rsidRPr="00047B76" w:rsidRDefault="008413EA" w:rsidP="008413EA">
            <w:pPr>
              <w:tabs>
                <w:tab w:val="left" w:pos="-1440"/>
                <w:tab w:val="left" w:pos="-720"/>
              </w:tabs>
              <w:rPr>
                <w:sz w:val="20"/>
                <w:szCs w:val="20"/>
                <w:lang w:val="fr-CA"/>
              </w:rPr>
            </w:pPr>
            <w:r w:rsidRPr="00047B76">
              <w:rPr>
                <w:sz w:val="20"/>
                <w:szCs w:val="20"/>
                <w:lang w:val="fr-CA"/>
              </w:rPr>
              <w:tab/>
            </w:r>
            <w:r w:rsidR="00E06D9F" w:rsidRPr="00047B76">
              <w:rPr>
                <w:sz w:val="20"/>
                <w:szCs w:val="20"/>
                <w:lang w:val="fr-CA"/>
              </w:rPr>
              <w:t xml:space="preserve">Procureurs aux poursuites criminelles et </w:t>
            </w:r>
            <w:r w:rsidR="00E06D9F" w:rsidRPr="00047B76">
              <w:rPr>
                <w:sz w:val="20"/>
                <w:szCs w:val="20"/>
                <w:lang w:val="fr-CA"/>
              </w:rPr>
              <w:tab/>
              <w:t>pénales</w:t>
            </w:r>
          </w:p>
          <w:p w:rsidR="008413EA" w:rsidRPr="00047B76" w:rsidRDefault="008413EA" w:rsidP="008413EA">
            <w:pPr>
              <w:tabs>
                <w:tab w:val="left" w:pos="-1440"/>
                <w:tab w:val="left" w:pos="-720"/>
              </w:tabs>
              <w:rPr>
                <w:sz w:val="20"/>
                <w:szCs w:val="20"/>
                <w:lang w:val="fr-CA"/>
              </w:rPr>
            </w:pPr>
          </w:p>
          <w:p w:rsidR="008413EA" w:rsidRPr="00047B76" w:rsidRDefault="008413EA" w:rsidP="008413EA">
            <w:pPr>
              <w:rPr>
                <w:sz w:val="20"/>
                <w:szCs w:val="20"/>
              </w:rPr>
            </w:pPr>
            <w:r w:rsidRPr="00047B76">
              <w:rPr>
                <w:sz w:val="20"/>
                <w:szCs w:val="20"/>
              </w:rPr>
              <w:t xml:space="preserve">FILING DATE: </w:t>
            </w:r>
            <w:r w:rsidR="00E06D9F" w:rsidRPr="00047B76">
              <w:rPr>
                <w:sz w:val="20"/>
                <w:szCs w:val="20"/>
              </w:rPr>
              <w:t>August</w:t>
            </w:r>
            <w:r w:rsidRPr="00047B76">
              <w:rPr>
                <w:sz w:val="20"/>
                <w:szCs w:val="20"/>
              </w:rPr>
              <w:t xml:space="preserve"> 2</w:t>
            </w:r>
            <w:r w:rsidR="00E06D9F" w:rsidRPr="00047B76">
              <w:rPr>
                <w:sz w:val="20"/>
                <w:szCs w:val="20"/>
              </w:rPr>
              <w:t>3</w:t>
            </w:r>
            <w:r w:rsidRPr="00047B76">
              <w:rPr>
                <w:sz w:val="20"/>
                <w:szCs w:val="20"/>
              </w:rPr>
              <w:t>, 2019</w:t>
            </w:r>
          </w:p>
          <w:p w:rsidR="00C21644" w:rsidRPr="00047B76" w:rsidRDefault="009A56E8" w:rsidP="008413EA">
            <w:pPr>
              <w:rPr>
                <w:sz w:val="20"/>
                <w:szCs w:val="20"/>
                <w:lang w:val="fr-CA"/>
              </w:rPr>
            </w:pPr>
            <w:r>
              <w:rPr>
                <w:sz w:val="20"/>
                <w:szCs w:val="20"/>
                <w:lang w:val="fr-CA"/>
              </w:rPr>
              <w:pict>
                <v:rect id="_x0000_i1030" style="width:108pt;height:1pt" o:hrpct="0" o:hralign="center" o:hrstd="t" o:hrnoshade="t" o:hr="t" fillcolor="black [3213]" stroked="f"/>
              </w:pict>
            </w:r>
          </w:p>
        </w:tc>
      </w:tr>
    </w:tbl>
    <w:p w:rsidR="00242AEE" w:rsidRPr="00047B76" w:rsidRDefault="00242AEE" w:rsidP="0095096B">
      <w:pPr>
        <w:tabs>
          <w:tab w:val="right" w:pos="9360"/>
        </w:tabs>
        <w:rPr>
          <w:sz w:val="20"/>
          <w:szCs w:val="20"/>
          <w:lang w:val="fr-CA"/>
        </w:rPr>
      </w:pPr>
    </w:p>
    <w:p w:rsidR="00C01FCB" w:rsidRPr="00047B76" w:rsidRDefault="00C01FCB" w:rsidP="0095096B">
      <w:pPr>
        <w:tabs>
          <w:tab w:val="right" w:pos="9360"/>
        </w:tabs>
        <w:rPr>
          <w:sz w:val="20"/>
          <w:szCs w:val="20"/>
          <w:lang w:val="fr-CA"/>
        </w:rPr>
      </w:pPr>
    </w:p>
    <w:p w:rsidR="00C01FCB" w:rsidRPr="00047B76" w:rsidRDefault="00C01FCB" w:rsidP="0095096B">
      <w:pPr>
        <w:tabs>
          <w:tab w:val="right" w:pos="9360"/>
        </w:tabs>
        <w:rPr>
          <w:sz w:val="20"/>
          <w:szCs w:val="20"/>
          <w:lang w:val="fr-CA"/>
        </w:rPr>
      </w:pPr>
    </w:p>
    <w:p w:rsidR="00242AEE" w:rsidRPr="00047B76" w:rsidRDefault="00242AEE" w:rsidP="0095096B">
      <w:pPr>
        <w:tabs>
          <w:tab w:val="right" w:pos="9360"/>
        </w:tabs>
        <w:rPr>
          <w:sz w:val="20"/>
          <w:szCs w:val="20"/>
          <w:lang w:val="fr-CA"/>
        </w:rPr>
        <w:sectPr w:rsidR="00242AEE" w:rsidRPr="00047B76"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047B76" w:rsidRDefault="00DD0BDC" w:rsidP="00567602">
      <w:pPr>
        <w:pStyle w:val="Header1StyleE"/>
        <w:pBdr>
          <w:bottom w:val="single" w:sz="12" w:space="1" w:color="auto"/>
        </w:pBdr>
        <w:rPr>
          <w:lang w:val="fr-CA"/>
        </w:rPr>
      </w:pPr>
      <w:bookmarkStart w:id="2" w:name="_Toc24615297"/>
      <w:r w:rsidRPr="00047B76">
        <w:rPr>
          <w:lang w:val="fr-CA"/>
        </w:rPr>
        <w:lastRenderedPageBreak/>
        <w:t>Applications for leave submitted to the Court</w:t>
      </w:r>
      <w:r w:rsidR="000F2CA3" w:rsidRPr="00047B76">
        <w:rPr>
          <w:lang w:val="fr-CA"/>
        </w:rPr>
        <w:t xml:space="preserve"> </w:t>
      </w:r>
      <w:r w:rsidRPr="00047B76">
        <w:rPr>
          <w:lang w:val="fr-CA"/>
        </w:rPr>
        <w:t>since the last issue</w:t>
      </w:r>
      <w:r w:rsidR="000F2CA3" w:rsidRPr="00047B76">
        <w:rPr>
          <w:lang w:val="fr-CA"/>
        </w:rPr>
        <w:t xml:space="preserve"> </w:t>
      </w:r>
      <w:r w:rsidR="00271E1E" w:rsidRPr="00047B76">
        <w:rPr>
          <w:lang w:val="fr-CA"/>
        </w:rPr>
        <w:t xml:space="preserve">/ </w:t>
      </w:r>
      <w:r w:rsidRPr="00047B76">
        <w:rPr>
          <w:lang w:val="fr-CA"/>
        </w:rPr>
        <w:br/>
        <w:t xml:space="preserve">Demandes soumises à la </w:t>
      </w:r>
      <w:r w:rsidR="000C1D9D" w:rsidRPr="00047B76">
        <w:rPr>
          <w:lang w:val="fr-CA"/>
        </w:rPr>
        <w:t>C</w:t>
      </w:r>
      <w:r w:rsidRPr="00047B76">
        <w:rPr>
          <w:lang w:val="fr-CA"/>
        </w:rPr>
        <w:t>our depuis la dernière parution</w:t>
      </w:r>
      <w:bookmarkEnd w:id="2"/>
    </w:p>
    <w:p w:rsidR="00FB1DB6" w:rsidRPr="00047B76" w:rsidRDefault="00FB1DB6" w:rsidP="00FB1DB6">
      <w:pPr>
        <w:rPr>
          <w:lang w:val="fr-CA" w:eastAsia="en-CA"/>
        </w:rPr>
      </w:pPr>
    </w:p>
    <w:p w:rsidR="00102792" w:rsidRPr="00047B76" w:rsidRDefault="00A15E6F" w:rsidP="00102792">
      <w:pPr>
        <w:widowControl w:val="0"/>
        <w:rPr>
          <w:b/>
          <w:sz w:val="20"/>
          <w:szCs w:val="20"/>
          <w:lang w:val="fr-CA"/>
        </w:rPr>
      </w:pPr>
      <w:r w:rsidRPr="00047B76">
        <w:rPr>
          <w:b/>
          <w:sz w:val="20"/>
          <w:szCs w:val="20"/>
          <w:lang w:val="fr-CA"/>
        </w:rPr>
        <w:t>NOVEM</w:t>
      </w:r>
      <w:r w:rsidR="00102792" w:rsidRPr="00047B76">
        <w:rPr>
          <w:b/>
          <w:sz w:val="20"/>
          <w:szCs w:val="20"/>
          <w:lang w:val="fr-CA"/>
        </w:rPr>
        <w:t xml:space="preserve">BER </w:t>
      </w:r>
      <w:r w:rsidRPr="00047B76">
        <w:rPr>
          <w:b/>
          <w:sz w:val="20"/>
          <w:szCs w:val="20"/>
          <w:lang w:val="fr-CA"/>
        </w:rPr>
        <w:t>12</w:t>
      </w:r>
      <w:r w:rsidR="00102792" w:rsidRPr="00047B76">
        <w:rPr>
          <w:b/>
          <w:sz w:val="20"/>
          <w:szCs w:val="20"/>
          <w:lang w:val="fr-CA"/>
        </w:rPr>
        <w:t xml:space="preserve">, </w:t>
      </w:r>
      <w:r w:rsidR="0034657E" w:rsidRPr="00047B76">
        <w:rPr>
          <w:b/>
          <w:sz w:val="20"/>
          <w:szCs w:val="20"/>
          <w:lang w:val="fr-CA"/>
        </w:rPr>
        <w:t>2019</w:t>
      </w:r>
      <w:r w:rsidR="00102792" w:rsidRPr="00047B76">
        <w:rPr>
          <w:b/>
          <w:sz w:val="20"/>
          <w:szCs w:val="20"/>
          <w:lang w:val="fr-CA"/>
        </w:rPr>
        <w:t xml:space="preserve"> / LE </w:t>
      </w:r>
      <w:r w:rsidRPr="00047B76">
        <w:rPr>
          <w:b/>
          <w:sz w:val="20"/>
          <w:szCs w:val="20"/>
          <w:lang w:val="fr-CA"/>
        </w:rPr>
        <w:t>12</w:t>
      </w:r>
      <w:r w:rsidR="00102792" w:rsidRPr="00047B76">
        <w:rPr>
          <w:b/>
          <w:sz w:val="20"/>
          <w:szCs w:val="20"/>
          <w:lang w:val="fr-CA"/>
        </w:rPr>
        <w:t xml:space="preserve"> </w:t>
      </w:r>
      <w:r w:rsidRPr="00047B76">
        <w:rPr>
          <w:b/>
          <w:sz w:val="20"/>
          <w:szCs w:val="20"/>
          <w:lang w:val="fr-CA"/>
        </w:rPr>
        <w:t>NOVEM</w:t>
      </w:r>
      <w:r w:rsidR="00102792" w:rsidRPr="00047B76">
        <w:rPr>
          <w:b/>
          <w:sz w:val="20"/>
          <w:szCs w:val="20"/>
          <w:lang w:val="fr-CA"/>
        </w:rPr>
        <w:t xml:space="preserve">BRE </w:t>
      </w:r>
      <w:r w:rsidR="0034657E" w:rsidRPr="00047B76">
        <w:rPr>
          <w:b/>
          <w:sz w:val="20"/>
          <w:szCs w:val="20"/>
          <w:lang w:val="fr-CA"/>
        </w:rPr>
        <w:t>2019</w:t>
      </w:r>
    </w:p>
    <w:p w:rsidR="001D78D8" w:rsidRPr="00047B76" w:rsidRDefault="001D78D8" w:rsidP="001D78D8">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1D78D8" w:rsidRPr="00957F6E" w:rsidTr="009A56E8">
        <w:trPr>
          <w:cantSplit/>
        </w:trPr>
        <w:tc>
          <w:tcPr>
            <w:tcW w:w="508" w:type="dxa"/>
          </w:tcPr>
          <w:p w:rsidR="001D78D8" w:rsidRPr="00047B76" w:rsidRDefault="001D78D8" w:rsidP="009A56E8">
            <w:pPr>
              <w:rPr>
                <w:sz w:val="20"/>
                <w:szCs w:val="20"/>
                <w:lang w:val="fr-CA"/>
              </w:rPr>
            </w:pPr>
          </w:p>
        </w:tc>
        <w:tc>
          <w:tcPr>
            <w:tcW w:w="810" w:type="dxa"/>
          </w:tcPr>
          <w:p w:rsidR="001D78D8" w:rsidRPr="00047B76" w:rsidRDefault="001D78D8" w:rsidP="009A56E8">
            <w:pPr>
              <w:rPr>
                <w:sz w:val="20"/>
                <w:szCs w:val="20"/>
                <w:lang w:val="fr-CA"/>
              </w:rPr>
            </w:pPr>
          </w:p>
        </w:tc>
        <w:tc>
          <w:tcPr>
            <w:tcW w:w="8258" w:type="dxa"/>
            <w:gridSpan w:val="3"/>
          </w:tcPr>
          <w:p w:rsidR="001D78D8" w:rsidRPr="00047B76" w:rsidRDefault="001D78D8" w:rsidP="001D78D8">
            <w:pPr>
              <w:widowControl w:val="0"/>
              <w:jc w:val="center"/>
              <w:rPr>
                <w:b/>
                <w:sz w:val="20"/>
                <w:szCs w:val="20"/>
              </w:rPr>
            </w:pPr>
            <w:r w:rsidRPr="00047B76">
              <w:rPr>
                <w:b/>
                <w:sz w:val="20"/>
                <w:szCs w:val="20"/>
              </w:rPr>
              <w:t>CORAM:  Chief Justice Wagner and Rowe and Kasirer JJ.</w:t>
            </w:r>
          </w:p>
          <w:p w:rsidR="001D78D8" w:rsidRPr="00047B76" w:rsidRDefault="001D78D8" w:rsidP="001D78D8">
            <w:pPr>
              <w:jc w:val="center"/>
              <w:rPr>
                <w:sz w:val="20"/>
                <w:szCs w:val="20"/>
                <w:lang w:val="fr-CA"/>
              </w:rPr>
            </w:pPr>
            <w:r w:rsidRPr="00047B76">
              <w:rPr>
                <w:b/>
                <w:sz w:val="20"/>
                <w:szCs w:val="20"/>
                <w:lang w:val="fr-CA"/>
              </w:rPr>
              <w:t>Le juge en chef Wagner et les juges Rowe et Kasirer</w:t>
            </w:r>
          </w:p>
        </w:tc>
      </w:tr>
      <w:tr w:rsidR="001D78D8" w:rsidRPr="00047B76" w:rsidTr="009A56E8">
        <w:trPr>
          <w:cantSplit/>
        </w:trPr>
        <w:tc>
          <w:tcPr>
            <w:tcW w:w="508" w:type="dxa"/>
          </w:tcPr>
          <w:p w:rsidR="001D78D8" w:rsidRPr="00047B76" w:rsidRDefault="001D78D8" w:rsidP="009A56E8">
            <w:pPr>
              <w:rPr>
                <w:sz w:val="20"/>
                <w:szCs w:val="20"/>
                <w:lang w:val="fr-CA"/>
              </w:rPr>
            </w:pPr>
          </w:p>
        </w:tc>
        <w:tc>
          <w:tcPr>
            <w:tcW w:w="810" w:type="dxa"/>
          </w:tcPr>
          <w:p w:rsidR="001D78D8" w:rsidRPr="00047B76" w:rsidRDefault="001D78D8" w:rsidP="009A56E8">
            <w:pPr>
              <w:rPr>
                <w:sz w:val="20"/>
                <w:szCs w:val="20"/>
                <w:lang w:val="fr-CA"/>
              </w:rPr>
            </w:pPr>
          </w:p>
        </w:tc>
        <w:tc>
          <w:tcPr>
            <w:tcW w:w="4050" w:type="dxa"/>
          </w:tcPr>
          <w:p w:rsidR="001D78D8" w:rsidRPr="00047B76" w:rsidRDefault="001D78D8" w:rsidP="009A56E8">
            <w:pPr>
              <w:pStyle w:val="SCCAppellantInfoTypeOfCase"/>
              <w:rPr>
                <w:sz w:val="20"/>
                <w:szCs w:val="20"/>
              </w:rPr>
            </w:pPr>
            <w:r w:rsidRPr="00047B76">
              <w:rPr>
                <w:sz w:val="20"/>
                <w:szCs w:val="20"/>
              </w:rPr>
              <w:t>Criminal / Criminelle</w:t>
            </w:r>
          </w:p>
        </w:tc>
        <w:tc>
          <w:tcPr>
            <w:tcW w:w="360" w:type="dxa"/>
          </w:tcPr>
          <w:p w:rsidR="001D78D8" w:rsidRPr="00047B76" w:rsidRDefault="001D78D8" w:rsidP="009A56E8">
            <w:pPr>
              <w:rPr>
                <w:sz w:val="20"/>
                <w:szCs w:val="20"/>
              </w:rPr>
            </w:pPr>
          </w:p>
        </w:tc>
        <w:tc>
          <w:tcPr>
            <w:tcW w:w="3848" w:type="dxa"/>
          </w:tcPr>
          <w:p w:rsidR="001D78D8" w:rsidRPr="00047B76" w:rsidRDefault="001D78D8" w:rsidP="009A56E8">
            <w:pPr>
              <w:rPr>
                <w:sz w:val="20"/>
                <w:szCs w:val="20"/>
              </w:rPr>
            </w:pPr>
          </w:p>
        </w:tc>
      </w:tr>
      <w:tr w:rsidR="001D78D8" w:rsidRPr="00047B76" w:rsidTr="009A56E8">
        <w:trPr>
          <w:cantSplit/>
        </w:trPr>
        <w:tc>
          <w:tcPr>
            <w:tcW w:w="508" w:type="dxa"/>
          </w:tcPr>
          <w:p w:rsidR="001D78D8" w:rsidRPr="00047B76" w:rsidRDefault="001D78D8" w:rsidP="009A56E8">
            <w:pPr>
              <w:rPr>
                <w:sz w:val="20"/>
                <w:szCs w:val="20"/>
              </w:rPr>
            </w:pPr>
            <w:r w:rsidRPr="00047B76">
              <w:rPr>
                <w:sz w:val="20"/>
                <w:szCs w:val="20"/>
              </w:rPr>
              <w:t>1.</w:t>
            </w:r>
          </w:p>
        </w:tc>
        <w:tc>
          <w:tcPr>
            <w:tcW w:w="810" w:type="dxa"/>
          </w:tcPr>
          <w:p w:rsidR="001D78D8" w:rsidRPr="00047B76" w:rsidRDefault="001D78D8" w:rsidP="009A56E8">
            <w:pPr>
              <w:rPr>
                <w:sz w:val="20"/>
                <w:szCs w:val="20"/>
              </w:rPr>
            </w:pPr>
            <w:r w:rsidRPr="00047B76">
              <w:rPr>
                <w:sz w:val="20"/>
                <w:szCs w:val="20"/>
              </w:rPr>
              <w:t>38723</w:t>
            </w:r>
          </w:p>
        </w:tc>
        <w:tc>
          <w:tcPr>
            <w:tcW w:w="4050" w:type="dxa"/>
          </w:tcPr>
          <w:p w:rsidR="001D78D8" w:rsidRPr="00047B76" w:rsidRDefault="001D78D8" w:rsidP="009A56E8">
            <w:pPr>
              <w:pStyle w:val="SCCAppellantInfoAppellantInfo"/>
              <w:rPr>
                <w:sz w:val="20"/>
                <w:szCs w:val="20"/>
                <w:lang w:val="fr-CA"/>
              </w:rPr>
            </w:pPr>
            <w:r w:rsidRPr="00047B76">
              <w:rPr>
                <w:sz w:val="20"/>
                <w:szCs w:val="20"/>
                <w:lang w:val="fr-CA"/>
              </w:rPr>
              <w:t xml:space="preserve">Yves André </w:t>
            </w:r>
            <w:proofErr w:type="spellStart"/>
            <w:r w:rsidRPr="00047B76">
              <w:rPr>
                <w:sz w:val="20"/>
                <w:szCs w:val="20"/>
                <w:lang w:val="fr-CA"/>
              </w:rPr>
              <w:t>LeBoutillier</w:t>
            </w:r>
            <w:proofErr w:type="spellEnd"/>
          </w:p>
          <w:p w:rsidR="001D78D8" w:rsidRPr="00047B76" w:rsidRDefault="001D78D8" w:rsidP="009A56E8">
            <w:pPr>
              <w:pStyle w:val="SCCAppellantInfoAppellantInfo"/>
              <w:rPr>
                <w:sz w:val="20"/>
                <w:szCs w:val="20"/>
                <w:lang w:val="fr-CA"/>
              </w:rPr>
            </w:pPr>
            <w:r w:rsidRPr="00047B76">
              <w:rPr>
                <w:sz w:val="20"/>
                <w:szCs w:val="20"/>
                <w:lang w:val="fr-CA"/>
              </w:rPr>
              <w:t>(Qc) (Criminelle) (Autorisation)</w:t>
            </w:r>
          </w:p>
        </w:tc>
        <w:tc>
          <w:tcPr>
            <w:tcW w:w="360" w:type="dxa"/>
          </w:tcPr>
          <w:p w:rsidR="001D78D8" w:rsidRPr="00047B76" w:rsidRDefault="001D78D8" w:rsidP="009A56E8">
            <w:pPr>
              <w:rPr>
                <w:sz w:val="20"/>
                <w:szCs w:val="20"/>
              </w:rPr>
            </w:pPr>
            <w:r w:rsidRPr="00047B76">
              <w:rPr>
                <w:sz w:val="20"/>
                <w:szCs w:val="20"/>
              </w:rPr>
              <w:t>c.</w:t>
            </w:r>
          </w:p>
        </w:tc>
        <w:tc>
          <w:tcPr>
            <w:tcW w:w="3848" w:type="dxa"/>
          </w:tcPr>
          <w:p w:rsidR="001D78D8" w:rsidRPr="00047B76" w:rsidRDefault="001D78D8" w:rsidP="009A56E8">
            <w:pPr>
              <w:pStyle w:val="SCCAppellantInfoAppellantInfo"/>
              <w:rPr>
                <w:sz w:val="20"/>
                <w:szCs w:val="20"/>
              </w:rPr>
            </w:pPr>
            <w:r w:rsidRPr="00047B76">
              <w:rPr>
                <w:sz w:val="20"/>
                <w:szCs w:val="20"/>
              </w:rPr>
              <w:t>Sa Majesté la Reine</w:t>
            </w:r>
          </w:p>
        </w:tc>
      </w:tr>
      <w:tr w:rsidR="001D78D8" w:rsidRPr="00047B76" w:rsidTr="009A56E8">
        <w:trPr>
          <w:cantSplit/>
        </w:trPr>
        <w:tc>
          <w:tcPr>
            <w:tcW w:w="508" w:type="dxa"/>
          </w:tcPr>
          <w:p w:rsidR="001D78D8" w:rsidRPr="00047B76" w:rsidRDefault="001D78D8" w:rsidP="009A56E8">
            <w:pPr>
              <w:rPr>
                <w:sz w:val="20"/>
                <w:szCs w:val="20"/>
              </w:rPr>
            </w:pPr>
            <w:r w:rsidRPr="00047B76">
              <w:rPr>
                <w:sz w:val="20"/>
                <w:szCs w:val="20"/>
              </w:rPr>
              <w:t>2.</w:t>
            </w:r>
          </w:p>
        </w:tc>
        <w:tc>
          <w:tcPr>
            <w:tcW w:w="810" w:type="dxa"/>
          </w:tcPr>
          <w:p w:rsidR="001D78D8" w:rsidRPr="00047B76" w:rsidRDefault="001D78D8" w:rsidP="009A56E8">
            <w:pPr>
              <w:rPr>
                <w:sz w:val="20"/>
                <w:szCs w:val="20"/>
              </w:rPr>
            </w:pPr>
            <w:r w:rsidRPr="00047B76">
              <w:rPr>
                <w:sz w:val="20"/>
                <w:szCs w:val="20"/>
              </w:rPr>
              <w:t>38821</w:t>
            </w:r>
          </w:p>
        </w:tc>
        <w:tc>
          <w:tcPr>
            <w:tcW w:w="4050" w:type="dxa"/>
          </w:tcPr>
          <w:p w:rsidR="001D78D8" w:rsidRPr="00047B76" w:rsidRDefault="001D78D8" w:rsidP="009A56E8">
            <w:pPr>
              <w:pStyle w:val="SCCAppellantInfoAppellantInfo"/>
              <w:rPr>
                <w:sz w:val="20"/>
                <w:szCs w:val="20"/>
              </w:rPr>
            </w:pPr>
            <w:r w:rsidRPr="00047B76">
              <w:rPr>
                <w:sz w:val="20"/>
                <w:szCs w:val="20"/>
              </w:rPr>
              <w:t>Thomas Duong</w:t>
            </w:r>
          </w:p>
          <w:p w:rsidR="001D78D8" w:rsidRPr="00047B76" w:rsidRDefault="001D78D8" w:rsidP="009A56E8">
            <w:pPr>
              <w:pStyle w:val="SCCAppellantInfoAppellantInfo"/>
              <w:rPr>
                <w:sz w:val="20"/>
                <w:szCs w:val="20"/>
              </w:rPr>
            </w:pPr>
            <w:r w:rsidRPr="00047B76">
              <w:rPr>
                <w:sz w:val="20"/>
                <w:szCs w:val="20"/>
              </w:rPr>
              <w:t>(B.C.) (Criminal) (By Leave)</w:t>
            </w:r>
          </w:p>
        </w:tc>
        <w:tc>
          <w:tcPr>
            <w:tcW w:w="360" w:type="dxa"/>
          </w:tcPr>
          <w:p w:rsidR="001D78D8" w:rsidRPr="00047B76" w:rsidRDefault="001D78D8" w:rsidP="009A56E8">
            <w:pPr>
              <w:rPr>
                <w:sz w:val="20"/>
                <w:szCs w:val="20"/>
              </w:rPr>
            </w:pPr>
            <w:r w:rsidRPr="00047B76">
              <w:rPr>
                <w:sz w:val="20"/>
                <w:szCs w:val="20"/>
              </w:rPr>
              <w:t>v.</w:t>
            </w:r>
          </w:p>
        </w:tc>
        <w:tc>
          <w:tcPr>
            <w:tcW w:w="3848" w:type="dxa"/>
          </w:tcPr>
          <w:p w:rsidR="001D78D8" w:rsidRPr="00047B76" w:rsidRDefault="001D78D8" w:rsidP="009A56E8">
            <w:pPr>
              <w:pStyle w:val="SCCAppellantInfoAppellantInfo"/>
              <w:rPr>
                <w:sz w:val="20"/>
                <w:szCs w:val="20"/>
              </w:rPr>
            </w:pPr>
            <w:r w:rsidRPr="00047B76">
              <w:rPr>
                <w:sz w:val="20"/>
                <w:szCs w:val="20"/>
              </w:rPr>
              <w:t>Regina</w:t>
            </w:r>
          </w:p>
        </w:tc>
      </w:tr>
      <w:tr w:rsidR="001D78D8" w:rsidRPr="00047B76" w:rsidTr="009A56E8">
        <w:trPr>
          <w:cantSplit/>
        </w:trPr>
        <w:tc>
          <w:tcPr>
            <w:tcW w:w="508" w:type="dxa"/>
          </w:tcPr>
          <w:p w:rsidR="001D78D8" w:rsidRPr="00047B76" w:rsidRDefault="001D78D8" w:rsidP="009A56E8">
            <w:pPr>
              <w:rPr>
                <w:sz w:val="20"/>
                <w:szCs w:val="20"/>
              </w:rPr>
            </w:pPr>
          </w:p>
        </w:tc>
        <w:tc>
          <w:tcPr>
            <w:tcW w:w="810" w:type="dxa"/>
          </w:tcPr>
          <w:p w:rsidR="001D78D8" w:rsidRPr="00047B76" w:rsidRDefault="001D78D8" w:rsidP="009A56E8">
            <w:pPr>
              <w:rPr>
                <w:sz w:val="20"/>
                <w:szCs w:val="20"/>
              </w:rPr>
            </w:pPr>
          </w:p>
        </w:tc>
        <w:tc>
          <w:tcPr>
            <w:tcW w:w="4050" w:type="dxa"/>
          </w:tcPr>
          <w:p w:rsidR="001D78D8" w:rsidRPr="00047B76" w:rsidRDefault="001D78D8" w:rsidP="009A56E8">
            <w:pPr>
              <w:pStyle w:val="SCCAppellantInfoTypeOfCase"/>
              <w:rPr>
                <w:sz w:val="20"/>
                <w:szCs w:val="20"/>
              </w:rPr>
            </w:pPr>
            <w:r w:rsidRPr="00047B76">
              <w:rPr>
                <w:sz w:val="20"/>
                <w:szCs w:val="20"/>
              </w:rPr>
              <w:t>Civil / Civile</w:t>
            </w:r>
          </w:p>
        </w:tc>
        <w:tc>
          <w:tcPr>
            <w:tcW w:w="360" w:type="dxa"/>
          </w:tcPr>
          <w:p w:rsidR="001D78D8" w:rsidRPr="00047B76" w:rsidRDefault="001D78D8" w:rsidP="009A56E8">
            <w:pPr>
              <w:rPr>
                <w:sz w:val="20"/>
                <w:szCs w:val="20"/>
              </w:rPr>
            </w:pPr>
          </w:p>
        </w:tc>
        <w:tc>
          <w:tcPr>
            <w:tcW w:w="3848" w:type="dxa"/>
          </w:tcPr>
          <w:p w:rsidR="001D78D8" w:rsidRPr="00047B76" w:rsidRDefault="001D78D8" w:rsidP="009A56E8">
            <w:pPr>
              <w:rPr>
                <w:sz w:val="20"/>
                <w:szCs w:val="20"/>
              </w:rPr>
            </w:pPr>
          </w:p>
        </w:tc>
      </w:tr>
      <w:tr w:rsidR="001D78D8" w:rsidRPr="00047B76" w:rsidTr="009A56E8">
        <w:trPr>
          <w:cantSplit/>
        </w:trPr>
        <w:tc>
          <w:tcPr>
            <w:tcW w:w="508" w:type="dxa"/>
          </w:tcPr>
          <w:p w:rsidR="001D78D8" w:rsidRPr="00047B76" w:rsidRDefault="001D78D8" w:rsidP="009A56E8">
            <w:pPr>
              <w:rPr>
                <w:sz w:val="20"/>
                <w:szCs w:val="20"/>
              </w:rPr>
            </w:pPr>
            <w:r w:rsidRPr="00047B76">
              <w:rPr>
                <w:sz w:val="20"/>
                <w:szCs w:val="20"/>
              </w:rPr>
              <w:t>3.</w:t>
            </w:r>
          </w:p>
        </w:tc>
        <w:tc>
          <w:tcPr>
            <w:tcW w:w="810" w:type="dxa"/>
          </w:tcPr>
          <w:p w:rsidR="001D78D8" w:rsidRPr="00047B76" w:rsidRDefault="001D78D8" w:rsidP="009A56E8">
            <w:pPr>
              <w:rPr>
                <w:sz w:val="20"/>
                <w:szCs w:val="20"/>
              </w:rPr>
            </w:pPr>
            <w:r w:rsidRPr="00047B76">
              <w:rPr>
                <w:sz w:val="20"/>
                <w:szCs w:val="20"/>
              </w:rPr>
              <w:t>38770</w:t>
            </w:r>
          </w:p>
        </w:tc>
        <w:tc>
          <w:tcPr>
            <w:tcW w:w="4050" w:type="dxa"/>
          </w:tcPr>
          <w:p w:rsidR="001D78D8" w:rsidRPr="00047B76" w:rsidRDefault="001D78D8" w:rsidP="009A56E8">
            <w:pPr>
              <w:pStyle w:val="SCCAppellantInfoAppellantInfo"/>
              <w:rPr>
                <w:sz w:val="20"/>
                <w:szCs w:val="20"/>
                <w:lang w:val="fr-CA"/>
              </w:rPr>
            </w:pPr>
            <w:r w:rsidRPr="00047B76">
              <w:rPr>
                <w:sz w:val="20"/>
                <w:szCs w:val="20"/>
                <w:lang w:val="fr-CA"/>
              </w:rPr>
              <w:t>Groupe Anderson inc.</w:t>
            </w:r>
          </w:p>
          <w:p w:rsidR="001D78D8" w:rsidRPr="00047B76" w:rsidRDefault="001D78D8" w:rsidP="009A56E8">
            <w:pPr>
              <w:pStyle w:val="SCCAppellantInfoAppellantInfo"/>
              <w:rPr>
                <w:sz w:val="20"/>
                <w:szCs w:val="20"/>
                <w:lang w:val="fr-CA"/>
              </w:rPr>
            </w:pPr>
            <w:r w:rsidRPr="00047B76">
              <w:rPr>
                <w:sz w:val="20"/>
                <w:szCs w:val="20"/>
                <w:lang w:val="fr-CA"/>
              </w:rPr>
              <w:t>(Qc) (Civile) (Autorisation)</w:t>
            </w:r>
          </w:p>
        </w:tc>
        <w:tc>
          <w:tcPr>
            <w:tcW w:w="360" w:type="dxa"/>
          </w:tcPr>
          <w:p w:rsidR="001D78D8" w:rsidRPr="00047B76" w:rsidRDefault="001D78D8" w:rsidP="009A56E8">
            <w:pPr>
              <w:rPr>
                <w:sz w:val="20"/>
                <w:szCs w:val="20"/>
              </w:rPr>
            </w:pPr>
            <w:r w:rsidRPr="00047B76">
              <w:rPr>
                <w:sz w:val="20"/>
                <w:szCs w:val="20"/>
              </w:rPr>
              <w:t>c.</w:t>
            </w:r>
          </w:p>
        </w:tc>
        <w:tc>
          <w:tcPr>
            <w:tcW w:w="3848" w:type="dxa"/>
          </w:tcPr>
          <w:p w:rsidR="001D78D8" w:rsidRPr="00047B76" w:rsidRDefault="001D78D8" w:rsidP="009A56E8">
            <w:pPr>
              <w:pStyle w:val="SCCAppellantInfoAppellantInfo"/>
              <w:rPr>
                <w:sz w:val="20"/>
                <w:szCs w:val="20"/>
              </w:rPr>
            </w:pPr>
            <w:r w:rsidRPr="00047B76">
              <w:rPr>
                <w:sz w:val="20"/>
                <w:szCs w:val="20"/>
              </w:rPr>
              <w:t>Euler Hermes Canada</w:t>
            </w:r>
          </w:p>
        </w:tc>
      </w:tr>
      <w:tr w:rsidR="001D78D8" w:rsidRPr="00957F6E" w:rsidTr="009A56E8">
        <w:trPr>
          <w:cantSplit/>
        </w:trPr>
        <w:tc>
          <w:tcPr>
            <w:tcW w:w="508" w:type="dxa"/>
          </w:tcPr>
          <w:p w:rsidR="001D78D8" w:rsidRPr="00047B76" w:rsidRDefault="001D78D8" w:rsidP="009A56E8">
            <w:pPr>
              <w:rPr>
                <w:sz w:val="20"/>
                <w:szCs w:val="20"/>
              </w:rPr>
            </w:pPr>
          </w:p>
        </w:tc>
        <w:tc>
          <w:tcPr>
            <w:tcW w:w="810" w:type="dxa"/>
          </w:tcPr>
          <w:p w:rsidR="001D78D8" w:rsidRPr="00047B76" w:rsidRDefault="001D78D8" w:rsidP="009A56E8">
            <w:pPr>
              <w:rPr>
                <w:sz w:val="20"/>
                <w:szCs w:val="20"/>
              </w:rPr>
            </w:pPr>
          </w:p>
        </w:tc>
        <w:tc>
          <w:tcPr>
            <w:tcW w:w="8258" w:type="dxa"/>
            <w:gridSpan w:val="3"/>
          </w:tcPr>
          <w:p w:rsidR="001D78D8" w:rsidRPr="00047B76" w:rsidRDefault="001D78D8" w:rsidP="001D78D8">
            <w:pPr>
              <w:widowControl w:val="0"/>
              <w:jc w:val="center"/>
              <w:rPr>
                <w:b/>
                <w:sz w:val="20"/>
                <w:szCs w:val="20"/>
                <w:lang w:val="en-US"/>
              </w:rPr>
            </w:pPr>
            <w:r w:rsidRPr="00047B76">
              <w:rPr>
                <w:b/>
                <w:sz w:val="20"/>
                <w:szCs w:val="20"/>
                <w:lang w:val="en-US"/>
              </w:rPr>
              <w:t>CORAM: Abella, Karakatsanis and Brown JJ.</w:t>
            </w:r>
          </w:p>
          <w:p w:rsidR="001D78D8" w:rsidRPr="00047B76" w:rsidRDefault="001D78D8" w:rsidP="001D78D8">
            <w:pPr>
              <w:widowControl w:val="0"/>
              <w:jc w:val="center"/>
              <w:rPr>
                <w:sz w:val="20"/>
                <w:szCs w:val="20"/>
                <w:lang w:val="fr-CA"/>
              </w:rPr>
            </w:pPr>
            <w:r w:rsidRPr="00047B76">
              <w:rPr>
                <w:b/>
                <w:sz w:val="20"/>
                <w:szCs w:val="20"/>
                <w:lang w:val="fr-CA"/>
              </w:rPr>
              <w:t>Les juges Abella, Karakatsanis et Brown</w:t>
            </w:r>
          </w:p>
        </w:tc>
      </w:tr>
      <w:tr w:rsidR="001D78D8" w:rsidRPr="00047B76" w:rsidTr="009A56E8">
        <w:trPr>
          <w:cantSplit/>
        </w:trPr>
        <w:tc>
          <w:tcPr>
            <w:tcW w:w="508" w:type="dxa"/>
          </w:tcPr>
          <w:p w:rsidR="001D78D8" w:rsidRPr="00047B76" w:rsidRDefault="001D78D8" w:rsidP="009A56E8">
            <w:pPr>
              <w:rPr>
                <w:sz w:val="20"/>
                <w:szCs w:val="20"/>
                <w:lang w:val="fr-CA"/>
              </w:rPr>
            </w:pPr>
          </w:p>
        </w:tc>
        <w:tc>
          <w:tcPr>
            <w:tcW w:w="810" w:type="dxa"/>
          </w:tcPr>
          <w:p w:rsidR="001D78D8" w:rsidRPr="00047B76" w:rsidRDefault="001D78D8" w:rsidP="009A56E8">
            <w:pPr>
              <w:rPr>
                <w:sz w:val="20"/>
                <w:szCs w:val="20"/>
                <w:lang w:val="fr-CA"/>
              </w:rPr>
            </w:pPr>
          </w:p>
        </w:tc>
        <w:tc>
          <w:tcPr>
            <w:tcW w:w="4050" w:type="dxa"/>
          </w:tcPr>
          <w:p w:rsidR="001D78D8" w:rsidRPr="00047B76" w:rsidRDefault="001D78D8" w:rsidP="009A56E8">
            <w:pPr>
              <w:pStyle w:val="SCCAppellantInfoTypeOfCase"/>
              <w:rPr>
                <w:sz w:val="20"/>
                <w:szCs w:val="20"/>
              </w:rPr>
            </w:pPr>
            <w:r w:rsidRPr="00047B76">
              <w:rPr>
                <w:sz w:val="20"/>
                <w:szCs w:val="20"/>
              </w:rPr>
              <w:t>Criminal / Criminelle</w:t>
            </w:r>
          </w:p>
        </w:tc>
        <w:tc>
          <w:tcPr>
            <w:tcW w:w="360" w:type="dxa"/>
          </w:tcPr>
          <w:p w:rsidR="001D78D8" w:rsidRPr="00047B76" w:rsidRDefault="001D78D8" w:rsidP="009A56E8">
            <w:pPr>
              <w:rPr>
                <w:sz w:val="20"/>
                <w:szCs w:val="20"/>
              </w:rPr>
            </w:pPr>
          </w:p>
        </w:tc>
        <w:tc>
          <w:tcPr>
            <w:tcW w:w="3848" w:type="dxa"/>
          </w:tcPr>
          <w:p w:rsidR="001D78D8" w:rsidRPr="00047B76" w:rsidRDefault="001D78D8" w:rsidP="009A56E8">
            <w:pPr>
              <w:rPr>
                <w:sz w:val="20"/>
                <w:szCs w:val="20"/>
              </w:rPr>
            </w:pPr>
          </w:p>
        </w:tc>
      </w:tr>
      <w:tr w:rsidR="001D78D8" w:rsidRPr="00047B76" w:rsidTr="009A56E8">
        <w:trPr>
          <w:cantSplit/>
        </w:trPr>
        <w:tc>
          <w:tcPr>
            <w:tcW w:w="508" w:type="dxa"/>
          </w:tcPr>
          <w:p w:rsidR="001D78D8" w:rsidRPr="00047B76" w:rsidRDefault="001D78D8" w:rsidP="009A56E8">
            <w:pPr>
              <w:rPr>
                <w:sz w:val="20"/>
                <w:szCs w:val="20"/>
              </w:rPr>
            </w:pPr>
            <w:r w:rsidRPr="00047B76">
              <w:rPr>
                <w:sz w:val="20"/>
                <w:szCs w:val="20"/>
              </w:rPr>
              <w:t>4.</w:t>
            </w:r>
          </w:p>
        </w:tc>
        <w:tc>
          <w:tcPr>
            <w:tcW w:w="810" w:type="dxa"/>
          </w:tcPr>
          <w:p w:rsidR="001D78D8" w:rsidRPr="00047B76" w:rsidRDefault="001D78D8" w:rsidP="009A56E8">
            <w:pPr>
              <w:rPr>
                <w:sz w:val="20"/>
                <w:szCs w:val="20"/>
              </w:rPr>
            </w:pPr>
            <w:r w:rsidRPr="00047B76">
              <w:rPr>
                <w:sz w:val="20"/>
                <w:szCs w:val="20"/>
              </w:rPr>
              <w:t>38744</w:t>
            </w:r>
          </w:p>
        </w:tc>
        <w:tc>
          <w:tcPr>
            <w:tcW w:w="4050" w:type="dxa"/>
          </w:tcPr>
          <w:p w:rsidR="001D78D8" w:rsidRPr="00047B76" w:rsidRDefault="001D78D8" w:rsidP="009A56E8">
            <w:pPr>
              <w:pStyle w:val="SCCAppellantInfoAppellantInfo"/>
              <w:rPr>
                <w:sz w:val="20"/>
                <w:szCs w:val="20"/>
                <w:lang w:val="fr-CA"/>
              </w:rPr>
            </w:pPr>
            <w:r w:rsidRPr="00047B76">
              <w:rPr>
                <w:sz w:val="20"/>
                <w:szCs w:val="20"/>
                <w:lang w:val="fr-CA"/>
              </w:rPr>
              <w:t xml:space="preserve">Juan </w:t>
            </w:r>
            <w:proofErr w:type="spellStart"/>
            <w:r w:rsidRPr="00047B76">
              <w:rPr>
                <w:sz w:val="20"/>
                <w:szCs w:val="20"/>
                <w:lang w:val="fr-CA"/>
              </w:rPr>
              <w:t>Fermin</w:t>
            </w:r>
            <w:proofErr w:type="spellEnd"/>
            <w:r w:rsidRPr="00047B76">
              <w:rPr>
                <w:sz w:val="20"/>
                <w:szCs w:val="20"/>
                <w:lang w:val="fr-CA"/>
              </w:rPr>
              <w:t xml:space="preserve"> Palma</w:t>
            </w:r>
          </w:p>
          <w:p w:rsidR="001D78D8" w:rsidRPr="00047B76" w:rsidRDefault="001D78D8" w:rsidP="009A56E8">
            <w:pPr>
              <w:pStyle w:val="SCCAppellantInfoAppellantInfo"/>
              <w:rPr>
                <w:sz w:val="20"/>
                <w:szCs w:val="20"/>
                <w:lang w:val="fr-CA"/>
              </w:rPr>
            </w:pPr>
            <w:r w:rsidRPr="00047B76">
              <w:rPr>
                <w:sz w:val="20"/>
                <w:szCs w:val="20"/>
                <w:lang w:val="fr-CA"/>
              </w:rPr>
              <w:t>(Qc) (Criminelle) (Autorisation)</w:t>
            </w:r>
          </w:p>
        </w:tc>
        <w:tc>
          <w:tcPr>
            <w:tcW w:w="360" w:type="dxa"/>
          </w:tcPr>
          <w:p w:rsidR="001D78D8" w:rsidRPr="00047B76" w:rsidRDefault="001D78D8" w:rsidP="009A56E8">
            <w:pPr>
              <w:rPr>
                <w:sz w:val="20"/>
                <w:szCs w:val="20"/>
              </w:rPr>
            </w:pPr>
            <w:r w:rsidRPr="00047B76">
              <w:rPr>
                <w:sz w:val="20"/>
                <w:szCs w:val="20"/>
              </w:rPr>
              <w:t>c.</w:t>
            </w:r>
          </w:p>
        </w:tc>
        <w:tc>
          <w:tcPr>
            <w:tcW w:w="3848" w:type="dxa"/>
          </w:tcPr>
          <w:p w:rsidR="001D78D8" w:rsidRPr="00047B76" w:rsidRDefault="001D78D8" w:rsidP="009A56E8">
            <w:pPr>
              <w:pStyle w:val="SCCAppellantInfoAppellantInfo"/>
              <w:rPr>
                <w:sz w:val="20"/>
                <w:szCs w:val="20"/>
              </w:rPr>
            </w:pPr>
            <w:r w:rsidRPr="00047B76">
              <w:rPr>
                <w:sz w:val="20"/>
                <w:szCs w:val="20"/>
              </w:rPr>
              <w:t>Sa Majesté la Reine</w:t>
            </w:r>
          </w:p>
        </w:tc>
      </w:tr>
      <w:tr w:rsidR="001D78D8" w:rsidRPr="00047B76" w:rsidTr="009A56E8">
        <w:trPr>
          <w:cantSplit/>
        </w:trPr>
        <w:tc>
          <w:tcPr>
            <w:tcW w:w="508" w:type="dxa"/>
          </w:tcPr>
          <w:p w:rsidR="001D78D8" w:rsidRPr="00047B76" w:rsidRDefault="001D78D8" w:rsidP="009A56E8">
            <w:pPr>
              <w:rPr>
                <w:sz w:val="20"/>
                <w:szCs w:val="20"/>
              </w:rPr>
            </w:pPr>
          </w:p>
        </w:tc>
        <w:tc>
          <w:tcPr>
            <w:tcW w:w="810" w:type="dxa"/>
          </w:tcPr>
          <w:p w:rsidR="001D78D8" w:rsidRPr="00047B76" w:rsidRDefault="001D78D8" w:rsidP="009A56E8">
            <w:pPr>
              <w:rPr>
                <w:sz w:val="20"/>
                <w:szCs w:val="20"/>
              </w:rPr>
            </w:pPr>
          </w:p>
        </w:tc>
        <w:tc>
          <w:tcPr>
            <w:tcW w:w="4050" w:type="dxa"/>
          </w:tcPr>
          <w:p w:rsidR="001D78D8" w:rsidRPr="00047B76" w:rsidRDefault="001D78D8" w:rsidP="009A56E8">
            <w:pPr>
              <w:pStyle w:val="SCCAppellantInfoTypeOfCase"/>
              <w:rPr>
                <w:sz w:val="20"/>
                <w:szCs w:val="20"/>
              </w:rPr>
            </w:pPr>
            <w:r w:rsidRPr="00047B76">
              <w:rPr>
                <w:sz w:val="20"/>
                <w:szCs w:val="20"/>
              </w:rPr>
              <w:t>Civil / Civile</w:t>
            </w:r>
          </w:p>
        </w:tc>
        <w:tc>
          <w:tcPr>
            <w:tcW w:w="360" w:type="dxa"/>
          </w:tcPr>
          <w:p w:rsidR="001D78D8" w:rsidRPr="00047B76" w:rsidRDefault="001D78D8" w:rsidP="009A56E8">
            <w:pPr>
              <w:rPr>
                <w:sz w:val="20"/>
                <w:szCs w:val="20"/>
              </w:rPr>
            </w:pPr>
          </w:p>
        </w:tc>
        <w:tc>
          <w:tcPr>
            <w:tcW w:w="3848" w:type="dxa"/>
          </w:tcPr>
          <w:p w:rsidR="001D78D8" w:rsidRPr="00047B76" w:rsidRDefault="001D78D8" w:rsidP="009A56E8">
            <w:pPr>
              <w:rPr>
                <w:sz w:val="20"/>
                <w:szCs w:val="20"/>
              </w:rPr>
            </w:pPr>
          </w:p>
        </w:tc>
      </w:tr>
      <w:tr w:rsidR="001D78D8" w:rsidRPr="00047B76" w:rsidTr="009A56E8">
        <w:trPr>
          <w:cantSplit/>
        </w:trPr>
        <w:tc>
          <w:tcPr>
            <w:tcW w:w="508" w:type="dxa"/>
          </w:tcPr>
          <w:p w:rsidR="001D78D8" w:rsidRPr="00047B76" w:rsidRDefault="001D78D8" w:rsidP="009A56E8">
            <w:pPr>
              <w:rPr>
                <w:sz w:val="20"/>
                <w:szCs w:val="20"/>
              </w:rPr>
            </w:pPr>
            <w:r w:rsidRPr="00047B76">
              <w:rPr>
                <w:sz w:val="20"/>
                <w:szCs w:val="20"/>
              </w:rPr>
              <w:t>5.</w:t>
            </w:r>
          </w:p>
        </w:tc>
        <w:tc>
          <w:tcPr>
            <w:tcW w:w="810" w:type="dxa"/>
          </w:tcPr>
          <w:p w:rsidR="001D78D8" w:rsidRPr="00047B76" w:rsidRDefault="001D78D8" w:rsidP="009A56E8">
            <w:pPr>
              <w:rPr>
                <w:sz w:val="20"/>
                <w:szCs w:val="20"/>
              </w:rPr>
            </w:pPr>
            <w:r w:rsidRPr="00047B76">
              <w:rPr>
                <w:sz w:val="20"/>
                <w:szCs w:val="20"/>
              </w:rPr>
              <w:t>38696</w:t>
            </w:r>
          </w:p>
        </w:tc>
        <w:tc>
          <w:tcPr>
            <w:tcW w:w="4050" w:type="dxa"/>
          </w:tcPr>
          <w:p w:rsidR="001D78D8" w:rsidRPr="00047B76" w:rsidRDefault="001D78D8" w:rsidP="009A56E8">
            <w:pPr>
              <w:pStyle w:val="SCCAppellantInfoAppellantInfo"/>
              <w:rPr>
                <w:sz w:val="20"/>
                <w:szCs w:val="20"/>
              </w:rPr>
            </w:pPr>
            <w:r w:rsidRPr="00047B76">
              <w:rPr>
                <w:sz w:val="20"/>
                <w:szCs w:val="20"/>
              </w:rPr>
              <w:t xml:space="preserve">Garth </w:t>
            </w:r>
            <w:proofErr w:type="spellStart"/>
            <w:r w:rsidRPr="00047B76">
              <w:rPr>
                <w:sz w:val="20"/>
                <w:szCs w:val="20"/>
              </w:rPr>
              <w:t>Laurrie</w:t>
            </w:r>
            <w:proofErr w:type="spellEnd"/>
            <w:r w:rsidRPr="00047B76">
              <w:rPr>
                <w:sz w:val="20"/>
                <w:szCs w:val="20"/>
              </w:rPr>
              <w:t xml:space="preserve"> Mackenzie, et al.</w:t>
            </w:r>
          </w:p>
          <w:p w:rsidR="001D78D8" w:rsidRPr="00047B76" w:rsidRDefault="001D78D8" w:rsidP="009A56E8">
            <w:pPr>
              <w:pStyle w:val="SCCAppellantInfoAppellantInfo"/>
              <w:rPr>
                <w:sz w:val="20"/>
                <w:szCs w:val="20"/>
              </w:rPr>
            </w:pPr>
            <w:r w:rsidRPr="00047B76">
              <w:rPr>
                <w:sz w:val="20"/>
                <w:szCs w:val="20"/>
              </w:rPr>
              <w:t>(B.C.) (Civil) (By Leave)</w:t>
            </w:r>
          </w:p>
        </w:tc>
        <w:tc>
          <w:tcPr>
            <w:tcW w:w="360" w:type="dxa"/>
          </w:tcPr>
          <w:p w:rsidR="001D78D8" w:rsidRPr="00047B76" w:rsidRDefault="001D78D8" w:rsidP="009A56E8">
            <w:pPr>
              <w:rPr>
                <w:sz w:val="20"/>
                <w:szCs w:val="20"/>
              </w:rPr>
            </w:pPr>
            <w:r w:rsidRPr="00047B76">
              <w:rPr>
                <w:sz w:val="20"/>
                <w:szCs w:val="20"/>
              </w:rPr>
              <w:t>v.</w:t>
            </w:r>
          </w:p>
        </w:tc>
        <w:tc>
          <w:tcPr>
            <w:tcW w:w="3848" w:type="dxa"/>
          </w:tcPr>
          <w:p w:rsidR="001D78D8" w:rsidRPr="00047B76" w:rsidRDefault="001D78D8" w:rsidP="009A56E8">
            <w:pPr>
              <w:pStyle w:val="SCCAppellantInfoAppellantInfo"/>
              <w:rPr>
                <w:sz w:val="20"/>
                <w:szCs w:val="20"/>
              </w:rPr>
            </w:pPr>
            <w:proofErr w:type="spellStart"/>
            <w:r w:rsidRPr="00047B76">
              <w:rPr>
                <w:sz w:val="20"/>
                <w:szCs w:val="20"/>
              </w:rPr>
              <w:t>Makiba</w:t>
            </w:r>
            <w:proofErr w:type="spellEnd"/>
            <w:r w:rsidRPr="00047B76">
              <w:rPr>
                <w:sz w:val="20"/>
                <w:szCs w:val="20"/>
              </w:rPr>
              <w:t xml:space="preserve"> Greenway-Brown, et al.</w:t>
            </w:r>
          </w:p>
        </w:tc>
      </w:tr>
      <w:tr w:rsidR="001D78D8" w:rsidRPr="00047B76" w:rsidTr="009A56E8">
        <w:trPr>
          <w:cantSplit/>
        </w:trPr>
        <w:tc>
          <w:tcPr>
            <w:tcW w:w="508" w:type="dxa"/>
          </w:tcPr>
          <w:p w:rsidR="001D78D8" w:rsidRPr="00047B76" w:rsidRDefault="001D78D8" w:rsidP="009A56E8">
            <w:pPr>
              <w:rPr>
                <w:sz w:val="20"/>
                <w:szCs w:val="20"/>
              </w:rPr>
            </w:pPr>
            <w:r w:rsidRPr="00047B76">
              <w:rPr>
                <w:sz w:val="20"/>
                <w:szCs w:val="20"/>
              </w:rPr>
              <w:t>6.</w:t>
            </w:r>
          </w:p>
        </w:tc>
        <w:tc>
          <w:tcPr>
            <w:tcW w:w="810" w:type="dxa"/>
          </w:tcPr>
          <w:p w:rsidR="001D78D8" w:rsidRPr="00047B76" w:rsidRDefault="001D78D8" w:rsidP="009A56E8">
            <w:pPr>
              <w:rPr>
                <w:sz w:val="20"/>
                <w:szCs w:val="20"/>
              </w:rPr>
            </w:pPr>
            <w:r w:rsidRPr="00047B76">
              <w:rPr>
                <w:sz w:val="20"/>
                <w:szCs w:val="20"/>
              </w:rPr>
              <w:t>38726</w:t>
            </w:r>
          </w:p>
        </w:tc>
        <w:tc>
          <w:tcPr>
            <w:tcW w:w="4050" w:type="dxa"/>
          </w:tcPr>
          <w:p w:rsidR="001D78D8" w:rsidRPr="00047B76" w:rsidRDefault="001D78D8" w:rsidP="009A56E8">
            <w:pPr>
              <w:pStyle w:val="SCCAppellantInfoAppellantInfo"/>
              <w:rPr>
                <w:sz w:val="20"/>
                <w:szCs w:val="20"/>
              </w:rPr>
            </w:pPr>
            <w:r w:rsidRPr="00047B76">
              <w:rPr>
                <w:sz w:val="20"/>
                <w:szCs w:val="20"/>
              </w:rPr>
              <w:t>Drew William McPherson</w:t>
            </w:r>
          </w:p>
          <w:p w:rsidR="001D78D8" w:rsidRPr="00047B76" w:rsidRDefault="001D78D8" w:rsidP="009A56E8">
            <w:pPr>
              <w:pStyle w:val="SCCAppellantInfoAppellantInfo"/>
              <w:rPr>
                <w:sz w:val="20"/>
                <w:szCs w:val="20"/>
              </w:rPr>
            </w:pPr>
            <w:r w:rsidRPr="00047B76">
              <w:rPr>
                <w:sz w:val="20"/>
                <w:szCs w:val="20"/>
              </w:rPr>
              <w:t>(N.S.) (Civil) (By Leave)</w:t>
            </w:r>
          </w:p>
        </w:tc>
        <w:tc>
          <w:tcPr>
            <w:tcW w:w="360" w:type="dxa"/>
          </w:tcPr>
          <w:p w:rsidR="001D78D8" w:rsidRPr="00047B76" w:rsidRDefault="001D78D8" w:rsidP="009A56E8">
            <w:pPr>
              <w:rPr>
                <w:sz w:val="20"/>
                <w:szCs w:val="20"/>
              </w:rPr>
            </w:pPr>
            <w:r w:rsidRPr="00047B76">
              <w:rPr>
                <w:sz w:val="20"/>
                <w:szCs w:val="20"/>
              </w:rPr>
              <w:t>v.</w:t>
            </w:r>
          </w:p>
        </w:tc>
        <w:tc>
          <w:tcPr>
            <w:tcW w:w="3848" w:type="dxa"/>
          </w:tcPr>
          <w:p w:rsidR="001D78D8" w:rsidRPr="00047B76" w:rsidRDefault="001D78D8" w:rsidP="009A56E8">
            <w:pPr>
              <w:pStyle w:val="SCCAppellantInfoAppellantInfo"/>
              <w:rPr>
                <w:sz w:val="20"/>
                <w:szCs w:val="20"/>
              </w:rPr>
            </w:pPr>
            <w:r w:rsidRPr="00047B76">
              <w:rPr>
                <w:sz w:val="20"/>
                <w:szCs w:val="20"/>
              </w:rPr>
              <w:t>Jamie Campbell</w:t>
            </w:r>
          </w:p>
        </w:tc>
      </w:tr>
      <w:tr w:rsidR="001D78D8" w:rsidRPr="00957F6E" w:rsidTr="009A56E8">
        <w:trPr>
          <w:cantSplit/>
        </w:trPr>
        <w:tc>
          <w:tcPr>
            <w:tcW w:w="508" w:type="dxa"/>
          </w:tcPr>
          <w:p w:rsidR="001D78D8" w:rsidRPr="00047B76" w:rsidRDefault="001D78D8" w:rsidP="009A56E8">
            <w:pPr>
              <w:rPr>
                <w:sz w:val="20"/>
                <w:szCs w:val="20"/>
              </w:rPr>
            </w:pPr>
          </w:p>
        </w:tc>
        <w:tc>
          <w:tcPr>
            <w:tcW w:w="810" w:type="dxa"/>
          </w:tcPr>
          <w:p w:rsidR="001D78D8" w:rsidRPr="00047B76" w:rsidRDefault="001D78D8" w:rsidP="009A56E8">
            <w:pPr>
              <w:rPr>
                <w:sz w:val="20"/>
                <w:szCs w:val="20"/>
              </w:rPr>
            </w:pPr>
          </w:p>
        </w:tc>
        <w:tc>
          <w:tcPr>
            <w:tcW w:w="8258" w:type="dxa"/>
            <w:gridSpan w:val="3"/>
          </w:tcPr>
          <w:p w:rsidR="001D78D8" w:rsidRPr="00047B76" w:rsidRDefault="001D78D8" w:rsidP="001D78D8">
            <w:pPr>
              <w:widowControl w:val="0"/>
              <w:jc w:val="center"/>
              <w:rPr>
                <w:b/>
                <w:sz w:val="20"/>
                <w:szCs w:val="20"/>
              </w:rPr>
            </w:pPr>
            <w:r w:rsidRPr="00047B76">
              <w:rPr>
                <w:b/>
                <w:sz w:val="20"/>
                <w:szCs w:val="20"/>
              </w:rPr>
              <w:t>CORAM: Moldaver, Côté and Martin JJ.</w:t>
            </w:r>
          </w:p>
          <w:p w:rsidR="001D78D8" w:rsidRPr="00047B76" w:rsidRDefault="001D78D8" w:rsidP="001D78D8">
            <w:pPr>
              <w:widowControl w:val="0"/>
              <w:jc w:val="center"/>
              <w:rPr>
                <w:sz w:val="20"/>
                <w:szCs w:val="20"/>
                <w:lang w:val="fr-CA"/>
              </w:rPr>
            </w:pPr>
            <w:r w:rsidRPr="00047B76">
              <w:rPr>
                <w:b/>
                <w:sz w:val="20"/>
                <w:szCs w:val="20"/>
                <w:lang w:val="fr-CA"/>
              </w:rPr>
              <w:t>Les juges Moldaver, Côté et Martin</w:t>
            </w:r>
          </w:p>
        </w:tc>
      </w:tr>
      <w:tr w:rsidR="001D78D8" w:rsidRPr="00047B76" w:rsidTr="009A56E8">
        <w:trPr>
          <w:cantSplit/>
        </w:trPr>
        <w:tc>
          <w:tcPr>
            <w:tcW w:w="508" w:type="dxa"/>
          </w:tcPr>
          <w:p w:rsidR="001D78D8" w:rsidRPr="00047B76" w:rsidRDefault="001D78D8" w:rsidP="009A56E8">
            <w:pPr>
              <w:rPr>
                <w:sz w:val="20"/>
                <w:szCs w:val="20"/>
                <w:lang w:val="fr-CA"/>
              </w:rPr>
            </w:pPr>
          </w:p>
        </w:tc>
        <w:tc>
          <w:tcPr>
            <w:tcW w:w="810" w:type="dxa"/>
          </w:tcPr>
          <w:p w:rsidR="001D78D8" w:rsidRPr="00047B76" w:rsidRDefault="001D78D8" w:rsidP="009A56E8">
            <w:pPr>
              <w:rPr>
                <w:sz w:val="20"/>
                <w:szCs w:val="20"/>
                <w:lang w:val="fr-CA"/>
              </w:rPr>
            </w:pPr>
          </w:p>
        </w:tc>
        <w:tc>
          <w:tcPr>
            <w:tcW w:w="4050" w:type="dxa"/>
          </w:tcPr>
          <w:p w:rsidR="001D78D8" w:rsidRPr="00047B76" w:rsidRDefault="001D78D8" w:rsidP="009A56E8">
            <w:pPr>
              <w:pStyle w:val="SCCAppellantInfoTypeOfCase"/>
              <w:rPr>
                <w:sz w:val="20"/>
                <w:szCs w:val="20"/>
              </w:rPr>
            </w:pPr>
            <w:r w:rsidRPr="00047B76">
              <w:rPr>
                <w:sz w:val="20"/>
                <w:szCs w:val="20"/>
              </w:rPr>
              <w:t>Criminal / Criminelle</w:t>
            </w:r>
          </w:p>
        </w:tc>
        <w:tc>
          <w:tcPr>
            <w:tcW w:w="360" w:type="dxa"/>
          </w:tcPr>
          <w:p w:rsidR="001D78D8" w:rsidRPr="00047B76" w:rsidRDefault="001D78D8" w:rsidP="009A56E8">
            <w:pPr>
              <w:rPr>
                <w:sz w:val="20"/>
                <w:szCs w:val="20"/>
              </w:rPr>
            </w:pPr>
          </w:p>
        </w:tc>
        <w:tc>
          <w:tcPr>
            <w:tcW w:w="3848" w:type="dxa"/>
          </w:tcPr>
          <w:p w:rsidR="001D78D8" w:rsidRPr="00047B76" w:rsidRDefault="001D78D8" w:rsidP="009A56E8">
            <w:pPr>
              <w:rPr>
                <w:sz w:val="20"/>
                <w:szCs w:val="20"/>
              </w:rPr>
            </w:pPr>
          </w:p>
        </w:tc>
      </w:tr>
      <w:tr w:rsidR="001D78D8" w:rsidRPr="00047B76" w:rsidTr="009A56E8">
        <w:trPr>
          <w:cantSplit/>
        </w:trPr>
        <w:tc>
          <w:tcPr>
            <w:tcW w:w="508" w:type="dxa"/>
          </w:tcPr>
          <w:p w:rsidR="001D78D8" w:rsidRPr="00047B76" w:rsidRDefault="001D78D8" w:rsidP="009A56E8">
            <w:pPr>
              <w:rPr>
                <w:sz w:val="20"/>
                <w:szCs w:val="20"/>
              </w:rPr>
            </w:pPr>
            <w:r w:rsidRPr="00047B76">
              <w:rPr>
                <w:sz w:val="20"/>
                <w:szCs w:val="20"/>
              </w:rPr>
              <w:t>7.</w:t>
            </w:r>
          </w:p>
        </w:tc>
        <w:tc>
          <w:tcPr>
            <w:tcW w:w="810" w:type="dxa"/>
          </w:tcPr>
          <w:p w:rsidR="001D78D8" w:rsidRPr="00047B76" w:rsidRDefault="001D78D8" w:rsidP="009A56E8">
            <w:pPr>
              <w:rPr>
                <w:sz w:val="20"/>
                <w:szCs w:val="20"/>
              </w:rPr>
            </w:pPr>
            <w:r w:rsidRPr="00047B76">
              <w:rPr>
                <w:sz w:val="20"/>
                <w:szCs w:val="20"/>
              </w:rPr>
              <w:t>38800</w:t>
            </w:r>
          </w:p>
        </w:tc>
        <w:tc>
          <w:tcPr>
            <w:tcW w:w="4050" w:type="dxa"/>
          </w:tcPr>
          <w:p w:rsidR="001D78D8" w:rsidRPr="00047B76" w:rsidRDefault="001D78D8" w:rsidP="009A56E8">
            <w:pPr>
              <w:pStyle w:val="SCCAppellantInfoAppellantInfo"/>
              <w:rPr>
                <w:sz w:val="20"/>
                <w:szCs w:val="20"/>
              </w:rPr>
            </w:pPr>
            <w:r w:rsidRPr="00047B76">
              <w:rPr>
                <w:sz w:val="20"/>
                <w:szCs w:val="20"/>
              </w:rPr>
              <w:t>Shane Williams</w:t>
            </w:r>
          </w:p>
          <w:p w:rsidR="001D78D8" w:rsidRPr="00047B76" w:rsidRDefault="001D78D8" w:rsidP="009A56E8">
            <w:pPr>
              <w:pStyle w:val="SCCAppellantInfoAppellantInfo"/>
              <w:rPr>
                <w:sz w:val="20"/>
                <w:szCs w:val="20"/>
              </w:rPr>
            </w:pPr>
            <w:r w:rsidRPr="00047B76">
              <w:rPr>
                <w:sz w:val="20"/>
                <w:szCs w:val="20"/>
              </w:rPr>
              <w:t>(N.B.) (Criminal) (By Leave)</w:t>
            </w:r>
          </w:p>
        </w:tc>
        <w:tc>
          <w:tcPr>
            <w:tcW w:w="360" w:type="dxa"/>
          </w:tcPr>
          <w:p w:rsidR="001D78D8" w:rsidRPr="00047B76" w:rsidRDefault="001D78D8" w:rsidP="009A56E8">
            <w:pPr>
              <w:rPr>
                <w:sz w:val="20"/>
                <w:szCs w:val="20"/>
              </w:rPr>
            </w:pPr>
            <w:r w:rsidRPr="00047B76">
              <w:rPr>
                <w:sz w:val="20"/>
                <w:szCs w:val="20"/>
              </w:rPr>
              <w:t>v.</w:t>
            </w:r>
          </w:p>
        </w:tc>
        <w:tc>
          <w:tcPr>
            <w:tcW w:w="3848" w:type="dxa"/>
          </w:tcPr>
          <w:p w:rsidR="001D78D8" w:rsidRPr="00047B76" w:rsidRDefault="001D78D8" w:rsidP="009A56E8">
            <w:pPr>
              <w:pStyle w:val="SCCAppellantInfoAppellantInfo"/>
              <w:rPr>
                <w:sz w:val="20"/>
                <w:szCs w:val="20"/>
              </w:rPr>
            </w:pPr>
            <w:r w:rsidRPr="00047B76">
              <w:rPr>
                <w:sz w:val="20"/>
                <w:szCs w:val="20"/>
              </w:rPr>
              <w:t>Her Majesty the Queen</w:t>
            </w:r>
          </w:p>
        </w:tc>
      </w:tr>
      <w:tr w:rsidR="001D78D8" w:rsidRPr="00047B76" w:rsidTr="009A56E8">
        <w:trPr>
          <w:cantSplit/>
        </w:trPr>
        <w:tc>
          <w:tcPr>
            <w:tcW w:w="508" w:type="dxa"/>
          </w:tcPr>
          <w:p w:rsidR="001D78D8" w:rsidRPr="00047B76" w:rsidRDefault="001D78D8" w:rsidP="009A56E8">
            <w:pPr>
              <w:rPr>
                <w:sz w:val="20"/>
                <w:szCs w:val="20"/>
              </w:rPr>
            </w:pPr>
          </w:p>
        </w:tc>
        <w:tc>
          <w:tcPr>
            <w:tcW w:w="810" w:type="dxa"/>
          </w:tcPr>
          <w:p w:rsidR="001D78D8" w:rsidRPr="00047B76" w:rsidRDefault="001D78D8" w:rsidP="009A56E8">
            <w:pPr>
              <w:rPr>
                <w:sz w:val="20"/>
                <w:szCs w:val="20"/>
              </w:rPr>
            </w:pPr>
          </w:p>
        </w:tc>
        <w:tc>
          <w:tcPr>
            <w:tcW w:w="4050" w:type="dxa"/>
          </w:tcPr>
          <w:p w:rsidR="001D78D8" w:rsidRPr="00047B76" w:rsidRDefault="001D78D8" w:rsidP="009A56E8">
            <w:pPr>
              <w:pStyle w:val="SCCAppellantInfoTypeOfCase"/>
              <w:rPr>
                <w:sz w:val="20"/>
                <w:szCs w:val="20"/>
              </w:rPr>
            </w:pPr>
            <w:r w:rsidRPr="00047B76">
              <w:rPr>
                <w:sz w:val="20"/>
                <w:szCs w:val="20"/>
              </w:rPr>
              <w:t>Civil / Civile</w:t>
            </w:r>
          </w:p>
        </w:tc>
        <w:tc>
          <w:tcPr>
            <w:tcW w:w="360" w:type="dxa"/>
          </w:tcPr>
          <w:p w:rsidR="001D78D8" w:rsidRPr="00047B76" w:rsidRDefault="001D78D8" w:rsidP="009A56E8">
            <w:pPr>
              <w:rPr>
                <w:sz w:val="20"/>
                <w:szCs w:val="20"/>
              </w:rPr>
            </w:pPr>
          </w:p>
        </w:tc>
        <w:tc>
          <w:tcPr>
            <w:tcW w:w="3848" w:type="dxa"/>
          </w:tcPr>
          <w:p w:rsidR="001D78D8" w:rsidRPr="00047B76" w:rsidRDefault="001D78D8" w:rsidP="009A56E8">
            <w:pPr>
              <w:rPr>
                <w:sz w:val="20"/>
                <w:szCs w:val="20"/>
              </w:rPr>
            </w:pPr>
          </w:p>
        </w:tc>
      </w:tr>
      <w:tr w:rsidR="001D78D8" w:rsidRPr="00047B76" w:rsidTr="009A56E8">
        <w:trPr>
          <w:cantSplit/>
        </w:trPr>
        <w:tc>
          <w:tcPr>
            <w:tcW w:w="508" w:type="dxa"/>
          </w:tcPr>
          <w:p w:rsidR="001D78D8" w:rsidRPr="00047B76" w:rsidRDefault="001D78D8" w:rsidP="009A56E8">
            <w:pPr>
              <w:rPr>
                <w:sz w:val="20"/>
                <w:szCs w:val="20"/>
              </w:rPr>
            </w:pPr>
            <w:r w:rsidRPr="00047B76">
              <w:rPr>
                <w:sz w:val="20"/>
                <w:szCs w:val="20"/>
              </w:rPr>
              <w:t>8.</w:t>
            </w:r>
          </w:p>
        </w:tc>
        <w:tc>
          <w:tcPr>
            <w:tcW w:w="810" w:type="dxa"/>
          </w:tcPr>
          <w:p w:rsidR="001D78D8" w:rsidRPr="00047B76" w:rsidRDefault="001D78D8" w:rsidP="009A56E8">
            <w:pPr>
              <w:rPr>
                <w:sz w:val="20"/>
                <w:szCs w:val="20"/>
              </w:rPr>
            </w:pPr>
            <w:r w:rsidRPr="00047B76">
              <w:rPr>
                <w:sz w:val="20"/>
                <w:szCs w:val="20"/>
              </w:rPr>
              <w:t>38784</w:t>
            </w:r>
          </w:p>
        </w:tc>
        <w:tc>
          <w:tcPr>
            <w:tcW w:w="4050" w:type="dxa"/>
          </w:tcPr>
          <w:p w:rsidR="001D78D8" w:rsidRPr="00047B76" w:rsidRDefault="001D78D8" w:rsidP="009A56E8">
            <w:pPr>
              <w:pStyle w:val="SCCAppellantInfoAppellantInfo"/>
              <w:rPr>
                <w:sz w:val="20"/>
                <w:szCs w:val="20"/>
                <w:lang w:val="fr-CA"/>
              </w:rPr>
            </w:pPr>
            <w:r w:rsidRPr="00047B76">
              <w:rPr>
                <w:sz w:val="20"/>
                <w:szCs w:val="20"/>
                <w:lang w:val="fr-CA"/>
              </w:rPr>
              <w:t xml:space="preserve">Nippon </w:t>
            </w:r>
            <w:proofErr w:type="spellStart"/>
            <w:r w:rsidRPr="00047B76">
              <w:rPr>
                <w:sz w:val="20"/>
                <w:szCs w:val="20"/>
                <w:lang w:val="fr-CA"/>
              </w:rPr>
              <w:t>Yusen</w:t>
            </w:r>
            <w:proofErr w:type="spellEnd"/>
            <w:r w:rsidRPr="00047B76">
              <w:rPr>
                <w:sz w:val="20"/>
                <w:szCs w:val="20"/>
                <w:lang w:val="fr-CA"/>
              </w:rPr>
              <w:t xml:space="preserve"> </w:t>
            </w:r>
            <w:proofErr w:type="spellStart"/>
            <w:r w:rsidRPr="00047B76">
              <w:rPr>
                <w:sz w:val="20"/>
                <w:szCs w:val="20"/>
                <w:lang w:val="fr-CA"/>
              </w:rPr>
              <w:t>Kabushiki</w:t>
            </w:r>
            <w:proofErr w:type="spellEnd"/>
            <w:r w:rsidRPr="00047B76">
              <w:rPr>
                <w:sz w:val="20"/>
                <w:szCs w:val="20"/>
                <w:lang w:val="fr-CA"/>
              </w:rPr>
              <w:t xml:space="preserve"> </w:t>
            </w:r>
            <w:proofErr w:type="spellStart"/>
            <w:r w:rsidRPr="00047B76">
              <w:rPr>
                <w:sz w:val="20"/>
                <w:szCs w:val="20"/>
                <w:lang w:val="fr-CA"/>
              </w:rPr>
              <w:t>Kaisha</w:t>
            </w:r>
            <w:proofErr w:type="spellEnd"/>
            <w:r w:rsidRPr="00047B76">
              <w:rPr>
                <w:sz w:val="20"/>
                <w:szCs w:val="20"/>
                <w:lang w:val="fr-CA"/>
              </w:rPr>
              <w:t>, et al.</w:t>
            </w:r>
          </w:p>
          <w:p w:rsidR="001D78D8" w:rsidRPr="00047B76" w:rsidRDefault="001D78D8" w:rsidP="009A56E8">
            <w:pPr>
              <w:pStyle w:val="SCCAppellantInfoAppellantInfo"/>
              <w:rPr>
                <w:sz w:val="20"/>
                <w:szCs w:val="20"/>
              </w:rPr>
            </w:pPr>
            <w:r w:rsidRPr="00047B76">
              <w:rPr>
                <w:sz w:val="20"/>
                <w:szCs w:val="20"/>
              </w:rPr>
              <w:t>(B.C.) (Civil) (By Leave)</w:t>
            </w:r>
          </w:p>
        </w:tc>
        <w:tc>
          <w:tcPr>
            <w:tcW w:w="360" w:type="dxa"/>
          </w:tcPr>
          <w:p w:rsidR="001D78D8" w:rsidRPr="00047B76" w:rsidRDefault="001D78D8" w:rsidP="009A56E8">
            <w:pPr>
              <w:rPr>
                <w:sz w:val="20"/>
                <w:szCs w:val="20"/>
              </w:rPr>
            </w:pPr>
            <w:r w:rsidRPr="00047B76">
              <w:rPr>
                <w:sz w:val="20"/>
                <w:szCs w:val="20"/>
              </w:rPr>
              <w:t>v.</w:t>
            </w:r>
          </w:p>
        </w:tc>
        <w:tc>
          <w:tcPr>
            <w:tcW w:w="3848" w:type="dxa"/>
          </w:tcPr>
          <w:p w:rsidR="001D78D8" w:rsidRPr="00047B76" w:rsidRDefault="001D78D8" w:rsidP="009A56E8">
            <w:pPr>
              <w:pStyle w:val="SCCAppellantInfoAppellantInfo"/>
              <w:rPr>
                <w:sz w:val="20"/>
                <w:szCs w:val="20"/>
              </w:rPr>
            </w:pPr>
            <w:r w:rsidRPr="00047B76">
              <w:rPr>
                <w:sz w:val="20"/>
                <w:szCs w:val="20"/>
              </w:rPr>
              <w:t>Darren Ewert</w:t>
            </w:r>
          </w:p>
        </w:tc>
      </w:tr>
    </w:tbl>
    <w:p w:rsidR="001D78D8" w:rsidRPr="00047B76" w:rsidRDefault="001D78D8" w:rsidP="001D78D8">
      <w:pPr>
        <w:rPr>
          <w:sz w:val="20"/>
          <w:szCs w:val="20"/>
        </w:rPr>
      </w:pPr>
    </w:p>
    <w:p w:rsidR="00102792" w:rsidRPr="00047B76" w:rsidRDefault="00102792" w:rsidP="00102792">
      <w:pPr>
        <w:widowControl w:val="0"/>
        <w:rPr>
          <w:sz w:val="20"/>
          <w:szCs w:val="20"/>
        </w:rPr>
      </w:pPr>
    </w:p>
    <w:p w:rsidR="00D94028" w:rsidRPr="00047B76" w:rsidRDefault="009A56E8" w:rsidP="002E2327">
      <w:pPr>
        <w:widowControl w:val="0"/>
        <w:rPr>
          <w:sz w:val="20"/>
          <w:szCs w:val="20"/>
        </w:rPr>
      </w:pPr>
      <w:r>
        <w:rPr>
          <w:sz w:val="20"/>
          <w:szCs w:val="20"/>
        </w:rPr>
        <w:pict>
          <v:rect id="_x0000_i1033" style="width:2in;height:1pt" o:hrpct="0" o:hralign="center" o:hrstd="t" o:hrnoshade="t" o:hr="t" fillcolor="black [3213]" stroked="f"/>
        </w:pict>
      </w:r>
    </w:p>
    <w:p w:rsidR="001D78D8" w:rsidRPr="00047B76" w:rsidRDefault="001D78D8" w:rsidP="002E2327">
      <w:pPr>
        <w:widowControl w:val="0"/>
        <w:rPr>
          <w:sz w:val="20"/>
          <w:szCs w:val="20"/>
        </w:rPr>
      </w:pPr>
    </w:p>
    <w:p w:rsidR="001D78D8" w:rsidRPr="00047B76" w:rsidRDefault="001D78D8" w:rsidP="002E2327">
      <w:pPr>
        <w:widowControl w:val="0"/>
        <w:rPr>
          <w:sz w:val="20"/>
          <w:szCs w:val="20"/>
        </w:rPr>
      </w:pPr>
    </w:p>
    <w:p w:rsidR="001D78D8" w:rsidRPr="00047B76" w:rsidRDefault="001D78D8" w:rsidP="002E2327">
      <w:pPr>
        <w:widowControl w:val="0"/>
        <w:rPr>
          <w:sz w:val="20"/>
          <w:szCs w:val="20"/>
        </w:rPr>
      </w:pPr>
    </w:p>
    <w:p w:rsidR="0044776A" w:rsidRPr="00047B76" w:rsidRDefault="0044776A" w:rsidP="002E2327">
      <w:pPr>
        <w:widowControl w:val="0"/>
        <w:spacing w:line="0" w:lineRule="atLeast"/>
        <w:rPr>
          <w:sz w:val="20"/>
          <w:szCs w:val="20"/>
        </w:rPr>
        <w:sectPr w:rsidR="0044776A" w:rsidRPr="00047B76"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p w:rsidR="00693C38" w:rsidRPr="00047B76" w:rsidRDefault="00DD0BDC" w:rsidP="00567602">
      <w:pPr>
        <w:pStyle w:val="Header1StyleE"/>
        <w:pBdr>
          <w:bottom w:val="single" w:sz="12" w:space="1" w:color="auto"/>
        </w:pBdr>
        <w:rPr>
          <w:lang w:val="fr-CA"/>
        </w:rPr>
      </w:pPr>
      <w:bookmarkStart w:id="3" w:name="QuickMark_1"/>
      <w:bookmarkStart w:id="4" w:name="_Toc24615298"/>
      <w:bookmarkEnd w:id="3"/>
      <w:r w:rsidRPr="00047B76">
        <w:rPr>
          <w:lang w:val="fr-CA"/>
        </w:rPr>
        <w:lastRenderedPageBreak/>
        <w:t>Judgments on applications</w:t>
      </w:r>
      <w:r w:rsidR="000C1D9D" w:rsidRPr="00047B76">
        <w:rPr>
          <w:lang w:val="fr-CA"/>
        </w:rPr>
        <w:t xml:space="preserve"> </w:t>
      </w:r>
      <w:r w:rsidRPr="00047B76">
        <w:rPr>
          <w:lang w:val="fr-CA"/>
        </w:rPr>
        <w:t>for leave</w:t>
      </w:r>
      <w:r w:rsidR="00693C38" w:rsidRPr="00047B76">
        <w:rPr>
          <w:noProof/>
          <w:sz w:val="20"/>
          <w:lang w:val="fr-CA"/>
        </w:rPr>
        <w:t xml:space="preserve"> </w:t>
      </w:r>
      <w:r w:rsidR="00271E1E" w:rsidRPr="00047B76">
        <w:rPr>
          <w:noProof/>
          <w:sz w:val="20"/>
          <w:lang w:val="fr-CA"/>
        </w:rPr>
        <w:t xml:space="preserve">/ </w:t>
      </w:r>
      <w:r w:rsidR="00693C38" w:rsidRPr="00047B76">
        <w:rPr>
          <w:noProof/>
          <w:sz w:val="20"/>
          <w:lang w:val="fr-CA"/>
        </w:rPr>
        <w:br/>
      </w:r>
      <w:r w:rsidRPr="00047B76">
        <w:rPr>
          <w:lang w:val="fr-CA"/>
        </w:rPr>
        <w:t>Jugements rendus sur les demandes d’autorisation</w:t>
      </w:r>
      <w:bookmarkEnd w:id="4"/>
    </w:p>
    <w:p w:rsidR="00FB1DB6" w:rsidRPr="00047B76" w:rsidRDefault="00FB1DB6" w:rsidP="00693C38">
      <w:pPr>
        <w:rPr>
          <w:sz w:val="20"/>
          <w:szCs w:val="20"/>
          <w:lang w:val="fr-CA"/>
        </w:rPr>
      </w:pPr>
    </w:p>
    <w:p w:rsidR="00F16063" w:rsidRPr="00047B76" w:rsidRDefault="00A15E6F" w:rsidP="00F16063">
      <w:pPr>
        <w:rPr>
          <w:b/>
          <w:sz w:val="20"/>
          <w:szCs w:val="20"/>
        </w:rPr>
      </w:pPr>
      <w:r w:rsidRPr="00047B76">
        <w:rPr>
          <w:b/>
          <w:sz w:val="20"/>
          <w:szCs w:val="20"/>
        </w:rPr>
        <w:t>NOVEMBER</w:t>
      </w:r>
      <w:r w:rsidR="00F16063" w:rsidRPr="00047B76">
        <w:rPr>
          <w:b/>
          <w:sz w:val="20"/>
          <w:szCs w:val="20"/>
        </w:rPr>
        <w:t xml:space="preserve"> 1</w:t>
      </w:r>
      <w:r w:rsidRPr="00047B76">
        <w:rPr>
          <w:b/>
          <w:sz w:val="20"/>
          <w:szCs w:val="20"/>
        </w:rPr>
        <w:t>4</w:t>
      </w:r>
      <w:r w:rsidR="00F16063" w:rsidRPr="00047B76">
        <w:rPr>
          <w:b/>
          <w:sz w:val="20"/>
          <w:szCs w:val="20"/>
        </w:rPr>
        <w:t xml:space="preserve">, </w:t>
      </w:r>
      <w:r w:rsidR="0034657E" w:rsidRPr="00047B76">
        <w:rPr>
          <w:b/>
          <w:sz w:val="20"/>
          <w:szCs w:val="20"/>
        </w:rPr>
        <w:t>2019</w:t>
      </w:r>
      <w:r w:rsidR="00F16063" w:rsidRPr="00047B76">
        <w:rPr>
          <w:b/>
          <w:sz w:val="20"/>
          <w:szCs w:val="20"/>
        </w:rPr>
        <w:t xml:space="preserve"> / LE 1</w:t>
      </w:r>
      <w:r w:rsidRPr="00047B76">
        <w:rPr>
          <w:b/>
          <w:sz w:val="20"/>
          <w:szCs w:val="20"/>
        </w:rPr>
        <w:t>4</w:t>
      </w:r>
      <w:r w:rsidR="00F16063" w:rsidRPr="00047B76">
        <w:rPr>
          <w:b/>
          <w:sz w:val="20"/>
          <w:szCs w:val="20"/>
        </w:rPr>
        <w:t xml:space="preserve"> </w:t>
      </w:r>
      <w:r w:rsidRPr="00047B76">
        <w:rPr>
          <w:b/>
          <w:sz w:val="20"/>
          <w:szCs w:val="20"/>
        </w:rPr>
        <w:t>NOVEMBRE</w:t>
      </w:r>
      <w:r w:rsidR="00F16063" w:rsidRPr="00047B76">
        <w:rPr>
          <w:b/>
          <w:sz w:val="20"/>
          <w:szCs w:val="20"/>
        </w:rPr>
        <w:t xml:space="preserve"> </w:t>
      </w:r>
      <w:r w:rsidR="0034657E" w:rsidRPr="00047B76">
        <w:rPr>
          <w:b/>
          <w:sz w:val="20"/>
          <w:szCs w:val="20"/>
        </w:rPr>
        <w:t>2019</w:t>
      </w:r>
    </w:p>
    <w:p w:rsidR="0071029D" w:rsidRPr="00047B76" w:rsidRDefault="0071029D" w:rsidP="0071029D">
      <w:pPr>
        <w:ind w:left="142" w:hanging="142"/>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1029D" w:rsidRPr="00047B76" w:rsidTr="0023484E">
        <w:tc>
          <w:tcPr>
            <w:tcW w:w="543" w:type="pct"/>
          </w:tcPr>
          <w:p w:rsidR="0071029D" w:rsidRPr="00047B76" w:rsidRDefault="0071029D" w:rsidP="0023484E">
            <w:pPr>
              <w:jc w:val="both"/>
              <w:rPr>
                <w:sz w:val="20"/>
              </w:rPr>
            </w:pPr>
            <w:r w:rsidRPr="00047B76">
              <w:rPr>
                <w:rStyle w:val="SCCFileNumberChar"/>
                <w:sz w:val="20"/>
                <w:szCs w:val="20"/>
              </w:rPr>
              <w:t>38590</w:t>
            </w:r>
          </w:p>
        </w:tc>
        <w:tc>
          <w:tcPr>
            <w:tcW w:w="4457" w:type="pct"/>
            <w:gridSpan w:val="3"/>
          </w:tcPr>
          <w:p w:rsidR="0071029D" w:rsidRPr="00047B76" w:rsidRDefault="0071029D" w:rsidP="0023484E">
            <w:pPr>
              <w:pStyle w:val="SCCLsocParty"/>
              <w:jc w:val="both"/>
              <w:rPr>
                <w:b/>
                <w:sz w:val="20"/>
                <w:szCs w:val="20"/>
                <w:lang w:val="en-US"/>
              </w:rPr>
            </w:pPr>
            <w:r w:rsidRPr="00047B76">
              <w:rPr>
                <w:b/>
                <w:sz w:val="20"/>
                <w:szCs w:val="20"/>
                <w:lang w:val="en-US"/>
              </w:rPr>
              <w:t>Her Majesty the Queen v. Sam Tsega</w:t>
            </w:r>
          </w:p>
          <w:p w:rsidR="0071029D" w:rsidRPr="00047B76" w:rsidRDefault="0071029D" w:rsidP="0023484E">
            <w:pPr>
              <w:jc w:val="both"/>
              <w:rPr>
                <w:sz w:val="20"/>
              </w:rPr>
            </w:pPr>
            <w:r w:rsidRPr="00047B76">
              <w:rPr>
                <w:sz w:val="20"/>
              </w:rPr>
              <w:t>(Ont.) (Criminal) (By Leave)</w:t>
            </w:r>
          </w:p>
        </w:tc>
      </w:tr>
      <w:tr w:rsidR="00E80644" w:rsidRPr="00047B76" w:rsidTr="0023484E">
        <w:tc>
          <w:tcPr>
            <w:tcW w:w="5000" w:type="pct"/>
            <w:gridSpan w:val="4"/>
          </w:tcPr>
          <w:p w:rsidR="00464615" w:rsidRPr="00047B76" w:rsidRDefault="00464615" w:rsidP="00464615">
            <w:pPr>
              <w:jc w:val="both"/>
              <w:rPr>
                <w:sz w:val="20"/>
                <w:szCs w:val="20"/>
              </w:rPr>
            </w:pPr>
            <w:r w:rsidRPr="00047B76">
              <w:rPr>
                <w:sz w:val="20"/>
                <w:szCs w:val="20"/>
              </w:rPr>
              <w:t>The application for leave to appeal from the judgment of the</w:t>
            </w:r>
            <w:bookmarkStart w:id="5" w:name="BM_1_"/>
            <w:bookmarkEnd w:id="5"/>
            <w:r w:rsidRPr="00047B76">
              <w:rPr>
                <w:sz w:val="20"/>
                <w:szCs w:val="20"/>
              </w:rPr>
              <w:t xml:space="preserve"> Court of Appeal for Ontario, Number C64096, 2019 ONCA 111, dated February 15, 2019, is dismissed.</w:t>
            </w:r>
          </w:p>
          <w:p w:rsidR="00E80644" w:rsidRPr="00047B76" w:rsidRDefault="00E80644" w:rsidP="0023484E">
            <w:pPr>
              <w:jc w:val="both"/>
              <w:rPr>
                <w:sz w:val="20"/>
              </w:rPr>
            </w:pPr>
          </w:p>
        </w:tc>
      </w:tr>
      <w:tr w:rsidR="0071029D" w:rsidRPr="00047B76" w:rsidTr="0023484E">
        <w:tc>
          <w:tcPr>
            <w:tcW w:w="5000" w:type="pct"/>
            <w:gridSpan w:val="4"/>
          </w:tcPr>
          <w:p w:rsidR="0071029D" w:rsidRPr="00047B76" w:rsidRDefault="0071029D" w:rsidP="0023484E">
            <w:pPr>
              <w:jc w:val="both"/>
              <w:rPr>
                <w:sz w:val="20"/>
              </w:rPr>
            </w:pPr>
            <w:r w:rsidRPr="00047B76">
              <w:rPr>
                <w:sz w:val="20"/>
              </w:rPr>
              <w:t>Criminal law — Evidence — Hearsay — Admissibility — Principled exception to hearsay rule — Trial judge admitting co</w:t>
            </w:r>
            <w:r w:rsidRPr="00047B76">
              <w:rPr>
                <w:sz w:val="20"/>
              </w:rPr>
              <w:noBreakHyphen/>
              <w:t xml:space="preserve">accused’s hearsay statements into evidence — Corroborative evidence — Whether application of </w:t>
            </w:r>
            <w:r w:rsidRPr="00047B76">
              <w:rPr>
                <w:i/>
                <w:sz w:val="20"/>
              </w:rPr>
              <w:t>R. v. Bradshaw</w:t>
            </w:r>
            <w:r w:rsidRPr="00047B76">
              <w:rPr>
                <w:sz w:val="20"/>
              </w:rPr>
              <w:t>, 2017 SCC 35, diverges from other appellate courts and requires clarification that a functional principled approach continues to apply to an assessment of the threshold reliability of hearsay evidence — Whether the Court of Appeal erred by assessing each item of corroborative evidence capable of proving the likely truthfulness of hearsay in isolation and without considering context of the case?</w:t>
            </w:r>
          </w:p>
        </w:tc>
      </w:tr>
      <w:tr w:rsidR="0071029D" w:rsidRPr="00047B76" w:rsidTr="0023484E">
        <w:tc>
          <w:tcPr>
            <w:tcW w:w="5000" w:type="pct"/>
            <w:gridSpan w:val="4"/>
          </w:tcPr>
          <w:p w:rsidR="0071029D" w:rsidRPr="00047B76" w:rsidRDefault="0071029D" w:rsidP="0023484E">
            <w:pPr>
              <w:jc w:val="both"/>
              <w:rPr>
                <w:sz w:val="20"/>
              </w:rPr>
            </w:pPr>
          </w:p>
        </w:tc>
      </w:tr>
      <w:tr w:rsidR="0071029D" w:rsidRPr="00047B76" w:rsidTr="0023484E">
        <w:tc>
          <w:tcPr>
            <w:tcW w:w="5000" w:type="pct"/>
            <w:gridSpan w:val="4"/>
          </w:tcPr>
          <w:p w:rsidR="0071029D" w:rsidRPr="00047B76" w:rsidRDefault="0071029D" w:rsidP="0023484E">
            <w:pPr>
              <w:jc w:val="both"/>
              <w:rPr>
                <w:sz w:val="20"/>
              </w:rPr>
            </w:pPr>
            <w:r w:rsidRPr="00047B76">
              <w:rPr>
                <w:sz w:val="20"/>
              </w:rPr>
              <w:t>Three men invaded a marihuana dealer’s home. They shot and killed the dealer. They stole drugs, money, cell phones and other items. After they were arrested and a subsequent police investigation, two of the home invaders gave statements to the police implicating Mr. Tsega in planning the home invasion and preparing. He was charged with second degree murder. The co</w:t>
            </w:r>
            <w:r w:rsidRPr="00047B76">
              <w:rPr>
                <w:sz w:val="20"/>
              </w:rPr>
              <w:noBreakHyphen/>
              <w:t xml:space="preserve">accused refused to testify at his trial. The trial judge admitted the police statements for the truth of their contents, before </w:t>
            </w:r>
            <w:r w:rsidRPr="00047B76">
              <w:rPr>
                <w:i/>
                <w:sz w:val="20"/>
              </w:rPr>
              <w:t>R. v. Bradshaw</w:t>
            </w:r>
            <w:r w:rsidRPr="00047B76">
              <w:rPr>
                <w:sz w:val="20"/>
              </w:rPr>
              <w:t xml:space="preserve">, 2017 SCC 35, was released. Mr. Tsega was convicted for manslaughter. The Court of Appeal applied </w:t>
            </w:r>
            <w:r w:rsidRPr="00047B76">
              <w:rPr>
                <w:i/>
                <w:sz w:val="20"/>
              </w:rPr>
              <w:t>Bradshaw</w:t>
            </w:r>
            <w:r w:rsidRPr="00047B76">
              <w:rPr>
                <w:sz w:val="20"/>
              </w:rPr>
              <w:t xml:space="preserve"> and held the police statements were not admissible. It allowed an appeal and ordered a new trial.</w:t>
            </w:r>
          </w:p>
          <w:p w:rsidR="0071029D" w:rsidRPr="00047B76" w:rsidRDefault="0071029D" w:rsidP="0023484E">
            <w:pPr>
              <w:jc w:val="both"/>
              <w:rPr>
                <w:sz w:val="20"/>
              </w:rPr>
            </w:pPr>
          </w:p>
        </w:tc>
      </w:tr>
      <w:tr w:rsidR="0071029D" w:rsidRPr="00047B76" w:rsidTr="0023484E">
        <w:tc>
          <w:tcPr>
            <w:tcW w:w="2427" w:type="pct"/>
            <w:gridSpan w:val="2"/>
          </w:tcPr>
          <w:p w:rsidR="0071029D" w:rsidRPr="00047B76" w:rsidRDefault="0071029D" w:rsidP="0023484E">
            <w:pPr>
              <w:jc w:val="both"/>
              <w:rPr>
                <w:sz w:val="20"/>
              </w:rPr>
            </w:pPr>
            <w:r w:rsidRPr="00047B76">
              <w:rPr>
                <w:sz w:val="20"/>
              </w:rPr>
              <w:t>June 30, 2016</w:t>
            </w:r>
          </w:p>
          <w:p w:rsidR="0071029D" w:rsidRPr="00047B76" w:rsidRDefault="0071029D" w:rsidP="0023484E">
            <w:pPr>
              <w:jc w:val="both"/>
              <w:rPr>
                <w:sz w:val="20"/>
              </w:rPr>
            </w:pPr>
            <w:r w:rsidRPr="00047B76">
              <w:rPr>
                <w:sz w:val="20"/>
              </w:rPr>
              <w:t>Ontario Superior Court of Justice</w:t>
            </w:r>
          </w:p>
          <w:p w:rsidR="0071029D" w:rsidRPr="00047B76" w:rsidRDefault="0071029D" w:rsidP="0023484E">
            <w:pPr>
              <w:jc w:val="both"/>
              <w:rPr>
                <w:sz w:val="20"/>
              </w:rPr>
            </w:pPr>
            <w:r w:rsidRPr="00047B76">
              <w:rPr>
                <w:sz w:val="20"/>
              </w:rPr>
              <w:t>(Aitken J.)</w:t>
            </w:r>
          </w:p>
          <w:p w:rsidR="0071029D" w:rsidRPr="00047B76" w:rsidRDefault="0071029D" w:rsidP="0023484E">
            <w:pPr>
              <w:jc w:val="both"/>
              <w:rPr>
                <w:color w:val="000000"/>
                <w:sz w:val="20"/>
              </w:rPr>
            </w:pPr>
            <w:r w:rsidRPr="00047B76">
              <w:rPr>
                <w:color w:val="000000"/>
                <w:sz w:val="20"/>
              </w:rPr>
              <w:t>2016 ONSC 4145 (Unreported)</w:t>
            </w:r>
          </w:p>
          <w:p w:rsidR="0071029D" w:rsidRPr="00047B76" w:rsidRDefault="0071029D" w:rsidP="0023484E">
            <w:pPr>
              <w:jc w:val="both"/>
              <w:rPr>
                <w:sz w:val="20"/>
              </w:rPr>
            </w:pPr>
          </w:p>
        </w:tc>
        <w:tc>
          <w:tcPr>
            <w:tcW w:w="243" w:type="pct"/>
          </w:tcPr>
          <w:p w:rsidR="0071029D" w:rsidRPr="00047B76" w:rsidRDefault="0071029D" w:rsidP="0023484E">
            <w:pPr>
              <w:jc w:val="both"/>
              <w:rPr>
                <w:sz w:val="20"/>
              </w:rPr>
            </w:pPr>
          </w:p>
        </w:tc>
        <w:tc>
          <w:tcPr>
            <w:tcW w:w="2330" w:type="pct"/>
          </w:tcPr>
          <w:p w:rsidR="0071029D" w:rsidRPr="00047B76" w:rsidRDefault="0071029D" w:rsidP="0023484E">
            <w:pPr>
              <w:jc w:val="both"/>
              <w:rPr>
                <w:sz w:val="20"/>
              </w:rPr>
            </w:pPr>
            <w:r w:rsidRPr="00047B76">
              <w:rPr>
                <w:sz w:val="20"/>
              </w:rPr>
              <w:t>Conviction for manslaughter</w:t>
            </w:r>
          </w:p>
          <w:p w:rsidR="0071029D" w:rsidRPr="00047B76" w:rsidRDefault="0071029D" w:rsidP="0023484E">
            <w:pPr>
              <w:jc w:val="both"/>
              <w:rPr>
                <w:sz w:val="20"/>
              </w:rPr>
            </w:pPr>
          </w:p>
        </w:tc>
      </w:tr>
      <w:tr w:rsidR="0071029D" w:rsidRPr="00047B76" w:rsidTr="0023484E">
        <w:tc>
          <w:tcPr>
            <w:tcW w:w="2427" w:type="pct"/>
            <w:gridSpan w:val="2"/>
          </w:tcPr>
          <w:p w:rsidR="0071029D" w:rsidRPr="00047B76" w:rsidRDefault="0071029D" w:rsidP="0023484E">
            <w:pPr>
              <w:jc w:val="both"/>
              <w:rPr>
                <w:sz w:val="20"/>
              </w:rPr>
            </w:pPr>
            <w:r w:rsidRPr="00047B76">
              <w:rPr>
                <w:sz w:val="20"/>
              </w:rPr>
              <w:t>February 15, 2019</w:t>
            </w:r>
          </w:p>
          <w:p w:rsidR="0071029D" w:rsidRPr="00047B76" w:rsidRDefault="0071029D" w:rsidP="0023484E">
            <w:pPr>
              <w:jc w:val="both"/>
              <w:rPr>
                <w:sz w:val="20"/>
              </w:rPr>
            </w:pPr>
            <w:r w:rsidRPr="00047B76">
              <w:rPr>
                <w:sz w:val="20"/>
              </w:rPr>
              <w:t>Court of Appeal for Ontario</w:t>
            </w:r>
          </w:p>
          <w:p w:rsidR="0071029D" w:rsidRPr="00047B76" w:rsidRDefault="0071029D" w:rsidP="0023484E">
            <w:pPr>
              <w:jc w:val="both"/>
              <w:rPr>
                <w:sz w:val="20"/>
              </w:rPr>
            </w:pPr>
            <w:r w:rsidRPr="00047B76">
              <w:rPr>
                <w:sz w:val="20"/>
              </w:rPr>
              <w:t>(Hourigan, Pardu, Harvison JJ.A.)</w:t>
            </w:r>
          </w:p>
          <w:p w:rsidR="0071029D" w:rsidRPr="00047B76" w:rsidRDefault="0071029D" w:rsidP="0023484E">
            <w:pPr>
              <w:jc w:val="both"/>
              <w:rPr>
                <w:sz w:val="20"/>
              </w:rPr>
            </w:pPr>
            <w:r w:rsidRPr="00047B76">
              <w:rPr>
                <w:sz w:val="20"/>
              </w:rPr>
              <w:t xml:space="preserve">C64096; </w:t>
            </w:r>
            <w:hyperlink r:id="rId19" w:history="1">
              <w:r w:rsidRPr="00047B76">
                <w:rPr>
                  <w:rStyle w:val="Hyperlink"/>
                  <w:sz w:val="20"/>
                </w:rPr>
                <w:t>2019 ONCA 111</w:t>
              </w:r>
            </w:hyperlink>
          </w:p>
          <w:p w:rsidR="0071029D" w:rsidRPr="00047B76" w:rsidRDefault="0071029D" w:rsidP="0023484E">
            <w:pPr>
              <w:jc w:val="both"/>
              <w:rPr>
                <w:sz w:val="20"/>
              </w:rPr>
            </w:pPr>
          </w:p>
        </w:tc>
        <w:tc>
          <w:tcPr>
            <w:tcW w:w="243" w:type="pct"/>
          </w:tcPr>
          <w:p w:rsidR="0071029D" w:rsidRPr="00047B76" w:rsidRDefault="0071029D" w:rsidP="0023484E">
            <w:pPr>
              <w:jc w:val="both"/>
              <w:rPr>
                <w:sz w:val="20"/>
              </w:rPr>
            </w:pPr>
          </w:p>
        </w:tc>
        <w:tc>
          <w:tcPr>
            <w:tcW w:w="2330" w:type="pct"/>
          </w:tcPr>
          <w:p w:rsidR="0071029D" w:rsidRPr="00047B76" w:rsidRDefault="0071029D" w:rsidP="0023484E">
            <w:pPr>
              <w:jc w:val="both"/>
              <w:rPr>
                <w:sz w:val="20"/>
              </w:rPr>
            </w:pPr>
            <w:r w:rsidRPr="00047B76">
              <w:rPr>
                <w:sz w:val="20"/>
              </w:rPr>
              <w:t>Appeal from conviction allowed, new trial ordered</w:t>
            </w:r>
          </w:p>
          <w:p w:rsidR="0071029D" w:rsidRPr="00047B76" w:rsidRDefault="0071029D" w:rsidP="0023484E">
            <w:pPr>
              <w:jc w:val="both"/>
              <w:rPr>
                <w:sz w:val="20"/>
              </w:rPr>
            </w:pPr>
          </w:p>
        </w:tc>
      </w:tr>
      <w:tr w:rsidR="0071029D" w:rsidRPr="00047B76" w:rsidTr="0023484E">
        <w:tc>
          <w:tcPr>
            <w:tcW w:w="2427" w:type="pct"/>
            <w:gridSpan w:val="2"/>
          </w:tcPr>
          <w:p w:rsidR="0071029D" w:rsidRPr="00047B76" w:rsidRDefault="0071029D" w:rsidP="0023484E">
            <w:pPr>
              <w:jc w:val="both"/>
              <w:rPr>
                <w:sz w:val="20"/>
              </w:rPr>
            </w:pPr>
            <w:r w:rsidRPr="00047B76">
              <w:rPr>
                <w:sz w:val="20"/>
              </w:rPr>
              <w:t>April 16, 2019</w:t>
            </w:r>
          </w:p>
          <w:p w:rsidR="0071029D" w:rsidRPr="00047B76" w:rsidRDefault="0071029D" w:rsidP="0023484E">
            <w:pPr>
              <w:jc w:val="both"/>
              <w:rPr>
                <w:sz w:val="20"/>
              </w:rPr>
            </w:pPr>
            <w:r w:rsidRPr="00047B76">
              <w:rPr>
                <w:sz w:val="20"/>
              </w:rPr>
              <w:t>Supreme Court of Canada</w:t>
            </w:r>
          </w:p>
        </w:tc>
        <w:tc>
          <w:tcPr>
            <w:tcW w:w="243" w:type="pct"/>
          </w:tcPr>
          <w:p w:rsidR="0071029D" w:rsidRPr="00047B76" w:rsidRDefault="0071029D" w:rsidP="0023484E">
            <w:pPr>
              <w:jc w:val="both"/>
              <w:rPr>
                <w:sz w:val="20"/>
              </w:rPr>
            </w:pPr>
          </w:p>
        </w:tc>
        <w:tc>
          <w:tcPr>
            <w:tcW w:w="2330" w:type="pct"/>
          </w:tcPr>
          <w:p w:rsidR="0071029D" w:rsidRPr="00047B76" w:rsidRDefault="0071029D" w:rsidP="0023484E">
            <w:pPr>
              <w:jc w:val="both"/>
              <w:rPr>
                <w:sz w:val="20"/>
              </w:rPr>
            </w:pPr>
            <w:r w:rsidRPr="00047B76">
              <w:rPr>
                <w:sz w:val="20"/>
              </w:rPr>
              <w:t>Application for leave to appeal filed</w:t>
            </w:r>
          </w:p>
          <w:p w:rsidR="0071029D" w:rsidRPr="00047B76" w:rsidRDefault="0071029D" w:rsidP="0023484E">
            <w:pPr>
              <w:jc w:val="both"/>
              <w:rPr>
                <w:sz w:val="20"/>
              </w:rPr>
            </w:pPr>
          </w:p>
        </w:tc>
      </w:tr>
    </w:tbl>
    <w:p w:rsidR="0071029D" w:rsidRPr="00047B76" w:rsidRDefault="0071029D" w:rsidP="0071029D">
      <w:pPr>
        <w:jc w:val="both"/>
        <w:rPr>
          <w:sz w:val="20"/>
        </w:rPr>
      </w:pPr>
    </w:p>
    <w:p w:rsidR="0071029D" w:rsidRPr="00047B76" w:rsidRDefault="009A56E8" w:rsidP="0071029D">
      <w:pPr>
        <w:jc w:val="both"/>
        <w:rPr>
          <w:sz w:val="20"/>
        </w:rPr>
      </w:pPr>
      <w:r>
        <w:rPr>
          <w:sz w:val="20"/>
        </w:rPr>
        <w:pict>
          <v:rect id="_x0000_i1036" style="width:2in;height:1pt" o:hrpct="0" o:hralign="center" o:hrstd="t" o:hrnoshade="t" o:hr="t" fillcolor="black [3213]" stroked="f"/>
        </w:pict>
      </w:r>
    </w:p>
    <w:p w:rsidR="0071029D" w:rsidRPr="00047B76" w:rsidRDefault="0071029D" w:rsidP="0071029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1029D" w:rsidRPr="00047B76" w:rsidTr="0023484E">
        <w:tc>
          <w:tcPr>
            <w:tcW w:w="543" w:type="pct"/>
          </w:tcPr>
          <w:p w:rsidR="0071029D" w:rsidRPr="00047B76" w:rsidRDefault="0071029D" w:rsidP="0023484E">
            <w:pPr>
              <w:jc w:val="both"/>
              <w:rPr>
                <w:sz w:val="20"/>
                <w:lang w:val="fr-CA"/>
              </w:rPr>
            </w:pPr>
            <w:r w:rsidRPr="00047B76">
              <w:rPr>
                <w:rStyle w:val="SCCFileNumberChar"/>
                <w:sz w:val="20"/>
                <w:szCs w:val="20"/>
                <w:lang w:val="fr-CA"/>
              </w:rPr>
              <w:t>38590</w:t>
            </w:r>
          </w:p>
        </w:tc>
        <w:tc>
          <w:tcPr>
            <w:tcW w:w="4457" w:type="pct"/>
            <w:gridSpan w:val="3"/>
          </w:tcPr>
          <w:p w:rsidR="0071029D" w:rsidRPr="00047B76" w:rsidRDefault="0071029D" w:rsidP="0023484E">
            <w:pPr>
              <w:pStyle w:val="SCCLsocParty"/>
              <w:jc w:val="both"/>
              <w:rPr>
                <w:b/>
                <w:sz w:val="20"/>
                <w:szCs w:val="20"/>
              </w:rPr>
            </w:pPr>
            <w:r w:rsidRPr="00047B76">
              <w:rPr>
                <w:b/>
                <w:sz w:val="20"/>
                <w:szCs w:val="20"/>
              </w:rPr>
              <w:t>Sa Majesté la Reine c. Sam Tsega</w:t>
            </w:r>
          </w:p>
          <w:p w:rsidR="0071029D" w:rsidRPr="00047B76" w:rsidRDefault="0071029D" w:rsidP="0023484E">
            <w:pPr>
              <w:jc w:val="both"/>
              <w:rPr>
                <w:sz w:val="20"/>
                <w:lang w:val="fr-CA"/>
              </w:rPr>
            </w:pPr>
            <w:r w:rsidRPr="00047B76">
              <w:rPr>
                <w:sz w:val="20"/>
                <w:lang w:val="fr-CA"/>
              </w:rPr>
              <w:t>(Ont.) (Criminelle) (Autorisation)</w:t>
            </w:r>
          </w:p>
        </w:tc>
      </w:tr>
      <w:tr w:rsidR="00E80644" w:rsidRPr="00957F6E" w:rsidTr="0023484E">
        <w:tc>
          <w:tcPr>
            <w:tcW w:w="5000" w:type="pct"/>
            <w:gridSpan w:val="4"/>
          </w:tcPr>
          <w:p w:rsidR="00E80644" w:rsidRPr="00047B76" w:rsidRDefault="00464615" w:rsidP="0023484E">
            <w:pPr>
              <w:jc w:val="both"/>
              <w:rPr>
                <w:sz w:val="20"/>
                <w:szCs w:val="20"/>
                <w:lang w:val="fr-CA"/>
              </w:rPr>
            </w:pPr>
            <w:r w:rsidRPr="00047B76">
              <w:rPr>
                <w:sz w:val="20"/>
                <w:szCs w:val="20"/>
                <w:lang w:val="fr-CA"/>
              </w:rPr>
              <w:t>La demande d’autorisation d’appel de l’arrêt de la Cour d’appel de l’Ontario, numéro C64096, 2019 ONCA 111, daté du 15 février 2019, est rejetée.</w:t>
            </w:r>
          </w:p>
          <w:p w:rsidR="00464615" w:rsidRPr="00047B76" w:rsidRDefault="00464615" w:rsidP="0023484E">
            <w:pPr>
              <w:jc w:val="both"/>
              <w:rPr>
                <w:sz w:val="20"/>
                <w:lang w:val="fr-CA"/>
              </w:rPr>
            </w:pPr>
          </w:p>
        </w:tc>
      </w:tr>
      <w:tr w:rsidR="0071029D" w:rsidRPr="00957F6E" w:rsidTr="0023484E">
        <w:tc>
          <w:tcPr>
            <w:tcW w:w="5000" w:type="pct"/>
            <w:gridSpan w:val="4"/>
          </w:tcPr>
          <w:p w:rsidR="0071029D" w:rsidRPr="00047B76" w:rsidRDefault="0071029D" w:rsidP="0023484E">
            <w:pPr>
              <w:jc w:val="both"/>
              <w:rPr>
                <w:sz w:val="20"/>
                <w:lang w:val="fr-CA"/>
              </w:rPr>
            </w:pPr>
            <w:r w:rsidRPr="00047B76">
              <w:rPr>
                <w:sz w:val="20"/>
                <w:lang w:val="fr-CA"/>
              </w:rPr>
              <w:t>Droit criminel — Preuve — Ouï</w:t>
            </w:r>
            <w:r w:rsidRPr="00047B76">
              <w:rPr>
                <w:sz w:val="20"/>
                <w:lang w:val="fr-CA"/>
              </w:rPr>
              <w:noBreakHyphen/>
              <w:t>dire — Admissibilité — Exception raisonnée à la règle du ouï</w:t>
            </w:r>
            <w:r w:rsidRPr="00047B76">
              <w:rPr>
                <w:sz w:val="20"/>
                <w:lang w:val="fr-CA"/>
              </w:rPr>
              <w:noBreakHyphen/>
              <w:t xml:space="preserve">dire — Déclaration relatée d’un coaccusé admise en preuve par le juge du procès — Preuve </w:t>
            </w:r>
            <w:proofErr w:type="spellStart"/>
            <w:r w:rsidRPr="00047B76">
              <w:rPr>
                <w:sz w:val="20"/>
                <w:lang w:val="fr-CA"/>
              </w:rPr>
              <w:t>corroborante</w:t>
            </w:r>
            <w:proofErr w:type="spellEnd"/>
            <w:r w:rsidRPr="00047B76">
              <w:rPr>
                <w:sz w:val="20"/>
                <w:lang w:val="fr-CA"/>
              </w:rPr>
              <w:t xml:space="preserve"> — L’application de </w:t>
            </w:r>
            <w:r w:rsidRPr="00047B76">
              <w:rPr>
                <w:i/>
                <w:sz w:val="20"/>
                <w:lang w:val="fr-CA"/>
              </w:rPr>
              <w:t>R. c. Bradshaw</w:t>
            </w:r>
            <w:r w:rsidRPr="00047B76">
              <w:rPr>
                <w:sz w:val="20"/>
                <w:lang w:val="fr-CA"/>
              </w:rPr>
              <w:t>, 2017 CSC 35, diffère</w:t>
            </w:r>
            <w:r w:rsidRPr="00047B76">
              <w:rPr>
                <w:sz w:val="20"/>
                <w:lang w:val="fr-CA"/>
              </w:rPr>
              <w:noBreakHyphen/>
              <w:t>t</w:t>
            </w:r>
            <w:r w:rsidRPr="00047B76">
              <w:rPr>
                <w:sz w:val="20"/>
                <w:lang w:val="fr-CA"/>
              </w:rPr>
              <w:noBreakHyphen/>
              <w:t>elle de celle des autres cours d’appel et oblige</w:t>
            </w:r>
            <w:r w:rsidRPr="00047B76">
              <w:rPr>
                <w:sz w:val="20"/>
                <w:lang w:val="fr-CA"/>
              </w:rPr>
              <w:noBreakHyphen/>
              <w:t>t</w:t>
            </w:r>
            <w:r w:rsidRPr="00047B76">
              <w:rPr>
                <w:sz w:val="20"/>
                <w:lang w:val="fr-CA"/>
              </w:rPr>
              <w:noBreakHyphen/>
              <w:t>elle à préciser qu’une approche raisonnée fonctionnelle continue de s’appliquer à l’évaluation du seuil de fiabilité de la preuve par ouï</w:t>
            </w:r>
            <w:r w:rsidRPr="00047B76">
              <w:rPr>
                <w:sz w:val="20"/>
                <w:lang w:val="fr-CA"/>
              </w:rPr>
              <w:noBreakHyphen/>
              <w:t>dire? — La Cour d’appel a</w:t>
            </w:r>
            <w:r w:rsidRPr="00047B76">
              <w:rPr>
                <w:sz w:val="20"/>
                <w:lang w:val="fr-CA"/>
              </w:rPr>
              <w:noBreakHyphen/>
              <w:t>t</w:t>
            </w:r>
            <w:r w:rsidRPr="00047B76">
              <w:rPr>
                <w:sz w:val="20"/>
                <w:lang w:val="fr-CA"/>
              </w:rPr>
              <w:noBreakHyphen/>
              <w:t xml:space="preserve">elle eu tort d’évaluer chaque élément de preuve </w:t>
            </w:r>
            <w:proofErr w:type="spellStart"/>
            <w:r w:rsidRPr="00047B76">
              <w:rPr>
                <w:sz w:val="20"/>
                <w:lang w:val="fr-CA"/>
              </w:rPr>
              <w:t>corroborante</w:t>
            </w:r>
            <w:proofErr w:type="spellEnd"/>
            <w:r w:rsidRPr="00047B76">
              <w:rPr>
                <w:sz w:val="20"/>
                <w:lang w:val="fr-CA"/>
              </w:rPr>
              <w:t xml:space="preserve"> susceptible d’établir la véracité probable du ouï</w:t>
            </w:r>
            <w:r w:rsidRPr="00047B76">
              <w:rPr>
                <w:sz w:val="20"/>
                <w:lang w:val="fr-CA"/>
              </w:rPr>
              <w:noBreakHyphen/>
              <w:t>dire de façon compartimentée et sans prendre en considération le contexte de l’affaire?</w:t>
            </w:r>
          </w:p>
        </w:tc>
      </w:tr>
      <w:tr w:rsidR="0071029D" w:rsidRPr="00957F6E" w:rsidTr="0023484E">
        <w:tc>
          <w:tcPr>
            <w:tcW w:w="5000" w:type="pct"/>
            <w:gridSpan w:val="4"/>
          </w:tcPr>
          <w:p w:rsidR="0071029D" w:rsidRPr="00047B76" w:rsidRDefault="0071029D" w:rsidP="0023484E">
            <w:pPr>
              <w:jc w:val="both"/>
              <w:rPr>
                <w:sz w:val="20"/>
                <w:lang w:val="fr-CA"/>
              </w:rPr>
            </w:pPr>
          </w:p>
        </w:tc>
      </w:tr>
      <w:tr w:rsidR="0071029D" w:rsidRPr="00957F6E" w:rsidTr="0023484E">
        <w:tc>
          <w:tcPr>
            <w:tcW w:w="5000" w:type="pct"/>
            <w:gridSpan w:val="4"/>
          </w:tcPr>
          <w:p w:rsidR="0071029D" w:rsidRPr="00047B76" w:rsidRDefault="0071029D" w:rsidP="0023484E">
            <w:pPr>
              <w:jc w:val="both"/>
              <w:rPr>
                <w:sz w:val="20"/>
                <w:lang w:val="fr-CA"/>
              </w:rPr>
            </w:pPr>
            <w:r w:rsidRPr="00047B76">
              <w:rPr>
                <w:sz w:val="20"/>
                <w:lang w:val="fr-CA"/>
              </w:rPr>
              <w:lastRenderedPageBreak/>
              <w:t xml:space="preserve">Trois hommes ont envahi le domicile d’un trafiquant de marijuana. Ils l’ont mortellement abattu par balle. Ils ont volé de la drogue, de l’argent, des téléphones cellulaires et d’autres articles. Après leur arrestation et une enquête policière subséquente, deux des malfaiteurs ont fait des déclarations à la police, impliquant M. Tsega dans la planification du cambriolage de domicile et sa préparation. Monsieur Tsega a été accusé de meurtre au deuxième degré. Le coaccusé a refusé de témoigner au procès. La juge du procès a admis les déclarations à la police comme preuve de la véracité de leurs contenus avant la publication de </w:t>
            </w:r>
            <w:r w:rsidRPr="00047B76">
              <w:rPr>
                <w:i/>
                <w:sz w:val="20"/>
                <w:lang w:val="fr-CA"/>
              </w:rPr>
              <w:t>R. c. Bradshaw</w:t>
            </w:r>
            <w:r w:rsidRPr="00047B76">
              <w:rPr>
                <w:sz w:val="20"/>
                <w:lang w:val="fr-CA"/>
              </w:rPr>
              <w:t xml:space="preserve">, 2017 CSC 35. Monsieur Tsega a été déclaré coupable d’homicide involontaire coupable. La Cour d’appel a appliqué l’arrêt </w:t>
            </w:r>
            <w:r w:rsidRPr="00047B76">
              <w:rPr>
                <w:i/>
                <w:sz w:val="20"/>
                <w:lang w:val="fr-CA"/>
              </w:rPr>
              <w:t>Bradshaw</w:t>
            </w:r>
            <w:r w:rsidRPr="00047B76">
              <w:rPr>
                <w:sz w:val="20"/>
                <w:lang w:val="fr-CA"/>
              </w:rPr>
              <w:t xml:space="preserve"> et a statué que les déclarations à la police n’étaient pas admissibles. Elle a accueilli l’appel et ordonné la tenue d’un nouveau procès.</w:t>
            </w:r>
          </w:p>
          <w:p w:rsidR="0071029D" w:rsidRPr="00047B76" w:rsidRDefault="0071029D" w:rsidP="0023484E">
            <w:pPr>
              <w:jc w:val="both"/>
              <w:rPr>
                <w:sz w:val="20"/>
                <w:lang w:val="fr-CA"/>
              </w:rPr>
            </w:pPr>
          </w:p>
        </w:tc>
      </w:tr>
      <w:tr w:rsidR="0071029D" w:rsidRPr="00957F6E" w:rsidTr="0023484E">
        <w:tc>
          <w:tcPr>
            <w:tcW w:w="2427" w:type="pct"/>
            <w:gridSpan w:val="2"/>
          </w:tcPr>
          <w:p w:rsidR="0071029D" w:rsidRPr="00047B76" w:rsidRDefault="0071029D" w:rsidP="0023484E">
            <w:pPr>
              <w:jc w:val="both"/>
              <w:rPr>
                <w:sz w:val="20"/>
                <w:lang w:val="fr-CA"/>
              </w:rPr>
            </w:pPr>
            <w:r w:rsidRPr="00047B76">
              <w:rPr>
                <w:sz w:val="20"/>
                <w:lang w:val="fr-CA"/>
              </w:rPr>
              <w:t>30 juin 2016</w:t>
            </w:r>
          </w:p>
          <w:p w:rsidR="0071029D" w:rsidRPr="00047B76" w:rsidRDefault="0071029D" w:rsidP="0023484E">
            <w:pPr>
              <w:jc w:val="both"/>
              <w:rPr>
                <w:sz w:val="20"/>
                <w:lang w:val="fr-CA"/>
              </w:rPr>
            </w:pPr>
            <w:r w:rsidRPr="00047B76">
              <w:rPr>
                <w:sz w:val="20"/>
                <w:lang w:val="fr-CA"/>
              </w:rPr>
              <w:t>Cour supérieure de justice de l’Ontario</w:t>
            </w:r>
          </w:p>
          <w:p w:rsidR="0071029D" w:rsidRPr="00047B76" w:rsidRDefault="0071029D" w:rsidP="0023484E">
            <w:pPr>
              <w:jc w:val="both"/>
              <w:rPr>
                <w:sz w:val="20"/>
                <w:lang w:val="fr-CA"/>
              </w:rPr>
            </w:pPr>
            <w:r w:rsidRPr="00047B76">
              <w:rPr>
                <w:sz w:val="20"/>
                <w:lang w:val="fr-CA"/>
              </w:rPr>
              <w:t xml:space="preserve">(Juge </w:t>
            </w:r>
            <w:proofErr w:type="spellStart"/>
            <w:r w:rsidRPr="00047B76">
              <w:rPr>
                <w:sz w:val="20"/>
                <w:lang w:val="fr-CA"/>
              </w:rPr>
              <w:t>Aitken</w:t>
            </w:r>
            <w:proofErr w:type="spellEnd"/>
            <w:r w:rsidRPr="00047B76">
              <w:rPr>
                <w:sz w:val="20"/>
                <w:lang w:val="fr-CA"/>
              </w:rPr>
              <w:t>)</w:t>
            </w:r>
          </w:p>
          <w:p w:rsidR="0071029D" w:rsidRPr="00047B76" w:rsidRDefault="0071029D" w:rsidP="0023484E">
            <w:pPr>
              <w:jc w:val="both"/>
              <w:rPr>
                <w:color w:val="000000"/>
                <w:sz w:val="20"/>
                <w:lang w:val="fr-CA"/>
              </w:rPr>
            </w:pPr>
            <w:r w:rsidRPr="00047B76">
              <w:rPr>
                <w:color w:val="000000"/>
                <w:sz w:val="20"/>
                <w:lang w:val="fr-CA"/>
              </w:rPr>
              <w:t>2016 ONSC 4145 (non publié)</w:t>
            </w:r>
          </w:p>
          <w:p w:rsidR="0071029D" w:rsidRPr="00047B76" w:rsidRDefault="0071029D" w:rsidP="0023484E">
            <w:pPr>
              <w:jc w:val="both"/>
              <w:rPr>
                <w:sz w:val="20"/>
                <w:lang w:val="fr-CA"/>
              </w:rPr>
            </w:pPr>
          </w:p>
        </w:tc>
        <w:tc>
          <w:tcPr>
            <w:tcW w:w="243" w:type="pct"/>
          </w:tcPr>
          <w:p w:rsidR="0071029D" w:rsidRPr="00047B76" w:rsidRDefault="0071029D" w:rsidP="0023484E">
            <w:pPr>
              <w:jc w:val="both"/>
              <w:rPr>
                <w:sz w:val="20"/>
                <w:lang w:val="fr-CA"/>
              </w:rPr>
            </w:pPr>
          </w:p>
        </w:tc>
        <w:tc>
          <w:tcPr>
            <w:tcW w:w="2330" w:type="pct"/>
          </w:tcPr>
          <w:p w:rsidR="0071029D" w:rsidRPr="00047B76" w:rsidRDefault="0071029D" w:rsidP="0023484E">
            <w:pPr>
              <w:jc w:val="both"/>
              <w:rPr>
                <w:sz w:val="20"/>
                <w:lang w:val="fr-CA"/>
              </w:rPr>
            </w:pPr>
            <w:r w:rsidRPr="00047B76">
              <w:rPr>
                <w:sz w:val="20"/>
                <w:lang w:val="fr-CA"/>
              </w:rPr>
              <w:t>Déclaration de culpabilité pour homicide involontaire coupable</w:t>
            </w:r>
          </w:p>
          <w:p w:rsidR="0071029D" w:rsidRPr="00047B76" w:rsidRDefault="0071029D" w:rsidP="0023484E">
            <w:pPr>
              <w:jc w:val="both"/>
              <w:rPr>
                <w:sz w:val="20"/>
                <w:lang w:val="fr-CA"/>
              </w:rPr>
            </w:pPr>
          </w:p>
        </w:tc>
      </w:tr>
      <w:tr w:rsidR="0071029D" w:rsidRPr="00957F6E" w:rsidTr="0023484E">
        <w:tc>
          <w:tcPr>
            <w:tcW w:w="2427" w:type="pct"/>
            <w:gridSpan w:val="2"/>
          </w:tcPr>
          <w:p w:rsidR="0071029D" w:rsidRPr="00047B76" w:rsidRDefault="0071029D" w:rsidP="0023484E">
            <w:pPr>
              <w:jc w:val="both"/>
              <w:rPr>
                <w:sz w:val="20"/>
                <w:lang w:val="fr-CA"/>
              </w:rPr>
            </w:pPr>
            <w:r w:rsidRPr="00047B76">
              <w:rPr>
                <w:sz w:val="20"/>
                <w:lang w:val="fr-CA"/>
              </w:rPr>
              <w:t>15 février 2019</w:t>
            </w:r>
          </w:p>
          <w:p w:rsidR="0071029D" w:rsidRPr="00047B76" w:rsidRDefault="0071029D" w:rsidP="0023484E">
            <w:pPr>
              <w:jc w:val="both"/>
              <w:rPr>
                <w:sz w:val="20"/>
                <w:lang w:val="fr-CA"/>
              </w:rPr>
            </w:pPr>
            <w:r w:rsidRPr="00047B76">
              <w:rPr>
                <w:sz w:val="20"/>
                <w:lang w:val="fr-CA"/>
              </w:rPr>
              <w:t>Cour d’appel de l’Ontario</w:t>
            </w:r>
          </w:p>
          <w:p w:rsidR="0071029D" w:rsidRPr="00047B76" w:rsidRDefault="0071029D" w:rsidP="0023484E">
            <w:pPr>
              <w:jc w:val="both"/>
              <w:rPr>
                <w:sz w:val="20"/>
                <w:lang w:val="fr-CA"/>
              </w:rPr>
            </w:pPr>
            <w:r w:rsidRPr="00047B76">
              <w:rPr>
                <w:sz w:val="20"/>
                <w:lang w:val="fr-CA"/>
              </w:rPr>
              <w:t xml:space="preserve">(Juges </w:t>
            </w:r>
            <w:proofErr w:type="spellStart"/>
            <w:r w:rsidRPr="00047B76">
              <w:rPr>
                <w:sz w:val="20"/>
                <w:lang w:val="fr-CA"/>
              </w:rPr>
              <w:t>Hourigan</w:t>
            </w:r>
            <w:proofErr w:type="spellEnd"/>
            <w:r w:rsidRPr="00047B76">
              <w:rPr>
                <w:sz w:val="20"/>
                <w:lang w:val="fr-CA"/>
              </w:rPr>
              <w:t xml:space="preserve">, Pardu et </w:t>
            </w:r>
            <w:proofErr w:type="spellStart"/>
            <w:r w:rsidRPr="00047B76">
              <w:rPr>
                <w:sz w:val="20"/>
                <w:lang w:val="fr-CA"/>
              </w:rPr>
              <w:t>Harvison</w:t>
            </w:r>
            <w:proofErr w:type="spellEnd"/>
            <w:r w:rsidRPr="00047B76">
              <w:rPr>
                <w:sz w:val="20"/>
                <w:lang w:val="fr-CA"/>
              </w:rPr>
              <w:t>)</w:t>
            </w:r>
          </w:p>
          <w:p w:rsidR="0071029D" w:rsidRPr="00047B76" w:rsidRDefault="0071029D" w:rsidP="0023484E">
            <w:pPr>
              <w:jc w:val="both"/>
              <w:rPr>
                <w:sz w:val="20"/>
                <w:lang w:val="fr-CA"/>
              </w:rPr>
            </w:pPr>
            <w:r w:rsidRPr="00047B76">
              <w:rPr>
                <w:sz w:val="20"/>
                <w:lang w:val="fr-CA"/>
              </w:rPr>
              <w:t xml:space="preserve">C64096; </w:t>
            </w:r>
            <w:hyperlink r:id="rId20" w:history="1">
              <w:r w:rsidRPr="00047B76">
                <w:rPr>
                  <w:rStyle w:val="Hyperlink"/>
                  <w:sz w:val="20"/>
                  <w:lang w:val="fr-CA"/>
                </w:rPr>
                <w:t>2019 ONCA 111</w:t>
              </w:r>
            </w:hyperlink>
          </w:p>
          <w:p w:rsidR="0071029D" w:rsidRPr="00047B76" w:rsidRDefault="0071029D" w:rsidP="0023484E">
            <w:pPr>
              <w:jc w:val="both"/>
              <w:rPr>
                <w:sz w:val="20"/>
                <w:lang w:val="fr-CA"/>
              </w:rPr>
            </w:pPr>
          </w:p>
        </w:tc>
        <w:tc>
          <w:tcPr>
            <w:tcW w:w="243" w:type="pct"/>
          </w:tcPr>
          <w:p w:rsidR="0071029D" w:rsidRPr="00047B76" w:rsidRDefault="0071029D" w:rsidP="0023484E">
            <w:pPr>
              <w:jc w:val="both"/>
              <w:rPr>
                <w:sz w:val="20"/>
                <w:lang w:val="fr-CA"/>
              </w:rPr>
            </w:pPr>
          </w:p>
        </w:tc>
        <w:tc>
          <w:tcPr>
            <w:tcW w:w="2330" w:type="pct"/>
          </w:tcPr>
          <w:p w:rsidR="0071029D" w:rsidRPr="00047B76" w:rsidRDefault="0071029D" w:rsidP="0023484E">
            <w:pPr>
              <w:jc w:val="both"/>
              <w:rPr>
                <w:sz w:val="20"/>
                <w:lang w:val="fr-CA"/>
              </w:rPr>
            </w:pPr>
            <w:r w:rsidRPr="00047B76">
              <w:rPr>
                <w:sz w:val="20"/>
                <w:lang w:val="fr-CA"/>
              </w:rPr>
              <w:t>Arrêt accueillant l’appel de la déclaration de culpabilité et ordonnant la tenue d’un nouveau procès</w:t>
            </w:r>
          </w:p>
          <w:p w:rsidR="0071029D" w:rsidRPr="00047B76" w:rsidRDefault="0071029D" w:rsidP="0023484E">
            <w:pPr>
              <w:jc w:val="both"/>
              <w:rPr>
                <w:sz w:val="20"/>
                <w:lang w:val="fr-CA"/>
              </w:rPr>
            </w:pPr>
          </w:p>
        </w:tc>
      </w:tr>
      <w:tr w:rsidR="0071029D" w:rsidRPr="00957F6E" w:rsidTr="0023484E">
        <w:tc>
          <w:tcPr>
            <w:tcW w:w="2427" w:type="pct"/>
            <w:gridSpan w:val="2"/>
          </w:tcPr>
          <w:p w:rsidR="0071029D" w:rsidRPr="00047B76" w:rsidRDefault="0071029D" w:rsidP="0023484E">
            <w:pPr>
              <w:jc w:val="both"/>
              <w:rPr>
                <w:sz w:val="20"/>
                <w:lang w:val="fr-CA"/>
              </w:rPr>
            </w:pPr>
            <w:r w:rsidRPr="00047B76">
              <w:rPr>
                <w:sz w:val="20"/>
                <w:lang w:val="fr-CA"/>
              </w:rPr>
              <w:t>16 avril 2019</w:t>
            </w:r>
          </w:p>
          <w:p w:rsidR="0071029D" w:rsidRPr="00047B76" w:rsidRDefault="0071029D" w:rsidP="0023484E">
            <w:pPr>
              <w:jc w:val="both"/>
              <w:rPr>
                <w:sz w:val="20"/>
                <w:lang w:val="fr-CA"/>
              </w:rPr>
            </w:pPr>
            <w:r w:rsidRPr="00047B76">
              <w:rPr>
                <w:sz w:val="20"/>
                <w:lang w:val="fr-CA"/>
              </w:rPr>
              <w:t>Cour suprême du Canada</w:t>
            </w:r>
          </w:p>
        </w:tc>
        <w:tc>
          <w:tcPr>
            <w:tcW w:w="243" w:type="pct"/>
          </w:tcPr>
          <w:p w:rsidR="0071029D" w:rsidRPr="00047B76" w:rsidRDefault="0071029D" w:rsidP="0023484E">
            <w:pPr>
              <w:jc w:val="both"/>
              <w:rPr>
                <w:sz w:val="20"/>
                <w:lang w:val="fr-CA"/>
              </w:rPr>
            </w:pPr>
          </w:p>
        </w:tc>
        <w:tc>
          <w:tcPr>
            <w:tcW w:w="2330" w:type="pct"/>
          </w:tcPr>
          <w:p w:rsidR="0071029D" w:rsidRPr="00047B76" w:rsidRDefault="0071029D" w:rsidP="0023484E">
            <w:pPr>
              <w:jc w:val="both"/>
              <w:rPr>
                <w:sz w:val="20"/>
                <w:lang w:val="fr-CA"/>
              </w:rPr>
            </w:pPr>
            <w:r w:rsidRPr="00047B76">
              <w:rPr>
                <w:sz w:val="20"/>
                <w:lang w:val="fr-CA"/>
              </w:rPr>
              <w:t>Dépôt de la demande d’autorisation d’appel</w:t>
            </w:r>
          </w:p>
          <w:p w:rsidR="0071029D" w:rsidRPr="00047B76" w:rsidRDefault="0071029D" w:rsidP="0023484E">
            <w:pPr>
              <w:jc w:val="both"/>
              <w:rPr>
                <w:sz w:val="20"/>
                <w:lang w:val="fr-CA"/>
              </w:rPr>
            </w:pPr>
          </w:p>
        </w:tc>
      </w:tr>
    </w:tbl>
    <w:p w:rsidR="0071029D" w:rsidRPr="00047B76" w:rsidRDefault="0071029D" w:rsidP="0071029D">
      <w:pPr>
        <w:jc w:val="both"/>
        <w:rPr>
          <w:sz w:val="20"/>
          <w:lang w:val="fr-CA"/>
        </w:rPr>
      </w:pPr>
    </w:p>
    <w:p w:rsidR="0071029D" w:rsidRPr="00047B76" w:rsidRDefault="009A56E8" w:rsidP="0071029D">
      <w:pPr>
        <w:jc w:val="both"/>
        <w:rPr>
          <w:sz w:val="20"/>
          <w:lang w:val="fr-CA"/>
        </w:rPr>
      </w:pPr>
      <w:r>
        <w:rPr>
          <w:sz w:val="20"/>
        </w:rPr>
        <w:pict>
          <v:rect id="_x0000_i1037" style="width:2in;height:1pt" o:hrpct="0" o:hralign="center" o:hrstd="t" o:hrnoshade="t" o:hr="t" fillcolor="black [3213]" stroked="f"/>
        </w:pict>
      </w:r>
    </w:p>
    <w:p w:rsidR="0071029D" w:rsidRPr="00047B76" w:rsidRDefault="0071029D" w:rsidP="0071029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1029D" w:rsidRPr="00047B76" w:rsidTr="0023484E">
        <w:tc>
          <w:tcPr>
            <w:tcW w:w="543" w:type="pct"/>
          </w:tcPr>
          <w:p w:rsidR="0071029D" w:rsidRPr="00047B76" w:rsidRDefault="0071029D" w:rsidP="0023484E">
            <w:pPr>
              <w:jc w:val="both"/>
              <w:rPr>
                <w:sz w:val="20"/>
              </w:rPr>
            </w:pPr>
            <w:r w:rsidRPr="00047B76">
              <w:rPr>
                <w:rStyle w:val="SCCFileNumberChar"/>
                <w:sz w:val="20"/>
                <w:szCs w:val="20"/>
              </w:rPr>
              <w:t>38579</w:t>
            </w:r>
          </w:p>
        </w:tc>
        <w:tc>
          <w:tcPr>
            <w:tcW w:w="4457" w:type="pct"/>
            <w:gridSpan w:val="3"/>
          </w:tcPr>
          <w:p w:rsidR="0071029D" w:rsidRPr="00047B76" w:rsidRDefault="0071029D" w:rsidP="0023484E">
            <w:pPr>
              <w:pStyle w:val="SCCLsocParty"/>
              <w:jc w:val="both"/>
              <w:rPr>
                <w:b/>
                <w:sz w:val="20"/>
                <w:szCs w:val="20"/>
                <w:lang w:val="en-US"/>
              </w:rPr>
            </w:pPr>
            <w:r w:rsidRPr="00047B76">
              <w:rPr>
                <w:b/>
                <w:sz w:val="20"/>
                <w:szCs w:val="20"/>
                <w:lang w:val="en-US"/>
              </w:rPr>
              <w:t>Ark Angel Foundation v. Minister of National Revenue</w:t>
            </w:r>
          </w:p>
          <w:p w:rsidR="0071029D" w:rsidRPr="00047B76" w:rsidRDefault="0071029D" w:rsidP="0023484E">
            <w:pPr>
              <w:jc w:val="both"/>
              <w:rPr>
                <w:sz w:val="20"/>
              </w:rPr>
            </w:pPr>
            <w:r w:rsidRPr="00047B76">
              <w:rPr>
                <w:sz w:val="20"/>
              </w:rPr>
              <w:t>(F.C.) (Civil) (By Leave)</w:t>
            </w:r>
          </w:p>
        </w:tc>
      </w:tr>
      <w:tr w:rsidR="00E80644" w:rsidRPr="00047B76" w:rsidTr="0023484E">
        <w:tc>
          <w:tcPr>
            <w:tcW w:w="5000" w:type="pct"/>
            <w:gridSpan w:val="4"/>
          </w:tcPr>
          <w:p w:rsidR="00AF4710" w:rsidRPr="00047B76" w:rsidRDefault="00AF4710" w:rsidP="00AF4710">
            <w:pPr>
              <w:jc w:val="both"/>
              <w:rPr>
                <w:sz w:val="20"/>
                <w:szCs w:val="20"/>
              </w:rPr>
            </w:pPr>
            <w:r w:rsidRPr="00047B76">
              <w:rPr>
                <w:sz w:val="20"/>
                <w:szCs w:val="20"/>
              </w:rPr>
              <w:t>The application for leave to appeal from the judgment of the Federal Court of Appeal, Number A-147-17, 2019 FCA 21, dated January 30, 2019, is dismissed with costs.</w:t>
            </w:r>
          </w:p>
          <w:p w:rsidR="00E80644" w:rsidRPr="00047B76" w:rsidRDefault="00E80644" w:rsidP="0023484E">
            <w:pPr>
              <w:jc w:val="both"/>
              <w:rPr>
                <w:sz w:val="20"/>
              </w:rPr>
            </w:pPr>
          </w:p>
        </w:tc>
      </w:tr>
      <w:tr w:rsidR="0071029D" w:rsidRPr="00047B76" w:rsidTr="0023484E">
        <w:tc>
          <w:tcPr>
            <w:tcW w:w="5000" w:type="pct"/>
            <w:gridSpan w:val="4"/>
          </w:tcPr>
          <w:p w:rsidR="0071029D" w:rsidRPr="00047B76" w:rsidRDefault="0071029D" w:rsidP="0023484E">
            <w:pPr>
              <w:jc w:val="both"/>
              <w:rPr>
                <w:sz w:val="20"/>
              </w:rPr>
            </w:pPr>
            <w:r w:rsidRPr="00047B76">
              <w:rPr>
                <w:sz w:val="20"/>
              </w:rPr>
              <w:t>Taxation — Income tax — Registration as charitable foundation — Revocation of registration — Whether the Minister of National Revenue is empowered to lawfully revoke the registration of a charitable foundation that does not engage in charitable activities for failure to devote all its resources to charitable activities — What the limits of the Minister’s power to revoke a charity’s registration for inadequate books and records are.</w:t>
            </w:r>
          </w:p>
        </w:tc>
      </w:tr>
      <w:tr w:rsidR="0071029D" w:rsidRPr="00047B76" w:rsidTr="0023484E">
        <w:tc>
          <w:tcPr>
            <w:tcW w:w="5000" w:type="pct"/>
            <w:gridSpan w:val="4"/>
          </w:tcPr>
          <w:p w:rsidR="0071029D" w:rsidRPr="00047B76" w:rsidRDefault="0071029D" w:rsidP="0023484E">
            <w:pPr>
              <w:jc w:val="both"/>
              <w:rPr>
                <w:sz w:val="20"/>
              </w:rPr>
            </w:pPr>
          </w:p>
        </w:tc>
      </w:tr>
      <w:tr w:rsidR="0071029D" w:rsidRPr="00047B76" w:rsidTr="0023484E">
        <w:tc>
          <w:tcPr>
            <w:tcW w:w="5000" w:type="pct"/>
            <w:gridSpan w:val="4"/>
          </w:tcPr>
          <w:p w:rsidR="0071029D" w:rsidRPr="00047B76" w:rsidRDefault="0071029D" w:rsidP="0023484E">
            <w:pPr>
              <w:jc w:val="both"/>
              <w:rPr>
                <w:sz w:val="20"/>
              </w:rPr>
            </w:pPr>
            <w:r w:rsidRPr="00047B76">
              <w:rPr>
                <w:sz w:val="20"/>
              </w:rPr>
              <w:t xml:space="preserve">The Ark Angel Foundation was incorporated in 1998 under the </w:t>
            </w:r>
            <w:r w:rsidRPr="00047B76">
              <w:rPr>
                <w:i/>
                <w:sz w:val="20"/>
              </w:rPr>
              <w:t>Canada Corporations Act</w:t>
            </w:r>
            <w:r w:rsidRPr="00047B76">
              <w:rPr>
                <w:sz w:val="20"/>
              </w:rPr>
              <w:t>, R.S.C. 1985, c. C</w:t>
            </w:r>
            <w:r w:rsidRPr="00047B76">
              <w:rPr>
                <w:sz w:val="20"/>
              </w:rPr>
              <w:noBreakHyphen/>
              <w:t>32. It was registered as a charitable foundation in the same year. Having conducted an audit of the Foundation for the period from December 1, 2008, to November 30, 2010, the CRA’s Audit Division sent the Foundation an “administrative fairness letter”, which described the areas of non</w:t>
            </w:r>
            <w:r w:rsidRPr="00047B76">
              <w:rPr>
                <w:sz w:val="20"/>
              </w:rPr>
              <w:noBreakHyphen/>
              <w:t xml:space="preserve">compliance identified in the audit (failure to maintain adequate books and failure to devote all of the Foundation’s resources to charitable activities) and provided the Foundation with a chance to respond. The CRA indicated that the books did not provide sufficient information to allow the Minister to determine whether there were grounds for revoking the charity’s registration and, in particular, whether certain payments to one of the Foundation’s board members were made for charitable purposes. When it had reviewed the Foundation’s response, a Revocation Proposal was issued. It reiterated the concerns and explained the requirements imposed on charitable foundations by the </w:t>
            </w:r>
            <w:r w:rsidRPr="00047B76">
              <w:rPr>
                <w:i/>
                <w:sz w:val="20"/>
              </w:rPr>
              <w:t>Income Tax Act</w:t>
            </w:r>
            <w:r w:rsidRPr="00047B76">
              <w:rPr>
                <w:sz w:val="20"/>
              </w:rPr>
              <w:t xml:space="preserve">, R.S.C. 1985, </w:t>
            </w:r>
            <w:proofErr w:type="gramStart"/>
            <w:r w:rsidRPr="00047B76">
              <w:rPr>
                <w:sz w:val="20"/>
              </w:rPr>
              <w:t>c</w:t>
            </w:r>
            <w:proofErr w:type="gramEnd"/>
            <w:r w:rsidRPr="00047B76">
              <w:rPr>
                <w:sz w:val="20"/>
              </w:rPr>
              <w:t>. 1 (5th Supp.). The Foundation filed a notice of objection which outlined its concerns with the process. The Appeals Directorate reiterated the original concerns, confirmed the Revocation Proposal, and allowed further representations from the Foundation. The Foundation’s representations alleged further deficiencies in the Appeals Directorate’s letter and made no meaningful response to the substantive concerns. The Revocation Proposal was confirmed by letter on the basis that the Foundation had not addressed the areas of non</w:t>
            </w:r>
            <w:r w:rsidRPr="00047B76">
              <w:rPr>
                <w:sz w:val="20"/>
              </w:rPr>
              <w:noBreakHyphen/>
              <w:t>compliance addressed by the Appeals Directorate.</w:t>
            </w:r>
          </w:p>
          <w:p w:rsidR="0071029D" w:rsidRPr="00047B76" w:rsidRDefault="0071029D" w:rsidP="0023484E">
            <w:pPr>
              <w:jc w:val="both"/>
              <w:rPr>
                <w:sz w:val="20"/>
              </w:rPr>
            </w:pPr>
          </w:p>
          <w:p w:rsidR="0071029D" w:rsidRPr="00047B76" w:rsidRDefault="0071029D" w:rsidP="0023484E">
            <w:pPr>
              <w:jc w:val="both"/>
              <w:rPr>
                <w:sz w:val="20"/>
              </w:rPr>
            </w:pPr>
            <w:r w:rsidRPr="00047B76">
              <w:rPr>
                <w:sz w:val="20"/>
              </w:rPr>
              <w:lastRenderedPageBreak/>
              <w:t xml:space="preserve">The Foundation appealed directly to the Federal Court of Appeal under the </w:t>
            </w:r>
            <w:r w:rsidRPr="00047B76">
              <w:rPr>
                <w:i/>
                <w:sz w:val="20"/>
              </w:rPr>
              <w:t>Income Tax Act</w:t>
            </w:r>
            <w:r w:rsidRPr="00047B76">
              <w:rPr>
                <w:sz w:val="20"/>
              </w:rPr>
              <w:t>, s. 173(1</w:t>
            </w:r>
            <w:proofErr w:type="gramStart"/>
            <w:r w:rsidRPr="00047B76">
              <w:rPr>
                <w:sz w:val="20"/>
              </w:rPr>
              <w:t>)(</w:t>
            </w:r>
            <w:proofErr w:type="gramEnd"/>
            <w:r w:rsidRPr="00047B76">
              <w:rPr>
                <w:i/>
                <w:sz w:val="20"/>
              </w:rPr>
              <w:t>a.1</w:t>
            </w:r>
            <w:r w:rsidRPr="00047B76">
              <w:rPr>
                <w:sz w:val="20"/>
              </w:rPr>
              <w:t>). The Court of Appeal dismissed the appeal.</w:t>
            </w:r>
          </w:p>
          <w:p w:rsidR="0071029D" w:rsidRPr="00047B76" w:rsidRDefault="0071029D" w:rsidP="0023484E">
            <w:pPr>
              <w:jc w:val="both"/>
              <w:rPr>
                <w:sz w:val="20"/>
              </w:rPr>
            </w:pPr>
          </w:p>
        </w:tc>
      </w:tr>
      <w:tr w:rsidR="0071029D" w:rsidRPr="00047B76" w:rsidTr="0023484E">
        <w:tc>
          <w:tcPr>
            <w:tcW w:w="2427" w:type="pct"/>
            <w:gridSpan w:val="2"/>
          </w:tcPr>
          <w:p w:rsidR="0071029D" w:rsidRPr="00047B76" w:rsidRDefault="0071029D" w:rsidP="0023484E">
            <w:pPr>
              <w:jc w:val="both"/>
              <w:rPr>
                <w:sz w:val="20"/>
              </w:rPr>
            </w:pPr>
            <w:r w:rsidRPr="00047B76">
              <w:rPr>
                <w:sz w:val="20"/>
              </w:rPr>
              <w:lastRenderedPageBreak/>
              <w:t>January 30, 2019</w:t>
            </w:r>
          </w:p>
          <w:p w:rsidR="0071029D" w:rsidRPr="00047B76" w:rsidRDefault="0071029D" w:rsidP="0023484E">
            <w:pPr>
              <w:jc w:val="both"/>
              <w:rPr>
                <w:sz w:val="20"/>
              </w:rPr>
            </w:pPr>
            <w:r w:rsidRPr="00047B76">
              <w:rPr>
                <w:sz w:val="20"/>
              </w:rPr>
              <w:t>Federal Court of Appeal</w:t>
            </w:r>
          </w:p>
          <w:p w:rsidR="0071029D" w:rsidRPr="00047B76" w:rsidRDefault="0071029D" w:rsidP="0023484E">
            <w:pPr>
              <w:jc w:val="both"/>
              <w:rPr>
                <w:sz w:val="20"/>
              </w:rPr>
            </w:pPr>
            <w:r w:rsidRPr="00047B76">
              <w:rPr>
                <w:sz w:val="20"/>
              </w:rPr>
              <w:t>(Pelletier, Near, Woods JJ.A.)</w:t>
            </w:r>
          </w:p>
          <w:p w:rsidR="0071029D" w:rsidRPr="00047B76" w:rsidRDefault="0071029D" w:rsidP="0023484E">
            <w:pPr>
              <w:jc w:val="both"/>
              <w:rPr>
                <w:sz w:val="20"/>
              </w:rPr>
            </w:pPr>
            <w:r w:rsidRPr="00047B76">
              <w:rPr>
                <w:sz w:val="20"/>
              </w:rPr>
              <w:t>2019 FCA 21</w:t>
            </w:r>
          </w:p>
          <w:p w:rsidR="0071029D" w:rsidRPr="00047B76" w:rsidRDefault="0071029D" w:rsidP="0023484E">
            <w:pPr>
              <w:jc w:val="both"/>
              <w:rPr>
                <w:sz w:val="20"/>
              </w:rPr>
            </w:pPr>
          </w:p>
        </w:tc>
        <w:tc>
          <w:tcPr>
            <w:tcW w:w="243" w:type="pct"/>
          </w:tcPr>
          <w:p w:rsidR="0071029D" w:rsidRPr="00047B76" w:rsidRDefault="0071029D" w:rsidP="0023484E">
            <w:pPr>
              <w:jc w:val="both"/>
              <w:rPr>
                <w:sz w:val="20"/>
              </w:rPr>
            </w:pPr>
          </w:p>
        </w:tc>
        <w:tc>
          <w:tcPr>
            <w:tcW w:w="2330" w:type="pct"/>
          </w:tcPr>
          <w:p w:rsidR="0071029D" w:rsidRPr="00047B76" w:rsidRDefault="0071029D" w:rsidP="0023484E">
            <w:pPr>
              <w:jc w:val="both"/>
              <w:rPr>
                <w:sz w:val="20"/>
              </w:rPr>
            </w:pPr>
            <w:r w:rsidRPr="00047B76">
              <w:rPr>
                <w:sz w:val="20"/>
              </w:rPr>
              <w:t xml:space="preserve">Appeal of notice of intention to revoke charitable registration under </w:t>
            </w:r>
            <w:r w:rsidRPr="00047B76">
              <w:rPr>
                <w:i/>
                <w:sz w:val="20"/>
              </w:rPr>
              <w:t>Income Tax Act</w:t>
            </w:r>
            <w:r w:rsidRPr="00047B76">
              <w:rPr>
                <w:sz w:val="20"/>
              </w:rPr>
              <w:t>, R.S.C. 1985, c. 1 (5th Supp.), s. 172(3)(</w:t>
            </w:r>
            <w:r w:rsidRPr="00047B76">
              <w:rPr>
                <w:i/>
                <w:sz w:val="20"/>
              </w:rPr>
              <w:t>a.1</w:t>
            </w:r>
            <w:r w:rsidRPr="00047B76">
              <w:rPr>
                <w:sz w:val="20"/>
              </w:rPr>
              <w:t>), dismissed</w:t>
            </w:r>
          </w:p>
          <w:p w:rsidR="0071029D" w:rsidRPr="00047B76" w:rsidRDefault="0071029D" w:rsidP="0023484E">
            <w:pPr>
              <w:jc w:val="both"/>
              <w:rPr>
                <w:sz w:val="20"/>
              </w:rPr>
            </w:pPr>
          </w:p>
        </w:tc>
      </w:tr>
      <w:tr w:rsidR="0071029D" w:rsidRPr="00047B76" w:rsidTr="0023484E">
        <w:tc>
          <w:tcPr>
            <w:tcW w:w="2427" w:type="pct"/>
            <w:gridSpan w:val="2"/>
          </w:tcPr>
          <w:p w:rsidR="0071029D" w:rsidRPr="00047B76" w:rsidRDefault="0071029D" w:rsidP="0023484E">
            <w:pPr>
              <w:jc w:val="both"/>
              <w:rPr>
                <w:sz w:val="20"/>
              </w:rPr>
            </w:pPr>
            <w:r w:rsidRPr="00047B76">
              <w:rPr>
                <w:sz w:val="20"/>
              </w:rPr>
              <w:t>April 1, 2019</w:t>
            </w:r>
          </w:p>
          <w:p w:rsidR="0071029D" w:rsidRPr="00047B76" w:rsidRDefault="0071029D" w:rsidP="0023484E">
            <w:pPr>
              <w:jc w:val="both"/>
              <w:rPr>
                <w:sz w:val="20"/>
              </w:rPr>
            </w:pPr>
            <w:r w:rsidRPr="00047B76">
              <w:rPr>
                <w:sz w:val="20"/>
              </w:rPr>
              <w:t>Supreme Court of Canada</w:t>
            </w:r>
          </w:p>
        </w:tc>
        <w:tc>
          <w:tcPr>
            <w:tcW w:w="243" w:type="pct"/>
          </w:tcPr>
          <w:p w:rsidR="0071029D" w:rsidRPr="00047B76" w:rsidRDefault="0071029D" w:rsidP="0023484E">
            <w:pPr>
              <w:jc w:val="both"/>
              <w:rPr>
                <w:sz w:val="20"/>
              </w:rPr>
            </w:pPr>
          </w:p>
        </w:tc>
        <w:tc>
          <w:tcPr>
            <w:tcW w:w="2330" w:type="pct"/>
          </w:tcPr>
          <w:p w:rsidR="0071029D" w:rsidRPr="00047B76" w:rsidRDefault="0071029D" w:rsidP="0023484E">
            <w:pPr>
              <w:jc w:val="both"/>
              <w:rPr>
                <w:sz w:val="20"/>
              </w:rPr>
            </w:pPr>
            <w:r w:rsidRPr="00047B76">
              <w:rPr>
                <w:sz w:val="20"/>
              </w:rPr>
              <w:t>Application for leave to appeal filed</w:t>
            </w:r>
          </w:p>
        </w:tc>
      </w:tr>
    </w:tbl>
    <w:p w:rsidR="0071029D" w:rsidRPr="00047B76" w:rsidRDefault="0071029D" w:rsidP="0071029D">
      <w:pPr>
        <w:jc w:val="both"/>
        <w:rPr>
          <w:sz w:val="20"/>
        </w:rPr>
      </w:pPr>
    </w:p>
    <w:p w:rsidR="0071029D" w:rsidRPr="00047B76" w:rsidRDefault="009A56E8" w:rsidP="0071029D">
      <w:pPr>
        <w:jc w:val="both"/>
        <w:rPr>
          <w:sz w:val="20"/>
        </w:rPr>
      </w:pPr>
      <w:r>
        <w:rPr>
          <w:sz w:val="20"/>
        </w:rPr>
        <w:pict>
          <v:rect id="_x0000_i1038" style="width:2in;height:1pt" o:hrpct="0" o:hralign="center" o:hrstd="t" o:hrnoshade="t" o:hr="t" fillcolor="black [3213]" stroked="f"/>
        </w:pict>
      </w:r>
    </w:p>
    <w:p w:rsidR="0071029D" w:rsidRPr="00047B76" w:rsidRDefault="0071029D" w:rsidP="0071029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1029D" w:rsidRPr="00047B76" w:rsidTr="0023484E">
        <w:tc>
          <w:tcPr>
            <w:tcW w:w="543" w:type="pct"/>
          </w:tcPr>
          <w:p w:rsidR="0071029D" w:rsidRPr="00047B76" w:rsidRDefault="0071029D" w:rsidP="0023484E">
            <w:pPr>
              <w:jc w:val="both"/>
              <w:rPr>
                <w:sz w:val="20"/>
                <w:lang w:val="fr-CA"/>
              </w:rPr>
            </w:pPr>
            <w:r w:rsidRPr="00047B76">
              <w:rPr>
                <w:rStyle w:val="SCCFileNumberChar"/>
                <w:sz w:val="20"/>
                <w:szCs w:val="20"/>
                <w:lang w:val="fr-CA"/>
              </w:rPr>
              <w:t>38579</w:t>
            </w:r>
          </w:p>
        </w:tc>
        <w:tc>
          <w:tcPr>
            <w:tcW w:w="4457" w:type="pct"/>
            <w:gridSpan w:val="3"/>
          </w:tcPr>
          <w:p w:rsidR="0071029D" w:rsidRPr="00047B76" w:rsidRDefault="0071029D" w:rsidP="0023484E">
            <w:pPr>
              <w:pStyle w:val="SCCLsocParty"/>
              <w:jc w:val="both"/>
              <w:rPr>
                <w:b/>
                <w:sz w:val="20"/>
                <w:szCs w:val="20"/>
              </w:rPr>
            </w:pPr>
            <w:proofErr w:type="spellStart"/>
            <w:r w:rsidRPr="00047B76">
              <w:rPr>
                <w:b/>
                <w:sz w:val="20"/>
                <w:szCs w:val="20"/>
              </w:rPr>
              <w:t>Ark</w:t>
            </w:r>
            <w:proofErr w:type="spellEnd"/>
            <w:r w:rsidRPr="00047B76">
              <w:rPr>
                <w:b/>
                <w:sz w:val="20"/>
                <w:szCs w:val="20"/>
              </w:rPr>
              <w:t xml:space="preserve"> Angel </w:t>
            </w:r>
            <w:proofErr w:type="spellStart"/>
            <w:r w:rsidRPr="00047B76">
              <w:rPr>
                <w:b/>
                <w:sz w:val="20"/>
                <w:szCs w:val="20"/>
              </w:rPr>
              <w:t>Foundation</w:t>
            </w:r>
            <w:proofErr w:type="spellEnd"/>
            <w:r w:rsidRPr="00047B76">
              <w:rPr>
                <w:b/>
                <w:sz w:val="20"/>
                <w:szCs w:val="20"/>
              </w:rPr>
              <w:t xml:space="preserve"> c. Ministre du Revenu national</w:t>
            </w:r>
          </w:p>
          <w:p w:rsidR="0071029D" w:rsidRPr="00047B76" w:rsidRDefault="0071029D" w:rsidP="0023484E">
            <w:pPr>
              <w:jc w:val="both"/>
              <w:rPr>
                <w:sz w:val="20"/>
                <w:lang w:val="fr-CA"/>
              </w:rPr>
            </w:pPr>
            <w:r w:rsidRPr="00047B76">
              <w:rPr>
                <w:sz w:val="20"/>
                <w:lang w:val="fr-CA"/>
              </w:rPr>
              <w:t>(C.F.) (Civile) (Autorisation)</w:t>
            </w:r>
          </w:p>
        </w:tc>
      </w:tr>
      <w:tr w:rsidR="00E80644" w:rsidRPr="00957F6E" w:rsidTr="0023484E">
        <w:tc>
          <w:tcPr>
            <w:tcW w:w="5000" w:type="pct"/>
            <w:gridSpan w:val="4"/>
          </w:tcPr>
          <w:p w:rsidR="00E80644" w:rsidRPr="00047B76" w:rsidRDefault="00AF4710" w:rsidP="0023484E">
            <w:pPr>
              <w:jc w:val="both"/>
              <w:rPr>
                <w:sz w:val="20"/>
                <w:szCs w:val="20"/>
                <w:lang w:val="fr-CA"/>
              </w:rPr>
            </w:pPr>
            <w:r w:rsidRPr="00047B76">
              <w:rPr>
                <w:sz w:val="20"/>
                <w:szCs w:val="20"/>
                <w:lang w:val="fr-CA"/>
              </w:rPr>
              <w:t>La demande d’autorisation d’appel de l’arrêt de la Cour d’appel fédérale, numéro A-147-17, 2019 CAF 21, daté du 30 janvier 2019, est rejetée avec dépens.</w:t>
            </w:r>
          </w:p>
          <w:p w:rsidR="00AF4710" w:rsidRPr="00047B76" w:rsidRDefault="00AF4710" w:rsidP="0023484E">
            <w:pPr>
              <w:jc w:val="both"/>
              <w:rPr>
                <w:sz w:val="20"/>
                <w:lang w:val="fr-CA"/>
              </w:rPr>
            </w:pPr>
          </w:p>
        </w:tc>
      </w:tr>
      <w:tr w:rsidR="0071029D" w:rsidRPr="00957F6E" w:rsidTr="0023484E">
        <w:tc>
          <w:tcPr>
            <w:tcW w:w="5000" w:type="pct"/>
            <w:gridSpan w:val="4"/>
          </w:tcPr>
          <w:p w:rsidR="0071029D" w:rsidRPr="00047B76" w:rsidRDefault="0071029D" w:rsidP="0023484E">
            <w:pPr>
              <w:jc w:val="both"/>
              <w:rPr>
                <w:sz w:val="20"/>
                <w:lang w:val="fr-CA"/>
              </w:rPr>
            </w:pPr>
            <w:r w:rsidRPr="00047B76">
              <w:rPr>
                <w:sz w:val="20"/>
                <w:lang w:val="fr-CA"/>
              </w:rPr>
              <w:t>Droit fiscal — Impôt sur le revenu — Enregistrement à titre de fondation de bienfaisance — Révocation de l’enregistrement — Le ministre du Revenu national a</w:t>
            </w:r>
            <w:r w:rsidRPr="00047B76">
              <w:rPr>
                <w:sz w:val="20"/>
                <w:lang w:val="fr-CA"/>
              </w:rPr>
              <w:noBreakHyphen/>
              <w:t>t</w:t>
            </w:r>
            <w:r w:rsidRPr="00047B76">
              <w:rPr>
                <w:sz w:val="20"/>
                <w:lang w:val="fr-CA"/>
              </w:rPr>
              <w:noBreakHyphen/>
              <w:t>il le pouvoir de révoquer légalement l’enregistrement d’une fondation de bienfaisance qui ne se livre pas à des activités de bienfaisance faute d’avoir consacré la totalité de ses ressources à de telles activités? — Quelles sont les limites du pouvoir du ministre de révoquer l’enregistrement d’un organisme de bienfaisance pour des livres et des registres de comptes inadéquats?</w:t>
            </w:r>
          </w:p>
        </w:tc>
      </w:tr>
      <w:tr w:rsidR="0071029D" w:rsidRPr="00957F6E" w:rsidTr="0023484E">
        <w:tc>
          <w:tcPr>
            <w:tcW w:w="5000" w:type="pct"/>
            <w:gridSpan w:val="4"/>
          </w:tcPr>
          <w:p w:rsidR="0071029D" w:rsidRPr="00047B76" w:rsidRDefault="0071029D" w:rsidP="0023484E">
            <w:pPr>
              <w:jc w:val="both"/>
              <w:rPr>
                <w:sz w:val="20"/>
                <w:lang w:val="fr-CA"/>
              </w:rPr>
            </w:pPr>
          </w:p>
        </w:tc>
      </w:tr>
      <w:tr w:rsidR="0071029D" w:rsidRPr="00047B76" w:rsidTr="0023484E">
        <w:tc>
          <w:tcPr>
            <w:tcW w:w="5000" w:type="pct"/>
            <w:gridSpan w:val="4"/>
          </w:tcPr>
          <w:p w:rsidR="0071029D" w:rsidRPr="00047B76" w:rsidRDefault="0071029D" w:rsidP="0023484E">
            <w:pPr>
              <w:jc w:val="both"/>
              <w:rPr>
                <w:sz w:val="20"/>
                <w:lang w:val="fr-CA"/>
              </w:rPr>
            </w:pPr>
            <w:r w:rsidRPr="00047B76">
              <w:rPr>
                <w:sz w:val="20"/>
                <w:lang w:val="fr-CA"/>
              </w:rPr>
              <w:t>L’</w:t>
            </w:r>
            <w:proofErr w:type="spellStart"/>
            <w:r w:rsidRPr="00047B76">
              <w:rPr>
                <w:sz w:val="20"/>
                <w:lang w:val="fr-CA"/>
              </w:rPr>
              <w:t>Ark</w:t>
            </w:r>
            <w:proofErr w:type="spellEnd"/>
            <w:r w:rsidRPr="00047B76">
              <w:rPr>
                <w:sz w:val="20"/>
                <w:lang w:val="fr-CA"/>
              </w:rPr>
              <w:t xml:space="preserve"> Angel </w:t>
            </w:r>
            <w:proofErr w:type="spellStart"/>
            <w:r w:rsidRPr="00047B76">
              <w:rPr>
                <w:sz w:val="20"/>
                <w:lang w:val="fr-CA"/>
              </w:rPr>
              <w:t>Foundation</w:t>
            </w:r>
            <w:proofErr w:type="spellEnd"/>
            <w:r w:rsidRPr="00047B76">
              <w:rPr>
                <w:sz w:val="20"/>
                <w:lang w:val="fr-CA"/>
              </w:rPr>
              <w:t xml:space="preserve"> </w:t>
            </w:r>
            <w:r w:rsidRPr="00047B76">
              <w:rPr>
                <w:color w:val="000000"/>
                <w:sz w:val="20"/>
                <w:shd w:val="clear" w:color="auto" w:fill="FFFFFF"/>
                <w:lang w:val="fr-CA"/>
              </w:rPr>
              <w:t>a été constituée en 1998 sous le régime de la </w:t>
            </w:r>
            <w:r w:rsidRPr="00047B76">
              <w:rPr>
                <w:rStyle w:val="Emphasis"/>
                <w:sz w:val="20"/>
                <w:shd w:val="clear" w:color="auto" w:fill="FFFFFF"/>
                <w:lang w:val="fr-CA"/>
              </w:rPr>
              <w:t>Loi sur les corporations canadiennes</w:t>
            </w:r>
            <w:r w:rsidRPr="00047B76">
              <w:rPr>
                <w:sz w:val="20"/>
                <w:shd w:val="clear" w:color="auto" w:fill="FFFFFF"/>
                <w:lang w:val="fr-CA"/>
              </w:rPr>
              <w:t>, L.R.C. 1982, ch. C</w:t>
            </w:r>
            <w:r w:rsidRPr="00047B76">
              <w:rPr>
                <w:sz w:val="20"/>
                <w:shd w:val="clear" w:color="auto" w:fill="FFFFFF"/>
                <w:lang w:val="fr-CA"/>
              </w:rPr>
              <w:noBreakHyphen/>
              <w:t>32</w:t>
            </w:r>
            <w:r w:rsidRPr="00047B76">
              <w:rPr>
                <w:sz w:val="20"/>
                <w:lang w:val="fr-CA"/>
              </w:rPr>
              <w:t>. Elle a été enregistrée à titre de fondation de bienfaisance au cours de la même année. Ayant effectué une vérification de la Fondation portant sur la période du 1</w:t>
            </w:r>
            <w:r w:rsidRPr="00047B76">
              <w:rPr>
                <w:sz w:val="20"/>
                <w:vertAlign w:val="superscript"/>
                <w:lang w:val="fr-CA"/>
              </w:rPr>
              <w:t>er</w:t>
            </w:r>
            <w:r w:rsidRPr="00047B76">
              <w:rPr>
                <w:sz w:val="20"/>
                <w:lang w:val="fr-CA"/>
              </w:rPr>
              <w:t xml:space="preserve"> décembre 2008 au 30 novembre 2010, la Division de la vérification de l’ARC a envoyé à la Fondation une « lettre d’équité administrative » qui décrivait les manquements relevés lors de la vérification (défaut de tenir les livres voulus et défaut de consacrer la totalité des ressources de la Fondation à des activités de bienfaisance) et qui donnait à la Fondation la possibilité de répondre. L’ARC a affirmé que les livres ne fournissaient pas suffisamment de renseignements pour permettre au ministre de déterminer s’il existait des motifs de révocation de l’enregistrement de l’organisme de bienfaisance et, en particulier, si certains paiements faits à un des membres du conseil de la Fondation avaient été faits à des fins de bienfaisance. Après l’examen de la réponse de la Fondation, un avis d’intention de révoquer l’enregistrement a été délivré. L’avis réitérait les préoccupations et expliquait les exigences imposées aux fondations de bienfaisance par la </w:t>
            </w:r>
            <w:r w:rsidRPr="00047B76">
              <w:rPr>
                <w:i/>
                <w:sz w:val="20"/>
                <w:lang w:val="fr-CA"/>
              </w:rPr>
              <w:t>Loi de l’impôt sur le revenu</w:t>
            </w:r>
            <w:r w:rsidRPr="00047B76">
              <w:rPr>
                <w:sz w:val="20"/>
                <w:lang w:val="fr-CA"/>
              </w:rPr>
              <w:t>, L.R.C. 1985, ch. 1 (5</w:t>
            </w:r>
            <w:r w:rsidRPr="00047B76">
              <w:rPr>
                <w:sz w:val="20"/>
                <w:vertAlign w:val="superscript"/>
                <w:lang w:val="fr-CA"/>
              </w:rPr>
              <w:t>e</w:t>
            </w:r>
            <w:r w:rsidRPr="00047B76">
              <w:rPr>
                <w:sz w:val="20"/>
                <w:lang w:val="fr-CA"/>
              </w:rPr>
              <w:t xml:space="preserve"> suppl.). La Fondation a déposé un avis d’opposition qui énonçait ses préoccupations à l’égard du processus. La Direction des appels a réitéré les préoccupations initiales, confirmé l’avis d’intention de révoquer l’enregistrement et permis à la Fondation de présenter d’autres observations. Les observations de la Fondation alléguaient d’autres lacunes dans la lettre de la Direction des appels, mais n’ont fourni aucune réponse utile aux préoccupations de fond soulevées. L’avis d’intention de révoquer l’enregistrement a été confirmé par voie de lettre indiquant que les observations supplémentaires de la Fondation n’abordaient pas les manquements soulevés par la Direction des appels.</w:t>
            </w:r>
          </w:p>
          <w:p w:rsidR="0071029D" w:rsidRPr="00047B76" w:rsidRDefault="0071029D" w:rsidP="0023484E">
            <w:pPr>
              <w:jc w:val="both"/>
              <w:rPr>
                <w:sz w:val="20"/>
                <w:lang w:val="fr-CA"/>
              </w:rPr>
            </w:pPr>
          </w:p>
          <w:p w:rsidR="0071029D" w:rsidRPr="00047B76" w:rsidRDefault="0071029D" w:rsidP="0023484E">
            <w:pPr>
              <w:jc w:val="both"/>
              <w:rPr>
                <w:sz w:val="20"/>
                <w:lang w:val="fr-CA"/>
              </w:rPr>
            </w:pPr>
            <w:r w:rsidRPr="00047B76">
              <w:rPr>
                <w:sz w:val="20"/>
                <w:lang w:val="fr-CA"/>
              </w:rPr>
              <w:t xml:space="preserve">La Fondation a interjeté directement appel à la Cour d’appel fédérale au titre de la </w:t>
            </w:r>
            <w:r w:rsidRPr="00047B76">
              <w:rPr>
                <w:i/>
                <w:sz w:val="20"/>
                <w:lang w:val="fr-CA"/>
              </w:rPr>
              <w:t>Loi de l’impôt sur le revenu</w:t>
            </w:r>
            <w:r w:rsidRPr="00047B76">
              <w:rPr>
                <w:sz w:val="20"/>
                <w:lang w:val="fr-CA"/>
              </w:rPr>
              <w:t>, al. 173(1</w:t>
            </w:r>
            <w:proofErr w:type="gramStart"/>
            <w:r w:rsidRPr="00047B76">
              <w:rPr>
                <w:sz w:val="20"/>
                <w:lang w:val="fr-CA"/>
              </w:rPr>
              <w:t>)a.1</w:t>
            </w:r>
            <w:proofErr w:type="gramEnd"/>
            <w:r w:rsidRPr="00047B76">
              <w:rPr>
                <w:sz w:val="20"/>
                <w:lang w:val="fr-CA"/>
              </w:rPr>
              <w:t>). La Cour d’appel a rejeté l’appel.</w:t>
            </w:r>
          </w:p>
          <w:p w:rsidR="0071029D" w:rsidRPr="00047B76" w:rsidRDefault="0071029D" w:rsidP="0023484E">
            <w:pPr>
              <w:jc w:val="both"/>
              <w:rPr>
                <w:sz w:val="20"/>
                <w:lang w:val="fr-CA"/>
              </w:rPr>
            </w:pPr>
          </w:p>
        </w:tc>
      </w:tr>
      <w:tr w:rsidR="0071029D" w:rsidRPr="00957F6E" w:rsidTr="0023484E">
        <w:tc>
          <w:tcPr>
            <w:tcW w:w="2427" w:type="pct"/>
            <w:gridSpan w:val="2"/>
          </w:tcPr>
          <w:p w:rsidR="0071029D" w:rsidRPr="00047B76" w:rsidRDefault="0071029D" w:rsidP="0023484E">
            <w:pPr>
              <w:jc w:val="both"/>
              <w:rPr>
                <w:sz w:val="20"/>
                <w:lang w:val="fr-CA"/>
              </w:rPr>
            </w:pPr>
            <w:r w:rsidRPr="00047B76">
              <w:rPr>
                <w:sz w:val="20"/>
                <w:lang w:val="fr-CA"/>
              </w:rPr>
              <w:t>30 janvier 2019</w:t>
            </w:r>
          </w:p>
          <w:p w:rsidR="0071029D" w:rsidRPr="00047B76" w:rsidRDefault="0071029D" w:rsidP="0023484E">
            <w:pPr>
              <w:jc w:val="both"/>
              <w:rPr>
                <w:sz w:val="20"/>
                <w:lang w:val="fr-CA"/>
              </w:rPr>
            </w:pPr>
            <w:r w:rsidRPr="00047B76">
              <w:rPr>
                <w:sz w:val="20"/>
                <w:lang w:val="fr-CA"/>
              </w:rPr>
              <w:t>Cour d’appel fédérale</w:t>
            </w:r>
          </w:p>
          <w:p w:rsidR="0071029D" w:rsidRPr="00047B76" w:rsidRDefault="0071029D" w:rsidP="0023484E">
            <w:pPr>
              <w:jc w:val="both"/>
              <w:rPr>
                <w:sz w:val="20"/>
                <w:lang w:val="fr-CA"/>
              </w:rPr>
            </w:pPr>
            <w:r w:rsidRPr="00047B76">
              <w:rPr>
                <w:sz w:val="20"/>
                <w:lang w:val="fr-CA"/>
              </w:rPr>
              <w:t>(Juges Pelletier, Near et Woods)</w:t>
            </w:r>
          </w:p>
          <w:p w:rsidR="0071029D" w:rsidRPr="00047B76" w:rsidRDefault="0071029D" w:rsidP="0023484E">
            <w:pPr>
              <w:jc w:val="both"/>
              <w:rPr>
                <w:sz w:val="20"/>
                <w:lang w:val="fr-CA"/>
              </w:rPr>
            </w:pPr>
            <w:r w:rsidRPr="00047B76">
              <w:rPr>
                <w:sz w:val="20"/>
                <w:lang w:val="fr-CA"/>
              </w:rPr>
              <w:t>2019 CAF 21</w:t>
            </w:r>
          </w:p>
          <w:p w:rsidR="0071029D" w:rsidRPr="00047B76" w:rsidRDefault="0071029D" w:rsidP="0023484E">
            <w:pPr>
              <w:jc w:val="both"/>
              <w:rPr>
                <w:sz w:val="20"/>
                <w:lang w:val="fr-CA"/>
              </w:rPr>
            </w:pPr>
          </w:p>
        </w:tc>
        <w:tc>
          <w:tcPr>
            <w:tcW w:w="243" w:type="pct"/>
          </w:tcPr>
          <w:p w:rsidR="0071029D" w:rsidRPr="00047B76" w:rsidRDefault="0071029D" w:rsidP="0023484E">
            <w:pPr>
              <w:jc w:val="both"/>
              <w:rPr>
                <w:sz w:val="20"/>
                <w:lang w:val="fr-CA"/>
              </w:rPr>
            </w:pPr>
          </w:p>
        </w:tc>
        <w:tc>
          <w:tcPr>
            <w:tcW w:w="2330" w:type="pct"/>
          </w:tcPr>
          <w:p w:rsidR="0071029D" w:rsidRPr="00047B76" w:rsidRDefault="0071029D" w:rsidP="0023484E">
            <w:pPr>
              <w:jc w:val="both"/>
              <w:rPr>
                <w:sz w:val="20"/>
                <w:lang w:val="fr-CA"/>
              </w:rPr>
            </w:pPr>
            <w:r w:rsidRPr="00047B76">
              <w:rPr>
                <w:sz w:val="20"/>
                <w:lang w:val="fr-CA"/>
              </w:rPr>
              <w:t>Rejet de l’appel de l’avis d’intention de révoquer l’enregistrement à titre d’organisme de bienfaisance au titre de la </w:t>
            </w:r>
            <w:r w:rsidRPr="00047B76">
              <w:rPr>
                <w:i/>
                <w:sz w:val="20"/>
                <w:lang w:val="fr-CA"/>
              </w:rPr>
              <w:t xml:space="preserve"> Loi de l’impôt sur le revenu</w:t>
            </w:r>
            <w:r w:rsidRPr="00047B76">
              <w:rPr>
                <w:sz w:val="20"/>
                <w:lang w:val="fr-CA"/>
              </w:rPr>
              <w:t>, L.R.C. 1985, ch. 1 (5</w:t>
            </w:r>
            <w:r w:rsidRPr="00047B76">
              <w:rPr>
                <w:sz w:val="20"/>
                <w:vertAlign w:val="superscript"/>
                <w:lang w:val="fr-CA"/>
              </w:rPr>
              <w:t>e</w:t>
            </w:r>
            <w:r w:rsidRPr="00047B76">
              <w:rPr>
                <w:sz w:val="20"/>
                <w:lang w:val="fr-CA"/>
              </w:rPr>
              <w:t xml:space="preserve"> suppl.), al. 172(3</w:t>
            </w:r>
            <w:proofErr w:type="gramStart"/>
            <w:r w:rsidRPr="00047B76">
              <w:rPr>
                <w:sz w:val="20"/>
                <w:lang w:val="fr-CA"/>
              </w:rPr>
              <w:t>)</w:t>
            </w:r>
            <w:r w:rsidRPr="00047B76">
              <w:rPr>
                <w:i/>
                <w:sz w:val="20"/>
                <w:lang w:val="fr-CA"/>
              </w:rPr>
              <w:t>a.1</w:t>
            </w:r>
            <w:proofErr w:type="gramEnd"/>
            <w:r w:rsidRPr="00047B76">
              <w:rPr>
                <w:sz w:val="20"/>
                <w:lang w:val="fr-CA"/>
              </w:rPr>
              <w:t xml:space="preserve">), </w:t>
            </w:r>
          </w:p>
        </w:tc>
      </w:tr>
    </w:tbl>
    <w:p w:rsidR="00900ECD" w:rsidRPr="00047B76" w:rsidRDefault="00900ECD">
      <w:pPr>
        <w:rPr>
          <w:lang w:val="fr-CA"/>
        </w:rPr>
      </w:pPr>
      <w:r w:rsidRPr="00047B76">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1029D" w:rsidRPr="00957F6E" w:rsidTr="0023484E">
        <w:tc>
          <w:tcPr>
            <w:tcW w:w="2427" w:type="pct"/>
          </w:tcPr>
          <w:p w:rsidR="0071029D" w:rsidRPr="00047B76" w:rsidRDefault="0071029D" w:rsidP="0023484E">
            <w:pPr>
              <w:jc w:val="both"/>
              <w:rPr>
                <w:sz w:val="20"/>
                <w:lang w:val="fr-CA"/>
              </w:rPr>
            </w:pPr>
            <w:r w:rsidRPr="00047B76">
              <w:rPr>
                <w:sz w:val="20"/>
                <w:lang w:val="fr-CA"/>
              </w:rPr>
              <w:lastRenderedPageBreak/>
              <w:t>1</w:t>
            </w:r>
            <w:r w:rsidRPr="00047B76">
              <w:rPr>
                <w:sz w:val="20"/>
                <w:vertAlign w:val="superscript"/>
                <w:lang w:val="fr-CA"/>
              </w:rPr>
              <w:t>er</w:t>
            </w:r>
            <w:r w:rsidRPr="00047B76">
              <w:rPr>
                <w:sz w:val="20"/>
                <w:lang w:val="fr-CA"/>
              </w:rPr>
              <w:t> avril 2019</w:t>
            </w:r>
          </w:p>
          <w:p w:rsidR="0071029D" w:rsidRPr="00047B76" w:rsidRDefault="0071029D" w:rsidP="0023484E">
            <w:pPr>
              <w:jc w:val="both"/>
              <w:rPr>
                <w:sz w:val="20"/>
                <w:lang w:val="fr-CA"/>
              </w:rPr>
            </w:pPr>
            <w:r w:rsidRPr="00047B76">
              <w:rPr>
                <w:sz w:val="20"/>
                <w:lang w:val="fr-CA"/>
              </w:rPr>
              <w:t>Cour suprême du Canada</w:t>
            </w:r>
          </w:p>
        </w:tc>
        <w:tc>
          <w:tcPr>
            <w:tcW w:w="243" w:type="pct"/>
          </w:tcPr>
          <w:p w:rsidR="0071029D" w:rsidRPr="00047B76" w:rsidRDefault="0071029D" w:rsidP="0023484E">
            <w:pPr>
              <w:jc w:val="both"/>
              <w:rPr>
                <w:sz w:val="20"/>
                <w:lang w:val="fr-CA"/>
              </w:rPr>
            </w:pPr>
          </w:p>
        </w:tc>
        <w:tc>
          <w:tcPr>
            <w:tcW w:w="2330" w:type="pct"/>
          </w:tcPr>
          <w:p w:rsidR="0071029D" w:rsidRPr="00047B76" w:rsidRDefault="0071029D" w:rsidP="0023484E">
            <w:pPr>
              <w:jc w:val="both"/>
              <w:rPr>
                <w:sz w:val="20"/>
                <w:lang w:val="fr-CA"/>
              </w:rPr>
            </w:pPr>
            <w:r w:rsidRPr="00047B76">
              <w:rPr>
                <w:sz w:val="20"/>
                <w:lang w:val="fr-CA"/>
              </w:rPr>
              <w:t>Dépôt de la demande d’autorisation d’appel</w:t>
            </w:r>
          </w:p>
        </w:tc>
      </w:tr>
    </w:tbl>
    <w:p w:rsidR="0071029D" w:rsidRPr="00047B76" w:rsidRDefault="0071029D" w:rsidP="0071029D">
      <w:pPr>
        <w:jc w:val="both"/>
        <w:rPr>
          <w:sz w:val="20"/>
          <w:lang w:val="fr-CA"/>
        </w:rPr>
      </w:pPr>
    </w:p>
    <w:p w:rsidR="0071029D" w:rsidRPr="00047B76" w:rsidRDefault="009A56E8" w:rsidP="0071029D">
      <w:pPr>
        <w:jc w:val="both"/>
        <w:rPr>
          <w:sz w:val="20"/>
          <w:lang w:val="fr-CA"/>
        </w:rPr>
      </w:pPr>
      <w:r>
        <w:rPr>
          <w:sz w:val="20"/>
        </w:rPr>
        <w:pict>
          <v:rect id="_x0000_i1039" style="width:2in;height:1pt" o:hrpct="0" o:hralign="center" o:hrstd="t" o:hrnoshade="t" o:hr="t" fillcolor="black [3213]" stroked="f"/>
        </w:pict>
      </w:r>
    </w:p>
    <w:p w:rsidR="0071029D" w:rsidRPr="00047B76" w:rsidRDefault="0071029D" w:rsidP="0071029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1029D" w:rsidRPr="00047B76" w:rsidTr="0023484E">
        <w:tc>
          <w:tcPr>
            <w:tcW w:w="543" w:type="pct"/>
          </w:tcPr>
          <w:p w:rsidR="0071029D" w:rsidRPr="00047B76" w:rsidRDefault="0071029D" w:rsidP="0023484E">
            <w:pPr>
              <w:jc w:val="both"/>
              <w:rPr>
                <w:sz w:val="20"/>
              </w:rPr>
            </w:pPr>
            <w:r w:rsidRPr="00047B76">
              <w:rPr>
                <w:rStyle w:val="SCCFileNumberChar"/>
                <w:sz w:val="20"/>
                <w:szCs w:val="20"/>
              </w:rPr>
              <w:t>38704</w:t>
            </w:r>
          </w:p>
        </w:tc>
        <w:tc>
          <w:tcPr>
            <w:tcW w:w="4457" w:type="pct"/>
            <w:gridSpan w:val="3"/>
          </w:tcPr>
          <w:p w:rsidR="0071029D" w:rsidRPr="00047B76" w:rsidRDefault="0071029D" w:rsidP="0023484E">
            <w:pPr>
              <w:pStyle w:val="SCCLsocParty"/>
              <w:jc w:val="both"/>
              <w:rPr>
                <w:b/>
                <w:sz w:val="20"/>
                <w:szCs w:val="20"/>
                <w:lang w:val="en-US"/>
              </w:rPr>
            </w:pPr>
            <w:r w:rsidRPr="00047B76">
              <w:rPr>
                <w:b/>
                <w:sz w:val="20"/>
                <w:szCs w:val="20"/>
                <w:lang w:val="en-US"/>
              </w:rPr>
              <w:t>Feng Yun Shao, also known Shao Feng Yun, also known as Amy Barsha Washington v. Mei Zhen Wang</w:t>
            </w:r>
          </w:p>
          <w:p w:rsidR="0071029D" w:rsidRPr="00047B76" w:rsidRDefault="0071029D" w:rsidP="0023484E">
            <w:pPr>
              <w:jc w:val="both"/>
              <w:rPr>
                <w:sz w:val="20"/>
              </w:rPr>
            </w:pPr>
            <w:r w:rsidRPr="00047B76">
              <w:rPr>
                <w:sz w:val="20"/>
              </w:rPr>
              <w:t>(B.C.) (Civil) (By Leave)</w:t>
            </w:r>
          </w:p>
        </w:tc>
      </w:tr>
      <w:tr w:rsidR="00E80644" w:rsidRPr="00047B76" w:rsidTr="0023484E">
        <w:tc>
          <w:tcPr>
            <w:tcW w:w="5000" w:type="pct"/>
            <w:gridSpan w:val="4"/>
          </w:tcPr>
          <w:p w:rsidR="00E80644" w:rsidRPr="00047B76" w:rsidRDefault="00A35FB9" w:rsidP="0023484E">
            <w:pPr>
              <w:jc w:val="both"/>
              <w:rPr>
                <w:sz w:val="20"/>
                <w:szCs w:val="20"/>
              </w:rPr>
            </w:pPr>
            <w:r w:rsidRPr="00047B76">
              <w:rPr>
                <w:sz w:val="20"/>
                <w:szCs w:val="20"/>
              </w:rPr>
              <w:t>The application for leave to appeal from the judgment of the Court of Appeal for British Columbia (Vancouver), Number CA45217, 2019 BCCA 130, dated April 23, 2019, is dismissed with costs.</w:t>
            </w:r>
          </w:p>
          <w:p w:rsidR="00A35FB9" w:rsidRPr="00047B76" w:rsidRDefault="00A35FB9" w:rsidP="0023484E">
            <w:pPr>
              <w:jc w:val="both"/>
              <w:rPr>
                <w:sz w:val="20"/>
              </w:rPr>
            </w:pPr>
          </w:p>
        </w:tc>
      </w:tr>
      <w:tr w:rsidR="0071029D" w:rsidRPr="00047B76" w:rsidTr="0023484E">
        <w:tc>
          <w:tcPr>
            <w:tcW w:w="5000" w:type="pct"/>
            <w:gridSpan w:val="4"/>
          </w:tcPr>
          <w:p w:rsidR="0071029D" w:rsidRPr="00047B76" w:rsidRDefault="0071029D" w:rsidP="0023484E">
            <w:pPr>
              <w:jc w:val="both"/>
              <w:rPr>
                <w:sz w:val="20"/>
              </w:rPr>
            </w:pPr>
            <w:r w:rsidRPr="00047B76">
              <w:rPr>
                <w:sz w:val="20"/>
              </w:rPr>
              <w:t>Contracts — Formation — Contract of sale and purchase of residential property — Before making offer of purchase, buyer asked vendor why property was being sold — Buyer told reason for sale was vendor’s grand</w:t>
            </w:r>
            <w:r w:rsidRPr="00047B76">
              <w:rPr>
                <w:sz w:val="20"/>
              </w:rPr>
              <w:noBreakHyphen/>
              <w:t>daughter’s enrollment in school in different part of city — Agreement of purchase and sale entered into — Buyer subsequently learning there was a murder outside the property — Buyer refusing to complete transaction — Vendor claiming breach of contract —Buyer claiming right to rescind contract based on vendor having made fraudulent misrepresentation — When is materiality a requirement to establish actionable misrepresentation? — Where there is a misrepresentation by omission, what is material? — In the context of real estate transactions, should there be an obligation to disclose serious crimes peculiarly within the knowledge of the vendor which could negatively affect the value of property?</w:t>
            </w:r>
          </w:p>
        </w:tc>
      </w:tr>
      <w:tr w:rsidR="0071029D" w:rsidRPr="00047B76" w:rsidTr="0023484E">
        <w:tc>
          <w:tcPr>
            <w:tcW w:w="5000" w:type="pct"/>
            <w:gridSpan w:val="4"/>
          </w:tcPr>
          <w:p w:rsidR="0071029D" w:rsidRPr="00047B76" w:rsidRDefault="0071029D" w:rsidP="0023484E">
            <w:pPr>
              <w:jc w:val="both"/>
              <w:rPr>
                <w:sz w:val="20"/>
              </w:rPr>
            </w:pPr>
          </w:p>
        </w:tc>
      </w:tr>
      <w:tr w:rsidR="0071029D" w:rsidRPr="00047B76" w:rsidTr="0023484E">
        <w:tc>
          <w:tcPr>
            <w:tcW w:w="5000" w:type="pct"/>
            <w:gridSpan w:val="4"/>
          </w:tcPr>
          <w:p w:rsidR="0071029D" w:rsidRPr="00047B76" w:rsidRDefault="0071029D" w:rsidP="0023484E">
            <w:pPr>
              <w:jc w:val="both"/>
              <w:rPr>
                <w:sz w:val="20"/>
              </w:rPr>
            </w:pPr>
            <w:r w:rsidRPr="00047B76">
              <w:rPr>
                <w:sz w:val="20"/>
              </w:rPr>
              <w:t>This case concerns the collapsed sale of a luxury home in Vancouver. The central issue concerns the response that that vendor, Ms. Wang, gave to the intended buyer, Ms. Shao, when the latter inquired about why the vendor wanted to sell the property. Ms. Shao was told that the reason for selling was that the vendor’s grand</w:t>
            </w:r>
            <w:r w:rsidRPr="00047B76">
              <w:rPr>
                <w:sz w:val="20"/>
              </w:rPr>
              <w:noBreakHyphen/>
              <w:t>daughter had moved to a school in a different part of the city. The vendor and buyer entered into a contract of sale and purchase. Before the closing date, the buyer learned that an alleged gangster had been shot fatally near the front entrance of the property. The death was an unsolved murder and the victim was the vendor’s son</w:t>
            </w:r>
            <w:r w:rsidRPr="00047B76">
              <w:rPr>
                <w:sz w:val="20"/>
              </w:rPr>
              <w:noBreakHyphen/>
              <w:t>in</w:t>
            </w:r>
            <w:r w:rsidRPr="00047B76">
              <w:rPr>
                <w:sz w:val="20"/>
              </w:rPr>
              <w:noBreakHyphen/>
              <w:t>law, who had resided at the property. The buyer decided not to complete the transaction. The vendor initiated a civil claim against the buyer for breach of contract. The buyer counterclaimed, asserting that the vendor had fraudulently misrepresented the state of the property and the prior incidents on the property. The trial judge held that the vendor had made a fraudulent representation that vitiated the contract of purchase and sale. The Court of Appeal overturned the trial judge, finding he had erred in characterizing the vendor’s representation about the reason for selling as incomplete and designed to conceal the place and manner of her son</w:t>
            </w:r>
            <w:r w:rsidRPr="00047B76">
              <w:rPr>
                <w:sz w:val="20"/>
              </w:rPr>
              <w:noBreakHyphen/>
              <w:t>in</w:t>
            </w:r>
            <w:r w:rsidRPr="00047B76">
              <w:rPr>
                <w:sz w:val="20"/>
              </w:rPr>
              <w:noBreakHyphen/>
              <w:t>law’s death.</w:t>
            </w:r>
          </w:p>
          <w:p w:rsidR="0071029D" w:rsidRPr="00047B76" w:rsidRDefault="0071029D" w:rsidP="0023484E">
            <w:pPr>
              <w:jc w:val="both"/>
              <w:rPr>
                <w:sz w:val="20"/>
              </w:rPr>
            </w:pPr>
          </w:p>
        </w:tc>
      </w:tr>
      <w:tr w:rsidR="0071029D" w:rsidRPr="00047B76" w:rsidTr="0023484E">
        <w:tc>
          <w:tcPr>
            <w:tcW w:w="2427" w:type="pct"/>
            <w:gridSpan w:val="2"/>
          </w:tcPr>
          <w:p w:rsidR="0071029D" w:rsidRPr="00047B76" w:rsidRDefault="0071029D" w:rsidP="0023484E">
            <w:pPr>
              <w:jc w:val="both"/>
              <w:rPr>
                <w:sz w:val="20"/>
              </w:rPr>
            </w:pPr>
            <w:r w:rsidRPr="00047B76">
              <w:rPr>
                <w:sz w:val="20"/>
              </w:rPr>
              <w:t>March 9, 2018</w:t>
            </w:r>
          </w:p>
          <w:p w:rsidR="0071029D" w:rsidRPr="00047B76" w:rsidRDefault="0071029D" w:rsidP="0023484E">
            <w:pPr>
              <w:jc w:val="both"/>
              <w:rPr>
                <w:sz w:val="20"/>
              </w:rPr>
            </w:pPr>
            <w:r w:rsidRPr="00047B76">
              <w:rPr>
                <w:sz w:val="20"/>
              </w:rPr>
              <w:t>Supreme Court of British Columbia</w:t>
            </w:r>
          </w:p>
          <w:p w:rsidR="0071029D" w:rsidRPr="00047B76" w:rsidRDefault="0071029D" w:rsidP="0023484E">
            <w:pPr>
              <w:jc w:val="both"/>
              <w:rPr>
                <w:sz w:val="20"/>
              </w:rPr>
            </w:pPr>
            <w:r w:rsidRPr="00047B76">
              <w:rPr>
                <w:sz w:val="20"/>
              </w:rPr>
              <w:t>(Pearlman J.)</w:t>
            </w:r>
          </w:p>
          <w:p w:rsidR="0071029D" w:rsidRPr="00047B76" w:rsidRDefault="009A56E8" w:rsidP="0023484E">
            <w:pPr>
              <w:jc w:val="both"/>
              <w:rPr>
                <w:sz w:val="20"/>
              </w:rPr>
            </w:pPr>
            <w:hyperlink r:id="rId21" w:history="1">
              <w:r w:rsidR="0071029D" w:rsidRPr="00047B76">
                <w:rPr>
                  <w:rStyle w:val="Hyperlink"/>
                  <w:sz w:val="20"/>
                </w:rPr>
                <w:t>2018 BCSC 377</w:t>
              </w:r>
            </w:hyperlink>
          </w:p>
          <w:p w:rsidR="0071029D" w:rsidRPr="00047B76" w:rsidRDefault="0071029D" w:rsidP="0023484E">
            <w:pPr>
              <w:jc w:val="both"/>
              <w:rPr>
                <w:sz w:val="20"/>
              </w:rPr>
            </w:pPr>
          </w:p>
        </w:tc>
        <w:tc>
          <w:tcPr>
            <w:tcW w:w="243" w:type="pct"/>
          </w:tcPr>
          <w:p w:rsidR="0071029D" w:rsidRPr="00047B76" w:rsidRDefault="0071029D" w:rsidP="0023484E">
            <w:pPr>
              <w:jc w:val="both"/>
              <w:rPr>
                <w:sz w:val="20"/>
              </w:rPr>
            </w:pPr>
          </w:p>
        </w:tc>
        <w:tc>
          <w:tcPr>
            <w:tcW w:w="2330" w:type="pct"/>
          </w:tcPr>
          <w:p w:rsidR="0071029D" w:rsidRPr="00047B76" w:rsidRDefault="0071029D" w:rsidP="0023484E">
            <w:pPr>
              <w:jc w:val="both"/>
              <w:rPr>
                <w:sz w:val="20"/>
              </w:rPr>
            </w:pPr>
            <w:r w:rsidRPr="00047B76">
              <w:rPr>
                <w:sz w:val="20"/>
              </w:rPr>
              <w:t>Vendor’s action for breach of contract against buyer dismissed; buyer’s counterclaim for rescission of agreement granted.</w:t>
            </w:r>
          </w:p>
        </w:tc>
      </w:tr>
      <w:tr w:rsidR="0071029D" w:rsidRPr="00047B76" w:rsidTr="0023484E">
        <w:tc>
          <w:tcPr>
            <w:tcW w:w="2427" w:type="pct"/>
            <w:gridSpan w:val="2"/>
          </w:tcPr>
          <w:p w:rsidR="0071029D" w:rsidRPr="00047B76" w:rsidRDefault="0071029D" w:rsidP="0023484E">
            <w:pPr>
              <w:jc w:val="both"/>
              <w:rPr>
                <w:sz w:val="20"/>
              </w:rPr>
            </w:pPr>
            <w:r w:rsidRPr="00047B76">
              <w:rPr>
                <w:sz w:val="20"/>
              </w:rPr>
              <w:t>April 23, 2019</w:t>
            </w:r>
          </w:p>
          <w:p w:rsidR="0071029D" w:rsidRPr="00047B76" w:rsidRDefault="0071029D" w:rsidP="0023484E">
            <w:pPr>
              <w:jc w:val="both"/>
              <w:rPr>
                <w:sz w:val="20"/>
              </w:rPr>
            </w:pPr>
            <w:r w:rsidRPr="00047B76">
              <w:rPr>
                <w:sz w:val="20"/>
              </w:rPr>
              <w:t xml:space="preserve">Court of Appeal for British Columbia </w:t>
            </w:r>
          </w:p>
          <w:p w:rsidR="0071029D" w:rsidRPr="00047B76" w:rsidRDefault="0071029D" w:rsidP="0023484E">
            <w:pPr>
              <w:jc w:val="both"/>
              <w:rPr>
                <w:sz w:val="20"/>
              </w:rPr>
            </w:pPr>
            <w:r w:rsidRPr="00047B76">
              <w:rPr>
                <w:sz w:val="20"/>
              </w:rPr>
              <w:t>(Vancouver)</w:t>
            </w:r>
          </w:p>
          <w:p w:rsidR="0071029D" w:rsidRPr="00047B76" w:rsidRDefault="0071029D" w:rsidP="0023484E">
            <w:pPr>
              <w:jc w:val="both"/>
              <w:rPr>
                <w:sz w:val="20"/>
              </w:rPr>
            </w:pPr>
            <w:r w:rsidRPr="00047B76">
              <w:rPr>
                <w:sz w:val="20"/>
              </w:rPr>
              <w:t>(Newbury, Smith, Willcock, JJ.A.)</w:t>
            </w:r>
          </w:p>
          <w:p w:rsidR="0071029D" w:rsidRPr="00047B76" w:rsidRDefault="009A56E8" w:rsidP="0023484E">
            <w:pPr>
              <w:jc w:val="both"/>
              <w:rPr>
                <w:rStyle w:val="Hyperlink"/>
                <w:sz w:val="20"/>
              </w:rPr>
            </w:pPr>
            <w:hyperlink r:id="rId22" w:history="1">
              <w:r w:rsidR="0071029D" w:rsidRPr="00047B76">
                <w:rPr>
                  <w:rStyle w:val="Hyperlink"/>
                  <w:sz w:val="20"/>
                </w:rPr>
                <w:t>2019 BCCA 130</w:t>
              </w:r>
            </w:hyperlink>
          </w:p>
          <w:p w:rsidR="0071029D" w:rsidRPr="00047B76" w:rsidRDefault="0071029D" w:rsidP="0023484E">
            <w:pPr>
              <w:jc w:val="both"/>
              <w:rPr>
                <w:sz w:val="20"/>
              </w:rPr>
            </w:pPr>
            <w:r w:rsidRPr="00047B76">
              <w:rPr>
                <w:sz w:val="20"/>
              </w:rPr>
              <w:t>CA45217</w:t>
            </w:r>
          </w:p>
          <w:p w:rsidR="0071029D" w:rsidRPr="00047B76" w:rsidRDefault="0071029D" w:rsidP="0023484E">
            <w:pPr>
              <w:jc w:val="both"/>
              <w:rPr>
                <w:sz w:val="20"/>
              </w:rPr>
            </w:pPr>
          </w:p>
        </w:tc>
        <w:tc>
          <w:tcPr>
            <w:tcW w:w="243" w:type="pct"/>
          </w:tcPr>
          <w:p w:rsidR="0071029D" w:rsidRPr="00047B76" w:rsidRDefault="0071029D" w:rsidP="0023484E">
            <w:pPr>
              <w:jc w:val="both"/>
              <w:rPr>
                <w:sz w:val="20"/>
              </w:rPr>
            </w:pPr>
          </w:p>
        </w:tc>
        <w:tc>
          <w:tcPr>
            <w:tcW w:w="2330" w:type="pct"/>
          </w:tcPr>
          <w:p w:rsidR="0071029D" w:rsidRPr="00047B76" w:rsidRDefault="0071029D" w:rsidP="0023484E">
            <w:pPr>
              <w:jc w:val="both"/>
              <w:rPr>
                <w:sz w:val="20"/>
              </w:rPr>
            </w:pPr>
            <w:r w:rsidRPr="00047B76">
              <w:rPr>
                <w:sz w:val="20"/>
              </w:rPr>
              <w:t>Vendor’s appeal allowed; buyer’s cross</w:t>
            </w:r>
            <w:r w:rsidRPr="00047B76">
              <w:rPr>
                <w:sz w:val="20"/>
              </w:rPr>
              <w:noBreakHyphen/>
              <w:t>appeal dismissed.</w:t>
            </w:r>
          </w:p>
        </w:tc>
      </w:tr>
      <w:tr w:rsidR="0071029D" w:rsidRPr="00047B76" w:rsidTr="0023484E">
        <w:tc>
          <w:tcPr>
            <w:tcW w:w="2427" w:type="pct"/>
            <w:gridSpan w:val="2"/>
          </w:tcPr>
          <w:p w:rsidR="0071029D" w:rsidRPr="00047B76" w:rsidRDefault="0071029D" w:rsidP="0023484E">
            <w:pPr>
              <w:jc w:val="both"/>
              <w:rPr>
                <w:sz w:val="20"/>
              </w:rPr>
            </w:pPr>
            <w:r w:rsidRPr="00047B76">
              <w:rPr>
                <w:sz w:val="20"/>
              </w:rPr>
              <w:t>June 21, 2019</w:t>
            </w:r>
          </w:p>
          <w:p w:rsidR="0071029D" w:rsidRPr="00047B76" w:rsidRDefault="0071029D" w:rsidP="0023484E">
            <w:pPr>
              <w:jc w:val="both"/>
              <w:rPr>
                <w:sz w:val="20"/>
              </w:rPr>
            </w:pPr>
            <w:r w:rsidRPr="00047B76">
              <w:rPr>
                <w:sz w:val="20"/>
              </w:rPr>
              <w:t>Supreme Court of Canada</w:t>
            </w:r>
          </w:p>
        </w:tc>
        <w:tc>
          <w:tcPr>
            <w:tcW w:w="243" w:type="pct"/>
          </w:tcPr>
          <w:p w:rsidR="0071029D" w:rsidRPr="00047B76" w:rsidRDefault="0071029D" w:rsidP="0023484E">
            <w:pPr>
              <w:jc w:val="both"/>
              <w:rPr>
                <w:sz w:val="20"/>
              </w:rPr>
            </w:pPr>
          </w:p>
        </w:tc>
        <w:tc>
          <w:tcPr>
            <w:tcW w:w="2330" w:type="pct"/>
          </w:tcPr>
          <w:p w:rsidR="0071029D" w:rsidRPr="00047B76" w:rsidRDefault="0071029D" w:rsidP="0023484E">
            <w:pPr>
              <w:jc w:val="both"/>
              <w:rPr>
                <w:sz w:val="20"/>
              </w:rPr>
            </w:pPr>
            <w:r w:rsidRPr="00047B76">
              <w:rPr>
                <w:sz w:val="20"/>
              </w:rPr>
              <w:t>Application for leave to appeal filed.</w:t>
            </w:r>
          </w:p>
        </w:tc>
      </w:tr>
    </w:tbl>
    <w:p w:rsidR="0071029D" w:rsidRPr="00047B76" w:rsidRDefault="0071029D" w:rsidP="0071029D">
      <w:pPr>
        <w:jc w:val="both"/>
        <w:rPr>
          <w:sz w:val="20"/>
        </w:rPr>
      </w:pPr>
    </w:p>
    <w:p w:rsidR="0071029D" w:rsidRPr="00047B76" w:rsidRDefault="009A56E8" w:rsidP="0071029D">
      <w:pPr>
        <w:jc w:val="both"/>
        <w:rPr>
          <w:sz w:val="20"/>
        </w:rPr>
      </w:pPr>
      <w:r>
        <w:rPr>
          <w:sz w:val="20"/>
        </w:rPr>
        <w:pict>
          <v:rect id="_x0000_i1040" style="width:2in;height:1pt" o:hrpct="0" o:hralign="center" o:hrstd="t" o:hrnoshade="t" o:hr="t" fillcolor="black [3213]" stroked="f"/>
        </w:pict>
      </w:r>
    </w:p>
    <w:p w:rsidR="0071029D" w:rsidRPr="00047B76" w:rsidRDefault="0071029D" w:rsidP="0071029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1029D" w:rsidRPr="00047B76" w:rsidTr="0023484E">
        <w:tc>
          <w:tcPr>
            <w:tcW w:w="543" w:type="pct"/>
          </w:tcPr>
          <w:p w:rsidR="0071029D" w:rsidRPr="00047B76" w:rsidRDefault="0071029D" w:rsidP="0023484E">
            <w:pPr>
              <w:jc w:val="both"/>
              <w:rPr>
                <w:sz w:val="20"/>
                <w:lang w:val="fr-CA"/>
              </w:rPr>
            </w:pPr>
            <w:r w:rsidRPr="00047B76">
              <w:rPr>
                <w:rStyle w:val="SCCFileNumberChar"/>
                <w:sz w:val="20"/>
                <w:szCs w:val="20"/>
                <w:lang w:val="fr-CA"/>
              </w:rPr>
              <w:lastRenderedPageBreak/>
              <w:t>38704</w:t>
            </w:r>
          </w:p>
        </w:tc>
        <w:tc>
          <w:tcPr>
            <w:tcW w:w="4457" w:type="pct"/>
            <w:gridSpan w:val="3"/>
          </w:tcPr>
          <w:p w:rsidR="0071029D" w:rsidRPr="00047B76" w:rsidRDefault="0071029D" w:rsidP="0023484E">
            <w:pPr>
              <w:pStyle w:val="SCCLsocParty"/>
              <w:jc w:val="both"/>
              <w:rPr>
                <w:b/>
                <w:sz w:val="20"/>
                <w:szCs w:val="20"/>
              </w:rPr>
            </w:pPr>
            <w:r w:rsidRPr="00047B76">
              <w:rPr>
                <w:b/>
                <w:sz w:val="20"/>
                <w:szCs w:val="20"/>
              </w:rPr>
              <w:t xml:space="preserve">Feng Yun </w:t>
            </w:r>
            <w:proofErr w:type="spellStart"/>
            <w:r w:rsidRPr="00047B76">
              <w:rPr>
                <w:b/>
                <w:sz w:val="20"/>
                <w:szCs w:val="20"/>
              </w:rPr>
              <w:t>Shao</w:t>
            </w:r>
            <w:proofErr w:type="spellEnd"/>
            <w:r w:rsidRPr="00047B76">
              <w:rPr>
                <w:b/>
                <w:sz w:val="20"/>
                <w:szCs w:val="20"/>
              </w:rPr>
              <w:t xml:space="preserve">, aussi connue sous le nom de </w:t>
            </w:r>
            <w:proofErr w:type="spellStart"/>
            <w:r w:rsidRPr="00047B76">
              <w:rPr>
                <w:b/>
                <w:sz w:val="20"/>
                <w:szCs w:val="20"/>
              </w:rPr>
              <w:t>Shao</w:t>
            </w:r>
            <w:proofErr w:type="spellEnd"/>
            <w:r w:rsidRPr="00047B76">
              <w:rPr>
                <w:b/>
                <w:sz w:val="20"/>
                <w:szCs w:val="20"/>
              </w:rPr>
              <w:t xml:space="preserve"> Feng Yun, aussi connue sous le nom d’Amy Barsha Washington c. </w:t>
            </w:r>
            <w:proofErr w:type="spellStart"/>
            <w:r w:rsidRPr="00047B76">
              <w:rPr>
                <w:b/>
                <w:sz w:val="20"/>
                <w:szCs w:val="20"/>
              </w:rPr>
              <w:t>Mei</w:t>
            </w:r>
            <w:proofErr w:type="spellEnd"/>
            <w:r w:rsidRPr="00047B76">
              <w:rPr>
                <w:b/>
                <w:sz w:val="20"/>
                <w:szCs w:val="20"/>
              </w:rPr>
              <w:t xml:space="preserve"> </w:t>
            </w:r>
            <w:proofErr w:type="spellStart"/>
            <w:r w:rsidRPr="00047B76">
              <w:rPr>
                <w:b/>
                <w:sz w:val="20"/>
                <w:szCs w:val="20"/>
              </w:rPr>
              <w:t>Zhen</w:t>
            </w:r>
            <w:proofErr w:type="spellEnd"/>
            <w:r w:rsidRPr="00047B76">
              <w:rPr>
                <w:b/>
                <w:sz w:val="20"/>
                <w:szCs w:val="20"/>
              </w:rPr>
              <w:t xml:space="preserve"> Wang</w:t>
            </w:r>
          </w:p>
          <w:p w:rsidR="0071029D" w:rsidRPr="00047B76" w:rsidRDefault="0071029D" w:rsidP="0023484E">
            <w:pPr>
              <w:jc w:val="both"/>
              <w:rPr>
                <w:sz w:val="20"/>
                <w:lang w:val="fr-CA"/>
              </w:rPr>
            </w:pPr>
            <w:r w:rsidRPr="00047B76">
              <w:rPr>
                <w:sz w:val="20"/>
                <w:lang w:val="fr-CA"/>
              </w:rPr>
              <w:t>(C.-B.) (Civile) (Autorisation)</w:t>
            </w:r>
          </w:p>
        </w:tc>
      </w:tr>
      <w:tr w:rsidR="00E80644" w:rsidRPr="00957F6E" w:rsidTr="0023484E">
        <w:tc>
          <w:tcPr>
            <w:tcW w:w="5000" w:type="pct"/>
            <w:gridSpan w:val="4"/>
          </w:tcPr>
          <w:p w:rsidR="00E80644" w:rsidRPr="00047B76" w:rsidRDefault="00A35FB9" w:rsidP="0023484E">
            <w:pPr>
              <w:jc w:val="both"/>
              <w:rPr>
                <w:sz w:val="20"/>
                <w:szCs w:val="20"/>
                <w:lang w:val="fr-CA"/>
              </w:rPr>
            </w:pPr>
            <w:r w:rsidRPr="00047B76">
              <w:rPr>
                <w:sz w:val="20"/>
                <w:szCs w:val="20"/>
                <w:lang w:val="fr-CA"/>
              </w:rPr>
              <w:t>La demande d’autorisation d’appel de l’arrêt de la Cour d’appel de la Colombie-Britannique (Vancouver), numéro CA45217, 2019 BCCA 130, daté du 23 avril 2019, est rejetée avec dépens.</w:t>
            </w:r>
          </w:p>
          <w:p w:rsidR="00A35FB9" w:rsidRPr="00047B76" w:rsidRDefault="00A35FB9" w:rsidP="0023484E">
            <w:pPr>
              <w:jc w:val="both"/>
              <w:rPr>
                <w:sz w:val="20"/>
                <w:lang w:val="fr-CA"/>
              </w:rPr>
            </w:pPr>
          </w:p>
        </w:tc>
      </w:tr>
      <w:tr w:rsidR="0071029D" w:rsidRPr="00957F6E" w:rsidTr="0023484E">
        <w:tc>
          <w:tcPr>
            <w:tcW w:w="5000" w:type="pct"/>
            <w:gridSpan w:val="4"/>
          </w:tcPr>
          <w:p w:rsidR="0071029D" w:rsidRPr="00047B76" w:rsidRDefault="0071029D" w:rsidP="0023484E">
            <w:pPr>
              <w:jc w:val="both"/>
              <w:rPr>
                <w:sz w:val="20"/>
                <w:lang w:val="fr-CA"/>
              </w:rPr>
            </w:pPr>
            <w:r w:rsidRPr="00047B76">
              <w:rPr>
                <w:sz w:val="20"/>
                <w:lang w:val="fr-CA"/>
              </w:rPr>
              <w:t>Contrats — Formation — Contrat d’achat et de vente d’une propriété résidentielle — Avant de faire une offre d’achat, l’</w:t>
            </w:r>
            <w:proofErr w:type="spellStart"/>
            <w:r w:rsidRPr="00047B76">
              <w:rPr>
                <w:sz w:val="20"/>
                <w:lang w:val="fr-CA"/>
              </w:rPr>
              <w:t>acquéresse</w:t>
            </w:r>
            <w:proofErr w:type="spellEnd"/>
            <w:r w:rsidRPr="00047B76">
              <w:rPr>
                <w:sz w:val="20"/>
                <w:lang w:val="fr-CA"/>
              </w:rPr>
              <w:t xml:space="preserve"> a demandé à la venderesse pourquoi la propriété était en vente — L’</w:t>
            </w:r>
            <w:proofErr w:type="spellStart"/>
            <w:r w:rsidRPr="00047B76">
              <w:rPr>
                <w:sz w:val="20"/>
                <w:lang w:val="fr-CA"/>
              </w:rPr>
              <w:t>acquéresse</w:t>
            </w:r>
            <w:proofErr w:type="spellEnd"/>
            <w:r w:rsidRPr="00047B76">
              <w:rPr>
                <w:sz w:val="20"/>
                <w:lang w:val="fr-CA"/>
              </w:rPr>
              <w:t xml:space="preserve"> s’est fait dire que la propriété était en vente parce que la petite</w:t>
            </w:r>
            <w:r w:rsidRPr="00047B76">
              <w:rPr>
                <w:sz w:val="20"/>
                <w:lang w:val="fr-CA"/>
              </w:rPr>
              <w:noBreakHyphen/>
              <w:t>fille de la venderesse s’était inscrite dans une école située dans un autre quartier de la ville — La convention d’achat</w:t>
            </w:r>
            <w:r w:rsidRPr="00047B76">
              <w:rPr>
                <w:sz w:val="20"/>
                <w:lang w:val="fr-CA"/>
              </w:rPr>
              <w:noBreakHyphen/>
              <w:t>vente a été conclue — L’</w:t>
            </w:r>
            <w:proofErr w:type="spellStart"/>
            <w:r w:rsidRPr="00047B76">
              <w:rPr>
                <w:sz w:val="20"/>
                <w:lang w:val="fr-CA"/>
              </w:rPr>
              <w:t>acquéresse</w:t>
            </w:r>
            <w:proofErr w:type="spellEnd"/>
            <w:r w:rsidRPr="00047B76">
              <w:rPr>
                <w:sz w:val="20"/>
                <w:lang w:val="fr-CA"/>
              </w:rPr>
              <w:t xml:space="preserve"> a appris par la suite qu’un meurtre avait été commis à l’extérieur de la propriété — L’</w:t>
            </w:r>
            <w:proofErr w:type="spellStart"/>
            <w:r w:rsidRPr="00047B76">
              <w:rPr>
                <w:sz w:val="20"/>
                <w:lang w:val="fr-CA"/>
              </w:rPr>
              <w:t>acquéresse</w:t>
            </w:r>
            <w:proofErr w:type="spellEnd"/>
            <w:r w:rsidRPr="00047B76">
              <w:rPr>
                <w:sz w:val="20"/>
                <w:lang w:val="fr-CA"/>
              </w:rPr>
              <w:t xml:space="preserve"> a refusé de conclure la transaction — La venderesse a allégué la violation de contrat — L’</w:t>
            </w:r>
            <w:proofErr w:type="spellStart"/>
            <w:r w:rsidRPr="00047B76">
              <w:rPr>
                <w:sz w:val="20"/>
                <w:lang w:val="fr-CA"/>
              </w:rPr>
              <w:t>acquéresse</w:t>
            </w:r>
            <w:proofErr w:type="spellEnd"/>
            <w:r w:rsidRPr="00047B76">
              <w:rPr>
                <w:sz w:val="20"/>
                <w:lang w:val="fr-CA"/>
              </w:rPr>
              <w:t xml:space="preserve"> revendique le droit de résilier le contrat en raison de la déclaration inexacte frauduleuse faite par la venderesse — Dans quelles situations l’importance est</w:t>
            </w:r>
            <w:r w:rsidRPr="00047B76">
              <w:rPr>
                <w:sz w:val="20"/>
                <w:lang w:val="fr-CA"/>
              </w:rPr>
              <w:noBreakHyphen/>
              <w:t>elle une exigence pour établir une présentation inexacte des faits juridiquement réparable? — Lorsqu’il y a présentation inexacte par omission, qu’est</w:t>
            </w:r>
            <w:r w:rsidRPr="00047B76">
              <w:rPr>
                <w:sz w:val="20"/>
                <w:lang w:val="fr-CA"/>
              </w:rPr>
              <w:noBreakHyphen/>
              <w:t>ce qui est important? — Dans le contexte des transactions immobilières, devrait</w:t>
            </w:r>
            <w:r w:rsidRPr="00047B76">
              <w:rPr>
                <w:sz w:val="20"/>
                <w:lang w:val="fr-CA"/>
              </w:rPr>
              <w:noBreakHyphen/>
              <w:t>il y avoir une obligation de révéler des crimes graves dont le vendeur a personnellement connaissance et qui pourraient avoir une incidence négative sur la valeur de la propriété?</w:t>
            </w:r>
          </w:p>
        </w:tc>
      </w:tr>
      <w:tr w:rsidR="0071029D" w:rsidRPr="00957F6E" w:rsidTr="0023484E">
        <w:tc>
          <w:tcPr>
            <w:tcW w:w="5000" w:type="pct"/>
            <w:gridSpan w:val="4"/>
          </w:tcPr>
          <w:p w:rsidR="0071029D" w:rsidRPr="00047B76" w:rsidRDefault="0071029D" w:rsidP="0023484E">
            <w:pPr>
              <w:jc w:val="both"/>
              <w:rPr>
                <w:sz w:val="20"/>
                <w:lang w:val="fr-CA"/>
              </w:rPr>
            </w:pPr>
          </w:p>
        </w:tc>
      </w:tr>
      <w:tr w:rsidR="0071029D" w:rsidRPr="00957F6E" w:rsidTr="0023484E">
        <w:tc>
          <w:tcPr>
            <w:tcW w:w="5000" w:type="pct"/>
            <w:gridSpan w:val="4"/>
          </w:tcPr>
          <w:p w:rsidR="0071029D" w:rsidRPr="00047B76" w:rsidRDefault="0071029D" w:rsidP="0023484E">
            <w:pPr>
              <w:jc w:val="both"/>
              <w:rPr>
                <w:sz w:val="20"/>
                <w:lang w:val="fr-CA"/>
              </w:rPr>
            </w:pPr>
            <w:r w:rsidRPr="00047B76">
              <w:rPr>
                <w:sz w:val="20"/>
                <w:lang w:val="fr-CA"/>
              </w:rPr>
              <w:t>La présente demande d’autorisation a pour objet la vente avortée d’une maison de luxe à Vancouver. La question principale concerne la réponse que la venderesse, Mme Wang, a donnée à l’</w:t>
            </w:r>
            <w:proofErr w:type="spellStart"/>
            <w:r w:rsidRPr="00047B76">
              <w:rPr>
                <w:sz w:val="20"/>
                <w:lang w:val="fr-CA"/>
              </w:rPr>
              <w:t>acquéresse</w:t>
            </w:r>
            <w:proofErr w:type="spellEnd"/>
            <w:r w:rsidRPr="00047B76">
              <w:rPr>
                <w:sz w:val="20"/>
                <w:lang w:val="fr-CA"/>
              </w:rPr>
              <w:t xml:space="preserve"> éventuelle, Mme </w:t>
            </w:r>
            <w:proofErr w:type="spellStart"/>
            <w:r w:rsidRPr="00047B76">
              <w:rPr>
                <w:sz w:val="20"/>
                <w:lang w:val="fr-CA"/>
              </w:rPr>
              <w:t>Shao</w:t>
            </w:r>
            <w:proofErr w:type="spellEnd"/>
            <w:r w:rsidRPr="00047B76">
              <w:rPr>
                <w:sz w:val="20"/>
                <w:lang w:val="fr-CA"/>
              </w:rPr>
              <w:t>, lorsque cette dernière a demandé pourquoi la venderesse voulait vendre la propriété. Madame </w:t>
            </w:r>
            <w:proofErr w:type="spellStart"/>
            <w:r w:rsidRPr="00047B76">
              <w:rPr>
                <w:sz w:val="20"/>
                <w:lang w:val="fr-CA"/>
              </w:rPr>
              <w:t>Shao</w:t>
            </w:r>
            <w:proofErr w:type="spellEnd"/>
            <w:r w:rsidRPr="00047B76">
              <w:rPr>
                <w:sz w:val="20"/>
                <w:lang w:val="fr-CA"/>
              </w:rPr>
              <w:t xml:space="preserve"> s’est fait dire que la propriété était en vente parce que la petite</w:t>
            </w:r>
            <w:r w:rsidRPr="00047B76">
              <w:rPr>
                <w:sz w:val="20"/>
                <w:lang w:val="fr-CA"/>
              </w:rPr>
              <w:noBreakHyphen/>
              <w:t>fille de la venderesse fréquentait désormais une école située dans un autre quartier de la ville. La venderesse et l’</w:t>
            </w:r>
            <w:proofErr w:type="spellStart"/>
            <w:r w:rsidRPr="00047B76">
              <w:rPr>
                <w:sz w:val="20"/>
                <w:lang w:val="fr-CA"/>
              </w:rPr>
              <w:t>acquéresse</w:t>
            </w:r>
            <w:proofErr w:type="spellEnd"/>
            <w:r w:rsidRPr="00047B76">
              <w:rPr>
                <w:sz w:val="20"/>
                <w:lang w:val="fr-CA"/>
              </w:rPr>
              <w:t xml:space="preserve"> ont conclu un contrat de vente et d’achat. Avant la date de clôture, l’</w:t>
            </w:r>
            <w:proofErr w:type="spellStart"/>
            <w:r w:rsidRPr="00047B76">
              <w:rPr>
                <w:sz w:val="20"/>
                <w:lang w:val="fr-CA"/>
              </w:rPr>
              <w:t>acquéresse</w:t>
            </w:r>
            <w:proofErr w:type="spellEnd"/>
            <w:r w:rsidRPr="00047B76">
              <w:rPr>
                <w:sz w:val="20"/>
                <w:lang w:val="fr-CA"/>
              </w:rPr>
              <w:t xml:space="preserve"> a appris qu’un gangster présumé avait été mortellement tué par balle près de l’entrée de la propriété. La mort était un meurtre non élucidé et la victime était le gendre de la venderesse, qui avait habité la propriété. L’</w:t>
            </w:r>
            <w:proofErr w:type="spellStart"/>
            <w:r w:rsidRPr="00047B76">
              <w:rPr>
                <w:sz w:val="20"/>
                <w:lang w:val="fr-CA"/>
              </w:rPr>
              <w:t>acquéresse</w:t>
            </w:r>
            <w:proofErr w:type="spellEnd"/>
            <w:r w:rsidRPr="00047B76">
              <w:rPr>
                <w:sz w:val="20"/>
                <w:lang w:val="fr-CA"/>
              </w:rPr>
              <w:t xml:space="preserve"> a décidé de ne pas conclure la transaction. La venderesse a poursuivi l’</w:t>
            </w:r>
            <w:proofErr w:type="spellStart"/>
            <w:r w:rsidRPr="00047B76">
              <w:rPr>
                <w:sz w:val="20"/>
                <w:lang w:val="fr-CA"/>
              </w:rPr>
              <w:t>acquéresse</w:t>
            </w:r>
            <w:proofErr w:type="spellEnd"/>
            <w:r w:rsidRPr="00047B76">
              <w:rPr>
                <w:sz w:val="20"/>
                <w:lang w:val="fr-CA"/>
              </w:rPr>
              <w:t xml:space="preserve"> au civil pour violation de contrat. L’</w:t>
            </w:r>
            <w:proofErr w:type="spellStart"/>
            <w:r w:rsidRPr="00047B76">
              <w:rPr>
                <w:sz w:val="20"/>
                <w:lang w:val="fr-CA"/>
              </w:rPr>
              <w:t>acquéresse</w:t>
            </w:r>
            <w:proofErr w:type="spellEnd"/>
            <w:r w:rsidRPr="00047B76">
              <w:rPr>
                <w:sz w:val="20"/>
                <w:lang w:val="fr-CA"/>
              </w:rPr>
              <w:t xml:space="preserve"> a présenté une demande reconventionnelle, alléguant que la venderesse avait frauduleusement présenté de façon inexacte l’état de la propriété et les incidents qui s’y étaient produits antérieurement. Le juge de première instance a statué que la venderesse avait fait une déclaration inexacte frauduleuse qui avait vicié le contrat d’achat et de vente. La Cour d’appel a infirmé la décision du juge de première instance, concluant qu’il avait eu tort de caractériser d’incomplète et faite dans le but de dissimuler le lieu et les circonstances du décès du gendre de la venderesse la déclaration de cette dernière quant à la raison de vente.</w:t>
            </w:r>
          </w:p>
          <w:p w:rsidR="0071029D" w:rsidRPr="00047B76" w:rsidRDefault="0071029D" w:rsidP="0023484E">
            <w:pPr>
              <w:jc w:val="both"/>
              <w:rPr>
                <w:sz w:val="20"/>
                <w:lang w:val="fr-CA"/>
              </w:rPr>
            </w:pPr>
          </w:p>
        </w:tc>
      </w:tr>
      <w:tr w:rsidR="0071029D" w:rsidRPr="00957F6E" w:rsidTr="0023484E">
        <w:tc>
          <w:tcPr>
            <w:tcW w:w="2427" w:type="pct"/>
            <w:gridSpan w:val="2"/>
          </w:tcPr>
          <w:p w:rsidR="0071029D" w:rsidRPr="00047B76" w:rsidRDefault="0071029D" w:rsidP="0023484E">
            <w:pPr>
              <w:jc w:val="both"/>
              <w:rPr>
                <w:sz w:val="20"/>
                <w:lang w:val="fr-CA"/>
              </w:rPr>
            </w:pPr>
            <w:r w:rsidRPr="00047B76">
              <w:rPr>
                <w:sz w:val="20"/>
                <w:lang w:val="fr-CA"/>
              </w:rPr>
              <w:t>9 mars 2018</w:t>
            </w:r>
          </w:p>
          <w:p w:rsidR="0071029D" w:rsidRPr="00047B76" w:rsidRDefault="0071029D" w:rsidP="0023484E">
            <w:pPr>
              <w:jc w:val="both"/>
              <w:rPr>
                <w:sz w:val="20"/>
                <w:lang w:val="fr-CA"/>
              </w:rPr>
            </w:pPr>
            <w:r w:rsidRPr="00047B76">
              <w:rPr>
                <w:sz w:val="20"/>
                <w:lang w:val="fr-CA"/>
              </w:rPr>
              <w:t>Cour suprême de la Colombie</w:t>
            </w:r>
            <w:r w:rsidRPr="00047B76">
              <w:rPr>
                <w:sz w:val="20"/>
                <w:lang w:val="fr-CA"/>
              </w:rPr>
              <w:noBreakHyphen/>
              <w:t>Britannique</w:t>
            </w:r>
          </w:p>
          <w:p w:rsidR="0071029D" w:rsidRPr="00047B76" w:rsidRDefault="0071029D" w:rsidP="0023484E">
            <w:pPr>
              <w:jc w:val="both"/>
              <w:rPr>
                <w:sz w:val="20"/>
                <w:lang w:val="fr-CA"/>
              </w:rPr>
            </w:pPr>
            <w:r w:rsidRPr="00047B76">
              <w:rPr>
                <w:sz w:val="20"/>
                <w:lang w:val="fr-CA"/>
              </w:rPr>
              <w:t xml:space="preserve">(Juge </w:t>
            </w:r>
            <w:proofErr w:type="spellStart"/>
            <w:r w:rsidRPr="00047B76">
              <w:rPr>
                <w:sz w:val="20"/>
                <w:lang w:val="fr-CA"/>
              </w:rPr>
              <w:t>Pearlman</w:t>
            </w:r>
            <w:proofErr w:type="spellEnd"/>
            <w:r w:rsidRPr="00047B76">
              <w:rPr>
                <w:sz w:val="20"/>
                <w:lang w:val="fr-CA"/>
              </w:rPr>
              <w:t>)</w:t>
            </w:r>
          </w:p>
          <w:p w:rsidR="0071029D" w:rsidRPr="00047B76" w:rsidRDefault="009A56E8" w:rsidP="0023484E">
            <w:pPr>
              <w:jc w:val="both"/>
              <w:rPr>
                <w:sz w:val="20"/>
                <w:lang w:val="fr-CA"/>
              </w:rPr>
            </w:pPr>
            <w:hyperlink r:id="rId23" w:history="1">
              <w:r w:rsidR="0071029D" w:rsidRPr="00047B76">
                <w:rPr>
                  <w:rStyle w:val="Hyperlink"/>
                  <w:sz w:val="20"/>
                  <w:lang w:val="fr-CA"/>
                </w:rPr>
                <w:t>2018 BCSC 377</w:t>
              </w:r>
            </w:hyperlink>
          </w:p>
          <w:p w:rsidR="0071029D" w:rsidRPr="00047B76" w:rsidRDefault="0071029D" w:rsidP="0023484E">
            <w:pPr>
              <w:jc w:val="both"/>
              <w:rPr>
                <w:sz w:val="20"/>
                <w:lang w:val="fr-CA"/>
              </w:rPr>
            </w:pPr>
          </w:p>
        </w:tc>
        <w:tc>
          <w:tcPr>
            <w:tcW w:w="243" w:type="pct"/>
          </w:tcPr>
          <w:p w:rsidR="0071029D" w:rsidRPr="00047B76" w:rsidRDefault="0071029D" w:rsidP="0023484E">
            <w:pPr>
              <w:jc w:val="both"/>
              <w:rPr>
                <w:sz w:val="20"/>
                <w:lang w:val="fr-CA"/>
              </w:rPr>
            </w:pPr>
          </w:p>
        </w:tc>
        <w:tc>
          <w:tcPr>
            <w:tcW w:w="2330" w:type="pct"/>
          </w:tcPr>
          <w:p w:rsidR="0071029D" w:rsidRPr="00047B76" w:rsidRDefault="0071029D" w:rsidP="0023484E">
            <w:pPr>
              <w:jc w:val="both"/>
              <w:rPr>
                <w:sz w:val="20"/>
                <w:lang w:val="fr-CA"/>
              </w:rPr>
            </w:pPr>
            <w:r w:rsidRPr="00047B76">
              <w:rPr>
                <w:sz w:val="20"/>
                <w:lang w:val="fr-CA"/>
              </w:rPr>
              <w:t>Jugement rejetant l’action de la venderesse en violation de contrat contre l’</w:t>
            </w:r>
            <w:proofErr w:type="spellStart"/>
            <w:r w:rsidRPr="00047B76">
              <w:rPr>
                <w:sz w:val="20"/>
                <w:lang w:val="fr-CA"/>
              </w:rPr>
              <w:t>acquéresse</w:t>
            </w:r>
            <w:proofErr w:type="spellEnd"/>
            <w:r w:rsidRPr="00047B76">
              <w:rPr>
                <w:sz w:val="20"/>
                <w:lang w:val="fr-CA"/>
              </w:rPr>
              <w:t xml:space="preserve"> et accueillant la demande reconventionnelle de l’</w:t>
            </w:r>
            <w:proofErr w:type="spellStart"/>
            <w:r w:rsidRPr="00047B76">
              <w:rPr>
                <w:sz w:val="20"/>
                <w:lang w:val="fr-CA"/>
              </w:rPr>
              <w:t>acquéresse</w:t>
            </w:r>
            <w:proofErr w:type="spellEnd"/>
            <w:r w:rsidRPr="00047B76">
              <w:rPr>
                <w:sz w:val="20"/>
                <w:lang w:val="fr-CA"/>
              </w:rPr>
              <w:t xml:space="preserve"> en résiliation de contrat.</w:t>
            </w:r>
          </w:p>
        </w:tc>
      </w:tr>
      <w:tr w:rsidR="0071029D" w:rsidRPr="00957F6E" w:rsidTr="0023484E">
        <w:tc>
          <w:tcPr>
            <w:tcW w:w="2427" w:type="pct"/>
            <w:gridSpan w:val="2"/>
          </w:tcPr>
          <w:p w:rsidR="0071029D" w:rsidRPr="00047B76" w:rsidRDefault="0071029D" w:rsidP="0023484E">
            <w:pPr>
              <w:jc w:val="both"/>
              <w:rPr>
                <w:sz w:val="20"/>
                <w:lang w:val="fr-CA"/>
              </w:rPr>
            </w:pPr>
            <w:r w:rsidRPr="00047B76">
              <w:rPr>
                <w:sz w:val="20"/>
                <w:lang w:val="fr-CA"/>
              </w:rPr>
              <w:t>23 avril 2019</w:t>
            </w:r>
          </w:p>
          <w:p w:rsidR="0071029D" w:rsidRPr="00047B76" w:rsidRDefault="0071029D" w:rsidP="0023484E">
            <w:pPr>
              <w:jc w:val="both"/>
              <w:rPr>
                <w:sz w:val="20"/>
                <w:lang w:val="fr-CA"/>
              </w:rPr>
            </w:pPr>
            <w:r w:rsidRPr="00047B76">
              <w:rPr>
                <w:sz w:val="20"/>
                <w:lang w:val="fr-CA"/>
              </w:rPr>
              <w:t xml:space="preserve">Cour d’appel de la Colombie-Britannique </w:t>
            </w:r>
          </w:p>
          <w:p w:rsidR="0071029D" w:rsidRPr="00047B76" w:rsidRDefault="0071029D" w:rsidP="0023484E">
            <w:pPr>
              <w:jc w:val="both"/>
              <w:rPr>
                <w:sz w:val="20"/>
              </w:rPr>
            </w:pPr>
            <w:r w:rsidRPr="00047B76">
              <w:rPr>
                <w:sz w:val="20"/>
              </w:rPr>
              <w:t>(Vancouver)</w:t>
            </w:r>
          </w:p>
          <w:p w:rsidR="0071029D" w:rsidRPr="00047B76" w:rsidRDefault="0071029D" w:rsidP="0023484E">
            <w:pPr>
              <w:jc w:val="both"/>
              <w:rPr>
                <w:sz w:val="20"/>
              </w:rPr>
            </w:pPr>
            <w:r w:rsidRPr="00047B76">
              <w:rPr>
                <w:sz w:val="20"/>
              </w:rPr>
              <w:t>(Juges Newbury, Smith et Willcock)</w:t>
            </w:r>
          </w:p>
          <w:p w:rsidR="0071029D" w:rsidRPr="00047B76" w:rsidRDefault="009A56E8" w:rsidP="0023484E">
            <w:pPr>
              <w:jc w:val="both"/>
              <w:rPr>
                <w:rStyle w:val="Hyperlink"/>
                <w:sz w:val="20"/>
              </w:rPr>
            </w:pPr>
            <w:hyperlink r:id="rId24" w:history="1">
              <w:r w:rsidR="0071029D" w:rsidRPr="00047B76">
                <w:rPr>
                  <w:rStyle w:val="Hyperlink"/>
                  <w:sz w:val="20"/>
                </w:rPr>
                <w:t>2019 BCCA 130</w:t>
              </w:r>
            </w:hyperlink>
          </w:p>
          <w:p w:rsidR="0071029D" w:rsidRPr="00047B76" w:rsidRDefault="0071029D" w:rsidP="0023484E">
            <w:pPr>
              <w:jc w:val="both"/>
              <w:rPr>
                <w:sz w:val="20"/>
              </w:rPr>
            </w:pPr>
            <w:r w:rsidRPr="00047B76">
              <w:rPr>
                <w:sz w:val="20"/>
              </w:rPr>
              <w:t>CA45217</w:t>
            </w:r>
          </w:p>
          <w:p w:rsidR="0071029D" w:rsidRPr="00047B76" w:rsidRDefault="0071029D" w:rsidP="0023484E">
            <w:pPr>
              <w:jc w:val="both"/>
              <w:rPr>
                <w:sz w:val="20"/>
              </w:rPr>
            </w:pPr>
          </w:p>
        </w:tc>
        <w:tc>
          <w:tcPr>
            <w:tcW w:w="243" w:type="pct"/>
          </w:tcPr>
          <w:p w:rsidR="0071029D" w:rsidRPr="00047B76" w:rsidRDefault="0071029D" w:rsidP="0023484E">
            <w:pPr>
              <w:jc w:val="both"/>
              <w:rPr>
                <w:sz w:val="20"/>
              </w:rPr>
            </w:pPr>
          </w:p>
        </w:tc>
        <w:tc>
          <w:tcPr>
            <w:tcW w:w="2330" w:type="pct"/>
          </w:tcPr>
          <w:p w:rsidR="0071029D" w:rsidRPr="00047B76" w:rsidRDefault="0071029D" w:rsidP="0023484E">
            <w:pPr>
              <w:jc w:val="both"/>
              <w:rPr>
                <w:sz w:val="20"/>
                <w:lang w:val="fr-CA"/>
              </w:rPr>
            </w:pPr>
            <w:r w:rsidRPr="00047B76">
              <w:rPr>
                <w:sz w:val="20"/>
                <w:lang w:val="fr-CA"/>
              </w:rPr>
              <w:t>Arrêt accueillant l’appel de la venderesse et rejetant l’appel incident de l’</w:t>
            </w:r>
            <w:proofErr w:type="spellStart"/>
            <w:r w:rsidRPr="00047B76">
              <w:rPr>
                <w:sz w:val="20"/>
                <w:lang w:val="fr-CA"/>
              </w:rPr>
              <w:t>acquéresse</w:t>
            </w:r>
            <w:proofErr w:type="spellEnd"/>
            <w:r w:rsidRPr="00047B76">
              <w:rPr>
                <w:sz w:val="20"/>
                <w:lang w:val="fr-CA"/>
              </w:rPr>
              <w:t>.</w:t>
            </w:r>
          </w:p>
        </w:tc>
      </w:tr>
      <w:tr w:rsidR="0071029D" w:rsidRPr="00957F6E" w:rsidTr="0023484E">
        <w:tc>
          <w:tcPr>
            <w:tcW w:w="2427" w:type="pct"/>
            <w:gridSpan w:val="2"/>
          </w:tcPr>
          <w:p w:rsidR="0071029D" w:rsidRPr="00047B76" w:rsidRDefault="0071029D" w:rsidP="0023484E">
            <w:pPr>
              <w:jc w:val="both"/>
              <w:rPr>
                <w:sz w:val="20"/>
                <w:lang w:val="fr-CA"/>
              </w:rPr>
            </w:pPr>
            <w:r w:rsidRPr="00047B76">
              <w:rPr>
                <w:sz w:val="20"/>
                <w:lang w:val="fr-CA"/>
              </w:rPr>
              <w:t>21 juin 2019</w:t>
            </w:r>
          </w:p>
          <w:p w:rsidR="0071029D" w:rsidRPr="00047B76" w:rsidRDefault="0071029D" w:rsidP="0023484E">
            <w:pPr>
              <w:jc w:val="both"/>
              <w:rPr>
                <w:sz w:val="20"/>
                <w:lang w:val="fr-CA"/>
              </w:rPr>
            </w:pPr>
            <w:r w:rsidRPr="00047B76">
              <w:rPr>
                <w:sz w:val="20"/>
                <w:lang w:val="fr-CA"/>
              </w:rPr>
              <w:t>Cour suprême du Canada</w:t>
            </w:r>
          </w:p>
        </w:tc>
        <w:tc>
          <w:tcPr>
            <w:tcW w:w="243" w:type="pct"/>
          </w:tcPr>
          <w:p w:rsidR="0071029D" w:rsidRPr="00047B76" w:rsidRDefault="0071029D" w:rsidP="0023484E">
            <w:pPr>
              <w:jc w:val="both"/>
              <w:rPr>
                <w:sz w:val="20"/>
                <w:lang w:val="fr-CA"/>
              </w:rPr>
            </w:pPr>
          </w:p>
        </w:tc>
        <w:tc>
          <w:tcPr>
            <w:tcW w:w="2330" w:type="pct"/>
          </w:tcPr>
          <w:p w:rsidR="0071029D" w:rsidRPr="00047B76" w:rsidRDefault="0071029D" w:rsidP="0023484E">
            <w:pPr>
              <w:jc w:val="both"/>
              <w:rPr>
                <w:sz w:val="20"/>
                <w:lang w:val="fr-CA"/>
              </w:rPr>
            </w:pPr>
            <w:r w:rsidRPr="00047B76">
              <w:rPr>
                <w:sz w:val="20"/>
                <w:lang w:val="fr-CA"/>
              </w:rPr>
              <w:t>Dépôt de la demande d’autorisation d’appel.</w:t>
            </w:r>
          </w:p>
        </w:tc>
      </w:tr>
    </w:tbl>
    <w:p w:rsidR="0071029D" w:rsidRPr="00047B76" w:rsidRDefault="0071029D" w:rsidP="0071029D">
      <w:pPr>
        <w:jc w:val="both"/>
        <w:rPr>
          <w:sz w:val="20"/>
          <w:lang w:val="fr-CA"/>
        </w:rPr>
      </w:pPr>
    </w:p>
    <w:p w:rsidR="0071029D" w:rsidRPr="00047B76" w:rsidRDefault="009A56E8" w:rsidP="0071029D">
      <w:pPr>
        <w:jc w:val="both"/>
        <w:rPr>
          <w:sz w:val="20"/>
          <w:lang w:val="fr-CA"/>
        </w:rPr>
      </w:pPr>
      <w:r>
        <w:rPr>
          <w:sz w:val="20"/>
        </w:rPr>
        <w:pict>
          <v:rect id="_x0000_i1041" style="width:2in;height:1pt" o:hrpct="0" o:hralign="center" o:hrstd="t" o:hrnoshade="t" o:hr="t" fillcolor="black [3213]" stroked="f"/>
        </w:pict>
      </w:r>
    </w:p>
    <w:p w:rsidR="0071029D" w:rsidRPr="00047B76" w:rsidRDefault="0071029D" w:rsidP="0071029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1029D" w:rsidRPr="00047B76" w:rsidTr="0023484E">
        <w:tc>
          <w:tcPr>
            <w:tcW w:w="543" w:type="pct"/>
          </w:tcPr>
          <w:p w:rsidR="0071029D" w:rsidRPr="00047B76" w:rsidRDefault="0071029D" w:rsidP="0023484E">
            <w:pPr>
              <w:jc w:val="both"/>
              <w:rPr>
                <w:sz w:val="20"/>
              </w:rPr>
            </w:pPr>
            <w:r w:rsidRPr="00047B76">
              <w:rPr>
                <w:rStyle w:val="SCCFileNumberChar"/>
                <w:sz w:val="20"/>
                <w:szCs w:val="20"/>
              </w:rPr>
              <w:lastRenderedPageBreak/>
              <w:t>38697</w:t>
            </w:r>
          </w:p>
        </w:tc>
        <w:tc>
          <w:tcPr>
            <w:tcW w:w="4457" w:type="pct"/>
            <w:gridSpan w:val="3"/>
          </w:tcPr>
          <w:p w:rsidR="0071029D" w:rsidRPr="00047B76" w:rsidRDefault="0071029D" w:rsidP="0023484E">
            <w:pPr>
              <w:pStyle w:val="SCCLsocParty"/>
              <w:jc w:val="both"/>
              <w:rPr>
                <w:b/>
                <w:sz w:val="20"/>
                <w:szCs w:val="20"/>
                <w:lang w:val="en-US"/>
              </w:rPr>
            </w:pPr>
            <w:r w:rsidRPr="00047B76">
              <w:rPr>
                <w:b/>
                <w:sz w:val="20"/>
                <w:szCs w:val="20"/>
                <w:lang w:val="en-US"/>
              </w:rPr>
              <w:t>Mary Ann Parker and Stephen Colville-Reeves, in their capacity as Estate Trustees of the Estate of David Colville-Reeves v. Canadian Home Publishers Inc., in its capacity as the General Partner of Canadian Home Publishers</w:t>
            </w:r>
          </w:p>
          <w:p w:rsidR="0071029D" w:rsidRPr="00047B76" w:rsidRDefault="0071029D" w:rsidP="0023484E">
            <w:pPr>
              <w:jc w:val="both"/>
              <w:rPr>
                <w:sz w:val="20"/>
              </w:rPr>
            </w:pPr>
            <w:r w:rsidRPr="00047B76">
              <w:rPr>
                <w:sz w:val="20"/>
              </w:rPr>
              <w:t>(Ont.) (Civil) (By Leave)</w:t>
            </w:r>
          </w:p>
        </w:tc>
      </w:tr>
      <w:tr w:rsidR="00E80644" w:rsidRPr="00047B76" w:rsidTr="0023484E">
        <w:tc>
          <w:tcPr>
            <w:tcW w:w="5000" w:type="pct"/>
            <w:gridSpan w:val="4"/>
          </w:tcPr>
          <w:p w:rsidR="00583EED" w:rsidRPr="00047B76" w:rsidRDefault="00583EED" w:rsidP="00583EED">
            <w:pPr>
              <w:jc w:val="both"/>
              <w:rPr>
                <w:sz w:val="20"/>
                <w:szCs w:val="20"/>
              </w:rPr>
            </w:pPr>
            <w:r w:rsidRPr="00047B76">
              <w:rPr>
                <w:sz w:val="20"/>
                <w:szCs w:val="20"/>
              </w:rPr>
              <w:t>The application for leave to appeal from the judgment of the Court of Appeal for Ontario, Number C65782, 2019 ONCA 314, dated April 24, 2019, is dismissed with costs.</w:t>
            </w:r>
          </w:p>
          <w:p w:rsidR="00E80644" w:rsidRPr="00047B76" w:rsidRDefault="00E80644" w:rsidP="0023484E">
            <w:pPr>
              <w:jc w:val="both"/>
              <w:rPr>
                <w:sz w:val="20"/>
              </w:rPr>
            </w:pPr>
          </w:p>
        </w:tc>
      </w:tr>
      <w:tr w:rsidR="0071029D" w:rsidRPr="00047B76" w:rsidTr="0023484E">
        <w:tc>
          <w:tcPr>
            <w:tcW w:w="5000" w:type="pct"/>
            <w:gridSpan w:val="4"/>
          </w:tcPr>
          <w:p w:rsidR="0071029D" w:rsidRPr="00047B76" w:rsidRDefault="0071029D" w:rsidP="0023484E">
            <w:pPr>
              <w:jc w:val="both"/>
              <w:rPr>
                <w:sz w:val="20"/>
              </w:rPr>
            </w:pPr>
            <w:r w:rsidRPr="00047B76">
              <w:rPr>
                <w:sz w:val="20"/>
              </w:rPr>
              <w:t>Commercial law — Partnerships — Estate of limited partner who died without partnership agreement seeking to obtain share of residual assets of limited partnership — What are respective rights of limited partners and general partners on dissolution of limited partnership — Is a limited partner entitled to share in residual value of limited partnership on dissolution, or should general partner be entitled to expropriate those assets to itself?</w:t>
            </w:r>
          </w:p>
        </w:tc>
      </w:tr>
      <w:tr w:rsidR="0071029D" w:rsidRPr="00047B76" w:rsidTr="0023484E">
        <w:tc>
          <w:tcPr>
            <w:tcW w:w="5000" w:type="pct"/>
            <w:gridSpan w:val="4"/>
          </w:tcPr>
          <w:p w:rsidR="0071029D" w:rsidRPr="00047B76" w:rsidRDefault="0071029D" w:rsidP="0023484E">
            <w:pPr>
              <w:jc w:val="both"/>
              <w:rPr>
                <w:sz w:val="20"/>
              </w:rPr>
            </w:pPr>
          </w:p>
        </w:tc>
      </w:tr>
      <w:tr w:rsidR="0071029D" w:rsidRPr="00047B76" w:rsidTr="0023484E">
        <w:tc>
          <w:tcPr>
            <w:tcW w:w="5000" w:type="pct"/>
            <w:gridSpan w:val="4"/>
          </w:tcPr>
          <w:p w:rsidR="0071029D" w:rsidRPr="00047B76" w:rsidRDefault="0071029D" w:rsidP="0023484E">
            <w:pPr>
              <w:jc w:val="both"/>
              <w:rPr>
                <w:sz w:val="20"/>
              </w:rPr>
            </w:pPr>
            <w:r w:rsidRPr="00047B76">
              <w:rPr>
                <w:sz w:val="20"/>
                <w:lang w:val="en"/>
              </w:rPr>
              <w:t>Canadian Home Publishers (“CHP”), a limited partnership, was formed having Canadian Home Publishers Inc. (“CHPI”), as its general partner and David Colville</w:t>
            </w:r>
            <w:r w:rsidRPr="00047B76">
              <w:rPr>
                <w:sz w:val="20"/>
                <w:lang w:val="en"/>
              </w:rPr>
              <w:noBreakHyphen/>
              <w:t>Reeves as its sole limited partner. CHPI was wholly</w:t>
            </w:r>
            <w:r w:rsidRPr="00047B76">
              <w:rPr>
                <w:sz w:val="20"/>
                <w:lang w:val="en"/>
              </w:rPr>
              <w:noBreakHyphen/>
              <w:t xml:space="preserve">owned by Lynda Reeves who married David in 1985. CHP was formed to acquire the business of Canadian House and Home magazine. Lynda ran the business as its publisher. David and Lynda verbally agreed that CHPI and David would each be entitled to 50% of the profits of the business. This profit sharing arrangement continued to the date of David’s death and afterward. In the early years of Lynda’s management of the business, David provided capital contributions to CHP totaling approximately $1.8 million. In 1991, David and Lynda divorced. David died on October 25, 2012. The parties had made no arrangements regarding what would happen to the business interests in the event of David’s death. There was no agreement that the estate or any beneficiary would become a substituted limited partner in CHP. The parties brought an application to determine, the effect of David’s death on the limited partnership and entitlement of the parties to the assets of the limited partnership upon dissolution, on the basis of the </w:t>
            </w:r>
            <w:hyperlink r:id="rId25" w:history="1">
              <w:r w:rsidRPr="00047B76">
                <w:rPr>
                  <w:i/>
                  <w:iCs/>
                  <w:sz w:val="20"/>
                  <w:lang w:val="en"/>
                </w:rPr>
                <w:t>Limited Partnerships Act</w:t>
              </w:r>
            </w:hyperlink>
            <w:r w:rsidRPr="00047B76">
              <w:rPr>
                <w:sz w:val="20"/>
                <w:lang w:val="en"/>
              </w:rPr>
              <w:t xml:space="preserve">, </w:t>
            </w:r>
            <w:hyperlink r:id="rId26" w:history="1">
              <w:r w:rsidRPr="00047B76">
                <w:rPr>
                  <w:sz w:val="20"/>
                  <w:lang w:val="en"/>
                </w:rPr>
                <w:t>R.S.O. 1990, c. L.26</w:t>
              </w:r>
            </w:hyperlink>
            <w:r w:rsidRPr="00047B76">
              <w:rPr>
                <w:sz w:val="20"/>
                <w:lang w:val="en"/>
              </w:rPr>
              <w:t xml:space="preserve"> and the </w:t>
            </w:r>
            <w:hyperlink r:id="rId27" w:history="1">
              <w:r w:rsidRPr="00047B76">
                <w:rPr>
                  <w:i/>
                  <w:iCs/>
                  <w:sz w:val="20"/>
                  <w:lang w:val="en"/>
                </w:rPr>
                <w:t>Partnerships Act</w:t>
              </w:r>
              <w:r w:rsidRPr="00047B76">
                <w:rPr>
                  <w:sz w:val="20"/>
                  <w:lang w:val="en"/>
                </w:rPr>
                <w:t>, R.S.O. 1990, c. P.5</w:t>
              </w:r>
            </w:hyperlink>
            <w:r w:rsidRPr="00047B76">
              <w:rPr>
                <w:sz w:val="20"/>
                <w:lang w:val="en"/>
              </w:rPr>
              <w:t xml:space="preserve">.  </w:t>
            </w:r>
            <w:r w:rsidRPr="00047B76">
              <w:rPr>
                <w:sz w:val="20"/>
              </w:rPr>
              <w:t>The application judge determined that CHP was dissolved on David’s death. Any residual assets of CHP were to be distributed equally between Lynda and the Estate. The Court of Appeal confirmed that CHP was dissolved on David’s death but held that the Estate had no interest in the residual assets of CHP.</w:t>
            </w:r>
          </w:p>
          <w:p w:rsidR="0071029D" w:rsidRPr="00047B76" w:rsidRDefault="0071029D" w:rsidP="0023484E">
            <w:pPr>
              <w:jc w:val="both"/>
              <w:rPr>
                <w:sz w:val="20"/>
              </w:rPr>
            </w:pPr>
          </w:p>
        </w:tc>
      </w:tr>
      <w:tr w:rsidR="0071029D" w:rsidRPr="00047B76" w:rsidTr="0023484E">
        <w:tc>
          <w:tcPr>
            <w:tcW w:w="2427" w:type="pct"/>
            <w:gridSpan w:val="2"/>
          </w:tcPr>
          <w:p w:rsidR="0071029D" w:rsidRPr="00047B76" w:rsidRDefault="0071029D" w:rsidP="0023484E">
            <w:pPr>
              <w:jc w:val="both"/>
              <w:rPr>
                <w:sz w:val="20"/>
              </w:rPr>
            </w:pPr>
            <w:r w:rsidRPr="00047B76">
              <w:rPr>
                <w:sz w:val="20"/>
              </w:rPr>
              <w:t>July 18, 2018</w:t>
            </w:r>
          </w:p>
          <w:p w:rsidR="0071029D" w:rsidRPr="00047B76" w:rsidRDefault="0071029D" w:rsidP="0023484E">
            <w:pPr>
              <w:jc w:val="both"/>
              <w:rPr>
                <w:sz w:val="20"/>
              </w:rPr>
            </w:pPr>
            <w:r w:rsidRPr="00047B76">
              <w:rPr>
                <w:sz w:val="20"/>
              </w:rPr>
              <w:t>Superior Court of Justice — Ontario</w:t>
            </w:r>
          </w:p>
          <w:p w:rsidR="0071029D" w:rsidRPr="00047B76" w:rsidRDefault="0071029D" w:rsidP="0023484E">
            <w:pPr>
              <w:jc w:val="both"/>
              <w:rPr>
                <w:sz w:val="20"/>
              </w:rPr>
            </w:pPr>
            <w:r w:rsidRPr="00047B76">
              <w:rPr>
                <w:sz w:val="20"/>
              </w:rPr>
              <w:t>(Wilton</w:t>
            </w:r>
            <w:r w:rsidRPr="00047B76">
              <w:rPr>
                <w:sz w:val="20"/>
              </w:rPr>
              <w:noBreakHyphen/>
              <w:t>Siegel J.)</w:t>
            </w:r>
          </w:p>
          <w:p w:rsidR="0071029D" w:rsidRPr="00047B76" w:rsidRDefault="009A56E8" w:rsidP="0023484E">
            <w:pPr>
              <w:jc w:val="both"/>
              <w:rPr>
                <w:sz w:val="20"/>
              </w:rPr>
            </w:pPr>
            <w:hyperlink r:id="rId28" w:history="1">
              <w:r w:rsidR="0071029D" w:rsidRPr="00047B76">
                <w:rPr>
                  <w:rStyle w:val="Hyperlink"/>
                  <w:sz w:val="20"/>
                </w:rPr>
                <w:t>2018 ONSC 4427</w:t>
              </w:r>
            </w:hyperlink>
          </w:p>
          <w:p w:rsidR="0071029D" w:rsidRPr="00047B76" w:rsidRDefault="0071029D" w:rsidP="0023484E">
            <w:pPr>
              <w:jc w:val="both"/>
              <w:rPr>
                <w:sz w:val="20"/>
              </w:rPr>
            </w:pPr>
          </w:p>
        </w:tc>
        <w:tc>
          <w:tcPr>
            <w:tcW w:w="243" w:type="pct"/>
          </w:tcPr>
          <w:p w:rsidR="0071029D" w:rsidRPr="00047B76" w:rsidRDefault="0071029D" w:rsidP="0023484E">
            <w:pPr>
              <w:jc w:val="both"/>
              <w:rPr>
                <w:sz w:val="20"/>
              </w:rPr>
            </w:pPr>
          </w:p>
        </w:tc>
        <w:tc>
          <w:tcPr>
            <w:tcW w:w="2330" w:type="pct"/>
          </w:tcPr>
          <w:p w:rsidR="0071029D" w:rsidRPr="00047B76" w:rsidRDefault="0071029D" w:rsidP="0023484E">
            <w:pPr>
              <w:jc w:val="both"/>
              <w:rPr>
                <w:sz w:val="20"/>
              </w:rPr>
            </w:pPr>
            <w:r w:rsidRPr="00047B76">
              <w:rPr>
                <w:sz w:val="20"/>
              </w:rPr>
              <w:t>Order declaring limited partnership was dissolved on death of sole limited partner; Residual assets to be distributed equally between general partner and estate</w:t>
            </w:r>
          </w:p>
        </w:tc>
      </w:tr>
      <w:tr w:rsidR="0071029D" w:rsidRPr="00047B76" w:rsidTr="0023484E">
        <w:tc>
          <w:tcPr>
            <w:tcW w:w="2427" w:type="pct"/>
            <w:gridSpan w:val="2"/>
          </w:tcPr>
          <w:p w:rsidR="0071029D" w:rsidRPr="00047B76" w:rsidRDefault="0071029D" w:rsidP="0023484E">
            <w:pPr>
              <w:jc w:val="both"/>
              <w:rPr>
                <w:sz w:val="20"/>
              </w:rPr>
            </w:pPr>
            <w:r w:rsidRPr="00047B76">
              <w:rPr>
                <w:sz w:val="20"/>
              </w:rPr>
              <w:t>April 24, 2019</w:t>
            </w:r>
          </w:p>
          <w:p w:rsidR="0071029D" w:rsidRPr="00047B76" w:rsidRDefault="0071029D" w:rsidP="0023484E">
            <w:pPr>
              <w:jc w:val="both"/>
              <w:rPr>
                <w:sz w:val="20"/>
              </w:rPr>
            </w:pPr>
            <w:r w:rsidRPr="00047B76">
              <w:rPr>
                <w:sz w:val="20"/>
              </w:rPr>
              <w:t>Court of Appeal for Ontario</w:t>
            </w:r>
          </w:p>
          <w:p w:rsidR="0071029D" w:rsidRPr="00047B76" w:rsidRDefault="0071029D" w:rsidP="0023484E">
            <w:pPr>
              <w:jc w:val="both"/>
              <w:rPr>
                <w:sz w:val="20"/>
              </w:rPr>
            </w:pPr>
            <w:r w:rsidRPr="00047B76">
              <w:rPr>
                <w:sz w:val="20"/>
              </w:rPr>
              <w:t xml:space="preserve">(Feldman, </w:t>
            </w:r>
            <w:proofErr w:type="spellStart"/>
            <w:r w:rsidRPr="00047B76">
              <w:rPr>
                <w:sz w:val="20"/>
              </w:rPr>
              <w:t>Pepall</w:t>
            </w:r>
            <w:proofErr w:type="spellEnd"/>
            <w:r w:rsidRPr="00047B76">
              <w:rPr>
                <w:sz w:val="20"/>
              </w:rPr>
              <w:t xml:space="preserve"> and </w:t>
            </w:r>
            <w:proofErr w:type="spellStart"/>
            <w:r w:rsidRPr="00047B76">
              <w:rPr>
                <w:sz w:val="20"/>
              </w:rPr>
              <w:t>Nordheimer</w:t>
            </w:r>
            <w:proofErr w:type="spellEnd"/>
            <w:r w:rsidRPr="00047B76">
              <w:rPr>
                <w:sz w:val="20"/>
              </w:rPr>
              <w:t xml:space="preserve"> JJ.A.)</w:t>
            </w:r>
          </w:p>
          <w:p w:rsidR="0071029D" w:rsidRPr="00047B76" w:rsidRDefault="009A56E8" w:rsidP="0023484E">
            <w:pPr>
              <w:jc w:val="both"/>
              <w:rPr>
                <w:sz w:val="20"/>
              </w:rPr>
            </w:pPr>
            <w:hyperlink r:id="rId29" w:history="1">
              <w:r w:rsidR="0071029D" w:rsidRPr="00047B76">
                <w:rPr>
                  <w:rStyle w:val="Hyperlink"/>
                  <w:sz w:val="20"/>
                </w:rPr>
                <w:t>2019 ONCA 314</w:t>
              </w:r>
            </w:hyperlink>
          </w:p>
          <w:p w:rsidR="0071029D" w:rsidRPr="00047B76" w:rsidRDefault="0071029D" w:rsidP="0023484E">
            <w:pPr>
              <w:jc w:val="both"/>
              <w:rPr>
                <w:sz w:val="20"/>
              </w:rPr>
            </w:pPr>
          </w:p>
        </w:tc>
        <w:tc>
          <w:tcPr>
            <w:tcW w:w="243" w:type="pct"/>
          </w:tcPr>
          <w:p w:rsidR="0071029D" w:rsidRPr="00047B76" w:rsidRDefault="0071029D" w:rsidP="0023484E">
            <w:pPr>
              <w:jc w:val="both"/>
              <w:rPr>
                <w:sz w:val="20"/>
              </w:rPr>
            </w:pPr>
          </w:p>
        </w:tc>
        <w:tc>
          <w:tcPr>
            <w:tcW w:w="2330" w:type="pct"/>
          </w:tcPr>
          <w:p w:rsidR="0071029D" w:rsidRPr="00047B76" w:rsidRDefault="0071029D" w:rsidP="0023484E">
            <w:pPr>
              <w:jc w:val="both"/>
              <w:rPr>
                <w:sz w:val="20"/>
              </w:rPr>
            </w:pPr>
            <w:r w:rsidRPr="00047B76">
              <w:rPr>
                <w:sz w:val="20"/>
              </w:rPr>
              <w:t>Respondent’s appeal allowed; Estate not entitled to share of residual assets.</w:t>
            </w:r>
          </w:p>
          <w:p w:rsidR="0071029D" w:rsidRPr="00047B76" w:rsidRDefault="0071029D" w:rsidP="0023484E">
            <w:pPr>
              <w:jc w:val="both"/>
              <w:rPr>
                <w:sz w:val="20"/>
              </w:rPr>
            </w:pPr>
          </w:p>
          <w:p w:rsidR="0071029D" w:rsidRPr="00047B76" w:rsidRDefault="0071029D" w:rsidP="0023484E">
            <w:pPr>
              <w:jc w:val="both"/>
              <w:rPr>
                <w:sz w:val="20"/>
              </w:rPr>
            </w:pPr>
          </w:p>
        </w:tc>
      </w:tr>
      <w:tr w:rsidR="0071029D" w:rsidRPr="00047B76" w:rsidTr="0023484E">
        <w:tc>
          <w:tcPr>
            <w:tcW w:w="2427" w:type="pct"/>
            <w:gridSpan w:val="2"/>
          </w:tcPr>
          <w:p w:rsidR="0071029D" w:rsidRPr="00047B76" w:rsidRDefault="0071029D" w:rsidP="0023484E">
            <w:pPr>
              <w:jc w:val="both"/>
              <w:rPr>
                <w:sz w:val="20"/>
              </w:rPr>
            </w:pPr>
            <w:r w:rsidRPr="00047B76">
              <w:rPr>
                <w:sz w:val="20"/>
              </w:rPr>
              <w:t>June 20, 2019</w:t>
            </w:r>
          </w:p>
          <w:p w:rsidR="0071029D" w:rsidRPr="00047B76" w:rsidRDefault="0071029D" w:rsidP="0023484E">
            <w:pPr>
              <w:jc w:val="both"/>
              <w:rPr>
                <w:sz w:val="20"/>
              </w:rPr>
            </w:pPr>
            <w:r w:rsidRPr="00047B76">
              <w:rPr>
                <w:sz w:val="20"/>
              </w:rPr>
              <w:t>Supreme Court of Canada</w:t>
            </w:r>
          </w:p>
        </w:tc>
        <w:tc>
          <w:tcPr>
            <w:tcW w:w="243" w:type="pct"/>
          </w:tcPr>
          <w:p w:rsidR="0071029D" w:rsidRPr="00047B76" w:rsidRDefault="0071029D" w:rsidP="0023484E">
            <w:pPr>
              <w:jc w:val="both"/>
              <w:rPr>
                <w:sz w:val="20"/>
              </w:rPr>
            </w:pPr>
          </w:p>
        </w:tc>
        <w:tc>
          <w:tcPr>
            <w:tcW w:w="2330" w:type="pct"/>
          </w:tcPr>
          <w:p w:rsidR="0071029D" w:rsidRPr="00047B76" w:rsidRDefault="0071029D" w:rsidP="0023484E">
            <w:pPr>
              <w:jc w:val="both"/>
              <w:rPr>
                <w:sz w:val="20"/>
              </w:rPr>
            </w:pPr>
            <w:r w:rsidRPr="00047B76">
              <w:rPr>
                <w:sz w:val="20"/>
              </w:rPr>
              <w:t>Application for leave to appeal filed</w:t>
            </w:r>
          </w:p>
          <w:p w:rsidR="0071029D" w:rsidRPr="00047B76" w:rsidRDefault="0071029D" w:rsidP="0023484E">
            <w:pPr>
              <w:jc w:val="both"/>
              <w:rPr>
                <w:sz w:val="20"/>
              </w:rPr>
            </w:pPr>
          </w:p>
        </w:tc>
      </w:tr>
    </w:tbl>
    <w:p w:rsidR="0071029D" w:rsidRPr="00047B76" w:rsidRDefault="0071029D" w:rsidP="0071029D">
      <w:pPr>
        <w:jc w:val="both"/>
        <w:rPr>
          <w:sz w:val="20"/>
        </w:rPr>
      </w:pPr>
    </w:p>
    <w:p w:rsidR="0071029D" w:rsidRPr="00047B76" w:rsidRDefault="009A56E8" w:rsidP="0071029D">
      <w:pPr>
        <w:jc w:val="both"/>
        <w:rPr>
          <w:sz w:val="20"/>
        </w:rPr>
      </w:pPr>
      <w:r>
        <w:rPr>
          <w:sz w:val="20"/>
        </w:rPr>
        <w:pict>
          <v:rect id="_x0000_i1042" style="width:2in;height:1pt" o:hrpct="0" o:hralign="center" o:hrstd="t" o:hrnoshade="t" o:hr="t" fillcolor="black [3213]" stroked="f"/>
        </w:pict>
      </w:r>
    </w:p>
    <w:p w:rsidR="0071029D" w:rsidRPr="00047B76" w:rsidRDefault="0071029D" w:rsidP="0071029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1029D" w:rsidRPr="00047B76" w:rsidTr="0023484E">
        <w:tc>
          <w:tcPr>
            <w:tcW w:w="543" w:type="pct"/>
          </w:tcPr>
          <w:p w:rsidR="0071029D" w:rsidRPr="00047B76" w:rsidRDefault="0071029D" w:rsidP="0023484E">
            <w:pPr>
              <w:jc w:val="both"/>
              <w:rPr>
                <w:sz w:val="20"/>
                <w:lang w:val="fr-CA"/>
              </w:rPr>
            </w:pPr>
            <w:r w:rsidRPr="00047B76">
              <w:rPr>
                <w:rStyle w:val="SCCFileNumberChar"/>
                <w:sz w:val="20"/>
                <w:szCs w:val="20"/>
                <w:lang w:val="fr-CA"/>
              </w:rPr>
              <w:t>38697</w:t>
            </w:r>
          </w:p>
        </w:tc>
        <w:tc>
          <w:tcPr>
            <w:tcW w:w="4457" w:type="pct"/>
            <w:gridSpan w:val="3"/>
          </w:tcPr>
          <w:p w:rsidR="0071029D" w:rsidRPr="00047B76" w:rsidRDefault="0071029D" w:rsidP="0023484E">
            <w:pPr>
              <w:pStyle w:val="SCCLsocParty"/>
              <w:jc w:val="both"/>
              <w:rPr>
                <w:b/>
                <w:sz w:val="20"/>
                <w:szCs w:val="20"/>
              </w:rPr>
            </w:pPr>
            <w:r w:rsidRPr="00047B76">
              <w:rPr>
                <w:b/>
                <w:sz w:val="20"/>
                <w:szCs w:val="20"/>
              </w:rPr>
              <w:t xml:space="preserve">Mary Ann Parker et Stephen Colville-Reeves, en leur qualité de fiduciaires de la succession de David Colville-Reeves c. Canadian Home </w:t>
            </w:r>
            <w:proofErr w:type="spellStart"/>
            <w:r w:rsidRPr="00047B76">
              <w:rPr>
                <w:b/>
                <w:sz w:val="20"/>
                <w:szCs w:val="20"/>
              </w:rPr>
              <w:t>Publishers</w:t>
            </w:r>
            <w:proofErr w:type="spellEnd"/>
            <w:r w:rsidRPr="00047B76">
              <w:rPr>
                <w:b/>
                <w:sz w:val="20"/>
                <w:szCs w:val="20"/>
              </w:rPr>
              <w:t xml:space="preserve"> Inc., en sa qualité de commanditée de Canadian Home </w:t>
            </w:r>
            <w:proofErr w:type="spellStart"/>
            <w:r w:rsidRPr="00047B76">
              <w:rPr>
                <w:b/>
                <w:sz w:val="20"/>
                <w:szCs w:val="20"/>
              </w:rPr>
              <w:t>Publishers</w:t>
            </w:r>
            <w:proofErr w:type="spellEnd"/>
          </w:p>
          <w:p w:rsidR="0071029D" w:rsidRPr="00047B76" w:rsidRDefault="0071029D" w:rsidP="0023484E">
            <w:pPr>
              <w:jc w:val="both"/>
              <w:rPr>
                <w:sz w:val="20"/>
                <w:lang w:val="fr-CA"/>
              </w:rPr>
            </w:pPr>
            <w:r w:rsidRPr="00047B76">
              <w:rPr>
                <w:sz w:val="20"/>
                <w:lang w:val="fr-CA"/>
              </w:rPr>
              <w:t>(Ont.) (Civile) (Autorisation)</w:t>
            </w:r>
          </w:p>
        </w:tc>
      </w:tr>
      <w:tr w:rsidR="00E80644" w:rsidRPr="00957F6E" w:rsidTr="0023484E">
        <w:tc>
          <w:tcPr>
            <w:tcW w:w="5000" w:type="pct"/>
            <w:gridSpan w:val="4"/>
          </w:tcPr>
          <w:p w:rsidR="00E80644" w:rsidRPr="00047B76" w:rsidRDefault="00583EED" w:rsidP="0023484E">
            <w:pPr>
              <w:jc w:val="both"/>
              <w:rPr>
                <w:sz w:val="20"/>
                <w:szCs w:val="20"/>
                <w:lang w:val="fr-CA"/>
              </w:rPr>
            </w:pPr>
            <w:r w:rsidRPr="00047B76">
              <w:rPr>
                <w:sz w:val="20"/>
                <w:szCs w:val="20"/>
                <w:lang w:val="fr-CA"/>
              </w:rPr>
              <w:t>La demande d’autorisation d’appel de l’arrêt de la Cour d’appel de l’Ontario, numéro C65782, 2019 ONCA 314, daté du 24 avril 2019, est rejetée avec dépens.</w:t>
            </w:r>
          </w:p>
          <w:p w:rsidR="00583EED" w:rsidRPr="00047B76" w:rsidRDefault="00583EED" w:rsidP="0023484E">
            <w:pPr>
              <w:jc w:val="both"/>
              <w:rPr>
                <w:sz w:val="20"/>
                <w:lang w:val="fr-CA"/>
              </w:rPr>
            </w:pPr>
          </w:p>
        </w:tc>
      </w:tr>
      <w:tr w:rsidR="0071029D" w:rsidRPr="00957F6E" w:rsidTr="0023484E">
        <w:tc>
          <w:tcPr>
            <w:tcW w:w="5000" w:type="pct"/>
            <w:gridSpan w:val="4"/>
          </w:tcPr>
          <w:p w:rsidR="0071029D" w:rsidRPr="00047B76" w:rsidRDefault="0071029D" w:rsidP="0023484E">
            <w:pPr>
              <w:jc w:val="both"/>
              <w:rPr>
                <w:sz w:val="20"/>
                <w:lang w:val="fr-CA"/>
              </w:rPr>
            </w:pPr>
            <w:r w:rsidRPr="00047B76">
              <w:rPr>
                <w:sz w:val="20"/>
                <w:lang w:val="fr-CA"/>
              </w:rPr>
              <w:lastRenderedPageBreak/>
              <w:t>Droit commercial — Sociétés de personnes — La succession d’un commanditaire décédé sans avoir conclu de contrat de société cherche à obtenir une part du reliquat de la société en commandite — Quels sont les droits respectifs des commanditaires et des commandités à la dissolution de la société en commandite? — Un commanditaire a</w:t>
            </w:r>
            <w:r w:rsidRPr="00047B76">
              <w:rPr>
                <w:sz w:val="20"/>
                <w:lang w:val="fr-CA"/>
              </w:rPr>
              <w:noBreakHyphen/>
              <w:t>t</w:t>
            </w:r>
            <w:r w:rsidRPr="00047B76">
              <w:rPr>
                <w:sz w:val="20"/>
                <w:lang w:val="fr-CA"/>
              </w:rPr>
              <w:noBreakHyphen/>
              <w:t>il le droit à une part de la valeur de la société en commandite à la dissolution ou bien est</w:t>
            </w:r>
            <w:r w:rsidRPr="00047B76">
              <w:rPr>
                <w:sz w:val="20"/>
                <w:lang w:val="fr-CA"/>
              </w:rPr>
              <w:noBreakHyphen/>
              <w:t>ce que le commandité a le droit de garder pour lui ces éléments d’actif?</w:t>
            </w:r>
          </w:p>
        </w:tc>
      </w:tr>
      <w:tr w:rsidR="0071029D" w:rsidRPr="00957F6E" w:rsidTr="0023484E">
        <w:tc>
          <w:tcPr>
            <w:tcW w:w="5000" w:type="pct"/>
            <w:gridSpan w:val="4"/>
          </w:tcPr>
          <w:p w:rsidR="0071029D" w:rsidRPr="00047B76" w:rsidRDefault="0071029D" w:rsidP="0023484E">
            <w:pPr>
              <w:jc w:val="both"/>
              <w:rPr>
                <w:sz w:val="20"/>
                <w:lang w:val="fr-CA"/>
              </w:rPr>
            </w:pPr>
          </w:p>
        </w:tc>
      </w:tr>
      <w:tr w:rsidR="0071029D" w:rsidRPr="00957F6E" w:rsidTr="0023484E">
        <w:tc>
          <w:tcPr>
            <w:tcW w:w="5000" w:type="pct"/>
            <w:gridSpan w:val="4"/>
          </w:tcPr>
          <w:p w:rsidR="0071029D" w:rsidRPr="00047B76" w:rsidRDefault="0071029D" w:rsidP="0023484E">
            <w:pPr>
              <w:jc w:val="both"/>
              <w:rPr>
                <w:sz w:val="20"/>
                <w:lang w:val="fr-CA"/>
              </w:rPr>
            </w:pPr>
            <w:r w:rsidRPr="00047B76">
              <w:rPr>
                <w:sz w:val="20"/>
                <w:lang w:val="fr-CA"/>
              </w:rPr>
              <w:t xml:space="preserve">Canadian Home </w:t>
            </w:r>
            <w:proofErr w:type="spellStart"/>
            <w:r w:rsidRPr="00047B76">
              <w:rPr>
                <w:sz w:val="20"/>
                <w:lang w:val="fr-CA"/>
              </w:rPr>
              <w:t>Publishers</w:t>
            </w:r>
            <w:proofErr w:type="spellEnd"/>
            <w:r w:rsidRPr="00047B76">
              <w:rPr>
                <w:sz w:val="20"/>
                <w:lang w:val="fr-CA"/>
              </w:rPr>
              <w:t xml:space="preserve"> (« CHP »), une société en commandite, a été formée ayant  Canadian Home </w:t>
            </w:r>
            <w:proofErr w:type="spellStart"/>
            <w:r w:rsidRPr="00047B76">
              <w:rPr>
                <w:sz w:val="20"/>
                <w:lang w:val="fr-CA"/>
              </w:rPr>
              <w:t>Publishers</w:t>
            </w:r>
            <w:proofErr w:type="spellEnd"/>
            <w:r w:rsidRPr="00047B76">
              <w:rPr>
                <w:sz w:val="20"/>
                <w:lang w:val="fr-CA"/>
              </w:rPr>
              <w:t xml:space="preserve"> Inc. (« CHPI ») comme son commandité et David Colville</w:t>
            </w:r>
            <w:r w:rsidRPr="00047B76">
              <w:rPr>
                <w:sz w:val="20"/>
                <w:lang w:val="fr-CA"/>
              </w:rPr>
              <w:noBreakHyphen/>
              <w:t xml:space="preserve">Reeves comme son unique commanditaire. CHPI appartenait en propriété exclusive à Lynda Reeves qui a épousé David en 1985. CHP a été formée pour acquérir l’entreprise de la revue Canadian House and Home. Lynda dirigeait l’entreprise à titre d’éditrice. David et Lynda ont convenu verbalement CHPI et David auraient chacun droit à 50 % des bénéfices de l’entreprise. Cet arrangement de partage de bénéfices a continué jusqu’au décès de David et par la suite. Dans les premières années où Lynda administrait l’entreprise, David fournissait des apports en capital à CHP s’élevant à un total d’environ 1,8 million de dollars. En 1991, David et Lynda se sont divorcés. David est décédé le 25 octobre 2012. Les parties n’ont pris aucune disposition sur ce qui adviendrait des intérêts commerciaux en cas de décès de David. Il n’y avait aucune entente selon laquelle la succession ou un bénéficiaire quelconque se substitue comme commanditaire de CHP. Les parties ont présenté une demande pour déterminer l’effet du décès de David sur la société en commandite et le droit des parties à l’actif de la société en commandite lors de sa dissolution, en application de la </w:t>
            </w:r>
            <w:hyperlink r:id="rId30" w:history="1">
              <w:r w:rsidRPr="00047B76">
                <w:rPr>
                  <w:i/>
                  <w:iCs/>
                  <w:sz w:val="20"/>
                  <w:lang w:val="fr-CA"/>
                </w:rPr>
                <w:t>Loi</w:t>
              </w:r>
            </w:hyperlink>
            <w:r w:rsidRPr="00047B76">
              <w:rPr>
                <w:i/>
                <w:iCs/>
                <w:sz w:val="20"/>
                <w:lang w:val="fr-CA"/>
              </w:rPr>
              <w:t xml:space="preserve"> sur les sociétés en commandite</w:t>
            </w:r>
            <w:r w:rsidRPr="00047B76">
              <w:rPr>
                <w:sz w:val="20"/>
                <w:lang w:val="fr-CA"/>
              </w:rPr>
              <w:t xml:space="preserve">, </w:t>
            </w:r>
            <w:hyperlink r:id="rId31" w:history="1">
              <w:r w:rsidRPr="00047B76">
                <w:rPr>
                  <w:sz w:val="20"/>
                  <w:lang w:val="fr-CA"/>
                </w:rPr>
                <w:t>L.R.O. 1990, ch. L.26</w:t>
              </w:r>
            </w:hyperlink>
            <w:r w:rsidRPr="00047B76">
              <w:rPr>
                <w:sz w:val="20"/>
                <w:lang w:val="fr-CA"/>
              </w:rPr>
              <w:t xml:space="preserve"> et de la </w:t>
            </w:r>
            <w:hyperlink r:id="rId32" w:history="1">
              <w:r w:rsidRPr="00047B76">
                <w:rPr>
                  <w:i/>
                  <w:iCs/>
                  <w:sz w:val="20"/>
                  <w:lang w:val="fr-CA"/>
                </w:rPr>
                <w:t>Loi sur les sociétés en nom collectif</w:t>
              </w:r>
              <w:r w:rsidRPr="00047B76">
                <w:rPr>
                  <w:sz w:val="20"/>
                  <w:lang w:val="fr-CA"/>
                </w:rPr>
                <w:t>, L.R.O. 1990, ch. P.5</w:t>
              </w:r>
            </w:hyperlink>
            <w:r w:rsidRPr="00047B76">
              <w:rPr>
                <w:sz w:val="20"/>
                <w:lang w:val="fr-CA"/>
              </w:rPr>
              <w:t>. Le juge de première instance a conclu que CHP avait été dissous au décès de David. Le reliquat de CHP, le cas échéant, devait être distribué à parts égales entre Lynda et la succession. La Cour d’appel a confirmé que CHP avait été dissous au décès de David, mais a statué que la succession n’avait aucun droit à l’égard du reliquat de CHP.</w:t>
            </w:r>
          </w:p>
          <w:p w:rsidR="0071029D" w:rsidRPr="00047B76" w:rsidRDefault="0071029D" w:rsidP="0023484E">
            <w:pPr>
              <w:jc w:val="both"/>
              <w:rPr>
                <w:sz w:val="20"/>
                <w:lang w:val="fr-CA"/>
              </w:rPr>
            </w:pPr>
          </w:p>
        </w:tc>
      </w:tr>
      <w:tr w:rsidR="0071029D" w:rsidRPr="00957F6E" w:rsidTr="0023484E">
        <w:tc>
          <w:tcPr>
            <w:tcW w:w="2427" w:type="pct"/>
            <w:gridSpan w:val="2"/>
          </w:tcPr>
          <w:p w:rsidR="0071029D" w:rsidRPr="00047B76" w:rsidRDefault="0071029D" w:rsidP="0023484E">
            <w:pPr>
              <w:jc w:val="both"/>
              <w:rPr>
                <w:sz w:val="20"/>
                <w:lang w:val="fr-CA"/>
              </w:rPr>
            </w:pPr>
            <w:r w:rsidRPr="00047B76">
              <w:rPr>
                <w:sz w:val="20"/>
                <w:lang w:val="fr-CA"/>
              </w:rPr>
              <w:t>18 juillet 2018</w:t>
            </w:r>
          </w:p>
          <w:p w:rsidR="0071029D" w:rsidRPr="00047B76" w:rsidRDefault="0071029D" w:rsidP="0023484E">
            <w:pPr>
              <w:jc w:val="both"/>
              <w:rPr>
                <w:sz w:val="20"/>
                <w:lang w:val="fr-CA"/>
              </w:rPr>
            </w:pPr>
            <w:r w:rsidRPr="00047B76">
              <w:rPr>
                <w:sz w:val="20"/>
                <w:lang w:val="fr-CA"/>
              </w:rPr>
              <w:t>Cour supérieure de justice de l’Ontario</w:t>
            </w:r>
          </w:p>
          <w:p w:rsidR="0071029D" w:rsidRPr="00047B76" w:rsidRDefault="0071029D" w:rsidP="0023484E">
            <w:pPr>
              <w:jc w:val="both"/>
              <w:rPr>
                <w:sz w:val="20"/>
                <w:lang w:val="fr-CA"/>
              </w:rPr>
            </w:pPr>
            <w:r w:rsidRPr="00047B76">
              <w:rPr>
                <w:sz w:val="20"/>
                <w:lang w:val="fr-CA"/>
              </w:rPr>
              <w:t>(Juge Wilton</w:t>
            </w:r>
            <w:r w:rsidRPr="00047B76">
              <w:rPr>
                <w:sz w:val="20"/>
                <w:lang w:val="fr-CA"/>
              </w:rPr>
              <w:noBreakHyphen/>
              <w:t>Siegel)</w:t>
            </w:r>
          </w:p>
          <w:p w:rsidR="0071029D" w:rsidRPr="00047B76" w:rsidRDefault="009A56E8" w:rsidP="0023484E">
            <w:pPr>
              <w:jc w:val="both"/>
              <w:rPr>
                <w:sz w:val="20"/>
                <w:lang w:val="fr-CA"/>
              </w:rPr>
            </w:pPr>
            <w:hyperlink r:id="rId33" w:history="1">
              <w:r w:rsidR="0071029D" w:rsidRPr="00047B76">
                <w:rPr>
                  <w:rStyle w:val="Hyperlink"/>
                  <w:sz w:val="20"/>
                  <w:lang w:val="fr-CA"/>
                </w:rPr>
                <w:t>2018 ONSC 4427</w:t>
              </w:r>
            </w:hyperlink>
          </w:p>
          <w:p w:rsidR="0071029D" w:rsidRPr="00047B76" w:rsidRDefault="0071029D" w:rsidP="0023484E">
            <w:pPr>
              <w:jc w:val="both"/>
              <w:rPr>
                <w:sz w:val="20"/>
                <w:lang w:val="fr-CA"/>
              </w:rPr>
            </w:pPr>
          </w:p>
        </w:tc>
        <w:tc>
          <w:tcPr>
            <w:tcW w:w="243" w:type="pct"/>
          </w:tcPr>
          <w:p w:rsidR="0071029D" w:rsidRPr="00047B76" w:rsidRDefault="0071029D" w:rsidP="0023484E">
            <w:pPr>
              <w:jc w:val="both"/>
              <w:rPr>
                <w:sz w:val="20"/>
                <w:lang w:val="fr-CA"/>
              </w:rPr>
            </w:pPr>
          </w:p>
        </w:tc>
        <w:tc>
          <w:tcPr>
            <w:tcW w:w="2330" w:type="pct"/>
          </w:tcPr>
          <w:p w:rsidR="0071029D" w:rsidRPr="00047B76" w:rsidRDefault="0071029D" w:rsidP="0023484E">
            <w:pPr>
              <w:jc w:val="both"/>
              <w:rPr>
                <w:sz w:val="20"/>
                <w:lang w:val="fr-CA"/>
              </w:rPr>
            </w:pPr>
            <w:r w:rsidRPr="00047B76">
              <w:rPr>
                <w:sz w:val="20"/>
                <w:lang w:val="fr-CA"/>
              </w:rPr>
              <w:t>Ordonnance déclarant que la société en commandite avait été dissoute au décès de son unique commanditaire et statuant que le reliquat devait être distribué à parts égales entre la commanditée et la succession</w:t>
            </w:r>
          </w:p>
        </w:tc>
      </w:tr>
      <w:tr w:rsidR="0071029D" w:rsidRPr="00957F6E" w:rsidTr="0023484E">
        <w:tc>
          <w:tcPr>
            <w:tcW w:w="2427" w:type="pct"/>
            <w:gridSpan w:val="2"/>
          </w:tcPr>
          <w:p w:rsidR="0071029D" w:rsidRPr="00047B76" w:rsidRDefault="0071029D" w:rsidP="0023484E">
            <w:pPr>
              <w:jc w:val="both"/>
              <w:rPr>
                <w:sz w:val="20"/>
                <w:lang w:val="fr-CA"/>
              </w:rPr>
            </w:pPr>
            <w:r w:rsidRPr="00047B76">
              <w:rPr>
                <w:sz w:val="20"/>
                <w:lang w:val="fr-CA"/>
              </w:rPr>
              <w:t>24 avril 2019</w:t>
            </w:r>
          </w:p>
          <w:p w:rsidR="0071029D" w:rsidRPr="00047B76" w:rsidRDefault="0071029D" w:rsidP="0023484E">
            <w:pPr>
              <w:jc w:val="both"/>
              <w:rPr>
                <w:sz w:val="20"/>
                <w:lang w:val="fr-CA"/>
              </w:rPr>
            </w:pPr>
            <w:r w:rsidRPr="00047B76">
              <w:rPr>
                <w:sz w:val="20"/>
                <w:lang w:val="fr-CA"/>
              </w:rPr>
              <w:t>Cour d’appel de l’Ontario</w:t>
            </w:r>
          </w:p>
          <w:p w:rsidR="0071029D" w:rsidRPr="00047B76" w:rsidRDefault="0071029D" w:rsidP="0023484E">
            <w:pPr>
              <w:jc w:val="both"/>
              <w:rPr>
                <w:sz w:val="20"/>
                <w:lang w:val="fr-CA"/>
              </w:rPr>
            </w:pPr>
            <w:r w:rsidRPr="00047B76">
              <w:rPr>
                <w:sz w:val="20"/>
                <w:lang w:val="fr-CA"/>
              </w:rPr>
              <w:t xml:space="preserve">(Juges </w:t>
            </w:r>
            <w:proofErr w:type="spellStart"/>
            <w:r w:rsidRPr="00047B76">
              <w:rPr>
                <w:sz w:val="20"/>
                <w:lang w:val="fr-CA"/>
              </w:rPr>
              <w:t>Feldman</w:t>
            </w:r>
            <w:proofErr w:type="spellEnd"/>
            <w:r w:rsidRPr="00047B76">
              <w:rPr>
                <w:sz w:val="20"/>
                <w:lang w:val="fr-CA"/>
              </w:rPr>
              <w:t xml:space="preserve">, </w:t>
            </w:r>
            <w:proofErr w:type="spellStart"/>
            <w:r w:rsidRPr="00047B76">
              <w:rPr>
                <w:sz w:val="20"/>
                <w:lang w:val="fr-CA"/>
              </w:rPr>
              <w:t>Pepall</w:t>
            </w:r>
            <w:proofErr w:type="spellEnd"/>
            <w:r w:rsidRPr="00047B76">
              <w:rPr>
                <w:sz w:val="20"/>
                <w:lang w:val="fr-CA"/>
              </w:rPr>
              <w:t xml:space="preserve"> et </w:t>
            </w:r>
            <w:proofErr w:type="spellStart"/>
            <w:r w:rsidRPr="00047B76">
              <w:rPr>
                <w:sz w:val="20"/>
                <w:lang w:val="fr-CA"/>
              </w:rPr>
              <w:t>Nordheimer</w:t>
            </w:r>
            <w:proofErr w:type="spellEnd"/>
            <w:r w:rsidRPr="00047B76">
              <w:rPr>
                <w:sz w:val="20"/>
                <w:lang w:val="fr-CA"/>
              </w:rPr>
              <w:t>)</w:t>
            </w:r>
          </w:p>
          <w:p w:rsidR="0071029D" w:rsidRPr="00047B76" w:rsidRDefault="009A56E8" w:rsidP="0023484E">
            <w:pPr>
              <w:jc w:val="both"/>
              <w:rPr>
                <w:sz w:val="20"/>
                <w:lang w:val="fr-CA"/>
              </w:rPr>
            </w:pPr>
            <w:hyperlink r:id="rId34" w:history="1">
              <w:r w:rsidR="0071029D" w:rsidRPr="00047B76">
                <w:rPr>
                  <w:rStyle w:val="Hyperlink"/>
                  <w:sz w:val="20"/>
                  <w:lang w:val="fr-CA"/>
                </w:rPr>
                <w:t>2019 ONCA 314</w:t>
              </w:r>
            </w:hyperlink>
          </w:p>
          <w:p w:rsidR="0071029D" w:rsidRPr="00047B76" w:rsidRDefault="0071029D" w:rsidP="0023484E">
            <w:pPr>
              <w:jc w:val="both"/>
              <w:rPr>
                <w:sz w:val="20"/>
                <w:lang w:val="fr-CA"/>
              </w:rPr>
            </w:pPr>
          </w:p>
        </w:tc>
        <w:tc>
          <w:tcPr>
            <w:tcW w:w="243" w:type="pct"/>
          </w:tcPr>
          <w:p w:rsidR="0071029D" w:rsidRPr="00047B76" w:rsidRDefault="0071029D" w:rsidP="0023484E">
            <w:pPr>
              <w:jc w:val="both"/>
              <w:rPr>
                <w:sz w:val="20"/>
                <w:lang w:val="fr-CA"/>
              </w:rPr>
            </w:pPr>
          </w:p>
        </w:tc>
        <w:tc>
          <w:tcPr>
            <w:tcW w:w="2330" w:type="pct"/>
          </w:tcPr>
          <w:p w:rsidR="0071029D" w:rsidRPr="00047B76" w:rsidRDefault="0071029D" w:rsidP="0023484E">
            <w:pPr>
              <w:jc w:val="both"/>
              <w:rPr>
                <w:sz w:val="20"/>
                <w:lang w:val="fr-CA"/>
              </w:rPr>
            </w:pPr>
            <w:r w:rsidRPr="00047B76">
              <w:rPr>
                <w:sz w:val="20"/>
                <w:lang w:val="fr-CA"/>
              </w:rPr>
              <w:t>Arrêt accueillant l’appel de l’intimée et statuant que la succession n’a pas droit au reliquat.</w:t>
            </w:r>
          </w:p>
          <w:p w:rsidR="0071029D" w:rsidRPr="00047B76" w:rsidRDefault="0071029D" w:rsidP="0023484E">
            <w:pPr>
              <w:jc w:val="both"/>
              <w:rPr>
                <w:sz w:val="20"/>
                <w:lang w:val="fr-CA"/>
              </w:rPr>
            </w:pPr>
          </w:p>
          <w:p w:rsidR="0071029D" w:rsidRPr="00047B76" w:rsidRDefault="0071029D" w:rsidP="0023484E">
            <w:pPr>
              <w:jc w:val="both"/>
              <w:rPr>
                <w:sz w:val="20"/>
                <w:lang w:val="fr-CA"/>
              </w:rPr>
            </w:pPr>
          </w:p>
        </w:tc>
      </w:tr>
      <w:tr w:rsidR="0071029D" w:rsidRPr="00957F6E" w:rsidTr="0023484E">
        <w:tc>
          <w:tcPr>
            <w:tcW w:w="2427" w:type="pct"/>
            <w:gridSpan w:val="2"/>
          </w:tcPr>
          <w:p w:rsidR="0071029D" w:rsidRPr="00047B76" w:rsidRDefault="0071029D" w:rsidP="0023484E">
            <w:pPr>
              <w:jc w:val="both"/>
              <w:rPr>
                <w:sz w:val="20"/>
                <w:lang w:val="fr-CA"/>
              </w:rPr>
            </w:pPr>
            <w:r w:rsidRPr="00047B76">
              <w:rPr>
                <w:sz w:val="20"/>
                <w:lang w:val="fr-CA"/>
              </w:rPr>
              <w:t>20 juin 2019</w:t>
            </w:r>
          </w:p>
          <w:p w:rsidR="0071029D" w:rsidRPr="00047B76" w:rsidRDefault="0071029D" w:rsidP="0023484E">
            <w:pPr>
              <w:jc w:val="both"/>
              <w:rPr>
                <w:sz w:val="20"/>
                <w:lang w:val="fr-CA"/>
              </w:rPr>
            </w:pPr>
            <w:r w:rsidRPr="00047B76">
              <w:rPr>
                <w:sz w:val="20"/>
                <w:lang w:val="fr-CA"/>
              </w:rPr>
              <w:t>Cour suprême du Canada</w:t>
            </w:r>
          </w:p>
        </w:tc>
        <w:tc>
          <w:tcPr>
            <w:tcW w:w="243" w:type="pct"/>
          </w:tcPr>
          <w:p w:rsidR="0071029D" w:rsidRPr="00047B76" w:rsidRDefault="0071029D" w:rsidP="0023484E">
            <w:pPr>
              <w:jc w:val="both"/>
              <w:rPr>
                <w:sz w:val="20"/>
                <w:lang w:val="fr-CA"/>
              </w:rPr>
            </w:pPr>
          </w:p>
        </w:tc>
        <w:tc>
          <w:tcPr>
            <w:tcW w:w="2330" w:type="pct"/>
          </w:tcPr>
          <w:p w:rsidR="0071029D" w:rsidRPr="00047B76" w:rsidRDefault="0071029D" w:rsidP="0023484E">
            <w:pPr>
              <w:jc w:val="both"/>
              <w:rPr>
                <w:sz w:val="20"/>
                <w:lang w:val="fr-CA"/>
              </w:rPr>
            </w:pPr>
            <w:r w:rsidRPr="00047B76">
              <w:rPr>
                <w:sz w:val="20"/>
                <w:lang w:val="fr-CA"/>
              </w:rPr>
              <w:t>Dépôt de la demande d’autorisation d’appel</w:t>
            </w:r>
          </w:p>
          <w:p w:rsidR="0071029D" w:rsidRPr="00047B76" w:rsidRDefault="0071029D" w:rsidP="0023484E">
            <w:pPr>
              <w:jc w:val="both"/>
              <w:rPr>
                <w:sz w:val="20"/>
                <w:lang w:val="fr-CA"/>
              </w:rPr>
            </w:pPr>
          </w:p>
        </w:tc>
      </w:tr>
    </w:tbl>
    <w:p w:rsidR="0071029D" w:rsidRPr="00047B76" w:rsidRDefault="0071029D" w:rsidP="0071029D">
      <w:pPr>
        <w:jc w:val="both"/>
        <w:rPr>
          <w:sz w:val="20"/>
          <w:lang w:val="fr-CA"/>
        </w:rPr>
      </w:pPr>
    </w:p>
    <w:p w:rsidR="0071029D" w:rsidRPr="00047B76" w:rsidRDefault="009A56E8" w:rsidP="0071029D">
      <w:pPr>
        <w:ind w:left="142" w:hanging="142"/>
        <w:jc w:val="both"/>
        <w:rPr>
          <w:sz w:val="20"/>
          <w:lang w:val="fr-CA"/>
        </w:rPr>
      </w:pPr>
      <w:r>
        <w:rPr>
          <w:sz w:val="20"/>
        </w:rPr>
        <w:pict>
          <v:rect id="_x0000_i1043" style="width:2in;height:1pt" o:hrpct="0" o:hralign="center" o:hrstd="t" o:hrnoshade="t" o:hr="t" fillcolor="black [3213]" stroked="f"/>
        </w:pict>
      </w:r>
    </w:p>
    <w:p w:rsidR="0071029D" w:rsidRPr="00047B76" w:rsidRDefault="0071029D" w:rsidP="0071029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1029D" w:rsidRPr="00047B76" w:rsidTr="0023484E">
        <w:tc>
          <w:tcPr>
            <w:tcW w:w="543" w:type="pct"/>
          </w:tcPr>
          <w:p w:rsidR="0071029D" w:rsidRPr="00047B76" w:rsidRDefault="0071029D" w:rsidP="0023484E">
            <w:pPr>
              <w:jc w:val="both"/>
              <w:rPr>
                <w:sz w:val="20"/>
              </w:rPr>
            </w:pPr>
            <w:r w:rsidRPr="00047B76">
              <w:rPr>
                <w:rStyle w:val="SCCFileNumberChar"/>
                <w:sz w:val="20"/>
                <w:szCs w:val="20"/>
              </w:rPr>
              <w:t>38752</w:t>
            </w:r>
          </w:p>
        </w:tc>
        <w:tc>
          <w:tcPr>
            <w:tcW w:w="4457" w:type="pct"/>
            <w:gridSpan w:val="3"/>
          </w:tcPr>
          <w:p w:rsidR="0071029D" w:rsidRPr="00047B76" w:rsidRDefault="0071029D" w:rsidP="0023484E">
            <w:pPr>
              <w:pStyle w:val="SCCLsocParty"/>
              <w:jc w:val="both"/>
              <w:rPr>
                <w:b/>
                <w:sz w:val="20"/>
                <w:szCs w:val="20"/>
                <w:lang w:val="en-US"/>
              </w:rPr>
            </w:pPr>
            <w:r w:rsidRPr="00047B76">
              <w:rPr>
                <w:b/>
                <w:sz w:val="20"/>
                <w:szCs w:val="20"/>
                <w:lang w:val="en-US"/>
              </w:rPr>
              <w:t>Malgorzata Szpyrka v. Her Majesty the Queen</w:t>
            </w:r>
          </w:p>
          <w:p w:rsidR="0071029D" w:rsidRPr="00047B76" w:rsidRDefault="0071029D" w:rsidP="0023484E">
            <w:pPr>
              <w:jc w:val="both"/>
              <w:rPr>
                <w:sz w:val="20"/>
              </w:rPr>
            </w:pPr>
            <w:r w:rsidRPr="00047B76">
              <w:rPr>
                <w:sz w:val="20"/>
              </w:rPr>
              <w:t>(Ont.) (Criminal) (By Leave)</w:t>
            </w:r>
          </w:p>
        </w:tc>
      </w:tr>
      <w:tr w:rsidR="00E80644" w:rsidRPr="00047B76" w:rsidTr="0023484E">
        <w:tc>
          <w:tcPr>
            <w:tcW w:w="5000" w:type="pct"/>
            <w:gridSpan w:val="4"/>
          </w:tcPr>
          <w:p w:rsidR="00E80644" w:rsidRPr="00047B76" w:rsidRDefault="009251B8" w:rsidP="0023484E">
            <w:pPr>
              <w:pStyle w:val="SCCBanSummary0"/>
              <w:rPr>
                <w:smallCaps w:val="0"/>
                <w:sz w:val="20"/>
                <w:szCs w:val="20"/>
              </w:rPr>
            </w:pPr>
            <w:r w:rsidRPr="00047B76">
              <w:rPr>
                <w:smallCaps w:val="0"/>
                <w:sz w:val="20"/>
                <w:szCs w:val="20"/>
              </w:rPr>
              <w:t>The application for leave to appeal from the judgment of the Court of Appeal for Ontario, Number C65841, 2019 ONCA 421, dated May 14, 2019, is dismissed.</w:t>
            </w:r>
          </w:p>
          <w:p w:rsidR="009251B8" w:rsidRPr="00047B76" w:rsidRDefault="009251B8" w:rsidP="009251B8"/>
        </w:tc>
      </w:tr>
      <w:tr w:rsidR="0071029D" w:rsidRPr="00047B76" w:rsidTr="0023484E">
        <w:tc>
          <w:tcPr>
            <w:tcW w:w="5000" w:type="pct"/>
            <w:gridSpan w:val="4"/>
          </w:tcPr>
          <w:p w:rsidR="0071029D" w:rsidRPr="00047B76" w:rsidRDefault="0071029D" w:rsidP="009251B8">
            <w:pPr>
              <w:pStyle w:val="SCCBanSummary0"/>
              <w:rPr>
                <w:sz w:val="20"/>
                <w:szCs w:val="20"/>
              </w:rPr>
            </w:pPr>
            <w:r w:rsidRPr="00047B76">
              <w:rPr>
                <w:sz w:val="20"/>
                <w:szCs w:val="20"/>
              </w:rPr>
              <w:t>(Publication ban in case)</w:t>
            </w:r>
          </w:p>
          <w:p w:rsidR="00183154" w:rsidRPr="00047B76" w:rsidRDefault="00183154" w:rsidP="00183154"/>
        </w:tc>
      </w:tr>
      <w:tr w:rsidR="0071029D" w:rsidRPr="00047B76" w:rsidTr="0023484E">
        <w:tc>
          <w:tcPr>
            <w:tcW w:w="5000" w:type="pct"/>
            <w:gridSpan w:val="4"/>
          </w:tcPr>
          <w:p w:rsidR="0071029D" w:rsidRPr="00047B76" w:rsidRDefault="0071029D" w:rsidP="0023484E">
            <w:pPr>
              <w:pStyle w:val="Default"/>
              <w:jc w:val="both"/>
              <w:rPr>
                <w:sz w:val="20"/>
                <w:szCs w:val="20"/>
              </w:rPr>
            </w:pPr>
            <w:r w:rsidRPr="00047B76">
              <w:rPr>
                <w:sz w:val="20"/>
                <w:szCs w:val="20"/>
              </w:rPr>
              <w:t xml:space="preserve">Criminal law — Preliminary inquiry — Applicant committed for trial — Test for order to stand trial — Whether </w:t>
            </w:r>
            <w:r w:rsidRPr="00047B76">
              <w:rPr>
                <w:i/>
                <w:sz w:val="20"/>
                <w:szCs w:val="20"/>
              </w:rPr>
              <w:t xml:space="preserve">certiorari </w:t>
            </w:r>
            <w:r w:rsidRPr="00047B76">
              <w:rPr>
                <w:sz w:val="20"/>
                <w:szCs w:val="20"/>
              </w:rPr>
              <w:t xml:space="preserve">application properly dismissed — Whether there are conflicting authorities — Whether </w:t>
            </w:r>
            <w:r w:rsidRPr="00047B76">
              <w:rPr>
                <w:sz w:val="20"/>
                <w:szCs w:val="20"/>
                <w:lang w:val="en-CA"/>
              </w:rPr>
              <w:t xml:space="preserve">there is an </w:t>
            </w:r>
            <w:r w:rsidRPr="00047B76">
              <w:rPr>
                <w:sz w:val="20"/>
                <w:szCs w:val="20"/>
              </w:rPr>
              <w:t>issue of public importance regarding the proper test for committal for trial and the sufficiency of circumstantial evidence.</w:t>
            </w:r>
          </w:p>
        </w:tc>
      </w:tr>
      <w:tr w:rsidR="0071029D" w:rsidRPr="00047B76" w:rsidTr="0023484E">
        <w:tc>
          <w:tcPr>
            <w:tcW w:w="5000" w:type="pct"/>
            <w:gridSpan w:val="4"/>
          </w:tcPr>
          <w:p w:rsidR="0071029D" w:rsidRPr="00047B76" w:rsidRDefault="0071029D" w:rsidP="0023484E">
            <w:pPr>
              <w:jc w:val="both"/>
              <w:rPr>
                <w:sz w:val="20"/>
              </w:rPr>
            </w:pPr>
          </w:p>
          <w:p w:rsidR="0071029D" w:rsidRPr="00047B76" w:rsidRDefault="0071029D" w:rsidP="0023484E">
            <w:pPr>
              <w:jc w:val="both"/>
              <w:rPr>
                <w:sz w:val="20"/>
              </w:rPr>
            </w:pPr>
            <w:r w:rsidRPr="00047B76">
              <w:rPr>
                <w:sz w:val="20"/>
              </w:rPr>
              <w:lastRenderedPageBreak/>
              <w:t xml:space="preserve">After a lengthy investigation, the Ontario Provincial Police executed a search warrant at a warehouse building. Inside, the police located numerous marihuana plants and pounds of dried marihuana. The applicant and others were arrested inside the building. The applicant was committed for trial for charges of possession of marihuana for the purpose of trafficking and production of marihuana. The application for </w:t>
            </w:r>
            <w:r w:rsidRPr="00047B76">
              <w:rPr>
                <w:i/>
                <w:sz w:val="20"/>
              </w:rPr>
              <w:t>certiorari</w:t>
            </w:r>
            <w:r w:rsidRPr="00047B76">
              <w:rPr>
                <w:sz w:val="20"/>
              </w:rPr>
              <w:t xml:space="preserve"> to quash the committal for trial was dismissed. The appeal was dismissed.</w:t>
            </w:r>
          </w:p>
          <w:p w:rsidR="0071029D" w:rsidRPr="00047B76" w:rsidRDefault="0071029D" w:rsidP="0023484E">
            <w:pPr>
              <w:jc w:val="both"/>
              <w:rPr>
                <w:sz w:val="20"/>
              </w:rPr>
            </w:pPr>
          </w:p>
        </w:tc>
      </w:tr>
      <w:tr w:rsidR="0071029D" w:rsidRPr="00047B76" w:rsidTr="0023484E">
        <w:tc>
          <w:tcPr>
            <w:tcW w:w="2427" w:type="pct"/>
            <w:gridSpan w:val="2"/>
          </w:tcPr>
          <w:p w:rsidR="0071029D" w:rsidRPr="00047B76" w:rsidRDefault="0071029D" w:rsidP="0023484E">
            <w:pPr>
              <w:jc w:val="both"/>
              <w:rPr>
                <w:sz w:val="20"/>
              </w:rPr>
            </w:pPr>
            <w:r w:rsidRPr="00047B76">
              <w:rPr>
                <w:sz w:val="20"/>
              </w:rPr>
              <w:lastRenderedPageBreak/>
              <w:t>December 7, 2017</w:t>
            </w:r>
          </w:p>
          <w:p w:rsidR="0071029D" w:rsidRPr="00047B76" w:rsidRDefault="0071029D" w:rsidP="0023484E">
            <w:pPr>
              <w:jc w:val="both"/>
              <w:rPr>
                <w:sz w:val="20"/>
              </w:rPr>
            </w:pPr>
            <w:r w:rsidRPr="00047B76">
              <w:rPr>
                <w:sz w:val="20"/>
              </w:rPr>
              <w:t>Ontario Court of Justice</w:t>
            </w:r>
          </w:p>
          <w:p w:rsidR="0071029D" w:rsidRPr="00047B76" w:rsidRDefault="0071029D" w:rsidP="0023484E">
            <w:pPr>
              <w:jc w:val="both"/>
              <w:rPr>
                <w:sz w:val="20"/>
              </w:rPr>
            </w:pPr>
            <w:r w:rsidRPr="00047B76">
              <w:rPr>
                <w:sz w:val="20"/>
              </w:rPr>
              <w:t>(Hunter J.)</w:t>
            </w:r>
          </w:p>
          <w:p w:rsidR="0071029D" w:rsidRPr="00047B76" w:rsidRDefault="0071029D" w:rsidP="0023484E">
            <w:pPr>
              <w:jc w:val="both"/>
              <w:rPr>
                <w:sz w:val="20"/>
              </w:rPr>
            </w:pPr>
          </w:p>
        </w:tc>
        <w:tc>
          <w:tcPr>
            <w:tcW w:w="243" w:type="pct"/>
          </w:tcPr>
          <w:p w:rsidR="0071029D" w:rsidRPr="00047B76" w:rsidRDefault="0071029D" w:rsidP="0023484E">
            <w:pPr>
              <w:jc w:val="both"/>
              <w:rPr>
                <w:sz w:val="20"/>
              </w:rPr>
            </w:pPr>
          </w:p>
        </w:tc>
        <w:tc>
          <w:tcPr>
            <w:tcW w:w="2330" w:type="pct"/>
          </w:tcPr>
          <w:p w:rsidR="0071029D" w:rsidRPr="00047B76" w:rsidRDefault="0071029D" w:rsidP="0023484E">
            <w:pPr>
              <w:jc w:val="both"/>
              <w:rPr>
                <w:sz w:val="20"/>
              </w:rPr>
            </w:pPr>
            <w:r w:rsidRPr="00047B76">
              <w:rPr>
                <w:sz w:val="20"/>
              </w:rPr>
              <w:t>Applicant committed for trial for charges of possession of marihuana for the purpose of trafficking and production of marihuana</w:t>
            </w:r>
          </w:p>
          <w:p w:rsidR="0071029D" w:rsidRPr="00047B76" w:rsidRDefault="0071029D" w:rsidP="0023484E">
            <w:pPr>
              <w:jc w:val="both"/>
              <w:rPr>
                <w:sz w:val="20"/>
              </w:rPr>
            </w:pPr>
          </w:p>
        </w:tc>
      </w:tr>
      <w:tr w:rsidR="0071029D" w:rsidRPr="00047B76" w:rsidTr="0023484E">
        <w:tc>
          <w:tcPr>
            <w:tcW w:w="2427" w:type="pct"/>
            <w:gridSpan w:val="2"/>
          </w:tcPr>
          <w:p w:rsidR="0071029D" w:rsidRPr="00047B76" w:rsidRDefault="0071029D" w:rsidP="0023484E">
            <w:pPr>
              <w:jc w:val="both"/>
              <w:rPr>
                <w:sz w:val="20"/>
              </w:rPr>
            </w:pPr>
            <w:r w:rsidRPr="00047B76">
              <w:rPr>
                <w:sz w:val="20"/>
              </w:rPr>
              <w:t>August 29, 2018</w:t>
            </w:r>
          </w:p>
          <w:p w:rsidR="0071029D" w:rsidRPr="00047B76" w:rsidRDefault="0071029D" w:rsidP="0023484E">
            <w:pPr>
              <w:jc w:val="both"/>
              <w:rPr>
                <w:sz w:val="20"/>
              </w:rPr>
            </w:pPr>
            <w:r w:rsidRPr="00047B76">
              <w:rPr>
                <w:sz w:val="20"/>
              </w:rPr>
              <w:t>Ontario Superior Court of Justice</w:t>
            </w:r>
          </w:p>
          <w:p w:rsidR="0071029D" w:rsidRPr="00047B76" w:rsidRDefault="0071029D" w:rsidP="0023484E">
            <w:pPr>
              <w:jc w:val="both"/>
              <w:rPr>
                <w:sz w:val="20"/>
              </w:rPr>
            </w:pPr>
            <w:r w:rsidRPr="00047B76">
              <w:rPr>
                <w:sz w:val="20"/>
              </w:rPr>
              <w:t>(</w:t>
            </w:r>
            <w:proofErr w:type="spellStart"/>
            <w:r w:rsidRPr="00047B76">
              <w:rPr>
                <w:sz w:val="20"/>
              </w:rPr>
              <w:t>Tausendfreund</w:t>
            </w:r>
            <w:proofErr w:type="spellEnd"/>
            <w:r w:rsidRPr="00047B76">
              <w:rPr>
                <w:sz w:val="20"/>
              </w:rPr>
              <w:t xml:space="preserve"> J.)</w:t>
            </w:r>
          </w:p>
          <w:p w:rsidR="0071029D" w:rsidRPr="00047B76" w:rsidRDefault="0071029D" w:rsidP="0023484E">
            <w:pPr>
              <w:jc w:val="both"/>
              <w:rPr>
                <w:sz w:val="20"/>
              </w:rPr>
            </w:pPr>
            <w:r w:rsidRPr="00047B76">
              <w:rPr>
                <w:sz w:val="20"/>
              </w:rPr>
              <w:t>2018 ONSC 5114 (unreported)</w:t>
            </w:r>
          </w:p>
          <w:p w:rsidR="0071029D" w:rsidRPr="00047B76" w:rsidRDefault="0071029D" w:rsidP="0023484E">
            <w:pPr>
              <w:jc w:val="both"/>
              <w:rPr>
                <w:sz w:val="20"/>
              </w:rPr>
            </w:pPr>
          </w:p>
        </w:tc>
        <w:tc>
          <w:tcPr>
            <w:tcW w:w="243" w:type="pct"/>
          </w:tcPr>
          <w:p w:rsidR="0071029D" w:rsidRPr="00047B76" w:rsidRDefault="0071029D" w:rsidP="0023484E">
            <w:pPr>
              <w:jc w:val="both"/>
              <w:rPr>
                <w:sz w:val="20"/>
              </w:rPr>
            </w:pPr>
          </w:p>
        </w:tc>
        <w:tc>
          <w:tcPr>
            <w:tcW w:w="2330" w:type="pct"/>
          </w:tcPr>
          <w:p w:rsidR="0071029D" w:rsidRPr="00047B76" w:rsidRDefault="0071029D" w:rsidP="0023484E">
            <w:pPr>
              <w:jc w:val="both"/>
              <w:rPr>
                <w:sz w:val="20"/>
              </w:rPr>
            </w:pPr>
            <w:r w:rsidRPr="00047B76">
              <w:rPr>
                <w:sz w:val="20"/>
              </w:rPr>
              <w:t xml:space="preserve">Application for </w:t>
            </w:r>
            <w:r w:rsidRPr="00047B76">
              <w:rPr>
                <w:i/>
                <w:sz w:val="20"/>
              </w:rPr>
              <w:t>certiorari</w:t>
            </w:r>
            <w:r w:rsidRPr="00047B76">
              <w:rPr>
                <w:sz w:val="20"/>
              </w:rPr>
              <w:t xml:space="preserve"> to quash the committal for trial dismissed</w:t>
            </w:r>
          </w:p>
          <w:p w:rsidR="0071029D" w:rsidRPr="00047B76" w:rsidRDefault="0071029D" w:rsidP="0023484E">
            <w:pPr>
              <w:jc w:val="both"/>
              <w:rPr>
                <w:sz w:val="20"/>
              </w:rPr>
            </w:pPr>
          </w:p>
        </w:tc>
      </w:tr>
      <w:tr w:rsidR="0071029D" w:rsidRPr="00047B76" w:rsidTr="0023484E">
        <w:tc>
          <w:tcPr>
            <w:tcW w:w="2427" w:type="pct"/>
            <w:gridSpan w:val="2"/>
          </w:tcPr>
          <w:p w:rsidR="0071029D" w:rsidRPr="00047B76" w:rsidRDefault="0071029D" w:rsidP="0023484E">
            <w:pPr>
              <w:jc w:val="both"/>
              <w:rPr>
                <w:sz w:val="20"/>
              </w:rPr>
            </w:pPr>
            <w:r w:rsidRPr="00047B76">
              <w:rPr>
                <w:sz w:val="20"/>
              </w:rPr>
              <w:t>May 14, 2019</w:t>
            </w:r>
          </w:p>
          <w:p w:rsidR="0071029D" w:rsidRPr="00047B76" w:rsidRDefault="0071029D" w:rsidP="0023484E">
            <w:pPr>
              <w:jc w:val="both"/>
              <w:rPr>
                <w:sz w:val="20"/>
              </w:rPr>
            </w:pPr>
            <w:r w:rsidRPr="00047B76">
              <w:rPr>
                <w:sz w:val="20"/>
              </w:rPr>
              <w:t>Court of Appeal for Ontario</w:t>
            </w:r>
          </w:p>
          <w:p w:rsidR="0071029D" w:rsidRPr="00047B76" w:rsidRDefault="0071029D" w:rsidP="0023484E">
            <w:pPr>
              <w:jc w:val="both"/>
              <w:rPr>
                <w:sz w:val="20"/>
              </w:rPr>
            </w:pPr>
            <w:r w:rsidRPr="00047B76">
              <w:rPr>
                <w:sz w:val="20"/>
              </w:rPr>
              <w:t xml:space="preserve">(Doherty, </w:t>
            </w:r>
            <w:proofErr w:type="spellStart"/>
            <w:r w:rsidRPr="00047B76">
              <w:rPr>
                <w:sz w:val="20"/>
              </w:rPr>
              <w:t>Benotto</w:t>
            </w:r>
            <w:proofErr w:type="spellEnd"/>
            <w:r w:rsidRPr="00047B76">
              <w:rPr>
                <w:sz w:val="20"/>
              </w:rPr>
              <w:t xml:space="preserve">, </w:t>
            </w:r>
            <w:proofErr w:type="spellStart"/>
            <w:r w:rsidRPr="00047B76">
              <w:rPr>
                <w:sz w:val="20"/>
              </w:rPr>
              <w:t>Huscroft</w:t>
            </w:r>
            <w:proofErr w:type="spellEnd"/>
            <w:r w:rsidRPr="00047B76">
              <w:rPr>
                <w:sz w:val="20"/>
              </w:rPr>
              <w:t xml:space="preserve"> JJ.A.)</w:t>
            </w:r>
          </w:p>
          <w:p w:rsidR="0071029D" w:rsidRPr="00047B76" w:rsidRDefault="0071029D" w:rsidP="0023484E">
            <w:pPr>
              <w:jc w:val="both"/>
              <w:rPr>
                <w:sz w:val="20"/>
              </w:rPr>
            </w:pPr>
            <w:r w:rsidRPr="00047B76">
              <w:rPr>
                <w:sz w:val="20"/>
              </w:rPr>
              <w:t>C65841</w:t>
            </w:r>
          </w:p>
          <w:p w:rsidR="0071029D" w:rsidRPr="00047B76" w:rsidRDefault="009A56E8" w:rsidP="0023484E">
            <w:pPr>
              <w:jc w:val="both"/>
              <w:rPr>
                <w:sz w:val="20"/>
              </w:rPr>
            </w:pPr>
            <w:hyperlink r:id="rId35" w:history="1">
              <w:r w:rsidR="0071029D" w:rsidRPr="00047B76">
                <w:rPr>
                  <w:rStyle w:val="Hyperlink"/>
                  <w:sz w:val="20"/>
                </w:rPr>
                <w:t>2019 ONCA 421</w:t>
              </w:r>
            </w:hyperlink>
          </w:p>
          <w:p w:rsidR="0071029D" w:rsidRPr="00047B76" w:rsidRDefault="0071029D" w:rsidP="0023484E">
            <w:pPr>
              <w:jc w:val="both"/>
              <w:rPr>
                <w:sz w:val="20"/>
              </w:rPr>
            </w:pPr>
          </w:p>
        </w:tc>
        <w:tc>
          <w:tcPr>
            <w:tcW w:w="243" w:type="pct"/>
          </w:tcPr>
          <w:p w:rsidR="0071029D" w:rsidRPr="00047B76" w:rsidRDefault="0071029D" w:rsidP="0023484E">
            <w:pPr>
              <w:jc w:val="both"/>
              <w:rPr>
                <w:sz w:val="20"/>
              </w:rPr>
            </w:pPr>
          </w:p>
        </w:tc>
        <w:tc>
          <w:tcPr>
            <w:tcW w:w="2330" w:type="pct"/>
          </w:tcPr>
          <w:p w:rsidR="0071029D" w:rsidRPr="00047B76" w:rsidRDefault="0071029D" w:rsidP="0023484E">
            <w:pPr>
              <w:jc w:val="both"/>
              <w:rPr>
                <w:sz w:val="20"/>
              </w:rPr>
            </w:pPr>
            <w:r w:rsidRPr="00047B76">
              <w:rPr>
                <w:sz w:val="20"/>
              </w:rPr>
              <w:t>Appeal dismissed</w:t>
            </w:r>
          </w:p>
          <w:p w:rsidR="0071029D" w:rsidRPr="00047B76" w:rsidRDefault="0071029D" w:rsidP="0023484E">
            <w:pPr>
              <w:jc w:val="both"/>
              <w:rPr>
                <w:sz w:val="20"/>
              </w:rPr>
            </w:pPr>
          </w:p>
        </w:tc>
      </w:tr>
      <w:tr w:rsidR="0071029D" w:rsidRPr="00047B76" w:rsidTr="0023484E">
        <w:tc>
          <w:tcPr>
            <w:tcW w:w="2427" w:type="pct"/>
            <w:gridSpan w:val="2"/>
          </w:tcPr>
          <w:p w:rsidR="0071029D" w:rsidRPr="00047B76" w:rsidRDefault="0071029D" w:rsidP="0023484E">
            <w:pPr>
              <w:jc w:val="both"/>
              <w:rPr>
                <w:sz w:val="20"/>
              </w:rPr>
            </w:pPr>
            <w:r w:rsidRPr="00047B76">
              <w:rPr>
                <w:sz w:val="20"/>
              </w:rPr>
              <w:t>August 8, 2019</w:t>
            </w:r>
          </w:p>
          <w:p w:rsidR="0071029D" w:rsidRPr="00047B76" w:rsidRDefault="0071029D" w:rsidP="0023484E">
            <w:pPr>
              <w:jc w:val="both"/>
              <w:rPr>
                <w:sz w:val="20"/>
              </w:rPr>
            </w:pPr>
            <w:r w:rsidRPr="00047B76">
              <w:rPr>
                <w:sz w:val="20"/>
              </w:rPr>
              <w:t>Supreme Court of Canada</w:t>
            </w:r>
          </w:p>
        </w:tc>
        <w:tc>
          <w:tcPr>
            <w:tcW w:w="243" w:type="pct"/>
          </w:tcPr>
          <w:p w:rsidR="0071029D" w:rsidRPr="00047B76" w:rsidRDefault="0071029D" w:rsidP="0023484E">
            <w:pPr>
              <w:jc w:val="both"/>
              <w:rPr>
                <w:sz w:val="20"/>
              </w:rPr>
            </w:pPr>
          </w:p>
        </w:tc>
        <w:tc>
          <w:tcPr>
            <w:tcW w:w="2330" w:type="pct"/>
          </w:tcPr>
          <w:p w:rsidR="0071029D" w:rsidRPr="00047B76" w:rsidRDefault="0071029D" w:rsidP="0023484E">
            <w:pPr>
              <w:jc w:val="both"/>
              <w:rPr>
                <w:sz w:val="20"/>
              </w:rPr>
            </w:pPr>
            <w:r w:rsidRPr="00047B76">
              <w:rPr>
                <w:sz w:val="20"/>
              </w:rPr>
              <w:t>Application for leave to appeal filed</w:t>
            </w:r>
          </w:p>
          <w:p w:rsidR="0071029D" w:rsidRPr="00047B76" w:rsidRDefault="0071029D" w:rsidP="0023484E">
            <w:pPr>
              <w:jc w:val="both"/>
              <w:rPr>
                <w:sz w:val="20"/>
              </w:rPr>
            </w:pPr>
          </w:p>
        </w:tc>
      </w:tr>
    </w:tbl>
    <w:p w:rsidR="0071029D" w:rsidRPr="00047B76" w:rsidRDefault="0071029D" w:rsidP="0071029D">
      <w:pPr>
        <w:jc w:val="both"/>
        <w:rPr>
          <w:sz w:val="20"/>
        </w:rPr>
      </w:pPr>
    </w:p>
    <w:p w:rsidR="0071029D" w:rsidRPr="00047B76" w:rsidRDefault="009A56E8" w:rsidP="0071029D">
      <w:pPr>
        <w:jc w:val="both"/>
        <w:rPr>
          <w:sz w:val="20"/>
        </w:rPr>
      </w:pPr>
      <w:r>
        <w:rPr>
          <w:sz w:val="20"/>
        </w:rPr>
        <w:pict>
          <v:rect id="_x0000_i1044" style="width:2in;height:1pt" o:hrpct="0" o:hralign="center" o:hrstd="t" o:hrnoshade="t" o:hr="t" fillcolor="black [3213]" stroked="f"/>
        </w:pict>
      </w:r>
    </w:p>
    <w:p w:rsidR="0071029D" w:rsidRPr="00047B76" w:rsidRDefault="0071029D" w:rsidP="0071029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1029D" w:rsidRPr="00047B76" w:rsidTr="0023484E">
        <w:tc>
          <w:tcPr>
            <w:tcW w:w="543" w:type="pct"/>
          </w:tcPr>
          <w:p w:rsidR="0071029D" w:rsidRPr="00047B76" w:rsidRDefault="0071029D" w:rsidP="0023484E">
            <w:pPr>
              <w:jc w:val="both"/>
              <w:rPr>
                <w:sz w:val="20"/>
                <w:lang w:val="fr-CA"/>
              </w:rPr>
            </w:pPr>
            <w:r w:rsidRPr="00047B76">
              <w:rPr>
                <w:rStyle w:val="SCCFileNumberChar"/>
                <w:sz w:val="20"/>
                <w:szCs w:val="20"/>
                <w:lang w:val="fr-CA"/>
              </w:rPr>
              <w:t>38752</w:t>
            </w:r>
          </w:p>
        </w:tc>
        <w:tc>
          <w:tcPr>
            <w:tcW w:w="4457" w:type="pct"/>
            <w:gridSpan w:val="3"/>
          </w:tcPr>
          <w:p w:rsidR="0071029D" w:rsidRPr="00047B76" w:rsidRDefault="0071029D" w:rsidP="0023484E">
            <w:pPr>
              <w:pStyle w:val="SCCLsocParty"/>
              <w:jc w:val="both"/>
              <w:rPr>
                <w:b/>
                <w:sz w:val="20"/>
                <w:szCs w:val="20"/>
              </w:rPr>
            </w:pPr>
            <w:r w:rsidRPr="00047B76">
              <w:rPr>
                <w:b/>
                <w:sz w:val="20"/>
                <w:szCs w:val="20"/>
              </w:rPr>
              <w:t>Malgorzata Szpyrka c. Sa Majesté la Reine</w:t>
            </w:r>
          </w:p>
          <w:p w:rsidR="0071029D" w:rsidRPr="00047B76" w:rsidRDefault="0071029D" w:rsidP="0023484E">
            <w:pPr>
              <w:jc w:val="both"/>
              <w:rPr>
                <w:sz w:val="20"/>
                <w:lang w:val="fr-CA"/>
              </w:rPr>
            </w:pPr>
            <w:r w:rsidRPr="00047B76">
              <w:rPr>
                <w:sz w:val="20"/>
                <w:lang w:val="fr-CA"/>
              </w:rPr>
              <w:t>(Ont.) (Criminelle) (Autorisation)</w:t>
            </w:r>
          </w:p>
        </w:tc>
      </w:tr>
      <w:tr w:rsidR="00E80644" w:rsidRPr="00957F6E" w:rsidTr="009251B8">
        <w:trPr>
          <w:trHeight w:val="598"/>
        </w:trPr>
        <w:tc>
          <w:tcPr>
            <w:tcW w:w="5000" w:type="pct"/>
            <w:gridSpan w:val="4"/>
          </w:tcPr>
          <w:p w:rsidR="00E80644" w:rsidRPr="00047B76" w:rsidRDefault="009251B8" w:rsidP="0023484E">
            <w:pPr>
              <w:pStyle w:val="SCCBanSummary0"/>
              <w:rPr>
                <w:smallCaps w:val="0"/>
                <w:sz w:val="20"/>
                <w:szCs w:val="20"/>
                <w:lang w:val="fr-CA"/>
              </w:rPr>
            </w:pPr>
            <w:r w:rsidRPr="00047B76">
              <w:rPr>
                <w:smallCaps w:val="0"/>
                <w:sz w:val="20"/>
                <w:szCs w:val="20"/>
                <w:lang w:val="fr-CA"/>
              </w:rPr>
              <w:t>La demande d’autorisation d’appel de l’arrêt de la Cour d’appel de l’Ontario, numéro C65841, 2019 ONCA 421, daté du 14 mai 2019, est rejetée.</w:t>
            </w:r>
          </w:p>
          <w:p w:rsidR="009251B8" w:rsidRPr="00047B76" w:rsidRDefault="009251B8" w:rsidP="009251B8">
            <w:pPr>
              <w:rPr>
                <w:lang w:val="fr-CA"/>
              </w:rPr>
            </w:pPr>
          </w:p>
        </w:tc>
      </w:tr>
      <w:tr w:rsidR="0071029D" w:rsidRPr="00957F6E" w:rsidTr="0023484E">
        <w:tc>
          <w:tcPr>
            <w:tcW w:w="5000" w:type="pct"/>
            <w:gridSpan w:val="4"/>
          </w:tcPr>
          <w:p w:rsidR="0071029D" w:rsidRPr="00047B76" w:rsidRDefault="0071029D" w:rsidP="009251B8">
            <w:pPr>
              <w:pStyle w:val="SCCBanSummary0"/>
              <w:rPr>
                <w:sz w:val="20"/>
                <w:szCs w:val="20"/>
                <w:lang w:val="fr-CA"/>
              </w:rPr>
            </w:pPr>
            <w:r w:rsidRPr="00047B76">
              <w:rPr>
                <w:sz w:val="20"/>
                <w:szCs w:val="20"/>
                <w:lang w:val="fr-CA"/>
              </w:rPr>
              <w:t>(Ordonnance de non</w:t>
            </w:r>
            <w:r w:rsidRPr="00047B76">
              <w:rPr>
                <w:sz w:val="20"/>
                <w:szCs w:val="20"/>
                <w:lang w:val="fr-CA"/>
              </w:rPr>
              <w:noBreakHyphen/>
              <w:t>publication dans le dossier)</w:t>
            </w:r>
          </w:p>
          <w:p w:rsidR="00183154" w:rsidRPr="00047B76" w:rsidRDefault="00183154" w:rsidP="00183154">
            <w:pPr>
              <w:rPr>
                <w:lang w:val="fr-CA"/>
              </w:rPr>
            </w:pPr>
          </w:p>
        </w:tc>
      </w:tr>
      <w:tr w:rsidR="0071029D" w:rsidRPr="00957F6E" w:rsidTr="0023484E">
        <w:tc>
          <w:tcPr>
            <w:tcW w:w="5000" w:type="pct"/>
            <w:gridSpan w:val="4"/>
          </w:tcPr>
          <w:p w:rsidR="0071029D" w:rsidRPr="00047B76" w:rsidRDefault="0071029D" w:rsidP="0023484E">
            <w:pPr>
              <w:pStyle w:val="Default"/>
              <w:jc w:val="both"/>
              <w:rPr>
                <w:sz w:val="20"/>
                <w:szCs w:val="20"/>
                <w:lang w:val="fr-CA"/>
              </w:rPr>
            </w:pPr>
            <w:r w:rsidRPr="00047B76">
              <w:rPr>
                <w:sz w:val="20"/>
                <w:szCs w:val="20"/>
                <w:lang w:val="fr-CA"/>
              </w:rPr>
              <w:t xml:space="preserve">Droit criminel — Enquête préliminaire — Le demandeur a été renvoyé à procès — Critère relatif au renvoi à procès — La requête en </w:t>
            </w:r>
            <w:r w:rsidRPr="00047B76">
              <w:rPr>
                <w:i/>
                <w:sz w:val="20"/>
                <w:szCs w:val="20"/>
                <w:lang w:val="fr-CA"/>
              </w:rPr>
              <w:t xml:space="preserve">certiorari </w:t>
            </w:r>
            <w:r w:rsidRPr="00047B76">
              <w:rPr>
                <w:sz w:val="20"/>
                <w:szCs w:val="20"/>
                <w:lang w:val="fr-CA"/>
              </w:rPr>
              <w:t>a</w:t>
            </w:r>
            <w:r w:rsidRPr="00047B76">
              <w:rPr>
                <w:sz w:val="20"/>
                <w:szCs w:val="20"/>
                <w:lang w:val="fr-CA"/>
              </w:rPr>
              <w:noBreakHyphen/>
              <w:t>t</w:t>
            </w:r>
            <w:r w:rsidRPr="00047B76">
              <w:rPr>
                <w:sz w:val="20"/>
                <w:szCs w:val="20"/>
                <w:lang w:val="fr-CA"/>
              </w:rPr>
              <w:noBreakHyphen/>
              <w:t>elle été rejetée à bon droit? — Y a</w:t>
            </w:r>
            <w:r w:rsidRPr="00047B76">
              <w:rPr>
                <w:sz w:val="20"/>
                <w:szCs w:val="20"/>
                <w:lang w:val="fr-CA"/>
              </w:rPr>
              <w:noBreakHyphen/>
              <w:t>t</w:t>
            </w:r>
            <w:r w:rsidRPr="00047B76">
              <w:rPr>
                <w:sz w:val="20"/>
                <w:szCs w:val="20"/>
                <w:lang w:val="fr-CA"/>
              </w:rPr>
              <w:noBreakHyphen/>
              <w:t>il jurisprudence contradictoire? — Y a</w:t>
            </w:r>
            <w:r w:rsidRPr="00047B76">
              <w:rPr>
                <w:sz w:val="20"/>
                <w:szCs w:val="20"/>
                <w:lang w:val="fr-CA"/>
              </w:rPr>
              <w:noBreakHyphen/>
              <w:t>t</w:t>
            </w:r>
            <w:r w:rsidRPr="00047B76">
              <w:rPr>
                <w:sz w:val="20"/>
                <w:szCs w:val="20"/>
                <w:lang w:val="fr-CA"/>
              </w:rPr>
              <w:noBreakHyphen/>
              <w:t>il une question d’importance pour le public en ce qui concerne le critère approprié relatif au renvoi à procès et la suffisance de la preuve circonstancielle?</w:t>
            </w:r>
          </w:p>
        </w:tc>
      </w:tr>
      <w:tr w:rsidR="0071029D" w:rsidRPr="00047B76" w:rsidTr="0023484E">
        <w:tc>
          <w:tcPr>
            <w:tcW w:w="5000" w:type="pct"/>
            <w:gridSpan w:val="4"/>
          </w:tcPr>
          <w:p w:rsidR="0071029D" w:rsidRPr="00047B76" w:rsidRDefault="0071029D" w:rsidP="0023484E">
            <w:pPr>
              <w:jc w:val="both"/>
              <w:rPr>
                <w:sz w:val="20"/>
                <w:lang w:val="fr-CA"/>
              </w:rPr>
            </w:pPr>
          </w:p>
          <w:p w:rsidR="0071029D" w:rsidRPr="00047B76" w:rsidRDefault="0071029D" w:rsidP="0023484E">
            <w:pPr>
              <w:jc w:val="both"/>
              <w:rPr>
                <w:sz w:val="20"/>
                <w:lang w:val="fr-CA"/>
              </w:rPr>
            </w:pPr>
            <w:r w:rsidRPr="00047B76">
              <w:rPr>
                <w:sz w:val="20"/>
                <w:lang w:val="fr-CA"/>
              </w:rPr>
              <w:t xml:space="preserve">Après une longue enquête, la Police provinciale de l’Ontario a exécuté un mandat de perquisition à un entrepôt. À l’intérieur, les policiers ont découvert plusieurs plants de marihuana et plusieurs livres de marihuana séchée. Le demandeur et d’autres ont été arrêtés à l’intérieur de l’édifice. Le demandeur a été renvoyé à procès pour répondre à des accusations  de possession de marihuana en vue d’en faire le trafic et de production de marihuana. La requête en </w:t>
            </w:r>
            <w:r w:rsidRPr="00047B76">
              <w:rPr>
                <w:i/>
                <w:sz w:val="20"/>
                <w:lang w:val="fr-CA"/>
              </w:rPr>
              <w:t>certiorari</w:t>
            </w:r>
            <w:r w:rsidRPr="00047B76">
              <w:rPr>
                <w:sz w:val="20"/>
                <w:lang w:val="fr-CA"/>
              </w:rPr>
              <w:t xml:space="preserve"> en vue d’annuler le renvoi à procès a été annulée. L’appel a été rejeté.</w:t>
            </w:r>
          </w:p>
          <w:p w:rsidR="0071029D" w:rsidRPr="00047B76" w:rsidRDefault="0071029D" w:rsidP="0023484E">
            <w:pPr>
              <w:jc w:val="both"/>
              <w:rPr>
                <w:sz w:val="20"/>
                <w:lang w:val="fr-CA"/>
              </w:rPr>
            </w:pPr>
          </w:p>
        </w:tc>
      </w:tr>
      <w:tr w:rsidR="0071029D" w:rsidRPr="00957F6E" w:rsidTr="0023484E">
        <w:tc>
          <w:tcPr>
            <w:tcW w:w="2427" w:type="pct"/>
            <w:gridSpan w:val="2"/>
          </w:tcPr>
          <w:p w:rsidR="0071029D" w:rsidRPr="00047B76" w:rsidRDefault="0071029D" w:rsidP="0023484E">
            <w:pPr>
              <w:jc w:val="both"/>
              <w:rPr>
                <w:sz w:val="20"/>
                <w:lang w:val="fr-CA"/>
              </w:rPr>
            </w:pPr>
            <w:r w:rsidRPr="00047B76">
              <w:rPr>
                <w:sz w:val="20"/>
                <w:lang w:val="fr-CA"/>
              </w:rPr>
              <w:t>7 décembre 2017</w:t>
            </w:r>
          </w:p>
          <w:p w:rsidR="0071029D" w:rsidRPr="00047B76" w:rsidRDefault="0071029D" w:rsidP="0023484E">
            <w:pPr>
              <w:jc w:val="both"/>
              <w:rPr>
                <w:sz w:val="20"/>
                <w:lang w:val="fr-CA"/>
              </w:rPr>
            </w:pPr>
            <w:r w:rsidRPr="00047B76">
              <w:rPr>
                <w:sz w:val="20"/>
                <w:lang w:val="fr-CA"/>
              </w:rPr>
              <w:t>Cour de justice de l’Ontario</w:t>
            </w:r>
          </w:p>
          <w:p w:rsidR="0071029D" w:rsidRPr="00047B76" w:rsidRDefault="0071029D" w:rsidP="0023484E">
            <w:pPr>
              <w:jc w:val="both"/>
              <w:rPr>
                <w:sz w:val="20"/>
                <w:lang w:val="fr-CA"/>
              </w:rPr>
            </w:pPr>
            <w:r w:rsidRPr="00047B76">
              <w:rPr>
                <w:sz w:val="20"/>
                <w:lang w:val="fr-CA"/>
              </w:rPr>
              <w:t>(Juge Hunter)</w:t>
            </w:r>
          </w:p>
          <w:p w:rsidR="0071029D" w:rsidRPr="00047B76" w:rsidRDefault="0071029D" w:rsidP="0023484E">
            <w:pPr>
              <w:jc w:val="both"/>
              <w:rPr>
                <w:sz w:val="20"/>
                <w:lang w:val="fr-CA"/>
              </w:rPr>
            </w:pPr>
          </w:p>
        </w:tc>
        <w:tc>
          <w:tcPr>
            <w:tcW w:w="243" w:type="pct"/>
          </w:tcPr>
          <w:p w:rsidR="0071029D" w:rsidRPr="00047B76" w:rsidRDefault="0071029D" w:rsidP="0023484E">
            <w:pPr>
              <w:jc w:val="both"/>
              <w:rPr>
                <w:sz w:val="20"/>
                <w:lang w:val="fr-CA"/>
              </w:rPr>
            </w:pPr>
          </w:p>
        </w:tc>
        <w:tc>
          <w:tcPr>
            <w:tcW w:w="2330" w:type="pct"/>
          </w:tcPr>
          <w:p w:rsidR="0071029D" w:rsidRPr="00047B76" w:rsidRDefault="0071029D" w:rsidP="0023484E">
            <w:pPr>
              <w:jc w:val="both"/>
              <w:rPr>
                <w:sz w:val="20"/>
                <w:lang w:val="fr-CA"/>
              </w:rPr>
            </w:pPr>
            <w:r w:rsidRPr="00047B76">
              <w:rPr>
                <w:sz w:val="20"/>
                <w:lang w:val="fr-CA"/>
              </w:rPr>
              <w:t>Renvoi à procès du demandeur pour répondre à des accusations de possession de marihuana en vue d’en faire le trafic et de production de marihuana</w:t>
            </w:r>
          </w:p>
          <w:p w:rsidR="0071029D" w:rsidRPr="00047B76" w:rsidRDefault="0071029D" w:rsidP="0023484E">
            <w:pPr>
              <w:jc w:val="both"/>
              <w:rPr>
                <w:sz w:val="20"/>
                <w:lang w:val="fr-CA"/>
              </w:rPr>
            </w:pPr>
          </w:p>
        </w:tc>
      </w:tr>
    </w:tbl>
    <w:p w:rsidR="00900ECD" w:rsidRPr="00047B76" w:rsidRDefault="00900ECD">
      <w:pPr>
        <w:rPr>
          <w:lang w:val="fr-CA"/>
        </w:rPr>
      </w:pPr>
      <w:r w:rsidRPr="00047B76">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1029D" w:rsidRPr="00957F6E" w:rsidTr="0023484E">
        <w:tc>
          <w:tcPr>
            <w:tcW w:w="2427" w:type="pct"/>
          </w:tcPr>
          <w:p w:rsidR="0071029D" w:rsidRPr="00047B76" w:rsidRDefault="0071029D" w:rsidP="0023484E">
            <w:pPr>
              <w:jc w:val="both"/>
              <w:rPr>
                <w:sz w:val="20"/>
                <w:lang w:val="fr-CA"/>
              </w:rPr>
            </w:pPr>
            <w:r w:rsidRPr="00047B76">
              <w:rPr>
                <w:sz w:val="20"/>
                <w:lang w:val="fr-CA"/>
              </w:rPr>
              <w:lastRenderedPageBreak/>
              <w:t>29 août 2018</w:t>
            </w:r>
          </w:p>
          <w:p w:rsidR="0071029D" w:rsidRPr="00047B76" w:rsidRDefault="0071029D" w:rsidP="0023484E">
            <w:pPr>
              <w:jc w:val="both"/>
              <w:rPr>
                <w:sz w:val="20"/>
                <w:lang w:val="fr-CA"/>
              </w:rPr>
            </w:pPr>
            <w:r w:rsidRPr="00047B76">
              <w:rPr>
                <w:sz w:val="20"/>
                <w:lang w:val="fr-CA"/>
              </w:rPr>
              <w:t>Cour supérieure de justice de l’Ontario</w:t>
            </w:r>
          </w:p>
          <w:p w:rsidR="0071029D" w:rsidRPr="00047B76" w:rsidRDefault="0071029D" w:rsidP="0023484E">
            <w:pPr>
              <w:jc w:val="both"/>
              <w:rPr>
                <w:sz w:val="20"/>
                <w:lang w:val="fr-CA"/>
              </w:rPr>
            </w:pPr>
            <w:r w:rsidRPr="00047B76">
              <w:rPr>
                <w:sz w:val="20"/>
                <w:lang w:val="fr-CA"/>
              </w:rPr>
              <w:t xml:space="preserve">(Juge </w:t>
            </w:r>
            <w:proofErr w:type="spellStart"/>
            <w:r w:rsidRPr="00047B76">
              <w:rPr>
                <w:sz w:val="20"/>
                <w:lang w:val="fr-CA"/>
              </w:rPr>
              <w:t>Tausendfreund</w:t>
            </w:r>
            <w:proofErr w:type="spellEnd"/>
            <w:r w:rsidRPr="00047B76">
              <w:rPr>
                <w:sz w:val="20"/>
                <w:lang w:val="fr-CA"/>
              </w:rPr>
              <w:t>)</w:t>
            </w:r>
          </w:p>
          <w:p w:rsidR="0071029D" w:rsidRPr="00047B76" w:rsidRDefault="0071029D" w:rsidP="0023484E">
            <w:pPr>
              <w:jc w:val="both"/>
              <w:rPr>
                <w:sz w:val="20"/>
                <w:lang w:val="fr-CA"/>
              </w:rPr>
            </w:pPr>
            <w:r w:rsidRPr="00047B76">
              <w:rPr>
                <w:sz w:val="20"/>
                <w:lang w:val="fr-CA"/>
              </w:rPr>
              <w:t>2018 ONSC 5114 (non publié)</w:t>
            </w:r>
          </w:p>
          <w:p w:rsidR="0071029D" w:rsidRPr="00047B76" w:rsidRDefault="0071029D" w:rsidP="0023484E">
            <w:pPr>
              <w:jc w:val="both"/>
              <w:rPr>
                <w:sz w:val="20"/>
                <w:lang w:val="fr-CA"/>
              </w:rPr>
            </w:pPr>
          </w:p>
        </w:tc>
        <w:tc>
          <w:tcPr>
            <w:tcW w:w="243" w:type="pct"/>
          </w:tcPr>
          <w:p w:rsidR="0071029D" w:rsidRPr="00047B76" w:rsidRDefault="0071029D" w:rsidP="0023484E">
            <w:pPr>
              <w:jc w:val="both"/>
              <w:rPr>
                <w:sz w:val="20"/>
                <w:lang w:val="fr-CA"/>
              </w:rPr>
            </w:pPr>
          </w:p>
        </w:tc>
        <w:tc>
          <w:tcPr>
            <w:tcW w:w="2330" w:type="pct"/>
          </w:tcPr>
          <w:p w:rsidR="0071029D" w:rsidRPr="00047B76" w:rsidRDefault="0071029D" w:rsidP="0023484E">
            <w:pPr>
              <w:jc w:val="both"/>
              <w:rPr>
                <w:sz w:val="20"/>
                <w:lang w:val="fr-CA"/>
              </w:rPr>
            </w:pPr>
            <w:r w:rsidRPr="00047B76">
              <w:rPr>
                <w:sz w:val="20"/>
                <w:lang w:val="fr-CA"/>
              </w:rPr>
              <w:t xml:space="preserve">Rejet de la requête en </w:t>
            </w:r>
            <w:r w:rsidRPr="00047B76">
              <w:rPr>
                <w:i/>
                <w:sz w:val="20"/>
                <w:lang w:val="fr-CA"/>
              </w:rPr>
              <w:t>certiorari</w:t>
            </w:r>
            <w:r w:rsidRPr="00047B76">
              <w:rPr>
                <w:sz w:val="20"/>
                <w:lang w:val="fr-CA"/>
              </w:rPr>
              <w:t xml:space="preserve"> en vue d’annuler le renvoi à procès</w:t>
            </w:r>
          </w:p>
          <w:p w:rsidR="0071029D" w:rsidRPr="00047B76" w:rsidRDefault="0071029D" w:rsidP="0023484E">
            <w:pPr>
              <w:jc w:val="both"/>
              <w:rPr>
                <w:sz w:val="20"/>
                <w:lang w:val="fr-CA"/>
              </w:rPr>
            </w:pPr>
          </w:p>
        </w:tc>
      </w:tr>
      <w:tr w:rsidR="0071029D" w:rsidRPr="00047B76" w:rsidTr="0023484E">
        <w:tc>
          <w:tcPr>
            <w:tcW w:w="2427" w:type="pct"/>
          </w:tcPr>
          <w:p w:rsidR="0071029D" w:rsidRPr="00047B76" w:rsidRDefault="0071029D" w:rsidP="0023484E">
            <w:pPr>
              <w:jc w:val="both"/>
              <w:rPr>
                <w:sz w:val="20"/>
                <w:lang w:val="fr-CA"/>
              </w:rPr>
            </w:pPr>
            <w:r w:rsidRPr="00047B76">
              <w:rPr>
                <w:sz w:val="20"/>
                <w:lang w:val="fr-CA"/>
              </w:rPr>
              <w:t>14 mai 2019</w:t>
            </w:r>
          </w:p>
          <w:p w:rsidR="0071029D" w:rsidRPr="00047B76" w:rsidRDefault="0071029D" w:rsidP="0023484E">
            <w:pPr>
              <w:jc w:val="both"/>
              <w:rPr>
                <w:sz w:val="20"/>
                <w:lang w:val="fr-CA"/>
              </w:rPr>
            </w:pPr>
            <w:r w:rsidRPr="00047B76">
              <w:rPr>
                <w:sz w:val="20"/>
                <w:lang w:val="fr-CA"/>
              </w:rPr>
              <w:t>Cour d’appel de l’Ontario</w:t>
            </w:r>
          </w:p>
          <w:p w:rsidR="0071029D" w:rsidRPr="00047B76" w:rsidRDefault="0071029D" w:rsidP="0023484E">
            <w:pPr>
              <w:jc w:val="both"/>
              <w:rPr>
                <w:sz w:val="20"/>
                <w:lang w:val="fr-CA"/>
              </w:rPr>
            </w:pPr>
            <w:r w:rsidRPr="00047B76">
              <w:rPr>
                <w:sz w:val="20"/>
                <w:lang w:val="fr-CA"/>
              </w:rPr>
              <w:t xml:space="preserve">(Juges Doherty, </w:t>
            </w:r>
            <w:proofErr w:type="spellStart"/>
            <w:r w:rsidRPr="00047B76">
              <w:rPr>
                <w:sz w:val="20"/>
                <w:lang w:val="fr-CA"/>
              </w:rPr>
              <w:t>Benotto</w:t>
            </w:r>
            <w:proofErr w:type="spellEnd"/>
            <w:r w:rsidRPr="00047B76">
              <w:rPr>
                <w:sz w:val="20"/>
                <w:lang w:val="fr-CA"/>
              </w:rPr>
              <w:t xml:space="preserve"> et </w:t>
            </w:r>
            <w:proofErr w:type="spellStart"/>
            <w:r w:rsidRPr="00047B76">
              <w:rPr>
                <w:sz w:val="20"/>
                <w:lang w:val="fr-CA"/>
              </w:rPr>
              <w:t>Huscroft</w:t>
            </w:r>
            <w:proofErr w:type="spellEnd"/>
            <w:r w:rsidRPr="00047B76">
              <w:rPr>
                <w:sz w:val="20"/>
                <w:lang w:val="fr-CA"/>
              </w:rPr>
              <w:t>)</w:t>
            </w:r>
          </w:p>
          <w:p w:rsidR="0071029D" w:rsidRPr="00047B76" w:rsidRDefault="0071029D" w:rsidP="0023484E">
            <w:pPr>
              <w:jc w:val="both"/>
              <w:rPr>
                <w:sz w:val="20"/>
                <w:lang w:val="fr-CA"/>
              </w:rPr>
            </w:pPr>
            <w:r w:rsidRPr="00047B76">
              <w:rPr>
                <w:sz w:val="20"/>
                <w:lang w:val="fr-CA"/>
              </w:rPr>
              <w:t>C65841</w:t>
            </w:r>
          </w:p>
          <w:p w:rsidR="0071029D" w:rsidRPr="00047B76" w:rsidRDefault="009A56E8" w:rsidP="0023484E">
            <w:pPr>
              <w:jc w:val="both"/>
              <w:rPr>
                <w:sz w:val="20"/>
                <w:lang w:val="fr-CA"/>
              </w:rPr>
            </w:pPr>
            <w:hyperlink r:id="rId36" w:history="1">
              <w:r w:rsidR="0071029D" w:rsidRPr="00047B76">
                <w:rPr>
                  <w:rStyle w:val="Hyperlink"/>
                  <w:sz w:val="20"/>
                  <w:lang w:val="fr-CA"/>
                </w:rPr>
                <w:t>2019 ONCA 421</w:t>
              </w:r>
            </w:hyperlink>
          </w:p>
          <w:p w:rsidR="0071029D" w:rsidRPr="00047B76" w:rsidRDefault="0071029D" w:rsidP="0023484E">
            <w:pPr>
              <w:jc w:val="both"/>
              <w:rPr>
                <w:sz w:val="20"/>
                <w:lang w:val="fr-CA"/>
              </w:rPr>
            </w:pPr>
          </w:p>
        </w:tc>
        <w:tc>
          <w:tcPr>
            <w:tcW w:w="243" w:type="pct"/>
          </w:tcPr>
          <w:p w:rsidR="0071029D" w:rsidRPr="00047B76" w:rsidRDefault="0071029D" w:rsidP="0023484E">
            <w:pPr>
              <w:jc w:val="both"/>
              <w:rPr>
                <w:sz w:val="20"/>
                <w:lang w:val="fr-CA"/>
              </w:rPr>
            </w:pPr>
          </w:p>
        </w:tc>
        <w:tc>
          <w:tcPr>
            <w:tcW w:w="2330" w:type="pct"/>
          </w:tcPr>
          <w:p w:rsidR="0071029D" w:rsidRPr="00047B76" w:rsidRDefault="0071029D" w:rsidP="0023484E">
            <w:pPr>
              <w:jc w:val="both"/>
              <w:rPr>
                <w:sz w:val="20"/>
                <w:lang w:val="fr-CA"/>
              </w:rPr>
            </w:pPr>
            <w:r w:rsidRPr="00047B76">
              <w:rPr>
                <w:sz w:val="20"/>
                <w:lang w:val="fr-CA"/>
              </w:rPr>
              <w:t>Rejet de l’appel</w:t>
            </w:r>
          </w:p>
          <w:p w:rsidR="0071029D" w:rsidRPr="00047B76" w:rsidRDefault="0071029D" w:rsidP="0023484E">
            <w:pPr>
              <w:jc w:val="both"/>
              <w:rPr>
                <w:sz w:val="20"/>
                <w:lang w:val="fr-CA"/>
              </w:rPr>
            </w:pPr>
          </w:p>
        </w:tc>
      </w:tr>
      <w:tr w:rsidR="0071029D" w:rsidRPr="00957F6E" w:rsidTr="0023484E">
        <w:tc>
          <w:tcPr>
            <w:tcW w:w="2427" w:type="pct"/>
          </w:tcPr>
          <w:p w:rsidR="0071029D" w:rsidRPr="00047B76" w:rsidRDefault="0071029D" w:rsidP="0023484E">
            <w:pPr>
              <w:jc w:val="both"/>
              <w:rPr>
                <w:sz w:val="20"/>
                <w:lang w:val="fr-CA"/>
              </w:rPr>
            </w:pPr>
            <w:r w:rsidRPr="00047B76">
              <w:rPr>
                <w:sz w:val="20"/>
                <w:lang w:val="fr-CA"/>
              </w:rPr>
              <w:t>8 août 2019</w:t>
            </w:r>
          </w:p>
          <w:p w:rsidR="0071029D" w:rsidRPr="00047B76" w:rsidRDefault="0071029D" w:rsidP="0023484E">
            <w:pPr>
              <w:jc w:val="both"/>
              <w:rPr>
                <w:sz w:val="20"/>
                <w:lang w:val="fr-CA"/>
              </w:rPr>
            </w:pPr>
            <w:r w:rsidRPr="00047B76">
              <w:rPr>
                <w:sz w:val="20"/>
                <w:lang w:val="fr-CA"/>
              </w:rPr>
              <w:t>Cour suprême du Canada</w:t>
            </w:r>
          </w:p>
        </w:tc>
        <w:tc>
          <w:tcPr>
            <w:tcW w:w="243" w:type="pct"/>
          </w:tcPr>
          <w:p w:rsidR="0071029D" w:rsidRPr="00047B76" w:rsidRDefault="0071029D" w:rsidP="0023484E">
            <w:pPr>
              <w:jc w:val="both"/>
              <w:rPr>
                <w:sz w:val="20"/>
                <w:lang w:val="fr-CA"/>
              </w:rPr>
            </w:pPr>
          </w:p>
        </w:tc>
        <w:tc>
          <w:tcPr>
            <w:tcW w:w="2330" w:type="pct"/>
          </w:tcPr>
          <w:p w:rsidR="0071029D" w:rsidRPr="00047B76" w:rsidRDefault="0071029D" w:rsidP="0023484E">
            <w:pPr>
              <w:jc w:val="both"/>
              <w:rPr>
                <w:sz w:val="20"/>
                <w:lang w:val="fr-CA"/>
              </w:rPr>
            </w:pPr>
            <w:r w:rsidRPr="00047B76">
              <w:rPr>
                <w:sz w:val="20"/>
                <w:lang w:val="fr-CA"/>
              </w:rPr>
              <w:t>Dépôt de la demande d’autorisation d’appel</w:t>
            </w:r>
          </w:p>
          <w:p w:rsidR="0071029D" w:rsidRPr="00047B76" w:rsidRDefault="0071029D" w:rsidP="0023484E">
            <w:pPr>
              <w:jc w:val="both"/>
              <w:rPr>
                <w:sz w:val="20"/>
                <w:lang w:val="fr-CA"/>
              </w:rPr>
            </w:pPr>
          </w:p>
        </w:tc>
      </w:tr>
    </w:tbl>
    <w:p w:rsidR="0071029D" w:rsidRPr="00047B76" w:rsidRDefault="0071029D" w:rsidP="0071029D">
      <w:pPr>
        <w:jc w:val="both"/>
        <w:rPr>
          <w:sz w:val="20"/>
          <w:lang w:val="fr-CA"/>
        </w:rPr>
      </w:pPr>
    </w:p>
    <w:p w:rsidR="0071029D" w:rsidRPr="00047B76" w:rsidRDefault="009A56E8" w:rsidP="0071029D">
      <w:pPr>
        <w:jc w:val="both"/>
        <w:rPr>
          <w:sz w:val="20"/>
          <w:lang w:val="fr-CA"/>
        </w:rPr>
      </w:pPr>
      <w:r>
        <w:rPr>
          <w:sz w:val="20"/>
        </w:rPr>
        <w:pict>
          <v:rect id="_x0000_i1045" style="width:2in;height:1pt" o:hrpct="0" o:hralign="center" o:hrstd="t" o:hrnoshade="t" o:hr="t" fillcolor="black [3213]" stroked="f"/>
        </w:pict>
      </w:r>
    </w:p>
    <w:p w:rsidR="0071029D" w:rsidRPr="00047B76" w:rsidRDefault="0071029D" w:rsidP="0071029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1029D" w:rsidRPr="00047B76" w:rsidTr="0023484E">
        <w:tc>
          <w:tcPr>
            <w:tcW w:w="543" w:type="pct"/>
          </w:tcPr>
          <w:p w:rsidR="0071029D" w:rsidRPr="00047B76" w:rsidRDefault="0071029D" w:rsidP="0023484E">
            <w:pPr>
              <w:jc w:val="both"/>
              <w:rPr>
                <w:sz w:val="20"/>
              </w:rPr>
            </w:pPr>
            <w:r w:rsidRPr="00047B76">
              <w:rPr>
                <w:rStyle w:val="SCCFileNumberChar"/>
                <w:sz w:val="20"/>
                <w:szCs w:val="20"/>
              </w:rPr>
              <w:t>38710</w:t>
            </w:r>
          </w:p>
        </w:tc>
        <w:tc>
          <w:tcPr>
            <w:tcW w:w="4457" w:type="pct"/>
            <w:gridSpan w:val="3"/>
          </w:tcPr>
          <w:p w:rsidR="0071029D" w:rsidRPr="00047B76" w:rsidRDefault="0071029D" w:rsidP="0023484E">
            <w:pPr>
              <w:pStyle w:val="SCCLsocParty"/>
              <w:jc w:val="both"/>
              <w:rPr>
                <w:b/>
                <w:sz w:val="20"/>
                <w:szCs w:val="20"/>
                <w:lang w:val="en-CA"/>
              </w:rPr>
            </w:pPr>
            <w:r w:rsidRPr="00047B76">
              <w:rPr>
                <w:b/>
                <w:sz w:val="20"/>
                <w:szCs w:val="20"/>
                <w:lang w:val="en-CA"/>
              </w:rPr>
              <w:t>Canada’s National Firearms Association and Philippe Simard v. Attorney General of Quebec and Attorney General of Canada</w:t>
            </w:r>
          </w:p>
          <w:p w:rsidR="0071029D" w:rsidRPr="00047B76" w:rsidRDefault="0071029D" w:rsidP="0023484E">
            <w:pPr>
              <w:jc w:val="both"/>
              <w:rPr>
                <w:sz w:val="20"/>
              </w:rPr>
            </w:pPr>
            <w:r w:rsidRPr="00047B76">
              <w:rPr>
                <w:sz w:val="20"/>
              </w:rPr>
              <w:t>(Que.) (Criminal) (By Leave)</w:t>
            </w:r>
          </w:p>
        </w:tc>
      </w:tr>
      <w:tr w:rsidR="00E80644" w:rsidRPr="00047B76" w:rsidTr="0023484E">
        <w:tc>
          <w:tcPr>
            <w:tcW w:w="5000" w:type="pct"/>
            <w:gridSpan w:val="4"/>
          </w:tcPr>
          <w:p w:rsidR="00506EB3" w:rsidRPr="00047B76" w:rsidRDefault="00506EB3" w:rsidP="00506EB3">
            <w:pPr>
              <w:jc w:val="both"/>
              <w:rPr>
                <w:sz w:val="20"/>
                <w:szCs w:val="20"/>
              </w:rPr>
            </w:pPr>
            <w:r w:rsidRPr="00047B76">
              <w:rPr>
                <w:sz w:val="20"/>
                <w:szCs w:val="20"/>
              </w:rPr>
              <w:t>The application for leave to appeal from the judgment of the Court of Appeal of Quebec (Montréal), Number 500-09-027171-172, 2019 QCCA 755, dated May 1, 2019, is dismissed with costs to the respondent, Attorney General of Quebec.</w:t>
            </w:r>
          </w:p>
          <w:p w:rsidR="00506EB3" w:rsidRPr="00047B76" w:rsidRDefault="00506EB3" w:rsidP="00506EB3">
            <w:pPr>
              <w:jc w:val="both"/>
              <w:rPr>
                <w:sz w:val="20"/>
                <w:szCs w:val="20"/>
              </w:rPr>
            </w:pPr>
          </w:p>
          <w:p w:rsidR="00E80644" w:rsidRPr="00047B76" w:rsidRDefault="00506EB3" w:rsidP="00506EB3">
            <w:pPr>
              <w:jc w:val="both"/>
              <w:rPr>
                <w:sz w:val="20"/>
                <w:szCs w:val="20"/>
                <w:lang w:val="en-US"/>
              </w:rPr>
            </w:pPr>
            <w:r w:rsidRPr="00047B76">
              <w:rPr>
                <w:sz w:val="20"/>
                <w:szCs w:val="20"/>
              </w:rPr>
              <w:t xml:space="preserve">Kasirer </w:t>
            </w:r>
            <w:r w:rsidRPr="00047B76">
              <w:rPr>
                <w:sz w:val="20"/>
                <w:szCs w:val="20"/>
                <w:lang w:val="en-US"/>
              </w:rPr>
              <w:t>J. took no part in the judgment.</w:t>
            </w:r>
          </w:p>
          <w:p w:rsidR="00506EB3" w:rsidRPr="00047B76" w:rsidRDefault="00506EB3" w:rsidP="00506EB3">
            <w:pPr>
              <w:jc w:val="both"/>
              <w:rPr>
                <w:sz w:val="20"/>
              </w:rPr>
            </w:pPr>
          </w:p>
        </w:tc>
      </w:tr>
      <w:tr w:rsidR="0071029D" w:rsidRPr="00047B76" w:rsidTr="0023484E">
        <w:tc>
          <w:tcPr>
            <w:tcW w:w="5000" w:type="pct"/>
            <w:gridSpan w:val="4"/>
          </w:tcPr>
          <w:p w:rsidR="0071029D" w:rsidRPr="00047B76" w:rsidRDefault="0071029D" w:rsidP="0023484E">
            <w:pPr>
              <w:jc w:val="both"/>
              <w:rPr>
                <w:sz w:val="20"/>
              </w:rPr>
            </w:pPr>
            <w:r w:rsidRPr="00047B76">
              <w:rPr>
                <w:sz w:val="20"/>
              </w:rPr>
              <w:t xml:space="preserve">Constitutional law — Division of powers — Provincial jurisdiction over property and civil rights and administration of justice — Provincial firearms registration records — Whether </w:t>
            </w:r>
            <w:r w:rsidRPr="00047B76">
              <w:rPr>
                <w:i/>
                <w:sz w:val="20"/>
              </w:rPr>
              <w:t>Firearms Registration Act</w:t>
            </w:r>
            <w:r w:rsidRPr="00047B76">
              <w:rPr>
                <w:sz w:val="20"/>
              </w:rPr>
              <w:t xml:space="preserve">, S.Q. 2016, c. 15, encroaches on exclusive federal power to legislate in relation to criminal law, having regard to s. 91(27) of </w:t>
            </w:r>
            <w:r w:rsidRPr="00047B76">
              <w:rPr>
                <w:i/>
                <w:sz w:val="20"/>
              </w:rPr>
              <w:t>Constitution Act, 1867</w:t>
            </w:r>
            <w:r w:rsidRPr="00047B76">
              <w:rPr>
                <w:sz w:val="20"/>
              </w:rPr>
              <w:t xml:space="preserve"> — Whether that Act falls within provincial power to legislate in relation to “Property and Civil Rights” and “Administration of Justice”, having regard to s. 92(13) and (14) of </w:t>
            </w:r>
            <w:r w:rsidRPr="00047B76">
              <w:rPr>
                <w:i/>
                <w:sz w:val="20"/>
              </w:rPr>
              <w:t>Constitution Act, 1867</w:t>
            </w:r>
            <w:r w:rsidRPr="00047B76">
              <w:rPr>
                <w:sz w:val="20"/>
              </w:rPr>
              <w:t xml:space="preserve"> — Nature of that Act — Whether party can make admission concerning true nature of Act — Whether imposition of legal duty combined with penal sanction, allegedly for purpose of public safety, is criminal law measure even if not strictly formulated as prohibition — After federal government vacates field of jurisdiction traditionally considered to be federal, whether province may take over field in order to fill what it perceives to be gap in criminal law by reproducing legal and practical effects of former federal statute — Whether there is, in circumstances, presumption that provincial statute is colourable attempt to take over federal field of jurisdiction and is therefore suspect on its face, as this Court stated in </w:t>
            </w:r>
            <w:r w:rsidRPr="00047B76">
              <w:rPr>
                <w:i/>
                <w:sz w:val="20"/>
              </w:rPr>
              <w:t>R. v. Morgentaler</w:t>
            </w:r>
            <w:r w:rsidRPr="00047B76">
              <w:rPr>
                <w:sz w:val="20"/>
              </w:rPr>
              <w:t xml:space="preserve">, [1993] 3 S.C.R. 463 — If so, whether Act is “firmly anchored” in provincial field of jurisdiction such that presumption is rebutted — Whether firearms registration is essential aspect of “gun control” or is merely incidental, to point where Act is not “gun control” measure — </w:t>
            </w:r>
            <w:r w:rsidRPr="00047B76">
              <w:rPr>
                <w:i/>
                <w:sz w:val="20"/>
              </w:rPr>
              <w:t>Constitution Act, 1867</w:t>
            </w:r>
            <w:r w:rsidRPr="00047B76">
              <w:rPr>
                <w:sz w:val="20"/>
              </w:rPr>
              <w:t>, s. 92(13) and (14).</w:t>
            </w:r>
          </w:p>
        </w:tc>
      </w:tr>
      <w:tr w:rsidR="0071029D" w:rsidRPr="00047B76" w:rsidTr="0023484E">
        <w:tc>
          <w:tcPr>
            <w:tcW w:w="5000" w:type="pct"/>
            <w:gridSpan w:val="4"/>
          </w:tcPr>
          <w:p w:rsidR="0071029D" w:rsidRPr="00047B76" w:rsidRDefault="0071029D" w:rsidP="0023484E">
            <w:pPr>
              <w:jc w:val="both"/>
              <w:rPr>
                <w:sz w:val="20"/>
              </w:rPr>
            </w:pPr>
          </w:p>
        </w:tc>
      </w:tr>
      <w:tr w:rsidR="0071029D" w:rsidRPr="00047B76" w:rsidTr="0023484E">
        <w:tc>
          <w:tcPr>
            <w:tcW w:w="5000" w:type="pct"/>
            <w:gridSpan w:val="4"/>
          </w:tcPr>
          <w:p w:rsidR="0071029D" w:rsidRPr="00047B76" w:rsidRDefault="0071029D" w:rsidP="0023484E">
            <w:pPr>
              <w:jc w:val="both"/>
              <w:rPr>
                <w:sz w:val="20"/>
              </w:rPr>
            </w:pPr>
            <w:r w:rsidRPr="00047B76">
              <w:rPr>
                <w:sz w:val="20"/>
              </w:rPr>
              <w:t xml:space="preserve">Following the enactment of the </w:t>
            </w:r>
            <w:r w:rsidRPr="00047B76">
              <w:rPr>
                <w:i/>
                <w:sz w:val="20"/>
              </w:rPr>
              <w:t>Firearms Registration Act</w:t>
            </w:r>
            <w:r w:rsidRPr="00047B76">
              <w:rPr>
                <w:sz w:val="20"/>
              </w:rPr>
              <w:t xml:space="preserve">, S.Q. 2016, c. 15, by the National Assembly in June 2016, the applicants, Canada’s National Firearms Association and Philippe Simard, applied to the Quebec Superior Court for a declaratory judgment and an injunction in order to challenge the constitutional validity of that Act based on the division of legislative powers established by the </w:t>
            </w:r>
            <w:r w:rsidRPr="00047B76">
              <w:rPr>
                <w:i/>
                <w:sz w:val="20"/>
              </w:rPr>
              <w:t>Constitution Act, 1867</w:t>
            </w:r>
            <w:r w:rsidRPr="00047B76">
              <w:rPr>
                <w:sz w:val="20"/>
              </w:rPr>
              <w:t xml:space="preserve">. The National Assembly passed that Act as a result of the enactment by the Parliament of Canada in 2012 of the </w:t>
            </w:r>
            <w:r w:rsidRPr="00047B76">
              <w:rPr>
                <w:i/>
                <w:sz w:val="20"/>
              </w:rPr>
              <w:t>Ending the Long</w:t>
            </w:r>
            <w:r w:rsidRPr="00047B76">
              <w:rPr>
                <w:i/>
                <w:sz w:val="20"/>
              </w:rPr>
              <w:noBreakHyphen/>
              <w:t>gun Registry Act</w:t>
            </w:r>
            <w:r w:rsidRPr="00047B76">
              <w:rPr>
                <w:sz w:val="20"/>
              </w:rPr>
              <w:t xml:space="preserve">, S.C. 2012, c. 6, which removed the requirement to register long guns and decriminalized the possession of an unregistered long gun. At the time, the federal authorities had refused to provide the Quebec government, as it had requested, with the registry data pertaining to the province of Quebec. The Quebec government had therefore brought court proceedings to obtain the data. In </w:t>
            </w:r>
            <w:r w:rsidRPr="00047B76">
              <w:rPr>
                <w:i/>
                <w:sz w:val="20"/>
              </w:rPr>
              <w:t>Quebec (Attorney General) v. Canada (Attorney General)</w:t>
            </w:r>
            <w:r w:rsidRPr="00047B76">
              <w:rPr>
                <w:sz w:val="20"/>
              </w:rPr>
              <w:t>, [2015] 1 S.C.R. 693, the Supreme Court recognized the power of Parliament to dismantle the registry and destroy the data it contained. The application for a declaratory judgment and an injunction was dismissed by the Superior Court, and the appeal was dismissed by the Court of Appeal.</w:t>
            </w:r>
          </w:p>
          <w:p w:rsidR="0071029D" w:rsidRPr="00047B76" w:rsidRDefault="0071029D" w:rsidP="0023484E">
            <w:pPr>
              <w:jc w:val="both"/>
              <w:rPr>
                <w:sz w:val="20"/>
              </w:rPr>
            </w:pPr>
          </w:p>
        </w:tc>
      </w:tr>
      <w:tr w:rsidR="0071029D" w:rsidRPr="00047B76" w:rsidTr="0023484E">
        <w:tc>
          <w:tcPr>
            <w:tcW w:w="2427" w:type="pct"/>
            <w:gridSpan w:val="2"/>
          </w:tcPr>
          <w:p w:rsidR="0071029D" w:rsidRPr="00047B76" w:rsidRDefault="0071029D" w:rsidP="0023484E">
            <w:pPr>
              <w:jc w:val="both"/>
              <w:rPr>
                <w:sz w:val="20"/>
              </w:rPr>
            </w:pPr>
            <w:r w:rsidRPr="00047B76">
              <w:rPr>
                <w:sz w:val="20"/>
              </w:rPr>
              <w:lastRenderedPageBreak/>
              <w:t>October 18, 2017</w:t>
            </w:r>
          </w:p>
          <w:p w:rsidR="0071029D" w:rsidRPr="00047B76" w:rsidRDefault="0071029D" w:rsidP="0023484E">
            <w:pPr>
              <w:jc w:val="both"/>
              <w:rPr>
                <w:sz w:val="20"/>
              </w:rPr>
            </w:pPr>
            <w:r w:rsidRPr="00047B76">
              <w:rPr>
                <w:sz w:val="20"/>
              </w:rPr>
              <w:t>Quebec Superior Court</w:t>
            </w:r>
          </w:p>
          <w:p w:rsidR="0071029D" w:rsidRPr="00047B76" w:rsidRDefault="0071029D" w:rsidP="0023484E">
            <w:pPr>
              <w:jc w:val="both"/>
              <w:rPr>
                <w:sz w:val="20"/>
              </w:rPr>
            </w:pPr>
            <w:r w:rsidRPr="00047B76">
              <w:rPr>
                <w:sz w:val="20"/>
              </w:rPr>
              <w:t>(</w:t>
            </w:r>
            <w:proofErr w:type="spellStart"/>
            <w:r w:rsidRPr="00047B76">
              <w:rPr>
                <w:sz w:val="20"/>
              </w:rPr>
              <w:t>Granosik</w:t>
            </w:r>
            <w:proofErr w:type="spellEnd"/>
            <w:r w:rsidRPr="00047B76">
              <w:rPr>
                <w:sz w:val="20"/>
              </w:rPr>
              <w:t xml:space="preserve"> J.)</w:t>
            </w:r>
          </w:p>
          <w:p w:rsidR="0071029D" w:rsidRPr="00047B76" w:rsidRDefault="009A56E8" w:rsidP="0023484E">
            <w:pPr>
              <w:jc w:val="both"/>
              <w:rPr>
                <w:sz w:val="20"/>
              </w:rPr>
            </w:pPr>
            <w:hyperlink r:id="rId37" w:history="1">
              <w:r w:rsidR="0071029D" w:rsidRPr="00047B76">
                <w:rPr>
                  <w:rStyle w:val="Hyperlink"/>
                  <w:sz w:val="20"/>
                </w:rPr>
                <w:t>2017 QCCS 4690</w:t>
              </w:r>
            </w:hyperlink>
          </w:p>
        </w:tc>
        <w:tc>
          <w:tcPr>
            <w:tcW w:w="243" w:type="pct"/>
          </w:tcPr>
          <w:p w:rsidR="0071029D" w:rsidRPr="00047B76" w:rsidRDefault="0071029D" w:rsidP="0023484E">
            <w:pPr>
              <w:jc w:val="both"/>
              <w:rPr>
                <w:sz w:val="20"/>
              </w:rPr>
            </w:pPr>
          </w:p>
        </w:tc>
        <w:tc>
          <w:tcPr>
            <w:tcW w:w="2330" w:type="pct"/>
          </w:tcPr>
          <w:p w:rsidR="0071029D" w:rsidRPr="00047B76" w:rsidRDefault="0071029D" w:rsidP="0023484E">
            <w:pPr>
              <w:jc w:val="both"/>
              <w:rPr>
                <w:sz w:val="20"/>
              </w:rPr>
            </w:pPr>
            <w:r w:rsidRPr="00047B76">
              <w:rPr>
                <w:sz w:val="20"/>
              </w:rPr>
              <w:t>Application for declaratory judgment and injunction dismissed</w:t>
            </w:r>
          </w:p>
          <w:p w:rsidR="0071029D" w:rsidRPr="00047B76" w:rsidRDefault="0071029D" w:rsidP="0023484E">
            <w:pPr>
              <w:jc w:val="both"/>
              <w:rPr>
                <w:sz w:val="20"/>
              </w:rPr>
            </w:pPr>
          </w:p>
        </w:tc>
      </w:tr>
      <w:tr w:rsidR="0071029D" w:rsidRPr="00047B76" w:rsidTr="0023484E">
        <w:tc>
          <w:tcPr>
            <w:tcW w:w="2427" w:type="pct"/>
            <w:gridSpan w:val="2"/>
          </w:tcPr>
          <w:p w:rsidR="0071029D" w:rsidRPr="00047B76" w:rsidRDefault="0071029D" w:rsidP="0023484E">
            <w:pPr>
              <w:jc w:val="both"/>
              <w:rPr>
                <w:sz w:val="20"/>
              </w:rPr>
            </w:pPr>
            <w:r w:rsidRPr="00047B76">
              <w:rPr>
                <w:sz w:val="20"/>
              </w:rPr>
              <w:t>May 1, 2019</w:t>
            </w:r>
          </w:p>
          <w:p w:rsidR="0071029D" w:rsidRPr="00047B76" w:rsidRDefault="0071029D" w:rsidP="0023484E">
            <w:pPr>
              <w:jc w:val="both"/>
              <w:rPr>
                <w:sz w:val="20"/>
              </w:rPr>
            </w:pPr>
            <w:r w:rsidRPr="00047B76">
              <w:rPr>
                <w:sz w:val="20"/>
              </w:rPr>
              <w:t>Quebec Court of Appeal (Montréal)</w:t>
            </w:r>
          </w:p>
          <w:p w:rsidR="0071029D" w:rsidRPr="00047B76" w:rsidRDefault="0071029D" w:rsidP="0023484E">
            <w:pPr>
              <w:jc w:val="both"/>
              <w:rPr>
                <w:sz w:val="20"/>
              </w:rPr>
            </w:pPr>
            <w:r w:rsidRPr="00047B76">
              <w:rPr>
                <w:sz w:val="20"/>
              </w:rPr>
              <w:t xml:space="preserve">(Duval </w:t>
            </w:r>
            <w:proofErr w:type="spellStart"/>
            <w:r w:rsidRPr="00047B76">
              <w:rPr>
                <w:sz w:val="20"/>
              </w:rPr>
              <w:t>Hesler</w:t>
            </w:r>
            <w:proofErr w:type="spellEnd"/>
            <w:r w:rsidRPr="00047B76">
              <w:rPr>
                <w:sz w:val="20"/>
              </w:rPr>
              <w:t xml:space="preserve"> C.J. and Kasirer and </w:t>
            </w:r>
          </w:p>
          <w:p w:rsidR="0071029D" w:rsidRPr="00047B76" w:rsidRDefault="0071029D" w:rsidP="0023484E">
            <w:pPr>
              <w:jc w:val="both"/>
              <w:rPr>
                <w:sz w:val="20"/>
              </w:rPr>
            </w:pPr>
            <w:proofErr w:type="spellStart"/>
            <w:r w:rsidRPr="00047B76">
              <w:rPr>
                <w:sz w:val="20"/>
              </w:rPr>
              <w:t>Rancourt</w:t>
            </w:r>
            <w:proofErr w:type="spellEnd"/>
            <w:r w:rsidRPr="00047B76">
              <w:rPr>
                <w:sz w:val="20"/>
              </w:rPr>
              <w:t xml:space="preserve"> JJ.A.)</w:t>
            </w:r>
          </w:p>
          <w:p w:rsidR="0071029D" w:rsidRPr="00047B76" w:rsidRDefault="009A56E8" w:rsidP="0023484E">
            <w:pPr>
              <w:jc w:val="both"/>
              <w:rPr>
                <w:sz w:val="20"/>
              </w:rPr>
            </w:pPr>
            <w:hyperlink r:id="rId38" w:history="1">
              <w:r w:rsidR="0071029D" w:rsidRPr="00047B76">
                <w:rPr>
                  <w:rStyle w:val="Hyperlink"/>
                  <w:sz w:val="20"/>
                </w:rPr>
                <w:t>2019 QCCA 755</w:t>
              </w:r>
            </w:hyperlink>
          </w:p>
          <w:p w:rsidR="0071029D" w:rsidRPr="00047B76" w:rsidRDefault="0071029D" w:rsidP="0023484E">
            <w:pPr>
              <w:jc w:val="both"/>
              <w:rPr>
                <w:sz w:val="20"/>
              </w:rPr>
            </w:pPr>
          </w:p>
        </w:tc>
        <w:tc>
          <w:tcPr>
            <w:tcW w:w="243" w:type="pct"/>
          </w:tcPr>
          <w:p w:rsidR="0071029D" w:rsidRPr="00047B76" w:rsidRDefault="0071029D" w:rsidP="0023484E">
            <w:pPr>
              <w:jc w:val="both"/>
              <w:rPr>
                <w:sz w:val="20"/>
              </w:rPr>
            </w:pPr>
          </w:p>
        </w:tc>
        <w:tc>
          <w:tcPr>
            <w:tcW w:w="2330" w:type="pct"/>
          </w:tcPr>
          <w:p w:rsidR="0071029D" w:rsidRPr="00047B76" w:rsidRDefault="0071029D" w:rsidP="0023484E">
            <w:pPr>
              <w:jc w:val="both"/>
              <w:rPr>
                <w:sz w:val="20"/>
              </w:rPr>
            </w:pPr>
            <w:r w:rsidRPr="00047B76">
              <w:rPr>
                <w:sz w:val="20"/>
              </w:rPr>
              <w:t>Appeal dismissed</w:t>
            </w:r>
          </w:p>
          <w:p w:rsidR="0071029D" w:rsidRPr="00047B76" w:rsidRDefault="0071029D" w:rsidP="0023484E">
            <w:pPr>
              <w:jc w:val="both"/>
              <w:rPr>
                <w:sz w:val="20"/>
              </w:rPr>
            </w:pPr>
          </w:p>
        </w:tc>
      </w:tr>
      <w:tr w:rsidR="0071029D" w:rsidRPr="00047B76" w:rsidTr="0023484E">
        <w:tc>
          <w:tcPr>
            <w:tcW w:w="2427" w:type="pct"/>
            <w:gridSpan w:val="2"/>
          </w:tcPr>
          <w:p w:rsidR="0071029D" w:rsidRPr="00047B76" w:rsidRDefault="0071029D" w:rsidP="0023484E">
            <w:pPr>
              <w:jc w:val="both"/>
              <w:rPr>
                <w:sz w:val="20"/>
              </w:rPr>
            </w:pPr>
            <w:r w:rsidRPr="00047B76">
              <w:rPr>
                <w:sz w:val="20"/>
              </w:rPr>
              <w:t>July 2, 2019</w:t>
            </w:r>
          </w:p>
          <w:p w:rsidR="0071029D" w:rsidRPr="00047B76" w:rsidRDefault="0071029D" w:rsidP="0023484E">
            <w:pPr>
              <w:jc w:val="both"/>
              <w:rPr>
                <w:sz w:val="20"/>
              </w:rPr>
            </w:pPr>
            <w:r w:rsidRPr="00047B76">
              <w:rPr>
                <w:sz w:val="20"/>
              </w:rPr>
              <w:t>Supreme Court of Canada</w:t>
            </w:r>
          </w:p>
        </w:tc>
        <w:tc>
          <w:tcPr>
            <w:tcW w:w="243" w:type="pct"/>
          </w:tcPr>
          <w:p w:rsidR="0071029D" w:rsidRPr="00047B76" w:rsidRDefault="0071029D" w:rsidP="0023484E">
            <w:pPr>
              <w:jc w:val="both"/>
              <w:rPr>
                <w:sz w:val="20"/>
              </w:rPr>
            </w:pPr>
          </w:p>
        </w:tc>
        <w:tc>
          <w:tcPr>
            <w:tcW w:w="2330" w:type="pct"/>
          </w:tcPr>
          <w:p w:rsidR="0071029D" w:rsidRPr="00047B76" w:rsidRDefault="0071029D" w:rsidP="0023484E">
            <w:pPr>
              <w:jc w:val="both"/>
              <w:rPr>
                <w:sz w:val="20"/>
              </w:rPr>
            </w:pPr>
            <w:r w:rsidRPr="00047B76">
              <w:rPr>
                <w:sz w:val="20"/>
              </w:rPr>
              <w:t>Application for leave to appeal filed</w:t>
            </w:r>
          </w:p>
          <w:p w:rsidR="0071029D" w:rsidRPr="00047B76" w:rsidRDefault="0071029D" w:rsidP="0023484E">
            <w:pPr>
              <w:jc w:val="both"/>
              <w:rPr>
                <w:sz w:val="20"/>
              </w:rPr>
            </w:pPr>
          </w:p>
        </w:tc>
      </w:tr>
    </w:tbl>
    <w:p w:rsidR="0071029D" w:rsidRPr="00047B76" w:rsidRDefault="0071029D" w:rsidP="0071029D">
      <w:pPr>
        <w:jc w:val="both"/>
        <w:rPr>
          <w:sz w:val="20"/>
        </w:rPr>
      </w:pPr>
    </w:p>
    <w:p w:rsidR="0071029D" w:rsidRPr="00047B76" w:rsidRDefault="009A56E8" w:rsidP="0071029D">
      <w:pPr>
        <w:jc w:val="both"/>
        <w:rPr>
          <w:sz w:val="20"/>
        </w:rPr>
      </w:pPr>
      <w:r>
        <w:rPr>
          <w:sz w:val="20"/>
        </w:rPr>
        <w:pict>
          <v:rect id="_x0000_i1046" style="width:2in;height:1pt" o:hrpct="0" o:hralign="center" o:hrstd="t" o:hrnoshade="t" o:hr="t" fillcolor="black [3213]" stroked="f"/>
        </w:pict>
      </w:r>
    </w:p>
    <w:p w:rsidR="0071029D" w:rsidRPr="00047B76" w:rsidRDefault="0071029D" w:rsidP="0071029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1029D" w:rsidRPr="00047B76" w:rsidTr="0023484E">
        <w:tc>
          <w:tcPr>
            <w:tcW w:w="543" w:type="pct"/>
          </w:tcPr>
          <w:p w:rsidR="0071029D" w:rsidRPr="00047B76" w:rsidRDefault="0071029D" w:rsidP="0023484E">
            <w:pPr>
              <w:jc w:val="both"/>
              <w:rPr>
                <w:sz w:val="20"/>
              </w:rPr>
            </w:pPr>
            <w:r w:rsidRPr="00047B76">
              <w:rPr>
                <w:rStyle w:val="SCCFileNumberChar"/>
                <w:sz w:val="20"/>
                <w:szCs w:val="20"/>
              </w:rPr>
              <w:t>38710</w:t>
            </w:r>
          </w:p>
        </w:tc>
        <w:tc>
          <w:tcPr>
            <w:tcW w:w="4457" w:type="pct"/>
          </w:tcPr>
          <w:p w:rsidR="0071029D" w:rsidRPr="00047B76" w:rsidRDefault="0071029D" w:rsidP="0023484E">
            <w:pPr>
              <w:pStyle w:val="SCCLsocParty"/>
              <w:jc w:val="both"/>
              <w:rPr>
                <w:b/>
                <w:sz w:val="20"/>
                <w:szCs w:val="20"/>
              </w:rPr>
            </w:pPr>
            <w:r w:rsidRPr="00047B76">
              <w:rPr>
                <w:b/>
                <w:sz w:val="20"/>
                <w:szCs w:val="20"/>
              </w:rPr>
              <w:t>Association canadienne pour les armes à feu et Philippe Simard c. Procureure générale du Québec et procureur général du Canada</w:t>
            </w:r>
          </w:p>
          <w:p w:rsidR="0071029D" w:rsidRPr="00047B76" w:rsidRDefault="0071029D" w:rsidP="0023484E">
            <w:pPr>
              <w:jc w:val="both"/>
              <w:rPr>
                <w:sz w:val="20"/>
              </w:rPr>
            </w:pPr>
            <w:r w:rsidRPr="00047B76">
              <w:rPr>
                <w:sz w:val="20"/>
              </w:rPr>
              <w:t>(Qc) (Criminelle) (Autorisation)</w:t>
            </w:r>
          </w:p>
        </w:tc>
      </w:tr>
      <w:tr w:rsidR="00E80644" w:rsidRPr="00957F6E" w:rsidTr="0023484E">
        <w:tc>
          <w:tcPr>
            <w:tcW w:w="5000" w:type="pct"/>
            <w:gridSpan w:val="2"/>
          </w:tcPr>
          <w:p w:rsidR="00506EB3" w:rsidRPr="00047B76" w:rsidRDefault="00506EB3" w:rsidP="00506EB3">
            <w:pPr>
              <w:jc w:val="both"/>
              <w:rPr>
                <w:sz w:val="20"/>
                <w:szCs w:val="20"/>
                <w:lang w:val="fr-CA"/>
              </w:rPr>
            </w:pPr>
            <w:r w:rsidRPr="00047B76">
              <w:rPr>
                <w:sz w:val="20"/>
                <w:szCs w:val="20"/>
                <w:lang w:val="fr-CA"/>
              </w:rPr>
              <w:t>La demande d’autorisation d’appel de l’arrêt de la Cour d’appel du Québec (Montréal), numéro 500-09-027171-172, 2019 QCCA 755, daté du 1</w:t>
            </w:r>
            <w:r w:rsidRPr="00047B76">
              <w:rPr>
                <w:sz w:val="20"/>
                <w:szCs w:val="20"/>
                <w:vertAlign w:val="superscript"/>
                <w:lang w:val="fr-CA"/>
              </w:rPr>
              <w:t>er</w:t>
            </w:r>
            <w:r w:rsidRPr="00047B76">
              <w:rPr>
                <w:sz w:val="20"/>
                <w:szCs w:val="20"/>
                <w:lang w:val="fr-CA"/>
              </w:rPr>
              <w:t> mai 2019, est rejetée avec dépens en faveur de l’intimée, procureure générale du Québec.</w:t>
            </w:r>
          </w:p>
          <w:p w:rsidR="00506EB3" w:rsidRPr="00047B76" w:rsidRDefault="00506EB3" w:rsidP="00506EB3">
            <w:pPr>
              <w:jc w:val="both"/>
              <w:rPr>
                <w:sz w:val="20"/>
                <w:szCs w:val="20"/>
                <w:lang w:val="fr-CA"/>
              </w:rPr>
            </w:pPr>
          </w:p>
          <w:p w:rsidR="00506EB3" w:rsidRPr="00047B76" w:rsidRDefault="00506EB3" w:rsidP="00506EB3">
            <w:pPr>
              <w:jc w:val="both"/>
              <w:rPr>
                <w:sz w:val="20"/>
                <w:szCs w:val="20"/>
                <w:lang w:val="fr-CA"/>
              </w:rPr>
            </w:pPr>
            <w:r w:rsidRPr="00047B76">
              <w:rPr>
                <w:sz w:val="20"/>
                <w:szCs w:val="20"/>
                <w:lang w:val="fr-CA"/>
              </w:rPr>
              <w:t>Le juge Kasirer n’a pas participé au jugement.</w:t>
            </w:r>
          </w:p>
          <w:p w:rsidR="00E80644" w:rsidRPr="00047B76" w:rsidRDefault="00E80644" w:rsidP="0023484E">
            <w:pPr>
              <w:jc w:val="both"/>
              <w:rPr>
                <w:sz w:val="20"/>
                <w:lang w:val="fr-CA"/>
              </w:rPr>
            </w:pPr>
          </w:p>
        </w:tc>
      </w:tr>
      <w:tr w:rsidR="0071029D" w:rsidRPr="00957F6E" w:rsidTr="0023484E">
        <w:tc>
          <w:tcPr>
            <w:tcW w:w="5000" w:type="pct"/>
            <w:gridSpan w:val="2"/>
          </w:tcPr>
          <w:p w:rsidR="0071029D" w:rsidRPr="00047B76" w:rsidRDefault="0071029D" w:rsidP="0023484E">
            <w:pPr>
              <w:jc w:val="both"/>
              <w:rPr>
                <w:sz w:val="20"/>
                <w:lang w:val="fr-CA"/>
              </w:rPr>
            </w:pPr>
            <w:r w:rsidRPr="00047B76">
              <w:rPr>
                <w:sz w:val="20"/>
                <w:lang w:val="fr-CA"/>
              </w:rPr>
              <w:t xml:space="preserve">Droit constitutionnel — Partage des pouvoirs — Compétences provinciales en matière de propriété et droits civils et en matière d’administration de la Justice — Registre ou fichier provincial d’immatriculation des armes à feu — La </w:t>
            </w:r>
            <w:r w:rsidRPr="00047B76">
              <w:rPr>
                <w:i/>
                <w:sz w:val="20"/>
                <w:lang w:val="fr-CA"/>
              </w:rPr>
              <w:t>Loi sur l’immatriculation des armes à feu</w:t>
            </w:r>
            <w:r w:rsidRPr="00047B76">
              <w:rPr>
                <w:sz w:val="20"/>
                <w:lang w:val="fr-CA"/>
              </w:rPr>
              <w:t>, L.Q. 2016, c. 15 enfreint</w:t>
            </w:r>
            <w:r w:rsidRPr="00047B76">
              <w:rPr>
                <w:sz w:val="20"/>
                <w:lang w:val="fr-CA"/>
              </w:rPr>
              <w:noBreakHyphen/>
              <w:t xml:space="preserve">elle le pouvoir fédéral exclusif de légiférer en matière de droit criminel, eu égard au </w:t>
            </w:r>
            <w:proofErr w:type="spellStart"/>
            <w:r w:rsidRPr="00047B76">
              <w:rPr>
                <w:sz w:val="20"/>
                <w:lang w:val="fr-CA"/>
              </w:rPr>
              <w:t>par</w:t>
            </w:r>
            <w:proofErr w:type="spellEnd"/>
            <w:r w:rsidRPr="00047B76">
              <w:rPr>
                <w:sz w:val="20"/>
                <w:lang w:val="fr-CA"/>
              </w:rPr>
              <w:t xml:space="preserve">. 91(27) de la </w:t>
            </w:r>
            <w:r w:rsidRPr="00047B76">
              <w:rPr>
                <w:i/>
                <w:sz w:val="20"/>
                <w:lang w:val="fr-CA"/>
              </w:rPr>
              <w:t>Loi constitutionnelle de 1867</w:t>
            </w:r>
            <w:r w:rsidRPr="00047B76">
              <w:rPr>
                <w:sz w:val="20"/>
                <w:lang w:val="fr-CA"/>
              </w:rPr>
              <w:t>? — Cette Loi entre</w:t>
            </w:r>
            <w:r w:rsidRPr="00047B76">
              <w:rPr>
                <w:sz w:val="20"/>
                <w:lang w:val="fr-CA"/>
              </w:rPr>
              <w:noBreakHyphen/>
              <w:t>t</w:t>
            </w:r>
            <w:r w:rsidRPr="00047B76">
              <w:rPr>
                <w:sz w:val="20"/>
                <w:lang w:val="fr-CA"/>
              </w:rPr>
              <w:noBreakHyphen/>
              <w:t xml:space="preserve">elle dans le cadre des pouvoirs des provinces de légiférer en matière de « propriété et de droits civils » et d’ « administration de la justice », eu égard aux </w:t>
            </w:r>
            <w:proofErr w:type="spellStart"/>
            <w:r w:rsidRPr="00047B76">
              <w:rPr>
                <w:sz w:val="20"/>
                <w:lang w:val="fr-CA"/>
              </w:rPr>
              <w:t>par</w:t>
            </w:r>
            <w:proofErr w:type="spellEnd"/>
            <w:r w:rsidRPr="00047B76">
              <w:rPr>
                <w:sz w:val="20"/>
                <w:lang w:val="fr-CA"/>
              </w:rPr>
              <w:t xml:space="preserve">. 92(13) et 92(14) de la </w:t>
            </w:r>
            <w:r w:rsidRPr="00047B76">
              <w:rPr>
                <w:i/>
                <w:sz w:val="20"/>
                <w:lang w:val="fr-CA"/>
              </w:rPr>
              <w:t>Loi constitutionnelle de 1867</w:t>
            </w:r>
            <w:r w:rsidRPr="00047B76">
              <w:rPr>
                <w:sz w:val="20"/>
                <w:lang w:val="fr-CA"/>
              </w:rPr>
              <w:t>? — Quelle est la nature de cette Loi? — Une partie peut</w:t>
            </w:r>
            <w:r w:rsidRPr="00047B76">
              <w:rPr>
                <w:sz w:val="20"/>
                <w:lang w:val="fr-CA"/>
              </w:rPr>
              <w:noBreakHyphen/>
              <w:t>elle faire une admission quant à la nature véritable de la Loi? — L’imposition d’un devoir légal jumelé d'une sanction à caractère pénale, dans un but allégué de sécurité publique, constitue-il une mesure de droit criminel, même s'il n'est pas formulé strictement comme une interdiction? — Une province peut</w:t>
            </w:r>
            <w:r w:rsidRPr="00047B76">
              <w:rPr>
                <w:sz w:val="20"/>
                <w:lang w:val="fr-CA"/>
              </w:rPr>
              <w:noBreakHyphen/>
              <w:t>elle, suite au retrait fédéral d’un champ de compétence traditionnellement considéré comme étant de compétence fédérale, envahir ce champ de compétence afin de combler ce qu’elle perçoit comme une lacune du droit criminel, en reproduisant les effets juridiques et pratiques de l’ancienne loi fédérale? — Existe</w:t>
            </w:r>
            <w:r w:rsidRPr="00047B76">
              <w:rPr>
                <w:sz w:val="20"/>
                <w:lang w:val="fr-CA"/>
              </w:rPr>
              <w:noBreakHyphen/>
              <w:t>t</w:t>
            </w:r>
            <w:r w:rsidRPr="00047B76">
              <w:rPr>
                <w:sz w:val="20"/>
                <w:lang w:val="fr-CA"/>
              </w:rPr>
              <w:noBreakHyphen/>
              <w:t xml:space="preserve">il, dans les circonstances, une présomption voulant que la loi provinciale soit une tentative déguisée d’envahir un champ de compétence fédéral et partant, suspecte à sa face même, comme cette Cour l’a affirmé dans l’arrêt </w:t>
            </w:r>
            <w:r w:rsidRPr="00047B76">
              <w:rPr>
                <w:i/>
                <w:sz w:val="20"/>
                <w:lang w:val="fr-CA"/>
              </w:rPr>
              <w:t>R. c. Morgentaler</w:t>
            </w:r>
            <w:r w:rsidRPr="00047B76">
              <w:rPr>
                <w:sz w:val="20"/>
                <w:lang w:val="fr-CA"/>
              </w:rPr>
              <w:t>, [1993] 3 R.C.S. 463? — Si tel est le cas, cette Loi est</w:t>
            </w:r>
            <w:r w:rsidRPr="00047B76">
              <w:rPr>
                <w:sz w:val="20"/>
                <w:lang w:val="fr-CA"/>
              </w:rPr>
              <w:noBreakHyphen/>
              <w:t>elle « solidement ancrée » dans un champ de compétence provincial, pour repousser cette présomption? — L’immatriculation (enregistrement) des armes à feu est</w:t>
            </w:r>
            <w:r w:rsidRPr="00047B76">
              <w:rPr>
                <w:sz w:val="20"/>
                <w:lang w:val="fr-CA"/>
              </w:rPr>
              <w:noBreakHyphen/>
              <w:t>elle un aspect essentiel du « contrôle des armes à feu », ou est</w:t>
            </w:r>
            <w:r w:rsidRPr="00047B76">
              <w:rPr>
                <w:sz w:val="20"/>
                <w:lang w:val="fr-CA"/>
              </w:rPr>
              <w:noBreakHyphen/>
              <w:t xml:space="preserve">elle simplement accessoire, au point où cette Loi ne constitue pas une mesure de « contrôle des armes à feu »? — </w:t>
            </w:r>
            <w:r w:rsidRPr="00047B76">
              <w:rPr>
                <w:i/>
                <w:sz w:val="20"/>
                <w:lang w:val="fr-CA"/>
              </w:rPr>
              <w:t>Loi constitutionnelle de 1867</w:t>
            </w:r>
            <w:r w:rsidRPr="00047B76">
              <w:rPr>
                <w:sz w:val="20"/>
                <w:lang w:val="fr-CA"/>
              </w:rPr>
              <w:t>, art. 92 (13), (14).</w:t>
            </w:r>
          </w:p>
        </w:tc>
      </w:tr>
      <w:tr w:rsidR="0071029D" w:rsidRPr="00957F6E" w:rsidTr="0023484E">
        <w:tc>
          <w:tcPr>
            <w:tcW w:w="5000" w:type="pct"/>
            <w:gridSpan w:val="2"/>
          </w:tcPr>
          <w:p w:rsidR="0071029D" w:rsidRPr="00047B76" w:rsidRDefault="0071029D" w:rsidP="0023484E">
            <w:pPr>
              <w:jc w:val="both"/>
              <w:rPr>
                <w:sz w:val="20"/>
                <w:lang w:val="fr-CA"/>
              </w:rPr>
            </w:pPr>
          </w:p>
        </w:tc>
      </w:tr>
    </w:tbl>
    <w:p w:rsidR="00900ECD" w:rsidRPr="00047B76" w:rsidRDefault="00900ECD">
      <w:pPr>
        <w:rPr>
          <w:lang w:val="fr-CA"/>
        </w:rPr>
      </w:pPr>
      <w:r w:rsidRPr="00047B76">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1029D" w:rsidRPr="00957F6E" w:rsidTr="0023484E">
        <w:tc>
          <w:tcPr>
            <w:tcW w:w="5000" w:type="pct"/>
            <w:gridSpan w:val="3"/>
          </w:tcPr>
          <w:p w:rsidR="0071029D" w:rsidRPr="00047B76" w:rsidRDefault="0071029D" w:rsidP="0023484E">
            <w:pPr>
              <w:jc w:val="both"/>
              <w:rPr>
                <w:sz w:val="20"/>
                <w:lang w:val="fr-CA"/>
              </w:rPr>
            </w:pPr>
            <w:r w:rsidRPr="00047B76">
              <w:rPr>
                <w:sz w:val="20"/>
                <w:lang w:val="fr-CA"/>
              </w:rPr>
              <w:lastRenderedPageBreak/>
              <w:t xml:space="preserve">Comme suite à la promulgation par l’Assemblée nationale en juin 2016 de la </w:t>
            </w:r>
            <w:r w:rsidRPr="00047B76">
              <w:rPr>
                <w:i/>
                <w:sz w:val="20"/>
                <w:lang w:val="fr-CA"/>
              </w:rPr>
              <w:t>Loi sur l’immatriculation des armes à feu</w:t>
            </w:r>
            <w:r w:rsidRPr="00047B76">
              <w:rPr>
                <w:sz w:val="20"/>
                <w:lang w:val="fr-CA"/>
              </w:rPr>
              <w:t xml:space="preserve">, L.Q. 2016, c. 15, les demandeurs, Association canadienne pour les armes à feu et M. Philippe Simard ont déposé en Cour supérieure du Québec une demande de jugement déclaratoire et d’injonction afin de contester la validité constitutionnelle de cette loi au regard du partage des compétences législatives établie par la </w:t>
            </w:r>
            <w:r w:rsidRPr="00047B76">
              <w:rPr>
                <w:i/>
                <w:sz w:val="20"/>
                <w:lang w:val="fr-CA"/>
              </w:rPr>
              <w:t>Loi constitutionnelle de 1867</w:t>
            </w:r>
            <w:r w:rsidRPr="00047B76">
              <w:rPr>
                <w:sz w:val="20"/>
                <w:lang w:val="fr-CA"/>
              </w:rPr>
              <w:t xml:space="preserve">. Cette loi de l’Assemblée nationale résulte de l’adoption en 2012 de la </w:t>
            </w:r>
            <w:r w:rsidRPr="00047B76">
              <w:rPr>
                <w:i/>
                <w:sz w:val="20"/>
                <w:lang w:val="fr-CA"/>
              </w:rPr>
              <w:t>Loi sur l’abolition du registre des armes d’épaule</w:t>
            </w:r>
            <w:r w:rsidRPr="00047B76">
              <w:rPr>
                <w:sz w:val="20"/>
                <w:lang w:val="fr-CA"/>
              </w:rPr>
              <w:t xml:space="preserve">, L.C. 2012, c. 6 par le Parlement canadien afin de supprimer l’obligation d’enregistrer les armes d’épaule et de décriminaliser la possession d’une telle arme non enregistrée. À cette époque, les autorités fédérales avaient refusé de communiquer au Gouvernement du Québec qui en avait fait la demande, les données du registre concernant la Province de Québec. Comme suite à ce refus, le Gouvernement du Québec a alors entrepris un recours devant les tribunaux judiciaires afin d’obtenir les données. La Cour suprême a reconnu le pouvoir du palier fédéral de démanteler le registre et de détruire des données qu’il contient dans l’arrêt </w:t>
            </w:r>
            <w:r w:rsidRPr="00047B76">
              <w:rPr>
                <w:i/>
                <w:sz w:val="20"/>
                <w:lang w:val="fr-CA"/>
              </w:rPr>
              <w:t>Québec (Procureur général) c. Canada (Procureur général)</w:t>
            </w:r>
            <w:r w:rsidRPr="00047B76">
              <w:rPr>
                <w:sz w:val="20"/>
                <w:lang w:val="fr-CA"/>
              </w:rPr>
              <w:t>, [2015] 1 R.C.S. 693. La Cour supérieure a rejeté la demande de jugement déclaratoire et d’injonction et la Cour d’appel a rejeté l’appel.</w:t>
            </w:r>
          </w:p>
          <w:p w:rsidR="0071029D" w:rsidRPr="00047B76" w:rsidRDefault="0071029D" w:rsidP="0023484E">
            <w:pPr>
              <w:jc w:val="both"/>
              <w:rPr>
                <w:sz w:val="20"/>
                <w:lang w:val="fr-CA"/>
              </w:rPr>
            </w:pPr>
          </w:p>
        </w:tc>
      </w:tr>
      <w:tr w:rsidR="0071029D" w:rsidRPr="00957F6E" w:rsidTr="0023484E">
        <w:tc>
          <w:tcPr>
            <w:tcW w:w="2427" w:type="pct"/>
          </w:tcPr>
          <w:p w:rsidR="0071029D" w:rsidRPr="00047B76" w:rsidRDefault="0071029D" w:rsidP="0023484E">
            <w:pPr>
              <w:jc w:val="both"/>
              <w:rPr>
                <w:sz w:val="20"/>
                <w:lang w:val="fr-CA"/>
              </w:rPr>
            </w:pPr>
            <w:r w:rsidRPr="00047B76">
              <w:rPr>
                <w:sz w:val="20"/>
                <w:lang w:val="fr-CA"/>
              </w:rPr>
              <w:t>Le 18 octobre 2017</w:t>
            </w:r>
          </w:p>
          <w:p w:rsidR="0071029D" w:rsidRPr="00047B76" w:rsidRDefault="0071029D" w:rsidP="0023484E">
            <w:pPr>
              <w:jc w:val="both"/>
              <w:rPr>
                <w:sz w:val="20"/>
                <w:lang w:val="fr-CA"/>
              </w:rPr>
            </w:pPr>
            <w:r w:rsidRPr="00047B76">
              <w:rPr>
                <w:sz w:val="20"/>
                <w:lang w:val="fr-CA"/>
              </w:rPr>
              <w:t>Cour supérieure du Québec</w:t>
            </w:r>
          </w:p>
          <w:p w:rsidR="0071029D" w:rsidRPr="00047B76" w:rsidRDefault="0071029D" w:rsidP="0023484E">
            <w:pPr>
              <w:jc w:val="both"/>
              <w:rPr>
                <w:sz w:val="20"/>
              </w:rPr>
            </w:pPr>
            <w:r w:rsidRPr="00047B76">
              <w:rPr>
                <w:sz w:val="20"/>
              </w:rPr>
              <w:t xml:space="preserve">(Le juge </w:t>
            </w:r>
            <w:proofErr w:type="spellStart"/>
            <w:r w:rsidRPr="00047B76">
              <w:rPr>
                <w:sz w:val="20"/>
              </w:rPr>
              <w:t>Granosik</w:t>
            </w:r>
            <w:proofErr w:type="spellEnd"/>
            <w:r w:rsidRPr="00047B76">
              <w:rPr>
                <w:sz w:val="20"/>
              </w:rPr>
              <w:t>)</w:t>
            </w:r>
          </w:p>
          <w:p w:rsidR="0071029D" w:rsidRPr="00047B76" w:rsidRDefault="009A56E8" w:rsidP="0023484E">
            <w:pPr>
              <w:jc w:val="both"/>
              <w:rPr>
                <w:sz w:val="20"/>
              </w:rPr>
            </w:pPr>
            <w:hyperlink r:id="rId39" w:history="1">
              <w:r w:rsidR="0071029D" w:rsidRPr="00047B76">
                <w:rPr>
                  <w:rStyle w:val="Hyperlink"/>
                  <w:sz w:val="20"/>
                </w:rPr>
                <w:t>2017 QCCS 4690</w:t>
              </w:r>
            </w:hyperlink>
          </w:p>
        </w:tc>
        <w:tc>
          <w:tcPr>
            <w:tcW w:w="243" w:type="pct"/>
          </w:tcPr>
          <w:p w:rsidR="0071029D" w:rsidRPr="00047B76" w:rsidRDefault="0071029D" w:rsidP="0023484E">
            <w:pPr>
              <w:jc w:val="both"/>
              <w:rPr>
                <w:sz w:val="20"/>
              </w:rPr>
            </w:pPr>
          </w:p>
        </w:tc>
        <w:tc>
          <w:tcPr>
            <w:tcW w:w="2330" w:type="pct"/>
          </w:tcPr>
          <w:p w:rsidR="0071029D" w:rsidRPr="00047B76" w:rsidRDefault="0071029D" w:rsidP="0023484E">
            <w:pPr>
              <w:jc w:val="both"/>
              <w:rPr>
                <w:sz w:val="20"/>
                <w:lang w:val="fr-CA"/>
              </w:rPr>
            </w:pPr>
            <w:r w:rsidRPr="00047B76">
              <w:rPr>
                <w:sz w:val="20"/>
                <w:lang w:val="fr-CA"/>
              </w:rPr>
              <w:t>Demande de jugement déclaratoire et d’injonction rejetée.</w:t>
            </w:r>
          </w:p>
          <w:p w:rsidR="0071029D" w:rsidRPr="00047B76" w:rsidRDefault="0071029D" w:rsidP="0023484E">
            <w:pPr>
              <w:jc w:val="both"/>
              <w:rPr>
                <w:sz w:val="20"/>
                <w:lang w:val="fr-CA"/>
              </w:rPr>
            </w:pPr>
          </w:p>
        </w:tc>
      </w:tr>
      <w:tr w:rsidR="0071029D" w:rsidRPr="00047B76" w:rsidTr="0023484E">
        <w:tc>
          <w:tcPr>
            <w:tcW w:w="2427" w:type="pct"/>
          </w:tcPr>
          <w:p w:rsidR="0071029D" w:rsidRPr="00047B76" w:rsidRDefault="0071029D" w:rsidP="0023484E">
            <w:pPr>
              <w:jc w:val="both"/>
              <w:rPr>
                <w:sz w:val="20"/>
                <w:lang w:val="fr-CA"/>
              </w:rPr>
            </w:pPr>
            <w:r w:rsidRPr="00047B76">
              <w:rPr>
                <w:sz w:val="20"/>
                <w:lang w:val="fr-CA"/>
              </w:rPr>
              <w:t>Le 1 mai 2019</w:t>
            </w:r>
          </w:p>
          <w:p w:rsidR="0071029D" w:rsidRPr="00047B76" w:rsidRDefault="0071029D" w:rsidP="0023484E">
            <w:pPr>
              <w:jc w:val="both"/>
              <w:rPr>
                <w:sz w:val="20"/>
                <w:lang w:val="fr-CA"/>
              </w:rPr>
            </w:pPr>
            <w:r w:rsidRPr="00047B76">
              <w:rPr>
                <w:sz w:val="20"/>
                <w:lang w:val="fr-CA"/>
              </w:rPr>
              <w:t>Cour d’appel du Québec (Montréal)</w:t>
            </w:r>
          </w:p>
          <w:p w:rsidR="0071029D" w:rsidRPr="00047B76" w:rsidRDefault="0071029D" w:rsidP="0023484E">
            <w:pPr>
              <w:jc w:val="both"/>
              <w:rPr>
                <w:sz w:val="20"/>
                <w:lang w:val="fr-CA"/>
              </w:rPr>
            </w:pPr>
            <w:r w:rsidRPr="00047B76">
              <w:rPr>
                <w:sz w:val="20"/>
                <w:lang w:val="fr-CA"/>
              </w:rPr>
              <w:t xml:space="preserve">(La juge en chef Duval </w:t>
            </w:r>
            <w:proofErr w:type="spellStart"/>
            <w:r w:rsidRPr="00047B76">
              <w:rPr>
                <w:sz w:val="20"/>
                <w:lang w:val="fr-CA"/>
              </w:rPr>
              <w:t>Hesler</w:t>
            </w:r>
            <w:proofErr w:type="spellEnd"/>
            <w:r w:rsidRPr="00047B76">
              <w:rPr>
                <w:sz w:val="20"/>
                <w:lang w:val="fr-CA"/>
              </w:rPr>
              <w:t xml:space="preserve"> et les juges Kasirer et</w:t>
            </w:r>
          </w:p>
          <w:p w:rsidR="0071029D" w:rsidRPr="00047B76" w:rsidRDefault="0071029D" w:rsidP="0023484E">
            <w:pPr>
              <w:jc w:val="both"/>
              <w:rPr>
                <w:sz w:val="20"/>
              </w:rPr>
            </w:pPr>
            <w:proofErr w:type="spellStart"/>
            <w:r w:rsidRPr="00047B76">
              <w:rPr>
                <w:sz w:val="20"/>
              </w:rPr>
              <w:t>Rancourt</w:t>
            </w:r>
            <w:proofErr w:type="spellEnd"/>
            <w:r w:rsidRPr="00047B76">
              <w:rPr>
                <w:sz w:val="20"/>
              </w:rPr>
              <w:t>)</w:t>
            </w:r>
          </w:p>
          <w:p w:rsidR="0071029D" w:rsidRPr="00047B76" w:rsidRDefault="009A56E8" w:rsidP="0023484E">
            <w:pPr>
              <w:jc w:val="both"/>
              <w:rPr>
                <w:sz w:val="20"/>
              </w:rPr>
            </w:pPr>
            <w:hyperlink r:id="rId40" w:history="1">
              <w:r w:rsidR="0071029D" w:rsidRPr="00047B76">
                <w:rPr>
                  <w:rStyle w:val="Hyperlink"/>
                  <w:sz w:val="20"/>
                </w:rPr>
                <w:t>2019 QCCA 755</w:t>
              </w:r>
            </w:hyperlink>
          </w:p>
          <w:p w:rsidR="0071029D" w:rsidRPr="00047B76" w:rsidRDefault="0071029D" w:rsidP="0023484E">
            <w:pPr>
              <w:jc w:val="both"/>
              <w:rPr>
                <w:sz w:val="20"/>
              </w:rPr>
            </w:pPr>
          </w:p>
        </w:tc>
        <w:tc>
          <w:tcPr>
            <w:tcW w:w="243" w:type="pct"/>
          </w:tcPr>
          <w:p w:rsidR="0071029D" w:rsidRPr="00047B76" w:rsidRDefault="0071029D" w:rsidP="0023484E">
            <w:pPr>
              <w:jc w:val="both"/>
              <w:rPr>
                <w:sz w:val="20"/>
              </w:rPr>
            </w:pPr>
          </w:p>
        </w:tc>
        <w:tc>
          <w:tcPr>
            <w:tcW w:w="2330" w:type="pct"/>
          </w:tcPr>
          <w:p w:rsidR="0071029D" w:rsidRPr="00047B76" w:rsidRDefault="0071029D" w:rsidP="0023484E">
            <w:pPr>
              <w:jc w:val="both"/>
              <w:rPr>
                <w:sz w:val="20"/>
              </w:rPr>
            </w:pPr>
            <w:r w:rsidRPr="00047B76">
              <w:rPr>
                <w:sz w:val="20"/>
              </w:rPr>
              <w:t>Appel rejeté.</w:t>
            </w:r>
          </w:p>
          <w:p w:rsidR="0071029D" w:rsidRPr="00047B76" w:rsidRDefault="0071029D" w:rsidP="0023484E">
            <w:pPr>
              <w:jc w:val="both"/>
              <w:rPr>
                <w:sz w:val="20"/>
              </w:rPr>
            </w:pPr>
          </w:p>
        </w:tc>
      </w:tr>
      <w:tr w:rsidR="0071029D" w:rsidRPr="00047B76" w:rsidTr="0023484E">
        <w:tc>
          <w:tcPr>
            <w:tcW w:w="2427" w:type="pct"/>
          </w:tcPr>
          <w:p w:rsidR="0071029D" w:rsidRPr="00047B76" w:rsidRDefault="0071029D" w:rsidP="0023484E">
            <w:pPr>
              <w:jc w:val="both"/>
              <w:rPr>
                <w:sz w:val="20"/>
                <w:lang w:val="fr-CA"/>
              </w:rPr>
            </w:pPr>
            <w:r w:rsidRPr="00047B76">
              <w:rPr>
                <w:sz w:val="20"/>
                <w:lang w:val="fr-CA"/>
              </w:rPr>
              <w:t>Le 2 juillet 2019</w:t>
            </w:r>
          </w:p>
          <w:p w:rsidR="0071029D" w:rsidRPr="00047B76" w:rsidRDefault="0071029D" w:rsidP="0023484E">
            <w:pPr>
              <w:jc w:val="both"/>
              <w:rPr>
                <w:sz w:val="20"/>
                <w:lang w:val="fr-CA"/>
              </w:rPr>
            </w:pPr>
            <w:r w:rsidRPr="00047B76">
              <w:rPr>
                <w:sz w:val="20"/>
                <w:lang w:val="fr-CA"/>
              </w:rPr>
              <w:t>Cour suprême du Canada</w:t>
            </w:r>
          </w:p>
        </w:tc>
        <w:tc>
          <w:tcPr>
            <w:tcW w:w="243" w:type="pct"/>
          </w:tcPr>
          <w:p w:rsidR="0071029D" w:rsidRPr="00047B76" w:rsidRDefault="0071029D" w:rsidP="0023484E">
            <w:pPr>
              <w:jc w:val="both"/>
              <w:rPr>
                <w:sz w:val="20"/>
                <w:lang w:val="fr-CA"/>
              </w:rPr>
            </w:pPr>
          </w:p>
        </w:tc>
        <w:tc>
          <w:tcPr>
            <w:tcW w:w="2330" w:type="pct"/>
          </w:tcPr>
          <w:p w:rsidR="0071029D" w:rsidRPr="00047B76" w:rsidRDefault="0071029D" w:rsidP="0023484E">
            <w:pPr>
              <w:jc w:val="both"/>
              <w:rPr>
                <w:sz w:val="20"/>
              </w:rPr>
            </w:pPr>
            <w:r w:rsidRPr="00047B76">
              <w:rPr>
                <w:sz w:val="20"/>
              </w:rPr>
              <w:t xml:space="preserve">Demande d'autorisation d'appel </w:t>
            </w:r>
            <w:proofErr w:type="spellStart"/>
            <w:r w:rsidRPr="00047B76">
              <w:rPr>
                <w:sz w:val="20"/>
              </w:rPr>
              <w:t>déposée</w:t>
            </w:r>
            <w:proofErr w:type="spellEnd"/>
            <w:r w:rsidRPr="00047B76">
              <w:rPr>
                <w:sz w:val="20"/>
              </w:rPr>
              <w:t>.</w:t>
            </w:r>
          </w:p>
          <w:p w:rsidR="0071029D" w:rsidRPr="00047B76" w:rsidRDefault="0071029D" w:rsidP="0023484E">
            <w:pPr>
              <w:jc w:val="both"/>
              <w:rPr>
                <w:sz w:val="20"/>
              </w:rPr>
            </w:pPr>
          </w:p>
        </w:tc>
      </w:tr>
    </w:tbl>
    <w:p w:rsidR="0071029D" w:rsidRPr="00047B76" w:rsidRDefault="0071029D" w:rsidP="0071029D">
      <w:pPr>
        <w:jc w:val="both"/>
        <w:rPr>
          <w:sz w:val="20"/>
        </w:rPr>
      </w:pPr>
    </w:p>
    <w:p w:rsidR="0071029D" w:rsidRPr="00047B76" w:rsidRDefault="009A56E8" w:rsidP="0071029D">
      <w:pPr>
        <w:ind w:left="142" w:hanging="142"/>
        <w:jc w:val="both"/>
        <w:rPr>
          <w:sz w:val="20"/>
          <w:lang w:val="fr-CA"/>
        </w:rPr>
      </w:pPr>
      <w:r>
        <w:rPr>
          <w:sz w:val="20"/>
        </w:rPr>
        <w:pict>
          <v:rect id="_x0000_i1047" style="width:2in;height:1pt" o:hrpct="0" o:hralign="center" o:hrstd="t" o:hrnoshade="t" o:hr="t" fillcolor="black [3213]" stroked="f"/>
        </w:pict>
      </w:r>
    </w:p>
    <w:p w:rsidR="0071029D" w:rsidRPr="00047B76" w:rsidRDefault="0071029D" w:rsidP="0071029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1029D" w:rsidRPr="00047B76" w:rsidTr="0023484E">
        <w:tc>
          <w:tcPr>
            <w:tcW w:w="543" w:type="pct"/>
          </w:tcPr>
          <w:p w:rsidR="0071029D" w:rsidRPr="00047B76" w:rsidRDefault="0071029D" w:rsidP="0023484E">
            <w:pPr>
              <w:jc w:val="both"/>
              <w:rPr>
                <w:sz w:val="20"/>
              </w:rPr>
            </w:pPr>
            <w:r w:rsidRPr="00047B76">
              <w:rPr>
                <w:rStyle w:val="SCCFileNumberChar"/>
                <w:sz w:val="20"/>
                <w:szCs w:val="20"/>
              </w:rPr>
              <w:t>38716</w:t>
            </w:r>
          </w:p>
        </w:tc>
        <w:tc>
          <w:tcPr>
            <w:tcW w:w="4457" w:type="pct"/>
            <w:gridSpan w:val="3"/>
          </w:tcPr>
          <w:p w:rsidR="0071029D" w:rsidRPr="00047B76" w:rsidRDefault="0071029D" w:rsidP="0023484E">
            <w:pPr>
              <w:pStyle w:val="SCCLsocParty"/>
              <w:jc w:val="both"/>
              <w:rPr>
                <w:b/>
                <w:sz w:val="20"/>
                <w:szCs w:val="20"/>
              </w:rPr>
            </w:pPr>
            <w:r w:rsidRPr="00047B76">
              <w:rPr>
                <w:b/>
                <w:sz w:val="20"/>
                <w:szCs w:val="20"/>
              </w:rPr>
              <w:t>Université du Québec à Montréal v. Ville de Montréal</w:t>
            </w:r>
          </w:p>
          <w:p w:rsidR="0071029D" w:rsidRPr="00047B76" w:rsidRDefault="0071029D" w:rsidP="0023484E">
            <w:pPr>
              <w:jc w:val="both"/>
              <w:rPr>
                <w:sz w:val="20"/>
              </w:rPr>
            </w:pPr>
            <w:r w:rsidRPr="00047B76">
              <w:rPr>
                <w:sz w:val="20"/>
              </w:rPr>
              <w:t>(Que.) (Civil) (By Leave)</w:t>
            </w:r>
          </w:p>
        </w:tc>
      </w:tr>
      <w:tr w:rsidR="00E80644" w:rsidRPr="00047B76" w:rsidTr="0023484E">
        <w:tc>
          <w:tcPr>
            <w:tcW w:w="5000" w:type="pct"/>
            <w:gridSpan w:val="4"/>
          </w:tcPr>
          <w:p w:rsidR="00546DBF" w:rsidRPr="00047B76" w:rsidRDefault="00546DBF" w:rsidP="00546DBF">
            <w:pPr>
              <w:jc w:val="both"/>
              <w:rPr>
                <w:sz w:val="20"/>
                <w:szCs w:val="20"/>
              </w:rPr>
            </w:pPr>
            <w:r w:rsidRPr="00047B76">
              <w:rPr>
                <w:sz w:val="20"/>
                <w:szCs w:val="20"/>
              </w:rPr>
              <w:t xml:space="preserve">The motion for leave to intervene by Concordia University is dismissed. The application for leave to appeal from the judgment of the Court of Appeal of Quebec (Montréal), Number 500-09-026650-176, 2019 QCCA 751, dated April 29, 2019, is dismissed with costs. </w:t>
            </w:r>
          </w:p>
          <w:p w:rsidR="00E80644" w:rsidRPr="00047B76" w:rsidRDefault="00E80644" w:rsidP="0023484E">
            <w:pPr>
              <w:jc w:val="both"/>
              <w:rPr>
                <w:sz w:val="20"/>
              </w:rPr>
            </w:pPr>
          </w:p>
        </w:tc>
      </w:tr>
      <w:tr w:rsidR="0071029D" w:rsidRPr="00047B76" w:rsidTr="0023484E">
        <w:tc>
          <w:tcPr>
            <w:tcW w:w="5000" w:type="pct"/>
            <w:gridSpan w:val="4"/>
          </w:tcPr>
          <w:p w:rsidR="0071029D" w:rsidRPr="00047B76" w:rsidRDefault="0071029D" w:rsidP="0023484E">
            <w:pPr>
              <w:jc w:val="both"/>
              <w:rPr>
                <w:sz w:val="20"/>
              </w:rPr>
            </w:pPr>
            <w:r w:rsidRPr="00047B76">
              <w:rPr>
                <w:sz w:val="20"/>
              </w:rPr>
              <w:t xml:space="preserve">Municipal law — Taxation — Tax exemption — Immovable owned by university establishment receiving municipal tax exemption — Third party tenant of immovable defaulting on payment of property taxes — Municipality claiming property taxes from owner of immovable — Whether, according to principles governing interpretation of tax statutes, general power conferred on municipalities by s. 498 of </w:t>
            </w:r>
            <w:r w:rsidRPr="00047B76">
              <w:rPr>
                <w:i/>
                <w:sz w:val="20"/>
              </w:rPr>
              <w:t>Cities and Towns Act</w:t>
            </w:r>
            <w:r w:rsidRPr="00047B76">
              <w:rPr>
                <w:sz w:val="20"/>
              </w:rPr>
              <w:t xml:space="preserve"> must yield to exemption scheme established by ss. 204 et seq. of </w:t>
            </w:r>
            <w:r w:rsidRPr="00047B76">
              <w:rPr>
                <w:i/>
                <w:sz w:val="20"/>
              </w:rPr>
              <w:t>Act respecting municipal taxation</w:t>
            </w:r>
            <w:r w:rsidRPr="00047B76">
              <w:rPr>
                <w:sz w:val="20"/>
              </w:rPr>
              <w:t xml:space="preserve"> — Sections 203, 204 and 208 of </w:t>
            </w:r>
            <w:r w:rsidRPr="00047B76">
              <w:rPr>
                <w:i/>
                <w:sz w:val="20"/>
              </w:rPr>
              <w:t>Act respecting municipal taxation</w:t>
            </w:r>
            <w:r w:rsidRPr="00047B76">
              <w:rPr>
                <w:sz w:val="20"/>
              </w:rPr>
              <w:t>, CQLR, c. F</w:t>
            </w:r>
            <w:r w:rsidRPr="00047B76">
              <w:rPr>
                <w:sz w:val="20"/>
              </w:rPr>
              <w:noBreakHyphen/>
              <w:t xml:space="preserve">2.1 — Section 498 of </w:t>
            </w:r>
            <w:r w:rsidRPr="00047B76">
              <w:rPr>
                <w:i/>
                <w:sz w:val="20"/>
              </w:rPr>
              <w:t>Cities and Towns Act</w:t>
            </w:r>
            <w:r w:rsidRPr="00047B76">
              <w:rPr>
                <w:sz w:val="20"/>
              </w:rPr>
              <w:t>, CQLR, c. C</w:t>
            </w:r>
            <w:r w:rsidRPr="00047B76">
              <w:rPr>
                <w:sz w:val="20"/>
              </w:rPr>
              <w:noBreakHyphen/>
              <w:t>19.</w:t>
            </w:r>
          </w:p>
        </w:tc>
      </w:tr>
      <w:tr w:rsidR="0071029D" w:rsidRPr="00047B76" w:rsidTr="0023484E">
        <w:tc>
          <w:tcPr>
            <w:tcW w:w="5000" w:type="pct"/>
            <w:gridSpan w:val="4"/>
          </w:tcPr>
          <w:p w:rsidR="0071029D" w:rsidRPr="00047B76" w:rsidRDefault="0071029D" w:rsidP="0023484E">
            <w:pPr>
              <w:jc w:val="both"/>
              <w:rPr>
                <w:sz w:val="20"/>
              </w:rPr>
            </w:pPr>
          </w:p>
        </w:tc>
      </w:tr>
      <w:tr w:rsidR="0071029D" w:rsidRPr="00047B76" w:rsidTr="0023484E">
        <w:tc>
          <w:tcPr>
            <w:tcW w:w="5000" w:type="pct"/>
            <w:gridSpan w:val="4"/>
          </w:tcPr>
          <w:p w:rsidR="0071029D" w:rsidRPr="00047B76" w:rsidRDefault="0071029D" w:rsidP="0023484E">
            <w:pPr>
              <w:jc w:val="both"/>
              <w:rPr>
                <w:sz w:val="20"/>
              </w:rPr>
            </w:pPr>
            <w:r w:rsidRPr="00047B76">
              <w:rPr>
                <w:sz w:val="20"/>
                <w:lang w:val="fr-CA"/>
              </w:rPr>
              <w:t xml:space="preserve">The </w:t>
            </w:r>
            <w:proofErr w:type="spellStart"/>
            <w:r w:rsidRPr="00047B76">
              <w:rPr>
                <w:sz w:val="20"/>
                <w:lang w:val="fr-CA"/>
              </w:rPr>
              <w:t>applicant</w:t>
            </w:r>
            <w:proofErr w:type="spellEnd"/>
            <w:r w:rsidRPr="00047B76">
              <w:rPr>
                <w:sz w:val="20"/>
                <w:lang w:val="fr-CA"/>
              </w:rPr>
              <w:t xml:space="preserve">, Université du Québec à Montréal, </w:t>
            </w:r>
            <w:proofErr w:type="spellStart"/>
            <w:r w:rsidRPr="00047B76">
              <w:rPr>
                <w:sz w:val="20"/>
                <w:lang w:val="fr-CA"/>
              </w:rPr>
              <w:t>owns</w:t>
            </w:r>
            <w:proofErr w:type="spellEnd"/>
            <w:r w:rsidRPr="00047B76">
              <w:rPr>
                <w:sz w:val="20"/>
                <w:lang w:val="fr-CA"/>
              </w:rPr>
              <w:t xml:space="preserve"> an </w:t>
            </w:r>
            <w:proofErr w:type="spellStart"/>
            <w:r w:rsidRPr="00047B76">
              <w:rPr>
                <w:sz w:val="20"/>
                <w:lang w:val="fr-CA"/>
              </w:rPr>
              <w:t>immovable</w:t>
            </w:r>
            <w:proofErr w:type="spellEnd"/>
            <w:r w:rsidRPr="00047B76">
              <w:rPr>
                <w:sz w:val="20"/>
                <w:lang w:val="fr-CA"/>
              </w:rPr>
              <w:t xml:space="preserve"> at 141 Avenue du Président</w:t>
            </w:r>
            <w:r w:rsidRPr="00047B76">
              <w:rPr>
                <w:sz w:val="20"/>
                <w:lang w:val="fr-CA"/>
              </w:rPr>
              <w:noBreakHyphen/>
              <w:t xml:space="preserve">Kennedy in Montréal. </w:t>
            </w:r>
            <w:r w:rsidRPr="00047B76">
              <w:rPr>
                <w:sz w:val="20"/>
              </w:rPr>
              <w:t>During the 2009 to 2011 taxation years, a company called Heavy2light Oil Technologies occupied space in the applicant’s immovable. Heavy2light, whose activities were not related to education, vacated the premises without giving notice and without having paid the property taxes, which amounted to $30,720.72 for the three taxation years. That company’s registration in the enterprise register has since been cancelled. In March 2014, the respondent, Ville de Montréal (“City”), filed a motion to institute proceedings seeking payment of the property taxes from the applicant and Heavy2light. The Municipal Court of Montréal dismissed the City’s motion to institute proceedings against the applicant but allowed the City’s motion to institute proceedings against Heavy2light, which was ordered to pay the arrears of property taxes being claimed. The Court of Appeal allowed the appeal.</w:t>
            </w:r>
          </w:p>
          <w:p w:rsidR="0071029D" w:rsidRPr="00047B76" w:rsidRDefault="0071029D" w:rsidP="0023484E">
            <w:pPr>
              <w:jc w:val="both"/>
              <w:rPr>
                <w:sz w:val="20"/>
              </w:rPr>
            </w:pPr>
          </w:p>
        </w:tc>
      </w:tr>
      <w:tr w:rsidR="0071029D" w:rsidRPr="00047B76" w:rsidTr="0023484E">
        <w:tc>
          <w:tcPr>
            <w:tcW w:w="2427" w:type="pct"/>
            <w:gridSpan w:val="2"/>
          </w:tcPr>
          <w:p w:rsidR="0071029D" w:rsidRPr="00047B76" w:rsidRDefault="0071029D" w:rsidP="0023484E">
            <w:pPr>
              <w:jc w:val="both"/>
              <w:rPr>
                <w:sz w:val="20"/>
              </w:rPr>
            </w:pPr>
            <w:r w:rsidRPr="00047B76">
              <w:rPr>
                <w:sz w:val="20"/>
              </w:rPr>
              <w:lastRenderedPageBreak/>
              <w:t>January 26, 2017</w:t>
            </w:r>
          </w:p>
          <w:p w:rsidR="0071029D" w:rsidRPr="00047B76" w:rsidRDefault="0071029D" w:rsidP="0023484E">
            <w:pPr>
              <w:jc w:val="both"/>
              <w:rPr>
                <w:sz w:val="20"/>
              </w:rPr>
            </w:pPr>
            <w:r w:rsidRPr="00047B76">
              <w:rPr>
                <w:sz w:val="20"/>
              </w:rPr>
              <w:t>Municipal Court of Montréal</w:t>
            </w:r>
          </w:p>
          <w:p w:rsidR="0071029D" w:rsidRPr="00047B76" w:rsidRDefault="0071029D" w:rsidP="0023484E">
            <w:pPr>
              <w:jc w:val="both"/>
              <w:rPr>
                <w:sz w:val="20"/>
              </w:rPr>
            </w:pPr>
            <w:r w:rsidRPr="00047B76">
              <w:rPr>
                <w:sz w:val="20"/>
              </w:rPr>
              <w:t xml:space="preserve">(Judge </w:t>
            </w:r>
            <w:proofErr w:type="spellStart"/>
            <w:r w:rsidRPr="00047B76">
              <w:rPr>
                <w:sz w:val="20"/>
              </w:rPr>
              <w:t>Léontieff</w:t>
            </w:r>
            <w:proofErr w:type="spellEnd"/>
            <w:r w:rsidRPr="00047B76">
              <w:rPr>
                <w:sz w:val="20"/>
              </w:rPr>
              <w:t>)</w:t>
            </w:r>
          </w:p>
          <w:p w:rsidR="0071029D" w:rsidRPr="00047B76" w:rsidRDefault="009A56E8" w:rsidP="0023484E">
            <w:pPr>
              <w:jc w:val="both"/>
              <w:rPr>
                <w:sz w:val="20"/>
              </w:rPr>
            </w:pPr>
            <w:hyperlink r:id="rId41" w:history="1">
              <w:r w:rsidR="0071029D" w:rsidRPr="00047B76">
                <w:rPr>
                  <w:rStyle w:val="Hyperlink"/>
                  <w:sz w:val="20"/>
                </w:rPr>
                <w:t>2017 QCCM 9</w:t>
              </w:r>
            </w:hyperlink>
            <w:r w:rsidR="0071029D" w:rsidRPr="00047B76">
              <w:rPr>
                <w:sz w:val="20"/>
              </w:rPr>
              <w:t xml:space="preserve"> </w:t>
            </w:r>
          </w:p>
          <w:p w:rsidR="0071029D" w:rsidRPr="00047B76" w:rsidRDefault="0071029D" w:rsidP="0023484E">
            <w:pPr>
              <w:jc w:val="both"/>
              <w:rPr>
                <w:sz w:val="20"/>
              </w:rPr>
            </w:pPr>
          </w:p>
        </w:tc>
        <w:tc>
          <w:tcPr>
            <w:tcW w:w="243" w:type="pct"/>
          </w:tcPr>
          <w:p w:rsidR="0071029D" w:rsidRPr="00047B76" w:rsidRDefault="0071029D" w:rsidP="0023484E">
            <w:pPr>
              <w:jc w:val="both"/>
              <w:rPr>
                <w:sz w:val="20"/>
              </w:rPr>
            </w:pPr>
          </w:p>
        </w:tc>
        <w:tc>
          <w:tcPr>
            <w:tcW w:w="2330" w:type="pct"/>
          </w:tcPr>
          <w:p w:rsidR="0071029D" w:rsidRPr="00047B76" w:rsidRDefault="0071029D" w:rsidP="0023484E">
            <w:pPr>
              <w:jc w:val="both"/>
              <w:rPr>
                <w:sz w:val="20"/>
              </w:rPr>
            </w:pPr>
            <w:r w:rsidRPr="00047B76">
              <w:rPr>
                <w:sz w:val="20"/>
              </w:rPr>
              <w:t xml:space="preserve">Motion to institute proceedings against </w:t>
            </w:r>
            <w:proofErr w:type="spellStart"/>
            <w:r w:rsidRPr="00047B76">
              <w:rPr>
                <w:sz w:val="20"/>
              </w:rPr>
              <w:t>Université</w:t>
            </w:r>
            <w:proofErr w:type="spellEnd"/>
            <w:r w:rsidRPr="00047B76">
              <w:rPr>
                <w:sz w:val="20"/>
              </w:rPr>
              <w:t xml:space="preserve"> du Québec à Montréal dismissed</w:t>
            </w:r>
          </w:p>
          <w:p w:rsidR="0071029D" w:rsidRPr="00047B76" w:rsidRDefault="0071029D" w:rsidP="0023484E">
            <w:pPr>
              <w:jc w:val="both"/>
              <w:rPr>
                <w:sz w:val="20"/>
              </w:rPr>
            </w:pPr>
          </w:p>
        </w:tc>
      </w:tr>
      <w:tr w:rsidR="0071029D" w:rsidRPr="00047B76" w:rsidTr="0023484E">
        <w:tc>
          <w:tcPr>
            <w:tcW w:w="2427" w:type="pct"/>
            <w:gridSpan w:val="2"/>
          </w:tcPr>
          <w:p w:rsidR="0071029D" w:rsidRPr="00047B76" w:rsidRDefault="0071029D" w:rsidP="0023484E">
            <w:pPr>
              <w:jc w:val="both"/>
              <w:rPr>
                <w:sz w:val="20"/>
              </w:rPr>
            </w:pPr>
            <w:r w:rsidRPr="00047B76">
              <w:rPr>
                <w:sz w:val="20"/>
              </w:rPr>
              <w:t>April 29, 2019</w:t>
            </w:r>
          </w:p>
          <w:p w:rsidR="0071029D" w:rsidRPr="00047B76" w:rsidRDefault="0071029D" w:rsidP="0023484E">
            <w:pPr>
              <w:jc w:val="both"/>
              <w:rPr>
                <w:sz w:val="20"/>
              </w:rPr>
            </w:pPr>
            <w:r w:rsidRPr="00047B76">
              <w:rPr>
                <w:sz w:val="20"/>
              </w:rPr>
              <w:t>Quebec Court of Appeal (Montréal)</w:t>
            </w:r>
          </w:p>
          <w:p w:rsidR="0071029D" w:rsidRPr="00047B76" w:rsidRDefault="0071029D" w:rsidP="0023484E">
            <w:pPr>
              <w:jc w:val="both"/>
              <w:rPr>
                <w:sz w:val="20"/>
              </w:rPr>
            </w:pPr>
            <w:r w:rsidRPr="00047B76">
              <w:rPr>
                <w:sz w:val="20"/>
              </w:rPr>
              <w:t>(</w:t>
            </w:r>
            <w:proofErr w:type="spellStart"/>
            <w:r w:rsidRPr="00047B76">
              <w:rPr>
                <w:sz w:val="20"/>
              </w:rPr>
              <w:t>Chamberland</w:t>
            </w:r>
            <w:proofErr w:type="spellEnd"/>
            <w:r w:rsidRPr="00047B76">
              <w:rPr>
                <w:sz w:val="20"/>
              </w:rPr>
              <w:t xml:space="preserve">, </w:t>
            </w:r>
            <w:proofErr w:type="spellStart"/>
            <w:r w:rsidRPr="00047B76">
              <w:rPr>
                <w:sz w:val="20"/>
              </w:rPr>
              <w:t>Marcotte</w:t>
            </w:r>
            <w:proofErr w:type="spellEnd"/>
            <w:r w:rsidRPr="00047B76">
              <w:rPr>
                <w:sz w:val="20"/>
              </w:rPr>
              <w:t xml:space="preserve"> and Healy JJ.A.)</w:t>
            </w:r>
          </w:p>
          <w:p w:rsidR="0071029D" w:rsidRPr="00047B76" w:rsidRDefault="009A56E8" w:rsidP="0023484E">
            <w:pPr>
              <w:jc w:val="both"/>
              <w:rPr>
                <w:sz w:val="20"/>
              </w:rPr>
            </w:pPr>
            <w:hyperlink r:id="rId42" w:history="1">
              <w:r w:rsidR="0071029D" w:rsidRPr="00047B76">
                <w:rPr>
                  <w:rStyle w:val="Hyperlink"/>
                  <w:sz w:val="20"/>
                </w:rPr>
                <w:t>2019 QCCA 751</w:t>
              </w:r>
            </w:hyperlink>
          </w:p>
          <w:p w:rsidR="0071029D" w:rsidRPr="00047B76" w:rsidRDefault="0071029D" w:rsidP="0023484E">
            <w:pPr>
              <w:jc w:val="both"/>
              <w:rPr>
                <w:sz w:val="20"/>
              </w:rPr>
            </w:pPr>
          </w:p>
        </w:tc>
        <w:tc>
          <w:tcPr>
            <w:tcW w:w="243" w:type="pct"/>
          </w:tcPr>
          <w:p w:rsidR="0071029D" w:rsidRPr="00047B76" w:rsidRDefault="0071029D" w:rsidP="0023484E">
            <w:pPr>
              <w:jc w:val="both"/>
              <w:rPr>
                <w:sz w:val="20"/>
              </w:rPr>
            </w:pPr>
          </w:p>
        </w:tc>
        <w:tc>
          <w:tcPr>
            <w:tcW w:w="2330" w:type="pct"/>
          </w:tcPr>
          <w:p w:rsidR="0071029D" w:rsidRPr="00047B76" w:rsidRDefault="0071029D" w:rsidP="0023484E">
            <w:pPr>
              <w:jc w:val="both"/>
              <w:rPr>
                <w:sz w:val="20"/>
              </w:rPr>
            </w:pPr>
            <w:r w:rsidRPr="00047B76">
              <w:rPr>
                <w:sz w:val="20"/>
              </w:rPr>
              <w:t>Appeal allowed</w:t>
            </w:r>
          </w:p>
          <w:p w:rsidR="0071029D" w:rsidRPr="00047B76" w:rsidRDefault="0071029D" w:rsidP="0023484E">
            <w:pPr>
              <w:jc w:val="both"/>
              <w:rPr>
                <w:sz w:val="20"/>
              </w:rPr>
            </w:pPr>
          </w:p>
        </w:tc>
      </w:tr>
      <w:tr w:rsidR="0071029D" w:rsidRPr="00047B76" w:rsidTr="0023484E">
        <w:tc>
          <w:tcPr>
            <w:tcW w:w="2427" w:type="pct"/>
            <w:gridSpan w:val="2"/>
          </w:tcPr>
          <w:p w:rsidR="0071029D" w:rsidRPr="00047B76" w:rsidRDefault="0071029D" w:rsidP="0023484E">
            <w:pPr>
              <w:jc w:val="both"/>
              <w:rPr>
                <w:sz w:val="20"/>
              </w:rPr>
            </w:pPr>
            <w:r w:rsidRPr="00047B76">
              <w:rPr>
                <w:sz w:val="20"/>
              </w:rPr>
              <w:t>June 27, 2019</w:t>
            </w:r>
          </w:p>
          <w:p w:rsidR="0071029D" w:rsidRPr="00047B76" w:rsidRDefault="0071029D" w:rsidP="0023484E">
            <w:pPr>
              <w:jc w:val="both"/>
              <w:rPr>
                <w:sz w:val="20"/>
              </w:rPr>
            </w:pPr>
            <w:r w:rsidRPr="00047B76">
              <w:rPr>
                <w:sz w:val="20"/>
              </w:rPr>
              <w:t>Supreme Court of Canada</w:t>
            </w:r>
          </w:p>
        </w:tc>
        <w:tc>
          <w:tcPr>
            <w:tcW w:w="243" w:type="pct"/>
          </w:tcPr>
          <w:p w:rsidR="0071029D" w:rsidRPr="00047B76" w:rsidRDefault="0071029D" w:rsidP="0023484E">
            <w:pPr>
              <w:jc w:val="both"/>
              <w:rPr>
                <w:sz w:val="20"/>
              </w:rPr>
            </w:pPr>
          </w:p>
        </w:tc>
        <w:tc>
          <w:tcPr>
            <w:tcW w:w="2330" w:type="pct"/>
          </w:tcPr>
          <w:p w:rsidR="0071029D" w:rsidRPr="00047B76" w:rsidRDefault="0071029D" w:rsidP="0023484E">
            <w:pPr>
              <w:jc w:val="both"/>
              <w:rPr>
                <w:sz w:val="20"/>
              </w:rPr>
            </w:pPr>
            <w:r w:rsidRPr="00047B76">
              <w:rPr>
                <w:sz w:val="20"/>
              </w:rPr>
              <w:t>Application for leave to appeal filed</w:t>
            </w:r>
          </w:p>
          <w:p w:rsidR="0071029D" w:rsidRPr="00047B76" w:rsidRDefault="0071029D" w:rsidP="0023484E">
            <w:pPr>
              <w:jc w:val="both"/>
              <w:rPr>
                <w:sz w:val="20"/>
              </w:rPr>
            </w:pPr>
          </w:p>
        </w:tc>
      </w:tr>
    </w:tbl>
    <w:p w:rsidR="0071029D" w:rsidRPr="00047B76" w:rsidRDefault="0071029D" w:rsidP="0071029D">
      <w:pPr>
        <w:jc w:val="both"/>
        <w:rPr>
          <w:sz w:val="20"/>
        </w:rPr>
      </w:pPr>
    </w:p>
    <w:p w:rsidR="0071029D" w:rsidRPr="00047B76" w:rsidRDefault="009A56E8" w:rsidP="0071029D">
      <w:pPr>
        <w:jc w:val="both"/>
        <w:rPr>
          <w:sz w:val="20"/>
        </w:rPr>
      </w:pPr>
      <w:r>
        <w:rPr>
          <w:sz w:val="20"/>
        </w:rPr>
        <w:pict>
          <v:rect id="_x0000_i1048" style="width:2in;height:1pt" o:hrpct="0" o:hralign="center" o:hrstd="t" o:hrnoshade="t" o:hr="t" fillcolor="black [3213]" stroked="f"/>
        </w:pict>
      </w:r>
    </w:p>
    <w:p w:rsidR="0071029D" w:rsidRPr="00047B76" w:rsidRDefault="0071029D" w:rsidP="0071029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1029D" w:rsidRPr="00047B76" w:rsidTr="0023484E">
        <w:tc>
          <w:tcPr>
            <w:tcW w:w="543" w:type="pct"/>
          </w:tcPr>
          <w:p w:rsidR="0071029D" w:rsidRPr="00047B76" w:rsidRDefault="0071029D" w:rsidP="0023484E">
            <w:pPr>
              <w:jc w:val="both"/>
              <w:rPr>
                <w:sz w:val="20"/>
              </w:rPr>
            </w:pPr>
            <w:r w:rsidRPr="00047B76">
              <w:rPr>
                <w:rStyle w:val="SCCFileNumberChar"/>
                <w:sz w:val="20"/>
                <w:szCs w:val="20"/>
              </w:rPr>
              <w:t>38716</w:t>
            </w:r>
          </w:p>
        </w:tc>
        <w:tc>
          <w:tcPr>
            <w:tcW w:w="4457" w:type="pct"/>
            <w:gridSpan w:val="3"/>
          </w:tcPr>
          <w:p w:rsidR="0071029D" w:rsidRPr="00047B76" w:rsidRDefault="0071029D" w:rsidP="0023484E">
            <w:pPr>
              <w:pStyle w:val="SCCLsocParty"/>
              <w:jc w:val="both"/>
              <w:rPr>
                <w:b/>
                <w:sz w:val="20"/>
                <w:szCs w:val="20"/>
              </w:rPr>
            </w:pPr>
            <w:r w:rsidRPr="00047B76">
              <w:rPr>
                <w:b/>
                <w:sz w:val="20"/>
                <w:szCs w:val="20"/>
              </w:rPr>
              <w:t>Université du Québec à Montréal c. Ville de Montréal</w:t>
            </w:r>
          </w:p>
          <w:p w:rsidR="0071029D" w:rsidRPr="00047B76" w:rsidRDefault="0071029D" w:rsidP="0023484E">
            <w:pPr>
              <w:jc w:val="both"/>
              <w:rPr>
                <w:sz w:val="20"/>
              </w:rPr>
            </w:pPr>
            <w:r w:rsidRPr="00047B76">
              <w:rPr>
                <w:sz w:val="20"/>
              </w:rPr>
              <w:t>(Qc) (Civile) (Autorisation)</w:t>
            </w:r>
          </w:p>
        </w:tc>
      </w:tr>
      <w:tr w:rsidR="00E80644" w:rsidRPr="00957F6E" w:rsidTr="0023484E">
        <w:tc>
          <w:tcPr>
            <w:tcW w:w="5000" w:type="pct"/>
            <w:gridSpan w:val="4"/>
          </w:tcPr>
          <w:p w:rsidR="00546DBF" w:rsidRPr="00047B76" w:rsidRDefault="00546DBF" w:rsidP="00546DBF">
            <w:pPr>
              <w:jc w:val="both"/>
              <w:rPr>
                <w:sz w:val="20"/>
                <w:szCs w:val="20"/>
                <w:lang w:val="fr-CA"/>
              </w:rPr>
            </w:pPr>
            <w:r w:rsidRPr="00047B76">
              <w:rPr>
                <w:sz w:val="20"/>
                <w:szCs w:val="20"/>
                <w:lang w:val="fr-CA"/>
              </w:rPr>
              <w:t>La requête pour permission d’intervenir de l’Université Concordia est rejetée. La demande d’autorisation d’appel de l’arrêt de la Cour d’appel du Québec (Montréal), numéro 500-09-026650-176, 2019 QCCA 751, daté du 29 avril 2019, est rejetée avec dépens.</w:t>
            </w:r>
          </w:p>
          <w:p w:rsidR="00E80644" w:rsidRPr="00047B76" w:rsidRDefault="00E80644" w:rsidP="0023484E">
            <w:pPr>
              <w:jc w:val="both"/>
              <w:rPr>
                <w:sz w:val="20"/>
                <w:lang w:val="fr-CA"/>
              </w:rPr>
            </w:pPr>
          </w:p>
        </w:tc>
      </w:tr>
      <w:tr w:rsidR="0071029D" w:rsidRPr="00957F6E" w:rsidTr="0023484E">
        <w:tc>
          <w:tcPr>
            <w:tcW w:w="5000" w:type="pct"/>
            <w:gridSpan w:val="4"/>
          </w:tcPr>
          <w:p w:rsidR="0071029D" w:rsidRPr="00047B76" w:rsidRDefault="0071029D" w:rsidP="0023484E">
            <w:pPr>
              <w:jc w:val="both"/>
              <w:rPr>
                <w:sz w:val="20"/>
                <w:lang w:val="fr-CA"/>
              </w:rPr>
            </w:pPr>
            <w:r w:rsidRPr="00047B76">
              <w:rPr>
                <w:sz w:val="20"/>
                <w:lang w:val="fr-CA"/>
              </w:rPr>
              <w:t>Droit municipal — Fiscalité — Exemption fiscale — Immeuble appartenant à un établissement universitaire bénéficiant d’une exemption fiscale à l’égard des taxes municipales — Tierce partie locataire de l’immeuble en défaut de paiement des taxes foncières — Réclamation du paiement des taxes foncières par la municipalité au propriétaire de l’immeuble — Est</w:t>
            </w:r>
            <w:r w:rsidRPr="00047B76">
              <w:rPr>
                <w:sz w:val="20"/>
                <w:lang w:val="fr-CA"/>
              </w:rPr>
              <w:noBreakHyphen/>
              <w:t xml:space="preserve">ce que, selon les principes d’interprétation des lois fiscales, le pouvoir général octroyé aux municipalités en vertu de l’art. 498 de la </w:t>
            </w:r>
            <w:r w:rsidRPr="00047B76">
              <w:rPr>
                <w:i/>
                <w:sz w:val="20"/>
                <w:lang w:val="fr-CA"/>
              </w:rPr>
              <w:t>Loi sur les cités et villes</w:t>
            </w:r>
            <w:r w:rsidRPr="00047B76">
              <w:rPr>
                <w:sz w:val="20"/>
                <w:lang w:val="fr-CA"/>
              </w:rPr>
              <w:t xml:space="preserve"> doit céder le pas au régime d’exemption établi par </w:t>
            </w:r>
            <w:proofErr w:type="gramStart"/>
            <w:r w:rsidRPr="00047B76">
              <w:rPr>
                <w:sz w:val="20"/>
                <w:lang w:val="fr-CA"/>
              </w:rPr>
              <w:t>les art</w:t>
            </w:r>
            <w:proofErr w:type="gramEnd"/>
            <w:r w:rsidRPr="00047B76">
              <w:rPr>
                <w:sz w:val="20"/>
                <w:lang w:val="fr-CA"/>
              </w:rPr>
              <w:t xml:space="preserve">. 204 et suivants de la </w:t>
            </w:r>
            <w:r w:rsidRPr="00047B76">
              <w:rPr>
                <w:i/>
                <w:sz w:val="20"/>
                <w:lang w:val="fr-CA"/>
              </w:rPr>
              <w:t>Loi sur la fiscalité municipale</w:t>
            </w:r>
            <w:r w:rsidRPr="00047B76">
              <w:rPr>
                <w:sz w:val="20"/>
                <w:lang w:val="fr-CA"/>
              </w:rPr>
              <w:t xml:space="preserve"> — Art. 03, 204 et 208, </w:t>
            </w:r>
            <w:r w:rsidRPr="00047B76">
              <w:rPr>
                <w:i/>
                <w:sz w:val="20"/>
                <w:lang w:val="fr-CA"/>
              </w:rPr>
              <w:t>Loi sur la fiscalité municipale</w:t>
            </w:r>
            <w:r w:rsidRPr="00047B76">
              <w:rPr>
                <w:sz w:val="20"/>
                <w:lang w:val="fr-CA"/>
              </w:rPr>
              <w:t>, RLRQ c. F</w:t>
            </w:r>
            <w:r w:rsidRPr="00047B76">
              <w:rPr>
                <w:sz w:val="20"/>
                <w:lang w:val="fr-CA"/>
              </w:rPr>
              <w:noBreakHyphen/>
              <w:t xml:space="preserve">2.1 — Art. 498, </w:t>
            </w:r>
            <w:r w:rsidRPr="00047B76">
              <w:rPr>
                <w:i/>
                <w:sz w:val="20"/>
                <w:lang w:val="fr-CA"/>
              </w:rPr>
              <w:t>Loi sur les cités et villes</w:t>
            </w:r>
            <w:r w:rsidRPr="00047B76">
              <w:rPr>
                <w:sz w:val="20"/>
                <w:lang w:val="fr-CA"/>
              </w:rPr>
              <w:t>, RLRQ c. C</w:t>
            </w:r>
            <w:r w:rsidRPr="00047B76">
              <w:rPr>
                <w:sz w:val="20"/>
                <w:lang w:val="fr-CA"/>
              </w:rPr>
              <w:noBreakHyphen/>
              <w:t>19.</w:t>
            </w:r>
          </w:p>
        </w:tc>
      </w:tr>
      <w:tr w:rsidR="0071029D" w:rsidRPr="00957F6E" w:rsidTr="0023484E">
        <w:tc>
          <w:tcPr>
            <w:tcW w:w="5000" w:type="pct"/>
            <w:gridSpan w:val="4"/>
          </w:tcPr>
          <w:p w:rsidR="0071029D" w:rsidRPr="00047B76" w:rsidRDefault="0071029D" w:rsidP="0023484E">
            <w:pPr>
              <w:jc w:val="both"/>
              <w:rPr>
                <w:sz w:val="20"/>
                <w:lang w:val="fr-CA"/>
              </w:rPr>
            </w:pPr>
          </w:p>
        </w:tc>
      </w:tr>
      <w:tr w:rsidR="0071029D" w:rsidRPr="00047B76" w:rsidTr="0023484E">
        <w:tc>
          <w:tcPr>
            <w:tcW w:w="5000" w:type="pct"/>
            <w:gridSpan w:val="4"/>
          </w:tcPr>
          <w:p w:rsidR="0071029D" w:rsidRPr="00047B76" w:rsidRDefault="0071029D" w:rsidP="0023484E">
            <w:pPr>
              <w:jc w:val="both"/>
              <w:rPr>
                <w:sz w:val="20"/>
              </w:rPr>
            </w:pPr>
            <w:r w:rsidRPr="00047B76">
              <w:rPr>
                <w:sz w:val="20"/>
                <w:lang w:val="fr-CA"/>
              </w:rPr>
              <w:t>La demanderesse, l’Université du Québec à Montréal, est propriétaire d’un immeuble situé au 141, avenue du Président</w:t>
            </w:r>
            <w:r w:rsidRPr="00047B76">
              <w:rPr>
                <w:sz w:val="20"/>
                <w:lang w:val="fr-CA"/>
              </w:rPr>
              <w:noBreakHyphen/>
              <w:t xml:space="preserve">Kennedy à Montréal. De 2009 à 2011, l’entreprise Technologies pétrolières Heavy2light occupait un espace compris à l’immeuble de la demanderesse pour les années fiscales 2009 à 2011. Heavy2light, une entreprise dont les activités n’étaient pas liées au domaine de l’éducation, a quitté les lieux sans préavis en laissant impayées les taxes foncières dont le montant s’élevait à 30 720,72$ pour les 3 années fiscales. Heavy2Light a depuis ces événements été radié du registre des entreprises. L’intimée, la Ville de Montréal a déposé une requête introductive d’instance en mars 2014 afin de réclamer à la demanderesse et à Heavy2light le paiement des taxes foncières. La Cour municipale de Montréal a rejeté la requête introductive d’instance déposée par la Ville de Montréal à l’encontre de la demanderesse Université du Québec à Montréal. Elle a accueilli la requête introductive d’instance de la déposée par la Ville à l’encontre de la compagnie Heavy2light qui a été condamnée au paiement des arriérés des taxes foncières réclamées. </w:t>
            </w:r>
            <w:r w:rsidRPr="00047B76">
              <w:rPr>
                <w:sz w:val="20"/>
              </w:rPr>
              <w:t xml:space="preserve">La Cour d’appel </w:t>
            </w:r>
            <w:proofErr w:type="gramStart"/>
            <w:r w:rsidRPr="00047B76">
              <w:rPr>
                <w:sz w:val="20"/>
              </w:rPr>
              <w:t>a</w:t>
            </w:r>
            <w:proofErr w:type="gramEnd"/>
            <w:r w:rsidRPr="00047B76">
              <w:rPr>
                <w:sz w:val="20"/>
              </w:rPr>
              <w:t xml:space="preserve"> </w:t>
            </w:r>
            <w:proofErr w:type="spellStart"/>
            <w:r w:rsidRPr="00047B76">
              <w:rPr>
                <w:sz w:val="20"/>
              </w:rPr>
              <w:t>accueilli</w:t>
            </w:r>
            <w:proofErr w:type="spellEnd"/>
            <w:r w:rsidRPr="00047B76">
              <w:rPr>
                <w:sz w:val="20"/>
              </w:rPr>
              <w:t xml:space="preserve"> </w:t>
            </w:r>
            <w:proofErr w:type="spellStart"/>
            <w:r w:rsidRPr="00047B76">
              <w:rPr>
                <w:sz w:val="20"/>
              </w:rPr>
              <w:t>l’appel</w:t>
            </w:r>
            <w:proofErr w:type="spellEnd"/>
            <w:r w:rsidRPr="00047B76">
              <w:rPr>
                <w:sz w:val="20"/>
              </w:rPr>
              <w:t>.</w:t>
            </w:r>
          </w:p>
          <w:p w:rsidR="0071029D" w:rsidRPr="00047B76" w:rsidRDefault="0071029D" w:rsidP="0023484E">
            <w:pPr>
              <w:jc w:val="both"/>
              <w:rPr>
                <w:sz w:val="20"/>
              </w:rPr>
            </w:pPr>
          </w:p>
        </w:tc>
      </w:tr>
      <w:tr w:rsidR="0071029D" w:rsidRPr="00957F6E" w:rsidTr="0023484E">
        <w:tc>
          <w:tcPr>
            <w:tcW w:w="2427" w:type="pct"/>
            <w:gridSpan w:val="2"/>
          </w:tcPr>
          <w:p w:rsidR="0071029D" w:rsidRPr="00047B76" w:rsidRDefault="0071029D" w:rsidP="0023484E">
            <w:pPr>
              <w:jc w:val="both"/>
              <w:rPr>
                <w:sz w:val="20"/>
                <w:lang w:val="fr-CA"/>
              </w:rPr>
            </w:pPr>
            <w:r w:rsidRPr="00047B76">
              <w:rPr>
                <w:sz w:val="20"/>
                <w:lang w:val="fr-CA"/>
              </w:rPr>
              <w:t>Le 26 janvier 2017</w:t>
            </w:r>
          </w:p>
          <w:p w:rsidR="0071029D" w:rsidRPr="00047B76" w:rsidRDefault="0071029D" w:rsidP="0023484E">
            <w:pPr>
              <w:jc w:val="both"/>
              <w:rPr>
                <w:sz w:val="20"/>
                <w:lang w:val="fr-CA"/>
              </w:rPr>
            </w:pPr>
            <w:r w:rsidRPr="00047B76">
              <w:rPr>
                <w:sz w:val="20"/>
                <w:lang w:val="fr-CA"/>
              </w:rPr>
              <w:t>Cour municipale de Montréal</w:t>
            </w:r>
          </w:p>
          <w:p w:rsidR="0071029D" w:rsidRPr="00047B76" w:rsidRDefault="0071029D" w:rsidP="0023484E">
            <w:pPr>
              <w:jc w:val="both"/>
              <w:rPr>
                <w:sz w:val="20"/>
              </w:rPr>
            </w:pPr>
            <w:r w:rsidRPr="00047B76">
              <w:rPr>
                <w:sz w:val="20"/>
              </w:rPr>
              <w:t xml:space="preserve">(La juge </w:t>
            </w:r>
            <w:proofErr w:type="spellStart"/>
            <w:r w:rsidRPr="00047B76">
              <w:rPr>
                <w:sz w:val="20"/>
              </w:rPr>
              <w:t>Léontieff</w:t>
            </w:r>
            <w:proofErr w:type="spellEnd"/>
            <w:r w:rsidRPr="00047B76">
              <w:rPr>
                <w:sz w:val="20"/>
              </w:rPr>
              <w:t>)</w:t>
            </w:r>
          </w:p>
          <w:p w:rsidR="0071029D" w:rsidRPr="00047B76" w:rsidRDefault="009A56E8" w:rsidP="0023484E">
            <w:pPr>
              <w:jc w:val="both"/>
              <w:rPr>
                <w:sz w:val="20"/>
              </w:rPr>
            </w:pPr>
            <w:hyperlink r:id="rId43" w:history="1">
              <w:r w:rsidR="0071029D" w:rsidRPr="00047B76">
                <w:rPr>
                  <w:rStyle w:val="Hyperlink"/>
                  <w:sz w:val="20"/>
                </w:rPr>
                <w:t>2017 QCCM 9</w:t>
              </w:r>
            </w:hyperlink>
            <w:r w:rsidR="0071029D" w:rsidRPr="00047B76">
              <w:rPr>
                <w:sz w:val="20"/>
              </w:rPr>
              <w:t xml:space="preserve"> </w:t>
            </w:r>
          </w:p>
          <w:p w:rsidR="0071029D" w:rsidRPr="00047B76" w:rsidRDefault="0071029D" w:rsidP="0023484E">
            <w:pPr>
              <w:jc w:val="both"/>
              <w:rPr>
                <w:sz w:val="20"/>
              </w:rPr>
            </w:pPr>
          </w:p>
        </w:tc>
        <w:tc>
          <w:tcPr>
            <w:tcW w:w="243" w:type="pct"/>
          </w:tcPr>
          <w:p w:rsidR="0071029D" w:rsidRPr="00047B76" w:rsidRDefault="0071029D" w:rsidP="0023484E">
            <w:pPr>
              <w:jc w:val="both"/>
              <w:rPr>
                <w:sz w:val="20"/>
              </w:rPr>
            </w:pPr>
          </w:p>
        </w:tc>
        <w:tc>
          <w:tcPr>
            <w:tcW w:w="2330" w:type="pct"/>
          </w:tcPr>
          <w:p w:rsidR="0071029D" w:rsidRPr="00047B76" w:rsidRDefault="0071029D" w:rsidP="0023484E">
            <w:pPr>
              <w:jc w:val="both"/>
              <w:rPr>
                <w:sz w:val="20"/>
                <w:lang w:val="fr-CA"/>
              </w:rPr>
            </w:pPr>
            <w:r w:rsidRPr="00047B76">
              <w:rPr>
                <w:sz w:val="20"/>
                <w:lang w:val="fr-CA"/>
              </w:rPr>
              <w:t>Requête introductive d’instance à l’encontre de l’Université du Québec à Montréal rejetée.</w:t>
            </w:r>
          </w:p>
          <w:p w:rsidR="0071029D" w:rsidRPr="00047B76" w:rsidRDefault="0071029D" w:rsidP="0023484E">
            <w:pPr>
              <w:jc w:val="both"/>
              <w:rPr>
                <w:sz w:val="20"/>
                <w:lang w:val="fr-CA"/>
              </w:rPr>
            </w:pPr>
          </w:p>
        </w:tc>
      </w:tr>
      <w:tr w:rsidR="0071029D" w:rsidRPr="00047B76" w:rsidTr="0023484E">
        <w:tc>
          <w:tcPr>
            <w:tcW w:w="2427" w:type="pct"/>
            <w:gridSpan w:val="2"/>
          </w:tcPr>
          <w:p w:rsidR="0071029D" w:rsidRPr="00047B76" w:rsidRDefault="0071029D" w:rsidP="0023484E">
            <w:pPr>
              <w:jc w:val="both"/>
              <w:rPr>
                <w:sz w:val="20"/>
                <w:lang w:val="fr-CA"/>
              </w:rPr>
            </w:pPr>
            <w:r w:rsidRPr="00047B76">
              <w:rPr>
                <w:sz w:val="20"/>
                <w:lang w:val="fr-CA"/>
              </w:rPr>
              <w:t>Le 29 avril 2019</w:t>
            </w:r>
          </w:p>
          <w:p w:rsidR="0071029D" w:rsidRPr="00047B76" w:rsidRDefault="0071029D" w:rsidP="0023484E">
            <w:pPr>
              <w:jc w:val="both"/>
              <w:rPr>
                <w:sz w:val="20"/>
                <w:lang w:val="fr-CA"/>
              </w:rPr>
            </w:pPr>
            <w:r w:rsidRPr="00047B76">
              <w:rPr>
                <w:sz w:val="20"/>
                <w:lang w:val="fr-CA"/>
              </w:rPr>
              <w:t>Cour d’appel du Québec (Montréal)</w:t>
            </w:r>
          </w:p>
          <w:p w:rsidR="0071029D" w:rsidRPr="00047B76" w:rsidRDefault="0071029D" w:rsidP="0023484E">
            <w:pPr>
              <w:jc w:val="both"/>
              <w:rPr>
                <w:sz w:val="20"/>
                <w:lang w:val="fr-CA"/>
              </w:rPr>
            </w:pPr>
            <w:r w:rsidRPr="00047B76">
              <w:rPr>
                <w:sz w:val="20"/>
                <w:lang w:val="fr-CA"/>
              </w:rPr>
              <w:t xml:space="preserve">(Les juges Chamberland, Marcotte et </w:t>
            </w:r>
            <w:proofErr w:type="spellStart"/>
            <w:r w:rsidRPr="00047B76">
              <w:rPr>
                <w:sz w:val="20"/>
                <w:lang w:val="fr-CA"/>
              </w:rPr>
              <w:t>Healy</w:t>
            </w:r>
            <w:proofErr w:type="spellEnd"/>
            <w:r w:rsidRPr="00047B76">
              <w:rPr>
                <w:sz w:val="20"/>
                <w:lang w:val="fr-CA"/>
              </w:rPr>
              <w:t>)</w:t>
            </w:r>
          </w:p>
          <w:p w:rsidR="0071029D" w:rsidRPr="00047B76" w:rsidRDefault="009A56E8" w:rsidP="0023484E">
            <w:pPr>
              <w:jc w:val="both"/>
              <w:rPr>
                <w:sz w:val="20"/>
              </w:rPr>
            </w:pPr>
            <w:hyperlink r:id="rId44" w:history="1">
              <w:r w:rsidR="0071029D" w:rsidRPr="00047B76">
                <w:rPr>
                  <w:rStyle w:val="Hyperlink"/>
                  <w:sz w:val="20"/>
                </w:rPr>
                <w:t>2019 QCCA 751</w:t>
              </w:r>
            </w:hyperlink>
          </w:p>
          <w:p w:rsidR="0071029D" w:rsidRPr="00047B76" w:rsidRDefault="0071029D" w:rsidP="0023484E">
            <w:pPr>
              <w:jc w:val="both"/>
              <w:rPr>
                <w:sz w:val="20"/>
              </w:rPr>
            </w:pPr>
          </w:p>
        </w:tc>
        <w:tc>
          <w:tcPr>
            <w:tcW w:w="243" w:type="pct"/>
          </w:tcPr>
          <w:p w:rsidR="0071029D" w:rsidRPr="00047B76" w:rsidRDefault="0071029D" w:rsidP="0023484E">
            <w:pPr>
              <w:jc w:val="both"/>
              <w:rPr>
                <w:sz w:val="20"/>
              </w:rPr>
            </w:pPr>
          </w:p>
        </w:tc>
        <w:tc>
          <w:tcPr>
            <w:tcW w:w="2330" w:type="pct"/>
          </w:tcPr>
          <w:p w:rsidR="0071029D" w:rsidRPr="00047B76" w:rsidRDefault="0071029D" w:rsidP="0023484E">
            <w:pPr>
              <w:jc w:val="both"/>
              <w:rPr>
                <w:sz w:val="20"/>
              </w:rPr>
            </w:pPr>
            <w:r w:rsidRPr="00047B76">
              <w:rPr>
                <w:sz w:val="20"/>
              </w:rPr>
              <w:t xml:space="preserve">Appel </w:t>
            </w:r>
            <w:proofErr w:type="spellStart"/>
            <w:r w:rsidRPr="00047B76">
              <w:rPr>
                <w:sz w:val="20"/>
              </w:rPr>
              <w:t>accueilli</w:t>
            </w:r>
            <w:proofErr w:type="spellEnd"/>
            <w:r w:rsidRPr="00047B76">
              <w:rPr>
                <w:sz w:val="20"/>
              </w:rPr>
              <w:t xml:space="preserve">. </w:t>
            </w:r>
          </w:p>
          <w:p w:rsidR="0071029D" w:rsidRPr="00047B76" w:rsidRDefault="0071029D" w:rsidP="0023484E">
            <w:pPr>
              <w:jc w:val="both"/>
              <w:rPr>
                <w:sz w:val="20"/>
              </w:rPr>
            </w:pPr>
          </w:p>
        </w:tc>
      </w:tr>
      <w:tr w:rsidR="0071029D" w:rsidRPr="00047B76" w:rsidTr="0023484E">
        <w:tc>
          <w:tcPr>
            <w:tcW w:w="2427" w:type="pct"/>
            <w:gridSpan w:val="2"/>
          </w:tcPr>
          <w:p w:rsidR="0071029D" w:rsidRPr="00047B76" w:rsidRDefault="0071029D" w:rsidP="0023484E">
            <w:pPr>
              <w:jc w:val="both"/>
              <w:rPr>
                <w:sz w:val="20"/>
                <w:lang w:val="fr-CA"/>
              </w:rPr>
            </w:pPr>
            <w:r w:rsidRPr="00047B76">
              <w:rPr>
                <w:sz w:val="20"/>
                <w:lang w:val="fr-CA"/>
              </w:rPr>
              <w:t>Le 27 juin 2019</w:t>
            </w:r>
          </w:p>
          <w:p w:rsidR="0071029D" w:rsidRPr="00047B76" w:rsidRDefault="0071029D" w:rsidP="0023484E">
            <w:pPr>
              <w:jc w:val="both"/>
              <w:rPr>
                <w:sz w:val="20"/>
                <w:lang w:val="fr-CA"/>
              </w:rPr>
            </w:pPr>
            <w:r w:rsidRPr="00047B76">
              <w:rPr>
                <w:sz w:val="20"/>
                <w:lang w:val="fr-CA"/>
              </w:rPr>
              <w:t>Cour suprême du Canada</w:t>
            </w:r>
          </w:p>
        </w:tc>
        <w:tc>
          <w:tcPr>
            <w:tcW w:w="243" w:type="pct"/>
          </w:tcPr>
          <w:p w:rsidR="0071029D" w:rsidRPr="00047B76" w:rsidRDefault="0071029D" w:rsidP="0023484E">
            <w:pPr>
              <w:jc w:val="both"/>
              <w:rPr>
                <w:sz w:val="20"/>
                <w:lang w:val="fr-CA"/>
              </w:rPr>
            </w:pPr>
          </w:p>
        </w:tc>
        <w:tc>
          <w:tcPr>
            <w:tcW w:w="2330" w:type="pct"/>
          </w:tcPr>
          <w:p w:rsidR="0071029D" w:rsidRPr="00047B76" w:rsidRDefault="0071029D" w:rsidP="0023484E">
            <w:pPr>
              <w:jc w:val="both"/>
              <w:rPr>
                <w:sz w:val="20"/>
              </w:rPr>
            </w:pPr>
            <w:r w:rsidRPr="00047B76">
              <w:rPr>
                <w:sz w:val="20"/>
              </w:rPr>
              <w:t xml:space="preserve">Demande d'autorisation d'appel </w:t>
            </w:r>
            <w:proofErr w:type="spellStart"/>
            <w:r w:rsidRPr="00047B76">
              <w:rPr>
                <w:sz w:val="20"/>
              </w:rPr>
              <w:t>déposée</w:t>
            </w:r>
            <w:proofErr w:type="spellEnd"/>
          </w:p>
          <w:p w:rsidR="0071029D" w:rsidRPr="00047B76" w:rsidRDefault="0071029D" w:rsidP="0023484E">
            <w:pPr>
              <w:jc w:val="both"/>
              <w:rPr>
                <w:sz w:val="20"/>
              </w:rPr>
            </w:pPr>
          </w:p>
        </w:tc>
      </w:tr>
    </w:tbl>
    <w:p w:rsidR="0071029D" w:rsidRPr="00047B76" w:rsidRDefault="0071029D" w:rsidP="0071029D">
      <w:pPr>
        <w:jc w:val="both"/>
        <w:rPr>
          <w:sz w:val="20"/>
        </w:rPr>
      </w:pPr>
    </w:p>
    <w:p w:rsidR="0071029D" w:rsidRPr="00047B76" w:rsidRDefault="009A56E8" w:rsidP="0071029D">
      <w:pPr>
        <w:jc w:val="both"/>
        <w:rPr>
          <w:sz w:val="20"/>
        </w:rPr>
      </w:pPr>
      <w:r>
        <w:rPr>
          <w:sz w:val="20"/>
        </w:rPr>
        <w:pict>
          <v:rect id="_x0000_i1049" style="width:2in;height:1pt" o:hrpct="0" o:hralign="center" o:hrstd="t" o:hrnoshade="t" o:hr="t" fillcolor="black [3213]" stroked="f"/>
        </w:pict>
      </w:r>
    </w:p>
    <w:p w:rsidR="0071029D" w:rsidRPr="00047B76" w:rsidRDefault="0071029D" w:rsidP="0071029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1029D" w:rsidRPr="00047B76" w:rsidTr="0023484E">
        <w:tc>
          <w:tcPr>
            <w:tcW w:w="543" w:type="pct"/>
          </w:tcPr>
          <w:p w:rsidR="0071029D" w:rsidRPr="00047B76" w:rsidRDefault="0071029D" w:rsidP="0023484E">
            <w:pPr>
              <w:jc w:val="both"/>
              <w:rPr>
                <w:sz w:val="20"/>
              </w:rPr>
            </w:pPr>
            <w:r w:rsidRPr="00047B76">
              <w:rPr>
                <w:rStyle w:val="SCCFileNumberChar"/>
                <w:sz w:val="20"/>
                <w:szCs w:val="20"/>
              </w:rPr>
              <w:t>38775</w:t>
            </w:r>
          </w:p>
        </w:tc>
        <w:tc>
          <w:tcPr>
            <w:tcW w:w="4457" w:type="pct"/>
            <w:gridSpan w:val="3"/>
          </w:tcPr>
          <w:p w:rsidR="0071029D" w:rsidRPr="00047B76" w:rsidRDefault="0071029D" w:rsidP="0023484E">
            <w:pPr>
              <w:pStyle w:val="SCCLsocParty"/>
              <w:jc w:val="both"/>
              <w:rPr>
                <w:b/>
                <w:sz w:val="20"/>
                <w:szCs w:val="20"/>
                <w:lang w:val="en-US"/>
              </w:rPr>
            </w:pPr>
            <w:r w:rsidRPr="00047B76">
              <w:rPr>
                <w:b/>
                <w:sz w:val="20"/>
                <w:szCs w:val="20"/>
                <w:lang w:val="en-US"/>
              </w:rPr>
              <w:t>J.T. v. Her Majesty the Queen</w:t>
            </w:r>
          </w:p>
          <w:p w:rsidR="0071029D" w:rsidRPr="00047B76" w:rsidRDefault="0071029D" w:rsidP="0023484E">
            <w:pPr>
              <w:jc w:val="both"/>
              <w:rPr>
                <w:sz w:val="20"/>
              </w:rPr>
            </w:pPr>
            <w:r w:rsidRPr="00047B76">
              <w:rPr>
                <w:sz w:val="20"/>
              </w:rPr>
              <w:t>(B.C.) (Criminal) (By Leave)</w:t>
            </w:r>
          </w:p>
        </w:tc>
      </w:tr>
      <w:tr w:rsidR="00E80644" w:rsidRPr="00047B76" w:rsidTr="0023484E">
        <w:tc>
          <w:tcPr>
            <w:tcW w:w="5000" w:type="pct"/>
            <w:gridSpan w:val="4"/>
          </w:tcPr>
          <w:p w:rsidR="00183154" w:rsidRPr="00047B76" w:rsidRDefault="00183154" w:rsidP="00183154">
            <w:pPr>
              <w:jc w:val="both"/>
              <w:rPr>
                <w:sz w:val="20"/>
                <w:szCs w:val="20"/>
              </w:rPr>
            </w:pPr>
            <w:r w:rsidRPr="00047B76">
              <w:rPr>
                <w:sz w:val="20"/>
                <w:szCs w:val="20"/>
              </w:rPr>
              <w:t>The application for leave to appeal from the judgment of the Court of Appeal for British Columbia (Vancouver), Number CA45136, 2019 BCCA 180, dated May 23, 2019, is dismissed.</w:t>
            </w:r>
          </w:p>
          <w:p w:rsidR="00E80644" w:rsidRPr="00047B76" w:rsidRDefault="00E80644" w:rsidP="0023484E">
            <w:pPr>
              <w:pStyle w:val="SCCBanSummary0"/>
              <w:rPr>
                <w:smallCaps w:val="0"/>
                <w:sz w:val="20"/>
                <w:szCs w:val="20"/>
              </w:rPr>
            </w:pPr>
          </w:p>
        </w:tc>
      </w:tr>
      <w:tr w:rsidR="0071029D" w:rsidRPr="00047B76" w:rsidTr="0023484E">
        <w:tc>
          <w:tcPr>
            <w:tcW w:w="5000" w:type="pct"/>
            <w:gridSpan w:val="4"/>
          </w:tcPr>
          <w:p w:rsidR="0071029D" w:rsidRPr="00047B76" w:rsidRDefault="0071029D" w:rsidP="0023484E">
            <w:pPr>
              <w:pStyle w:val="SCCBanSummary0"/>
              <w:rPr>
                <w:sz w:val="20"/>
                <w:szCs w:val="20"/>
              </w:rPr>
            </w:pPr>
            <w:r w:rsidRPr="00047B76">
              <w:rPr>
                <w:sz w:val="20"/>
                <w:szCs w:val="20"/>
              </w:rPr>
              <w:t>(Publication ban in case)</w:t>
            </w:r>
          </w:p>
          <w:p w:rsidR="0071029D" w:rsidRPr="00047B76" w:rsidRDefault="0071029D" w:rsidP="0023484E">
            <w:pPr>
              <w:jc w:val="both"/>
              <w:rPr>
                <w:sz w:val="20"/>
              </w:rPr>
            </w:pPr>
          </w:p>
          <w:p w:rsidR="0071029D" w:rsidRPr="00047B76" w:rsidRDefault="0071029D" w:rsidP="0023484E">
            <w:pPr>
              <w:jc w:val="both"/>
              <w:rPr>
                <w:sz w:val="20"/>
              </w:rPr>
            </w:pPr>
            <w:r w:rsidRPr="00047B76">
              <w:rPr>
                <w:sz w:val="20"/>
              </w:rPr>
              <w:t xml:space="preserve">Criminal law — Evidence — Assessment — Credibility — Destruction of evidence — Remedy — Whether courts have a duty to provide a remedy for the destruction of evidence, despite its being of limited prejudice to the accused — Whether courts have a duty to provide reasons on how such a prejudice was remedied — Whether the trial judge erred in her credibility assessment by applying impermissible reasoning, shifting the burden of proof, failing to address whether the application raised a reasonable doubt and failing to delineate a discernible pathway to the verdict — </w:t>
            </w:r>
            <w:r w:rsidRPr="00047B76">
              <w:rPr>
                <w:i/>
                <w:sz w:val="20"/>
                <w:lang w:val="en"/>
              </w:rPr>
              <w:t>R.</w:t>
            </w:r>
            <w:r w:rsidRPr="00047B76">
              <w:rPr>
                <w:i/>
                <w:iCs/>
                <w:sz w:val="20"/>
                <w:lang w:val="en"/>
              </w:rPr>
              <w:t xml:space="preserve"> v.</w:t>
            </w:r>
            <w:r w:rsidRPr="00047B76">
              <w:rPr>
                <w:i/>
                <w:sz w:val="20"/>
                <w:lang w:val="en"/>
              </w:rPr>
              <w:t xml:space="preserve"> W.(D.)</w:t>
            </w:r>
            <w:r w:rsidRPr="00047B76">
              <w:rPr>
                <w:sz w:val="20"/>
                <w:lang w:val="en"/>
              </w:rPr>
              <w:t xml:space="preserve">, [1991] 1 S.C.R. 742 — </w:t>
            </w:r>
            <w:r w:rsidRPr="00047B76">
              <w:rPr>
                <w:i/>
                <w:sz w:val="20"/>
              </w:rPr>
              <w:t>Canadian Charter of Rights and Freedoms</w:t>
            </w:r>
            <w:r w:rsidRPr="00047B76">
              <w:rPr>
                <w:sz w:val="20"/>
              </w:rPr>
              <w:t>, ss. 7, 24(1).</w:t>
            </w:r>
          </w:p>
        </w:tc>
      </w:tr>
      <w:tr w:rsidR="0071029D" w:rsidRPr="00047B76" w:rsidTr="0023484E">
        <w:tc>
          <w:tcPr>
            <w:tcW w:w="5000" w:type="pct"/>
            <w:gridSpan w:val="4"/>
          </w:tcPr>
          <w:p w:rsidR="0071029D" w:rsidRPr="00047B76" w:rsidRDefault="0071029D" w:rsidP="0023484E">
            <w:pPr>
              <w:jc w:val="both"/>
              <w:rPr>
                <w:sz w:val="20"/>
              </w:rPr>
            </w:pPr>
          </w:p>
        </w:tc>
      </w:tr>
      <w:tr w:rsidR="0071029D" w:rsidRPr="00047B76" w:rsidTr="0023484E">
        <w:tc>
          <w:tcPr>
            <w:tcW w:w="5000" w:type="pct"/>
            <w:gridSpan w:val="4"/>
          </w:tcPr>
          <w:p w:rsidR="0071029D" w:rsidRPr="00047B76" w:rsidRDefault="0071029D" w:rsidP="0023484E">
            <w:pPr>
              <w:jc w:val="both"/>
              <w:rPr>
                <w:sz w:val="20"/>
              </w:rPr>
            </w:pPr>
            <w:r w:rsidRPr="00047B76">
              <w:rPr>
                <w:sz w:val="20"/>
              </w:rPr>
              <w:t>J.T. was convicted of 10 counts of assault in relation to his wife and two of their three children. He appealed his convictions on the grounds that the trial judge erred (1) in her assessment of credibility, and (2) in failing to draw an adverse inference against his wife for destroying certain relevant evidence. The Court of Appeal dismissed the appeal. It declined to interfere with the trial judge’s credibility assessments and found that the trial judge had not engaged in any impermissible reasoning. The court further rejected the argument that the trial judge had shifted the burden of proof or had provided inadequate reasons with respect to her credibility assessments. As for the destroyed evidence, the court noted that its destruction had been inadvertent and that the trial judge’s discretionary decision in that regard was owed deference.</w:t>
            </w:r>
          </w:p>
          <w:p w:rsidR="0071029D" w:rsidRPr="00047B76" w:rsidRDefault="0071029D" w:rsidP="0023484E">
            <w:pPr>
              <w:jc w:val="both"/>
              <w:rPr>
                <w:sz w:val="20"/>
              </w:rPr>
            </w:pPr>
          </w:p>
        </w:tc>
      </w:tr>
      <w:tr w:rsidR="0071029D" w:rsidRPr="00047B76" w:rsidTr="0023484E">
        <w:tc>
          <w:tcPr>
            <w:tcW w:w="2427" w:type="pct"/>
            <w:gridSpan w:val="2"/>
          </w:tcPr>
          <w:p w:rsidR="0071029D" w:rsidRPr="00047B76" w:rsidRDefault="0071029D" w:rsidP="0023484E">
            <w:pPr>
              <w:jc w:val="both"/>
              <w:rPr>
                <w:sz w:val="20"/>
              </w:rPr>
            </w:pPr>
            <w:r w:rsidRPr="00047B76">
              <w:rPr>
                <w:sz w:val="20"/>
              </w:rPr>
              <w:t>November 17, 2017</w:t>
            </w:r>
          </w:p>
          <w:p w:rsidR="0071029D" w:rsidRPr="00047B76" w:rsidRDefault="0071029D" w:rsidP="0023484E">
            <w:pPr>
              <w:jc w:val="both"/>
              <w:rPr>
                <w:sz w:val="20"/>
              </w:rPr>
            </w:pPr>
            <w:r w:rsidRPr="00047B76">
              <w:rPr>
                <w:sz w:val="20"/>
              </w:rPr>
              <w:t>Supreme Court of British Columbia</w:t>
            </w:r>
          </w:p>
          <w:p w:rsidR="0071029D" w:rsidRPr="00047B76" w:rsidRDefault="0071029D" w:rsidP="0023484E">
            <w:pPr>
              <w:jc w:val="both"/>
              <w:rPr>
                <w:sz w:val="20"/>
              </w:rPr>
            </w:pPr>
            <w:r w:rsidRPr="00047B76">
              <w:rPr>
                <w:sz w:val="20"/>
              </w:rPr>
              <w:t>(Brown J.)</w:t>
            </w:r>
          </w:p>
          <w:p w:rsidR="0071029D" w:rsidRPr="00047B76" w:rsidRDefault="009A56E8" w:rsidP="0023484E">
            <w:pPr>
              <w:jc w:val="both"/>
              <w:rPr>
                <w:sz w:val="20"/>
              </w:rPr>
            </w:pPr>
            <w:hyperlink r:id="rId45" w:history="1">
              <w:r w:rsidR="0071029D" w:rsidRPr="00047B76">
                <w:rPr>
                  <w:rStyle w:val="Hyperlink"/>
                  <w:sz w:val="20"/>
                </w:rPr>
                <w:t>2017 BCSC 2273</w:t>
              </w:r>
            </w:hyperlink>
          </w:p>
          <w:p w:rsidR="0071029D" w:rsidRPr="00047B76" w:rsidRDefault="0071029D" w:rsidP="0023484E">
            <w:pPr>
              <w:jc w:val="both"/>
              <w:rPr>
                <w:sz w:val="20"/>
              </w:rPr>
            </w:pPr>
          </w:p>
        </w:tc>
        <w:tc>
          <w:tcPr>
            <w:tcW w:w="243" w:type="pct"/>
          </w:tcPr>
          <w:p w:rsidR="0071029D" w:rsidRPr="00047B76" w:rsidRDefault="0071029D" w:rsidP="0023484E">
            <w:pPr>
              <w:jc w:val="both"/>
              <w:rPr>
                <w:sz w:val="20"/>
              </w:rPr>
            </w:pPr>
          </w:p>
        </w:tc>
        <w:tc>
          <w:tcPr>
            <w:tcW w:w="2330" w:type="pct"/>
          </w:tcPr>
          <w:p w:rsidR="0071029D" w:rsidRPr="00047B76" w:rsidRDefault="0071029D" w:rsidP="0023484E">
            <w:pPr>
              <w:jc w:val="both"/>
              <w:rPr>
                <w:sz w:val="20"/>
              </w:rPr>
            </w:pPr>
            <w:r w:rsidRPr="00047B76">
              <w:rPr>
                <w:sz w:val="20"/>
              </w:rPr>
              <w:t xml:space="preserve">Applicant convicted of 10 counts of assault and 2 counts of assault causing bodily harm </w:t>
            </w:r>
          </w:p>
        </w:tc>
      </w:tr>
      <w:tr w:rsidR="0071029D" w:rsidRPr="00047B76" w:rsidTr="0023484E">
        <w:tc>
          <w:tcPr>
            <w:tcW w:w="2427" w:type="pct"/>
            <w:gridSpan w:val="2"/>
          </w:tcPr>
          <w:p w:rsidR="0071029D" w:rsidRPr="00047B76" w:rsidRDefault="0071029D" w:rsidP="0023484E">
            <w:pPr>
              <w:jc w:val="both"/>
              <w:rPr>
                <w:sz w:val="20"/>
              </w:rPr>
            </w:pPr>
            <w:r w:rsidRPr="00047B76">
              <w:rPr>
                <w:sz w:val="20"/>
              </w:rPr>
              <w:t>May 23, 2019</w:t>
            </w:r>
          </w:p>
          <w:p w:rsidR="0071029D" w:rsidRPr="00047B76" w:rsidRDefault="0071029D" w:rsidP="0023484E">
            <w:pPr>
              <w:jc w:val="both"/>
              <w:rPr>
                <w:sz w:val="20"/>
              </w:rPr>
            </w:pPr>
            <w:r w:rsidRPr="00047B76">
              <w:rPr>
                <w:sz w:val="20"/>
              </w:rPr>
              <w:t xml:space="preserve">Court of Appeal for British Columbia </w:t>
            </w:r>
          </w:p>
          <w:p w:rsidR="0071029D" w:rsidRPr="00047B76" w:rsidRDefault="0071029D" w:rsidP="0023484E">
            <w:pPr>
              <w:jc w:val="both"/>
              <w:rPr>
                <w:sz w:val="20"/>
              </w:rPr>
            </w:pPr>
            <w:r w:rsidRPr="00047B76">
              <w:rPr>
                <w:sz w:val="20"/>
              </w:rPr>
              <w:t>(Vancouver)</w:t>
            </w:r>
          </w:p>
          <w:p w:rsidR="0071029D" w:rsidRPr="00047B76" w:rsidRDefault="0071029D" w:rsidP="0023484E">
            <w:pPr>
              <w:jc w:val="both"/>
              <w:rPr>
                <w:sz w:val="20"/>
              </w:rPr>
            </w:pPr>
            <w:r w:rsidRPr="00047B76">
              <w:rPr>
                <w:sz w:val="20"/>
              </w:rPr>
              <w:t>(</w:t>
            </w:r>
            <w:proofErr w:type="spellStart"/>
            <w:r w:rsidRPr="00047B76">
              <w:rPr>
                <w:sz w:val="20"/>
              </w:rPr>
              <w:t>Tysoe</w:t>
            </w:r>
            <w:proofErr w:type="spellEnd"/>
            <w:r w:rsidRPr="00047B76">
              <w:rPr>
                <w:sz w:val="20"/>
              </w:rPr>
              <w:t>, Smith and Hunter JJ.A.)</w:t>
            </w:r>
          </w:p>
          <w:p w:rsidR="0071029D" w:rsidRPr="00047B76" w:rsidRDefault="009A56E8" w:rsidP="0023484E">
            <w:pPr>
              <w:jc w:val="both"/>
              <w:rPr>
                <w:sz w:val="20"/>
              </w:rPr>
            </w:pPr>
            <w:hyperlink r:id="rId46" w:history="1">
              <w:r w:rsidR="0071029D" w:rsidRPr="00047B76">
                <w:rPr>
                  <w:rStyle w:val="Hyperlink"/>
                  <w:sz w:val="20"/>
                </w:rPr>
                <w:t>2019 BCCA 180</w:t>
              </w:r>
            </w:hyperlink>
          </w:p>
          <w:p w:rsidR="0071029D" w:rsidRPr="00047B76" w:rsidRDefault="0071029D" w:rsidP="0023484E">
            <w:pPr>
              <w:jc w:val="both"/>
              <w:rPr>
                <w:sz w:val="20"/>
              </w:rPr>
            </w:pPr>
          </w:p>
        </w:tc>
        <w:tc>
          <w:tcPr>
            <w:tcW w:w="243" w:type="pct"/>
          </w:tcPr>
          <w:p w:rsidR="0071029D" w:rsidRPr="00047B76" w:rsidRDefault="0071029D" w:rsidP="0023484E">
            <w:pPr>
              <w:jc w:val="both"/>
              <w:rPr>
                <w:sz w:val="20"/>
              </w:rPr>
            </w:pPr>
          </w:p>
        </w:tc>
        <w:tc>
          <w:tcPr>
            <w:tcW w:w="2330" w:type="pct"/>
          </w:tcPr>
          <w:p w:rsidR="0071029D" w:rsidRPr="00047B76" w:rsidRDefault="0071029D" w:rsidP="0023484E">
            <w:pPr>
              <w:jc w:val="both"/>
              <w:rPr>
                <w:sz w:val="20"/>
              </w:rPr>
            </w:pPr>
            <w:r w:rsidRPr="00047B76">
              <w:rPr>
                <w:sz w:val="20"/>
              </w:rPr>
              <w:t>Appeal dismissed</w:t>
            </w:r>
          </w:p>
          <w:p w:rsidR="0071029D" w:rsidRPr="00047B76" w:rsidRDefault="0071029D" w:rsidP="0023484E">
            <w:pPr>
              <w:jc w:val="both"/>
              <w:rPr>
                <w:sz w:val="20"/>
              </w:rPr>
            </w:pPr>
          </w:p>
        </w:tc>
      </w:tr>
      <w:tr w:rsidR="0071029D" w:rsidRPr="00047B76" w:rsidTr="0023484E">
        <w:tc>
          <w:tcPr>
            <w:tcW w:w="2427" w:type="pct"/>
            <w:gridSpan w:val="2"/>
          </w:tcPr>
          <w:p w:rsidR="0071029D" w:rsidRPr="00047B76" w:rsidRDefault="0071029D" w:rsidP="0023484E">
            <w:pPr>
              <w:jc w:val="both"/>
              <w:rPr>
                <w:sz w:val="20"/>
              </w:rPr>
            </w:pPr>
            <w:r w:rsidRPr="00047B76">
              <w:rPr>
                <w:sz w:val="20"/>
              </w:rPr>
              <w:t>August 22, 2019</w:t>
            </w:r>
          </w:p>
          <w:p w:rsidR="0071029D" w:rsidRPr="00047B76" w:rsidRDefault="0071029D" w:rsidP="0023484E">
            <w:pPr>
              <w:jc w:val="both"/>
              <w:rPr>
                <w:sz w:val="20"/>
              </w:rPr>
            </w:pPr>
            <w:r w:rsidRPr="00047B76">
              <w:rPr>
                <w:sz w:val="20"/>
              </w:rPr>
              <w:t>Supreme Court of Canada</w:t>
            </w:r>
          </w:p>
        </w:tc>
        <w:tc>
          <w:tcPr>
            <w:tcW w:w="243" w:type="pct"/>
          </w:tcPr>
          <w:p w:rsidR="0071029D" w:rsidRPr="00047B76" w:rsidRDefault="0071029D" w:rsidP="0023484E">
            <w:pPr>
              <w:jc w:val="both"/>
              <w:rPr>
                <w:sz w:val="20"/>
              </w:rPr>
            </w:pPr>
          </w:p>
        </w:tc>
        <w:tc>
          <w:tcPr>
            <w:tcW w:w="2330" w:type="pct"/>
          </w:tcPr>
          <w:p w:rsidR="0071029D" w:rsidRPr="00047B76" w:rsidRDefault="0071029D" w:rsidP="0023484E">
            <w:pPr>
              <w:jc w:val="both"/>
              <w:rPr>
                <w:sz w:val="20"/>
              </w:rPr>
            </w:pPr>
            <w:r w:rsidRPr="00047B76">
              <w:rPr>
                <w:sz w:val="20"/>
              </w:rPr>
              <w:t>Application for leave to appeal filed</w:t>
            </w:r>
          </w:p>
          <w:p w:rsidR="0071029D" w:rsidRPr="00047B76" w:rsidRDefault="0071029D" w:rsidP="0023484E">
            <w:pPr>
              <w:jc w:val="both"/>
              <w:rPr>
                <w:sz w:val="20"/>
              </w:rPr>
            </w:pPr>
          </w:p>
        </w:tc>
      </w:tr>
    </w:tbl>
    <w:p w:rsidR="0071029D" w:rsidRPr="00047B76" w:rsidRDefault="0071029D" w:rsidP="0071029D">
      <w:pPr>
        <w:jc w:val="both"/>
        <w:rPr>
          <w:sz w:val="20"/>
        </w:rPr>
      </w:pPr>
    </w:p>
    <w:p w:rsidR="0071029D" w:rsidRPr="00047B76" w:rsidRDefault="009A56E8" w:rsidP="0071029D">
      <w:pPr>
        <w:jc w:val="both"/>
        <w:rPr>
          <w:sz w:val="20"/>
        </w:rPr>
      </w:pPr>
      <w:r>
        <w:rPr>
          <w:sz w:val="20"/>
        </w:rPr>
        <w:pict>
          <v:rect id="_x0000_i1050" style="width:2in;height:1pt" o:hrpct="0" o:hralign="center" o:hrstd="t" o:hrnoshade="t" o:hr="t" fillcolor="black [3213]" stroked="f"/>
        </w:pict>
      </w:r>
    </w:p>
    <w:p w:rsidR="0071029D" w:rsidRPr="00047B76" w:rsidRDefault="0071029D" w:rsidP="0071029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1029D" w:rsidRPr="00047B76" w:rsidTr="0023484E">
        <w:tc>
          <w:tcPr>
            <w:tcW w:w="543" w:type="pct"/>
          </w:tcPr>
          <w:p w:rsidR="0071029D" w:rsidRPr="00047B76" w:rsidRDefault="0071029D" w:rsidP="0023484E">
            <w:pPr>
              <w:jc w:val="both"/>
              <w:rPr>
                <w:sz w:val="20"/>
                <w:lang w:val="fr-CA"/>
              </w:rPr>
            </w:pPr>
            <w:r w:rsidRPr="00047B76">
              <w:rPr>
                <w:rStyle w:val="SCCFileNumberChar"/>
                <w:sz w:val="20"/>
                <w:szCs w:val="20"/>
                <w:lang w:val="fr-CA"/>
              </w:rPr>
              <w:t>38775</w:t>
            </w:r>
          </w:p>
        </w:tc>
        <w:tc>
          <w:tcPr>
            <w:tcW w:w="4457" w:type="pct"/>
            <w:gridSpan w:val="3"/>
          </w:tcPr>
          <w:p w:rsidR="0071029D" w:rsidRPr="00047B76" w:rsidRDefault="0071029D" w:rsidP="0023484E">
            <w:pPr>
              <w:pStyle w:val="SCCLsocParty"/>
              <w:jc w:val="both"/>
              <w:rPr>
                <w:b/>
                <w:sz w:val="20"/>
                <w:szCs w:val="20"/>
              </w:rPr>
            </w:pPr>
            <w:r w:rsidRPr="00047B76">
              <w:rPr>
                <w:b/>
                <w:sz w:val="20"/>
                <w:szCs w:val="20"/>
              </w:rPr>
              <w:t>J.T. c. Sa Majesté la Reine</w:t>
            </w:r>
          </w:p>
          <w:p w:rsidR="0071029D" w:rsidRPr="00047B76" w:rsidRDefault="0071029D" w:rsidP="0023484E">
            <w:pPr>
              <w:jc w:val="both"/>
              <w:rPr>
                <w:sz w:val="20"/>
                <w:lang w:val="fr-CA"/>
              </w:rPr>
            </w:pPr>
            <w:r w:rsidRPr="00047B76">
              <w:rPr>
                <w:sz w:val="20"/>
                <w:lang w:val="fr-CA"/>
              </w:rPr>
              <w:t>(C.-B.) (Criminelle) (Autorisation)</w:t>
            </w:r>
          </w:p>
        </w:tc>
      </w:tr>
      <w:tr w:rsidR="00E80644" w:rsidRPr="00957F6E" w:rsidTr="0023484E">
        <w:tc>
          <w:tcPr>
            <w:tcW w:w="5000" w:type="pct"/>
            <w:gridSpan w:val="4"/>
          </w:tcPr>
          <w:p w:rsidR="00E80644" w:rsidRPr="00047B76" w:rsidRDefault="00183154" w:rsidP="0023484E">
            <w:pPr>
              <w:pStyle w:val="SCCBanSummary0"/>
              <w:rPr>
                <w:smallCaps w:val="0"/>
                <w:sz w:val="20"/>
                <w:szCs w:val="20"/>
                <w:lang w:val="fr-CA"/>
              </w:rPr>
            </w:pPr>
            <w:r w:rsidRPr="00047B76">
              <w:rPr>
                <w:smallCaps w:val="0"/>
                <w:sz w:val="20"/>
                <w:szCs w:val="20"/>
                <w:lang w:val="fr-CA"/>
              </w:rPr>
              <w:t>La demande d’autorisation d’appel de l’arrêt de la Cour d’appel de la Colombie-Britannique (Vancouver), numéro CA45136, 2019 BCCA 180, daté du 23 mai 2019, est rejetée.</w:t>
            </w:r>
          </w:p>
          <w:p w:rsidR="00183154" w:rsidRPr="00047B76" w:rsidRDefault="00183154" w:rsidP="00183154">
            <w:pPr>
              <w:rPr>
                <w:lang w:val="fr-CA"/>
              </w:rPr>
            </w:pPr>
          </w:p>
        </w:tc>
      </w:tr>
      <w:tr w:rsidR="0071029D" w:rsidRPr="00957F6E" w:rsidTr="0023484E">
        <w:tc>
          <w:tcPr>
            <w:tcW w:w="5000" w:type="pct"/>
            <w:gridSpan w:val="4"/>
          </w:tcPr>
          <w:p w:rsidR="0071029D" w:rsidRPr="00047B76" w:rsidRDefault="0071029D" w:rsidP="0023484E">
            <w:pPr>
              <w:pStyle w:val="SCCBanSummary0"/>
              <w:rPr>
                <w:sz w:val="20"/>
                <w:szCs w:val="20"/>
                <w:lang w:val="fr-CA"/>
              </w:rPr>
            </w:pPr>
            <w:r w:rsidRPr="00047B76">
              <w:rPr>
                <w:sz w:val="20"/>
                <w:szCs w:val="20"/>
                <w:lang w:val="fr-CA"/>
              </w:rPr>
              <w:lastRenderedPageBreak/>
              <w:t>(Ordonnance de non</w:t>
            </w:r>
            <w:r w:rsidRPr="00047B76">
              <w:rPr>
                <w:sz w:val="20"/>
                <w:szCs w:val="20"/>
                <w:lang w:val="fr-CA"/>
              </w:rPr>
              <w:noBreakHyphen/>
              <w:t>publication dans le dossier)</w:t>
            </w:r>
          </w:p>
          <w:p w:rsidR="0071029D" w:rsidRPr="00047B76" w:rsidRDefault="0071029D" w:rsidP="0023484E">
            <w:pPr>
              <w:jc w:val="both"/>
              <w:rPr>
                <w:sz w:val="20"/>
                <w:lang w:val="fr-CA"/>
              </w:rPr>
            </w:pPr>
          </w:p>
          <w:p w:rsidR="0071029D" w:rsidRPr="00047B76" w:rsidRDefault="0071029D" w:rsidP="0023484E">
            <w:pPr>
              <w:jc w:val="both"/>
              <w:rPr>
                <w:sz w:val="20"/>
                <w:lang w:val="fr-CA"/>
              </w:rPr>
            </w:pPr>
            <w:r w:rsidRPr="00047B76">
              <w:rPr>
                <w:sz w:val="20"/>
                <w:lang w:val="fr-CA"/>
              </w:rPr>
              <w:t>Droit criminel — Preuve — Évaluation — Crédibilité — Destruction d’éléments de preuve — Réparation — Les tribunaux ont</w:t>
            </w:r>
            <w:r w:rsidRPr="00047B76">
              <w:rPr>
                <w:sz w:val="20"/>
                <w:lang w:val="fr-CA"/>
              </w:rPr>
              <w:noBreakHyphen/>
              <w:t>ils l’obligation de fournir une réparation s’il y a destruction d’éléments de preuve, même si l’accusé n’en subit qu’un préjudice limité en conséquence? — Les tribunaux ont</w:t>
            </w:r>
            <w:r w:rsidRPr="00047B76">
              <w:rPr>
                <w:sz w:val="20"/>
                <w:lang w:val="fr-CA"/>
              </w:rPr>
              <w:noBreakHyphen/>
              <w:t>ils l’obligation de donner des motifs indiquant comment le préjudice a été réparé? — La juge du procès a</w:t>
            </w:r>
            <w:r w:rsidRPr="00047B76">
              <w:rPr>
                <w:sz w:val="20"/>
                <w:lang w:val="fr-CA"/>
              </w:rPr>
              <w:noBreakHyphen/>
              <w:t>t</w:t>
            </w:r>
            <w:r w:rsidRPr="00047B76">
              <w:rPr>
                <w:sz w:val="20"/>
                <w:lang w:val="fr-CA"/>
              </w:rPr>
              <w:noBreakHyphen/>
              <w:t xml:space="preserve">elle commis une erreur dans son évaluation de la crédibilité en tenant un raisonnement inacceptable, en déplaçant le fardeau de la preuve, en omettant de se prononcer sur la question de savoir si la demande soulevait un doute raisonnable et en omettant de préciser le raisonnement suivi pour en arriver au verdict? — </w:t>
            </w:r>
            <w:r w:rsidRPr="00047B76">
              <w:rPr>
                <w:i/>
                <w:sz w:val="20"/>
                <w:lang w:val="fr-CA"/>
              </w:rPr>
              <w:t>R.</w:t>
            </w:r>
            <w:r w:rsidRPr="00047B76">
              <w:rPr>
                <w:i/>
                <w:iCs/>
                <w:sz w:val="20"/>
                <w:lang w:val="fr-CA"/>
              </w:rPr>
              <w:t xml:space="preserve"> c.</w:t>
            </w:r>
            <w:r w:rsidRPr="00047B76">
              <w:rPr>
                <w:i/>
                <w:sz w:val="20"/>
                <w:lang w:val="fr-CA"/>
              </w:rPr>
              <w:t xml:space="preserve"> W</w:t>
            </w:r>
            <w:proofErr w:type="gramStart"/>
            <w:r w:rsidRPr="00047B76">
              <w:rPr>
                <w:i/>
                <w:sz w:val="20"/>
                <w:lang w:val="fr-CA"/>
              </w:rPr>
              <w:t>.(</w:t>
            </w:r>
            <w:proofErr w:type="gramEnd"/>
            <w:r w:rsidRPr="00047B76">
              <w:rPr>
                <w:i/>
                <w:sz w:val="20"/>
                <w:lang w:val="fr-CA"/>
              </w:rPr>
              <w:t>D.)</w:t>
            </w:r>
            <w:r w:rsidRPr="00047B76">
              <w:rPr>
                <w:sz w:val="20"/>
                <w:lang w:val="fr-CA"/>
              </w:rPr>
              <w:t xml:space="preserve">, [1991] 1 R.C.S. 742 — </w:t>
            </w:r>
            <w:r w:rsidRPr="00047B76">
              <w:rPr>
                <w:i/>
                <w:sz w:val="20"/>
                <w:lang w:val="fr-CA"/>
              </w:rPr>
              <w:t>Charte canadienne des droits et libertés</w:t>
            </w:r>
            <w:r w:rsidRPr="00047B76">
              <w:rPr>
                <w:sz w:val="20"/>
                <w:lang w:val="fr-CA"/>
              </w:rPr>
              <w:t>, par. 7, 24(1).</w:t>
            </w:r>
          </w:p>
        </w:tc>
      </w:tr>
      <w:tr w:rsidR="0071029D" w:rsidRPr="00957F6E" w:rsidTr="0023484E">
        <w:tc>
          <w:tcPr>
            <w:tcW w:w="5000" w:type="pct"/>
            <w:gridSpan w:val="4"/>
          </w:tcPr>
          <w:p w:rsidR="0071029D" w:rsidRPr="00047B76" w:rsidRDefault="0071029D" w:rsidP="0023484E">
            <w:pPr>
              <w:jc w:val="both"/>
              <w:rPr>
                <w:sz w:val="20"/>
                <w:lang w:val="fr-CA"/>
              </w:rPr>
            </w:pPr>
          </w:p>
        </w:tc>
      </w:tr>
      <w:tr w:rsidR="0071029D" w:rsidRPr="00957F6E" w:rsidTr="0023484E">
        <w:tc>
          <w:tcPr>
            <w:tcW w:w="5000" w:type="pct"/>
            <w:gridSpan w:val="4"/>
          </w:tcPr>
          <w:p w:rsidR="0071029D" w:rsidRPr="00047B76" w:rsidRDefault="0071029D" w:rsidP="0023484E">
            <w:pPr>
              <w:jc w:val="both"/>
              <w:rPr>
                <w:sz w:val="20"/>
                <w:lang w:val="fr-CA"/>
              </w:rPr>
            </w:pPr>
            <w:r w:rsidRPr="00047B76">
              <w:rPr>
                <w:sz w:val="20"/>
                <w:lang w:val="fr-CA"/>
              </w:rPr>
              <w:t>J.T. a été déclaré coupable de dix chefs de voies de fait en lien avec son épouse et deux de leurs trois enfants. Il a interjeté appel des déclarations de culpabilité, faisant valoir que la juge du procès aurait commis des erreurs (1) dans son évaluation de la crédibilité et (2) en omettant de tirer une inférence défavorable à l’égard de l’épouse parce qu’elle avait détruit certains éléments de preuve pertinents. La Cour d’appel a rejeté l’appel. Elle a refusé de modifier les évaluations de la crédibilité qu’avait faites la juge du procès et a conclu que cette dernière n’avait pas tenu de raisonnement inacceptable. La cour a en outre rejeté l’argument selon lequel la juge du procès avait déplacé le fardeau de la preuve ou qu’elle avait fourni des motifs inadéquats relativement à ses évaluations de la crédibilité. Quant aux éléments de preuve détruits, la cour a noté que la destruction avait été faite par inadvertance et qu’il fallait faire preuve de déférence envers la décision discrétionnaire de la juge du procès à cet égard.</w:t>
            </w:r>
          </w:p>
          <w:p w:rsidR="0071029D" w:rsidRPr="00047B76" w:rsidRDefault="0071029D" w:rsidP="0023484E">
            <w:pPr>
              <w:jc w:val="both"/>
              <w:rPr>
                <w:sz w:val="20"/>
                <w:lang w:val="fr-CA"/>
              </w:rPr>
            </w:pPr>
          </w:p>
        </w:tc>
      </w:tr>
      <w:tr w:rsidR="0071029D" w:rsidRPr="00957F6E" w:rsidTr="0023484E">
        <w:tc>
          <w:tcPr>
            <w:tcW w:w="2427" w:type="pct"/>
            <w:gridSpan w:val="2"/>
          </w:tcPr>
          <w:p w:rsidR="0071029D" w:rsidRPr="00047B76" w:rsidRDefault="0071029D" w:rsidP="0023484E">
            <w:pPr>
              <w:jc w:val="both"/>
              <w:rPr>
                <w:sz w:val="20"/>
                <w:lang w:val="fr-CA"/>
              </w:rPr>
            </w:pPr>
            <w:r w:rsidRPr="00047B76">
              <w:rPr>
                <w:sz w:val="20"/>
                <w:lang w:val="fr-CA"/>
              </w:rPr>
              <w:t>17 novembre 2017</w:t>
            </w:r>
          </w:p>
          <w:p w:rsidR="0071029D" w:rsidRPr="00047B76" w:rsidRDefault="0071029D" w:rsidP="0023484E">
            <w:pPr>
              <w:jc w:val="both"/>
              <w:rPr>
                <w:sz w:val="20"/>
                <w:lang w:val="fr-CA"/>
              </w:rPr>
            </w:pPr>
            <w:r w:rsidRPr="00047B76">
              <w:rPr>
                <w:sz w:val="20"/>
                <w:lang w:val="fr-CA"/>
              </w:rPr>
              <w:t>Cour suprême de la Colombie</w:t>
            </w:r>
            <w:r w:rsidRPr="00047B76">
              <w:rPr>
                <w:sz w:val="20"/>
                <w:lang w:val="fr-CA"/>
              </w:rPr>
              <w:noBreakHyphen/>
              <w:t>Britannique</w:t>
            </w:r>
          </w:p>
          <w:p w:rsidR="0071029D" w:rsidRPr="00047B76" w:rsidRDefault="0071029D" w:rsidP="0023484E">
            <w:pPr>
              <w:jc w:val="both"/>
              <w:rPr>
                <w:sz w:val="20"/>
                <w:lang w:val="fr-CA"/>
              </w:rPr>
            </w:pPr>
            <w:r w:rsidRPr="00047B76">
              <w:rPr>
                <w:sz w:val="20"/>
                <w:lang w:val="fr-CA"/>
              </w:rPr>
              <w:t>(Juge Brown)</w:t>
            </w:r>
          </w:p>
          <w:p w:rsidR="0071029D" w:rsidRPr="00047B76" w:rsidRDefault="009A56E8" w:rsidP="0023484E">
            <w:pPr>
              <w:jc w:val="both"/>
              <w:rPr>
                <w:sz w:val="20"/>
                <w:lang w:val="fr-CA"/>
              </w:rPr>
            </w:pPr>
            <w:hyperlink r:id="rId47" w:history="1">
              <w:r w:rsidR="0071029D" w:rsidRPr="00047B76">
                <w:rPr>
                  <w:rStyle w:val="Hyperlink"/>
                  <w:sz w:val="20"/>
                  <w:lang w:val="fr-CA"/>
                </w:rPr>
                <w:t>2017 BCSC 2273</w:t>
              </w:r>
            </w:hyperlink>
          </w:p>
          <w:p w:rsidR="0071029D" w:rsidRPr="00047B76" w:rsidRDefault="0071029D" w:rsidP="0023484E">
            <w:pPr>
              <w:jc w:val="both"/>
              <w:rPr>
                <w:sz w:val="20"/>
                <w:lang w:val="fr-CA"/>
              </w:rPr>
            </w:pPr>
          </w:p>
        </w:tc>
        <w:tc>
          <w:tcPr>
            <w:tcW w:w="243" w:type="pct"/>
          </w:tcPr>
          <w:p w:rsidR="0071029D" w:rsidRPr="00047B76" w:rsidRDefault="0071029D" w:rsidP="0023484E">
            <w:pPr>
              <w:jc w:val="both"/>
              <w:rPr>
                <w:sz w:val="20"/>
                <w:lang w:val="fr-CA"/>
              </w:rPr>
            </w:pPr>
          </w:p>
        </w:tc>
        <w:tc>
          <w:tcPr>
            <w:tcW w:w="2330" w:type="pct"/>
          </w:tcPr>
          <w:p w:rsidR="0071029D" w:rsidRPr="00047B76" w:rsidRDefault="0071029D" w:rsidP="0023484E">
            <w:pPr>
              <w:jc w:val="both"/>
              <w:rPr>
                <w:sz w:val="20"/>
                <w:lang w:val="fr-CA"/>
              </w:rPr>
            </w:pPr>
            <w:r w:rsidRPr="00047B76">
              <w:rPr>
                <w:sz w:val="20"/>
                <w:lang w:val="fr-CA"/>
              </w:rPr>
              <w:t>Déclaration de culpabilité de dix chefs de voies de fait et deux chefs de voies de fait causant des lésions corporelles</w:t>
            </w:r>
          </w:p>
        </w:tc>
      </w:tr>
      <w:tr w:rsidR="0071029D" w:rsidRPr="00047B76" w:rsidTr="0023484E">
        <w:tc>
          <w:tcPr>
            <w:tcW w:w="2427" w:type="pct"/>
            <w:gridSpan w:val="2"/>
          </w:tcPr>
          <w:p w:rsidR="0071029D" w:rsidRPr="00047B76" w:rsidRDefault="0071029D" w:rsidP="0023484E">
            <w:pPr>
              <w:jc w:val="both"/>
              <w:rPr>
                <w:sz w:val="20"/>
                <w:lang w:val="fr-CA"/>
              </w:rPr>
            </w:pPr>
            <w:r w:rsidRPr="00047B76">
              <w:rPr>
                <w:sz w:val="20"/>
                <w:lang w:val="fr-CA"/>
              </w:rPr>
              <w:t>23 mai 2019</w:t>
            </w:r>
          </w:p>
          <w:p w:rsidR="0071029D" w:rsidRPr="00047B76" w:rsidRDefault="0071029D" w:rsidP="0023484E">
            <w:pPr>
              <w:jc w:val="both"/>
              <w:rPr>
                <w:sz w:val="20"/>
                <w:lang w:val="fr-CA"/>
              </w:rPr>
            </w:pPr>
            <w:r w:rsidRPr="00047B76">
              <w:rPr>
                <w:sz w:val="20"/>
                <w:lang w:val="fr-CA"/>
              </w:rPr>
              <w:t>Cour d’appel de la Colombie</w:t>
            </w:r>
            <w:r w:rsidRPr="00047B76">
              <w:rPr>
                <w:sz w:val="20"/>
                <w:lang w:val="fr-CA"/>
              </w:rPr>
              <w:noBreakHyphen/>
              <w:t>Britannique</w:t>
            </w:r>
          </w:p>
          <w:p w:rsidR="0071029D" w:rsidRPr="00047B76" w:rsidRDefault="0071029D" w:rsidP="0023484E">
            <w:pPr>
              <w:jc w:val="both"/>
              <w:rPr>
                <w:sz w:val="20"/>
                <w:lang w:val="fr-CA"/>
              </w:rPr>
            </w:pPr>
            <w:r w:rsidRPr="00047B76">
              <w:rPr>
                <w:sz w:val="20"/>
                <w:lang w:val="fr-CA"/>
              </w:rPr>
              <w:t>(Vancouver)</w:t>
            </w:r>
          </w:p>
          <w:p w:rsidR="0071029D" w:rsidRPr="00047B76" w:rsidRDefault="0071029D" w:rsidP="0023484E">
            <w:pPr>
              <w:jc w:val="both"/>
              <w:rPr>
                <w:sz w:val="20"/>
                <w:lang w:val="fr-CA"/>
              </w:rPr>
            </w:pPr>
            <w:r w:rsidRPr="00047B76">
              <w:rPr>
                <w:sz w:val="20"/>
                <w:lang w:val="fr-CA"/>
              </w:rPr>
              <w:t xml:space="preserve">(Juges </w:t>
            </w:r>
            <w:proofErr w:type="spellStart"/>
            <w:r w:rsidRPr="00047B76">
              <w:rPr>
                <w:sz w:val="20"/>
                <w:lang w:val="fr-CA"/>
              </w:rPr>
              <w:t>Tysoe</w:t>
            </w:r>
            <w:proofErr w:type="spellEnd"/>
            <w:r w:rsidRPr="00047B76">
              <w:rPr>
                <w:sz w:val="20"/>
                <w:lang w:val="fr-CA"/>
              </w:rPr>
              <w:t>, Smith et Hunter)</w:t>
            </w:r>
          </w:p>
          <w:p w:rsidR="0071029D" w:rsidRPr="00047B76" w:rsidRDefault="009A56E8" w:rsidP="0023484E">
            <w:pPr>
              <w:jc w:val="both"/>
              <w:rPr>
                <w:sz w:val="20"/>
                <w:lang w:val="fr-CA"/>
              </w:rPr>
            </w:pPr>
            <w:hyperlink r:id="rId48" w:history="1">
              <w:r w:rsidR="0071029D" w:rsidRPr="00047B76">
                <w:rPr>
                  <w:rStyle w:val="Hyperlink"/>
                  <w:sz w:val="20"/>
                  <w:lang w:val="fr-CA"/>
                </w:rPr>
                <w:t>2019 BCCA 180</w:t>
              </w:r>
            </w:hyperlink>
          </w:p>
          <w:p w:rsidR="0071029D" w:rsidRPr="00047B76" w:rsidRDefault="0071029D" w:rsidP="0023484E">
            <w:pPr>
              <w:jc w:val="both"/>
              <w:rPr>
                <w:sz w:val="20"/>
                <w:lang w:val="fr-CA"/>
              </w:rPr>
            </w:pPr>
          </w:p>
        </w:tc>
        <w:tc>
          <w:tcPr>
            <w:tcW w:w="243" w:type="pct"/>
          </w:tcPr>
          <w:p w:rsidR="0071029D" w:rsidRPr="00047B76" w:rsidRDefault="0071029D" w:rsidP="0023484E">
            <w:pPr>
              <w:jc w:val="both"/>
              <w:rPr>
                <w:sz w:val="20"/>
                <w:lang w:val="fr-CA"/>
              </w:rPr>
            </w:pPr>
          </w:p>
        </w:tc>
        <w:tc>
          <w:tcPr>
            <w:tcW w:w="2330" w:type="pct"/>
          </w:tcPr>
          <w:p w:rsidR="0071029D" w:rsidRPr="00047B76" w:rsidRDefault="0071029D" w:rsidP="0023484E">
            <w:pPr>
              <w:jc w:val="both"/>
              <w:rPr>
                <w:sz w:val="20"/>
                <w:lang w:val="fr-CA"/>
              </w:rPr>
            </w:pPr>
            <w:r w:rsidRPr="00047B76">
              <w:rPr>
                <w:sz w:val="20"/>
                <w:lang w:val="fr-CA"/>
              </w:rPr>
              <w:t>Rejet de l’appel</w:t>
            </w:r>
          </w:p>
          <w:p w:rsidR="0071029D" w:rsidRPr="00047B76" w:rsidRDefault="0071029D" w:rsidP="0023484E">
            <w:pPr>
              <w:jc w:val="both"/>
              <w:rPr>
                <w:sz w:val="20"/>
                <w:lang w:val="fr-CA"/>
              </w:rPr>
            </w:pPr>
          </w:p>
        </w:tc>
      </w:tr>
      <w:tr w:rsidR="0071029D" w:rsidRPr="00957F6E" w:rsidTr="0023484E">
        <w:tc>
          <w:tcPr>
            <w:tcW w:w="2427" w:type="pct"/>
            <w:gridSpan w:val="2"/>
          </w:tcPr>
          <w:p w:rsidR="0071029D" w:rsidRPr="00047B76" w:rsidRDefault="0071029D" w:rsidP="0023484E">
            <w:pPr>
              <w:jc w:val="both"/>
              <w:rPr>
                <w:sz w:val="20"/>
                <w:lang w:val="fr-CA"/>
              </w:rPr>
            </w:pPr>
            <w:r w:rsidRPr="00047B76">
              <w:rPr>
                <w:sz w:val="20"/>
                <w:lang w:val="fr-CA"/>
              </w:rPr>
              <w:t>22 août 2019</w:t>
            </w:r>
          </w:p>
          <w:p w:rsidR="0071029D" w:rsidRPr="00047B76" w:rsidRDefault="0071029D" w:rsidP="0023484E">
            <w:pPr>
              <w:jc w:val="both"/>
              <w:rPr>
                <w:sz w:val="20"/>
                <w:lang w:val="fr-CA"/>
              </w:rPr>
            </w:pPr>
            <w:r w:rsidRPr="00047B76">
              <w:rPr>
                <w:sz w:val="20"/>
                <w:lang w:val="fr-CA"/>
              </w:rPr>
              <w:t>Cour suprême du Canada</w:t>
            </w:r>
          </w:p>
        </w:tc>
        <w:tc>
          <w:tcPr>
            <w:tcW w:w="243" w:type="pct"/>
          </w:tcPr>
          <w:p w:rsidR="0071029D" w:rsidRPr="00047B76" w:rsidRDefault="0071029D" w:rsidP="0023484E">
            <w:pPr>
              <w:jc w:val="both"/>
              <w:rPr>
                <w:sz w:val="20"/>
                <w:lang w:val="fr-CA"/>
              </w:rPr>
            </w:pPr>
          </w:p>
        </w:tc>
        <w:tc>
          <w:tcPr>
            <w:tcW w:w="2330" w:type="pct"/>
          </w:tcPr>
          <w:p w:rsidR="0071029D" w:rsidRPr="00047B76" w:rsidRDefault="0071029D" w:rsidP="0023484E">
            <w:pPr>
              <w:jc w:val="both"/>
              <w:rPr>
                <w:sz w:val="20"/>
                <w:lang w:val="fr-CA"/>
              </w:rPr>
            </w:pPr>
            <w:r w:rsidRPr="00047B76">
              <w:rPr>
                <w:sz w:val="20"/>
                <w:lang w:val="fr-CA"/>
              </w:rPr>
              <w:t>Dépôt de la demande d’autorisation d’appel</w:t>
            </w:r>
          </w:p>
          <w:p w:rsidR="0071029D" w:rsidRPr="00047B76" w:rsidRDefault="0071029D" w:rsidP="0023484E">
            <w:pPr>
              <w:jc w:val="both"/>
              <w:rPr>
                <w:sz w:val="20"/>
                <w:lang w:val="fr-CA"/>
              </w:rPr>
            </w:pPr>
          </w:p>
        </w:tc>
      </w:tr>
    </w:tbl>
    <w:p w:rsidR="0071029D" w:rsidRPr="00047B76" w:rsidRDefault="0071029D" w:rsidP="0071029D">
      <w:pPr>
        <w:jc w:val="both"/>
        <w:rPr>
          <w:sz w:val="20"/>
          <w:lang w:val="fr-CA"/>
        </w:rPr>
      </w:pPr>
    </w:p>
    <w:p w:rsidR="0071029D" w:rsidRPr="00047B76" w:rsidRDefault="009A56E8" w:rsidP="0071029D">
      <w:pPr>
        <w:jc w:val="both"/>
        <w:rPr>
          <w:sz w:val="20"/>
          <w:lang w:val="fr-CA"/>
        </w:rPr>
      </w:pPr>
      <w:r>
        <w:rPr>
          <w:sz w:val="20"/>
        </w:rPr>
        <w:pict>
          <v:rect id="_x0000_i1051" style="width:2in;height:1pt" o:hrpct="0" o:hralign="center" o:hrstd="t" o:hrnoshade="t" o:hr="t" fillcolor="black [3213]" stroked="f"/>
        </w:pict>
      </w:r>
    </w:p>
    <w:p w:rsidR="0071029D" w:rsidRPr="00047B76" w:rsidRDefault="0071029D" w:rsidP="0071029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1029D" w:rsidRPr="00047B76" w:rsidTr="00900ECD">
        <w:tc>
          <w:tcPr>
            <w:tcW w:w="543" w:type="pct"/>
          </w:tcPr>
          <w:p w:rsidR="0071029D" w:rsidRPr="00047B76" w:rsidRDefault="0071029D" w:rsidP="0023484E">
            <w:pPr>
              <w:jc w:val="both"/>
              <w:rPr>
                <w:sz w:val="20"/>
              </w:rPr>
            </w:pPr>
            <w:r w:rsidRPr="00047B76">
              <w:rPr>
                <w:rStyle w:val="SCCFileNumberChar"/>
                <w:sz w:val="20"/>
                <w:szCs w:val="20"/>
              </w:rPr>
              <w:t>38768</w:t>
            </w:r>
          </w:p>
        </w:tc>
        <w:tc>
          <w:tcPr>
            <w:tcW w:w="4457" w:type="pct"/>
          </w:tcPr>
          <w:p w:rsidR="0071029D" w:rsidRPr="00047B76" w:rsidRDefault="0071029D" w:rsidP="0023484E">
            <w:pPr>
              <w:pStyle w:val="SCCLsocParty"/>
              <w:jc w:val="both"/>
              <w:rPr>
                <w:b/>
                <w:sz w:val="20"/>
                <w:szCs w:val="20"/>
                <w:lang w:val="en-US"/>
              </w:rPr>
            </w:pPr>
            <w:r w:rsidRPr="00047B76">
              <w:rPr>
                <w:b/>
                <w:sz w:val="20"/>
                <w:szCs w:val="20"/>
                <w:lang w:val="en-US"/>
              </w:rPr>
              <w:t>Brigitte Gratl v. Her Majesty the Queen</w:t>
            </w:r>
          </w:p>
          <w:p w:rsidR="0071029D" w:rsidRPr="00047B76" w:rsidRDefault="0071029D" w:rsidP="0023484E">
            <w:pPr>
              <w:jc w:val="both"/>
              <w:rPr>
                <w:sz w:val="20"/>
              </w:rPr>
            </w:pPr>
            <w:r w:rsidRPr="00047B76">
              <w:rPr>
                <w:sz w:val="20"/>
              </w:rPr>
              <w:t>(F.C.) (Civil) (By Leave)</w:t>
            </w:r>
          </w:p>
        </w:tc>
      </w:tr>
      <w:tr w:rsidR="00E80644" w:rsidRPr="00047B76" w:rsidTr="00900ECD">
        <w:tc>
          <w:tcPr>
            <w:tcW w:w="5000" w:type="pct"/>
            <w:gridSpan w:val="2"/>
          </w:tcPr>
          <w:p w:rsidR="00E80644" w:rsidRPr="00047B76" w:rsidRDefault="00A7741A" w:rsidP="0023484E">
            <w:pPr>
              <w:pStyle w:val="SCCBanSummary0"/>
              <w:rPr>
                <w:smallCaps w:val="0"/>
                <w:sz w:val="20"/>
                <w:szCs w:val="20"/>
              </w:rPr>
            </w:pPr>
            <w:r w:rsidRPr="00047B76">
              <w:rPr>
                <w:smallCaps w:val="0"/>
                <w:sz w:val="20"/>
                <w:szCs w:val="20"/>
              </w:rPr>
              <w:t>The motion for an extension of time to serve and file the application for leave to appeal is granted. The application for leave to appeal from the judgment of the Federal Court of Appeal, Number A-185-17, 2019 FCA 3, dated January 4, 2019, is dismissed with costs.</w:t>
            </w:r>
          </w:p>
          <w:p w:rsidR="00A7741A" w:rsidRPr="00047B76" w:rsidRDefault="00A7741A" w:rsidP="00A7741A"/>
        </w:tc>
      </w:tr>
      <w:tr w:rsidR="0071029D" w:rsidRPr="00047B76" w:rsidTr="00900ECD">
        <w:tc>
          <w:tcPr>
            <w:tcW w:w="5000" w:type="pct"/>
            <w:gridSpan w:val="2"/>
          </w:tcPr>
          <w:p w:rsidR="0071029D" w:rsidRPr="00047B76" w:rsidRDefault="0071029D" w:rsidP="0023484E">
            <w:pPr>
              <w:pStyle w:val="SCCBanSummary0"/>
              <w:rPr>
                <w:sz w:val="20"/>
                <w:szCs w:val="20"/>
              </w:rPr>
            </w:pPr>
            <w:r w:rsidRPr="00047B76">
              <w:rPr>
                <w:smallCaps w:val="0"/>
                <w:sz w:val="20"/>
                <w:szCs w:val="20"/>
              </w:rPr>
              <w:t xml:space="preserve">Taxation — Appeal of income tax assessments — Whether the Federal Court of Appeal erred in law in its consideration of the evidence — Whether the Federal Court of Appeal erred in law in misinterpreting and applying </w:t>
            </w:r>
            <w:proofErr w:type="spellStart"/>
            <w:r w:rsidRPr="00047B76">
              <w:rPr>
                <w:i/>
                <w:smallCaps w:val="0"/>
                <w:sz w:val="20"/>
                <w:szCs w:val="20"/>
              </w:rPr>
              <w:t>Housen</w:t>
            </w:r>
            <w:proofErr w:type="spellEnd"/>
            <w:r w:rsidRPr="00047B76">
              <w:rPr>
                <w:i/>
                <w:smallCaps w:val="0"/>
                <w:sz w:val="20"/>
                <w:szCs w:val="20"/>
              </w:rPr>
              <w:t xml:space="preserve"> v. </w:t>
            </w:r>
            <w:proofErr w:type="spellStart"/>
            <w:r w:rsidRPr="00047B76">
              <w:rPr>
                <w:i/>
                <w:smallCaps w:val="0"/>
                <w:sz w:val="20"/>
                <w:szCs w:val="20"/>
              </w:rPr>
              <w:t>Nikolaisen</w:t>
            </w:r>
            <w:proofErr w:type="spellEnd"/>
            <w:r w:rsidRPr="00047B76">
              <w:rPr>
                <w:smallCaps w:val="0"/>
                <w:sz w:val="20"/>
                <w:szCs w:val="20"/>
              </w:rPr>
              <w:t>, 2002 SCC 33, [2002] 2 S.C.R. 235 — Whether the Federal Court of Appeal erred in law by failing to address the applicant’s argument that reassessments shall not be undertaken outside the three year time limit.</w:t>
            </w:r>
          </w:p>
        </w:tc>
      </w:tr>
    </w:tbl>
    <w:p w:rsidR="00900ECD" w:rsidRPr="00047B76" w:rsidRDefault="00900ECD">
      <w:r w:rsidRPr="00047B76">
        <w:br w:type="page"/>
      </w:r>
    </w:p>
    <w:tbl>
      <w:tblPr>
        <w:tblW w:w="5000" w:type="pct"/>
        <w:tblLayout w:type="fixed"/>
        <w:tblCellMar>
          <w:left w:w="0" w:type="dxa"/>
          <w:bottom w:w="99" w:type="dxa"/>
          <w:right w:w="0" w:type="dxa"/>
        </w:tblCellMar>
        <w:tblLook w:val="04A0" w:firstRow="1" w:lastRow="0" w:firstColumn="1" w:lastColumn="0" w:noHBand="0" w:noVBand="1"/>
      </w:tblPr>
      <w:tblGrid>
        <w:gridCol w:w="4554"/>
        <w:gridCol w:w="514"/>
        <w:gridCol w:w="4459"/>
        <w:gridCol w:w="92"/>
      </w:tblGrid>
      <w:tr w:rsidR="0071029D" w:rsidRPr="00047B76" w:rsidTr="0023484E">
        <w:trPr>
          <w:gridAfter w:val="1"/>
          <w:wAfter w:w="48" w:type="pct"/>
        </w:trPr>
        <w:tc>
          <w:tcPr>
            <w:tcW w:w="4952" w:type="pct"/>
            <w:gridSpan w:val="3"/>
          </w:tcPr>
          <w:p w:rsidR="0071029D" w:rsidRPr="00047B76" w:rsidRDefault="0071029D" w:rsidP="0023484E">
            <w:pPr>
              <w:jc w:val="both"/>
              <w:rPr>
                <w:sz w:val="20"/>
              </w:rPr>
            </w:pPr>
          </w:p>
          <w:p w:rsidR="0071029D" w:rsidRPr="00047B76" w:rsidRDefault="0071029D" w:rsidP="0023484E">
            <w:pPr>
              <w:jc w:val="both"/>
              <w:rPr>
                <w:sz w:val="20"/>
              </w:rPr>
            </w:pPr>
            <w:r w:rsidRPr="00047B76">
              <w:rPr>
                <w:sz w:val="20"/>
              </w:rPr>
              <w:t xml:space="preserve">In March 2009, the Minister of National Revenue reassessed the applicant’s 2003 and 2004 taxation years under the </w:t>
            </w:r>
            <w:r w:rsidRPr="00047B76">
              <w:rPr>
                <w:i/>
                <w:sz w:val="20"/>
              </w:rPr>
              <w:t>Income Tax Act</w:t>
            </w:r>
            <w:r w:rsidRPr="00047B76">
              <w:rPr>
                <w:sz w:val="20"/>
              </w:rPr>
              <w:t xml:space="preserve">, R.S.C. 1985, </w:t>
            </w:r>
            <w:proofErr w:type="gramStart"/>
            <w:r w:rsidRPr="00047B76">
              <w:rPr>
                <w:sz w:val="20"/>
              </w:rPr>
              <w:t>c</w:t>
            </w:r>
            <w:proofErr w:type="gramEnd"/>
            <w:r w:rsidRPr="00047B76">
              <w:rPr>
                <w:sz w:val="20"/>
              </w:rPr>
              <w:t xml:space="preserve">. 1. The applicant’s accountant filed notices of objection to the March 2009 notices of reassessment. The Minister mailed a notice of confirmation to the applicant. The applicant filed applications for an extension of time to appeal the March 2009 notices of reassessment pursuant to s. 167 of the </w:t>
            </w:r>
            <w:r w:rsidRPr="00047B76">
              <w:rPr>
                <w:i/>
                <w:sz w:val="20"/>
              </w:rPr>
              <w:t>Act</w:t>
            </w:r>
            <w:r w:rsidRPr="00047B76">
              <w:rPr>
                <w:sz w:val="20"/>
              </w:rPr>
              <w:t>. The Tax Court judge dismissed the applications for an extension of time. The Federal Court of Appeal dismissed the appeal.</w:t>
            </w:r>
          </w:p>
        </w:tc>
      </w:tr>
      <w:tr w:rsidR="0071029D" w:rsidRPr="00047B76" w:rsidTr="0023484E">
        <w:trPr>
          <w:gridAfter w:val="1"/>
          <w:wAfter w:w="48" w:type="pct"/>
        </w:trPr>
        <w:tc>
          <w:tcPr>
            <w:tcW w:w="4952" w:type="pct"/>
            <w:gridSpan w:val="3"/>
          </w:tcPr>
          <w:p w:rsidR="0071029D" w:rsidRPr="00047B76" w:rsidRDefault="0071029D" w:rsidP="0023484E">
            <w:pPr>
              <w:jc w:val="both"/>
              <w:rPr>
                <w:sz w:val="20"/>
              </w:rPr>
            </w:pPr>
          </w:p>
        </w:tc>
      </w:tr>
      <w:tr w:rsidR="0071029D" w:rsidRPr="00047B76" w:rsidTr="0023484E">
        <w:tblPrEx>
          <w:tblCellMar>
            <w:bottom w:w="0" w:type="dxa"/>
          </w:tblCellMar>
        </w:tblPrEx>
        <w:tc>
          <w:tcPr>
            <w:tcW w:w="2367" w:type="pct"/>
          </w:tcPr>
          <w:p w:rsidR="0071029D" w:rsidRPr="00047B76" w:rsidRDefault="0071029D" w:rsidP="0023484E">
            <w:pPr>
              <w:jc w:val="both"/>
              <w:rPr>
                <w:sz w:val="20"/>
              </w:rPr>
            </w:pPr>
            <w:r w:rsidRPr="00047B76">
              <w:rPr>
                <w:sz w:val="20"/>
              </w:rPr>
              <w:t>June 12, 2017</w:t>
            </w:r>
          </w:p>
          <w:p w:rsidR="0071029D" w:rsidRPr="00047B76" w:rsidRDefault="0071029D" w:rsidP="0023484E">
            <w:pPr>
              <w:jc w:val="both"/>
              <w:rPr>
                <w:sz w:val="20"/>
              </w:rPr>
            </w:pPr>
            <w:r w:rsidRPr="00047B76">
              <w:rPr>
                <w:sz w:val="20"/>
              </w:rPr>
              <w:t>Tax Court of Canada</w:t>
            </w:r>
          </w:p>
          <w:p w:rsidR="0071029D" w:rsidRPr="00047B76" w:rsidRDefault="0071029D" w:rsidP="0023484E">
            <w:pPr>
              <w:jc w:val="both"/>
              <w:rPr>
                <w:sz w:val="20"/>
              </w:rPr>
            </w:pPr>
            <w:r w:rsidRPr="00047B76">
              <w:rPr>
                <w:sz w:val="20"/>
              </w:rPr>
              <w:t>(</w:t>
            </w:r>
            <w:proofErr w:type="spellStart"/>
            <w:r w:rsidRPr="00047B76">
              <w:rPr>
                <w:sz w:val="20"/>
              </w:rPr>
              <w:t>Visser</w:t>
            </w:r>
            <w:proofErr w:type="spellEnd"/>
            <w:r w:rsidRPr="00047B76">
              <w:rPr>
                <w:sz w:val="20"/>
              </w:rPr>
              <w:t xml:space="preserve"> J.)</w:t>
            </w:r>
          </w:p>
          <w:p w:rsidR="0071029D" w:rsidRPr="00047B76" w:rsidRDefault="0071029D" w:rsidP="0023484E">
            <w:pPr>
              <w:jc w:val="both"/>
              <w:rPr>
                <w:sz w:val="20"/>
              </w:rPr>
            </w:pPr>
            <w:r w:rsidRPr="00047B76">
              <w:rPr>
                <w:sz w:val="20"/>
              </w:rPr>
              <w:t>(unreported)</w:t>
            </w:r>
          </w:p>
          <w:p w:rsidR="0071029D" w:rsidRPr="00047B76" w:rsidRDefault="0071029D" w:rsidP="0023484E">
            <w:pPr>
              <w:jc w:val="both"/>
              <w:rPr>
                <w:sz w:val="20"/>
              </w:rPr>
            </w:pPr>
          </w:p>
        </w:tc>
        <w:tc>
          <w:tcPr>
            <w:tcW w:w="267" w:type="pct"/>
          </w:tcPr>
          <w:p w:rsidR="0071029D" w:rsidRPr="00047B76" w:rsidRDefault="0071029D" w:rsidP="0023484E">
            <w:pPr>
              <w:jc w:val="both"/>
              <w:rPr>
                <w:sz w:val="20"/>
                <w:lang w:val="fr-CA"/>
              </w:rPr>
            </w:pPr>
          </w:p>
        </w:tc>
        <w:tc>
          <w:tcPr>
            <w:tcW w:w="2366" w:type="pct"/>
            <w:gridSpan w:val="2"/>
          </w:tcPr>
          <w:p w:rsidR="0071029D" w:rsidRPr="00047B76" w:rsidRDefault="0071029D" w:rsidP="0023484E">
            <w:pPr>
              <w:jc w:val="both"/>
              <w:rPr>
                <w:sz w:val="20"/>
              </w:rPr>
            </w:pPr>
            <w:r w:rsidRPr="00047B76">
              <w:rPr>
                <w:sz w:val="20"/>
              </w:rPr>
              <w:t>Applications for extension of time dismissed</w:t>
            </w:r>
          </w:p>
          <w:p w:rsidR="0071029D" w:rsidRPr="00047B76" w:rsidRDefault="0071029D" w:rsidP="0023484E">
            <w:pPr>
              <w:jc w:val="both"/>
              <w:rPr>
                <w:sz w:val="20"/>
              </w:rPr>
            </w:pPr>
          </w:p>
        </w:tc>
      </w:tr>
      <w:tr w:rsidR="0071029D" w:rsidRPr="00047B76" w:rsidTr="0023484E">
        <w:tblPrEx>
          <w:tblCellMar>
            <w:bottom w:w="0" w:type="dxa"/>
          </w:tblCellMar>
        </w:tblPrEx>
        <w:tc>
          <w:tcPr>
            <w:tcW w:w="2367" w:type="pct"/>
          </w:tcPr>
          <w:p w:rsidR="0071029D" w:rsidRPr="00047B76" w:rsidRDefault="0071029D" w:rsidP="0023484E">
            <w:pPr>
              <w:jc w:val="both"/>
              <w:rPr>
                <w:sz w:val="20"/>
              </w:rPr>
            </w:pPr>
            <w:r w:rsidRPr="00047B76">
              <w:rPr>
                <w:sz w:val="20"/>
              </w:rPr>
              <w:t>January 4, 2019</w:t>
            </w:r>
          </w:p>
          <w:p w:rsidR="0071029D" w:rsidRPr="00047B76" w:rsidRDefault="0071029D" w:rsidP="0023484E">
            <w:pPr>
              <w:jc w:val="both"/>
              <w:rPr>
                <w:sz w:val="20"/>
              </w:rPr>
            </w:pPr>
            <w:r w:rsidRPr="00047B76">
              <w:rPr>
                <w:sz w:val="20"/>
              </w:rPr>
              <w:t>Federal Court of Appeal</w:t>
            </w:r>
          </w:p>
          <w:p w:rsidR="0071029D" w:rsidRPr="00047B76" w:rsidRDefault="0071029D" w:rsidP="0023484E">
            <w:pPr>
              <w:jc w:val="both"/>
              <w:rPr>
                <w:sz w:val="20"/>
              </w:rPr>
            </w:pPr>
            <w:r w:rsidRPr="00047B76">
              <w:rPr>
                <w:sz w:val="20"/>
              </w:rPr>
              <w:t xml:space="preserve">(Webb, Rennie, </w:t>
            </w:r>
            <w:proofErr w:type="spellStart"/>
            <w:r w:rsidRPr="00047B76">
              <w:rPr>
                <w:sz w:val="20"/>
              </w:rPr>
              <w:t>Laskin</w:t>
            </w:r>
            <w:proofErr w:type="spellEnd"/>
            <w:r w:rsidRPr="00047B76">
              <w:rPr>
                <w:sz w:val="20"/>
              </w:rPr>
              <w:t xml:space="preserve"> JJ.A.)</w:t>
            </w:r>
          </w:p>
          <w:p w:rsidR="0071029D" w:rsidRPr="00047B76" w:rsidRDefault="0071029D" w:rsidP="0023484E">
            <w:pPr>
              <w:jc w:val="both"/>
              <w:rPr>
                <w:sz w:val="20"/>
                <w:lang w:val="fr-CA"/>
              </w:rPr>
            </w:pPr>
            <w:r w:rsidRPr="00047B76">
              <w:rPr>
                <w:sz w:val="20"/>
                <w:lang w:val="fr-CA"/>
              </w:rPr>
              <w:t>A</w:t>
            </w:r>
            <w:r w:rsidRPr="00047B76">
              <w:rPr>
                <w:sz w:val="20"/>
                <w:lang w:val="fr-CA"/>
              </w:rPr>
              <w:noBreakHyphen/>
              <w:t>185</w:t>
            </w:r>
            <w:r w:rsidRPr="00047B76">
              <w:rPr>
                <w:sz w:val="20"/>
                <w:lang w:val="fr-CA"/>
              </w:rPr>
              <w:noBreakHyphen/>
              <w:t>17</w:t>
            </w:r>
          </w:p>
          <w:p w:rsidR="0071029D" w:rsidRPr="00047B76" w:rsidRDefault="009A56E8" w:rsidP="0023484E">
            <w:pPr>
              <w:jc w:val="both"/>
              <w:rPr>
                <w:sz w:val="20"/>
                <w:lang w:val="fr-CA"/>
              </w:rPr>
            </w:pPr>
            <w:hyperlink r:id="rId49" w:history="1">
              <w:r w:rsidR="0071029D" w:rsidRPr="00047B76">
                <w:rPr>
                  <w:rStyle w:val="Hyperlink"/>
                  <w:sz w:val="20"/>
                  <w:lang w:val="fr-CA"/>
                </w:rPr>
                <w:t>2019 FCA 3</w:t>
              </w:r>
            </w:hyperlink>
          </w:p>
          <w:p w:rsidR="0071029D" w:rsidRPr="00047B76" w:rsidRDefault="0071029D" w:rsidP="0023484E">
            <w:pPr>
              <w:jc w:val="both"/>
              <w:rPr>
                <w:sz w:val="20"/>
                <w:lang w:val="fr-CA"/>
              </w:rPr>
            </w:pPr>
          </w:p>
        </w:tc>
        <w:tc>
          <w:tcPr>
            <w:tcW w:w="267" w:type="pct"/>
          </w:tcPr>
          <w:p w:rsidR="0071029D" w:rsidRPr="00047B76" w:rsidRDefault="0071029D" w:rsidP="0023484E">
            <w:pPr>
              <w:jc w:val="both"/>
              <w:rPr>
                <w:sz w:val="20"/>
                <w:lang w:val="fr-CA"/>
              </w:rPr>
            </w:pPr>
          </w:p>
        </w:tc>
        <w:tc>
          <w:tcPr>
            <w:tcW w:w="2366" w:type="pct"/>
            <w:gridSpan w:val="2"/>
          </w:tcPr>
          <w:p w:rsidR="0071029D" w:rsidRPr="00047B76" w:rsidRDefault="0071029D" w:rsidP="0023484E">
            <w:pPr>
              <w:jc w:val="both"/>
              <w:rPr>
                <w:sz w:val="20"/>
              </w:rPr>
            </w:pPr>
            <w:r w:rsidRPr="00047B76">
              <w:rPr>
                <w:sz w:val="20"/>
              </w:rPr>
              <w:t>Appeal dismissed with fixed costs</w:t>
            </w:r>
          </w:p>
        </w:tc>
      </w:tr>
      <w:tr w:rsidR="0071029D" w:rsidRPr="00047B76" w:rsidTr="0023484E">
        <w:tblPrEx>
          <w:tblCellMar>
            <w:bottom w:w="0" w:type="dxa"/>
          </w:tblCellMar>
        </w:tblPrEx>
        <w:tc>
          <w:tcPr>
            <w:tcW w:w="2367" w:type="pct"/>
          </w:tcPr>
          <w:p w:rsidR="0071029D" w:rsidRPr="00047B76" w:rsidRDefault="0071029D" w:rsidP="0023484E">
            <w:pPr>
              <w:jc w:val="both"/>
              <w:rPr>
                <w:sz w:val="20"/>
              </w:rPr>
            </w:pPr>
            <w:r w:rsidRPr="00047B76">
              <w:rPr>
                <w:sz w:val="20"/>
              </w:rPr>
              <w:t>March 6, 2019</w:t>
            </w:r>
          </w:p>
          <w:p w:rsidR="0071029D" w:rsidRPr="00047B76" w:rsidRDefault="0071029D" w:rsidP="0023484E">
            <w:pPr>
              <w:jc w:val="both"/>
              <w:rPr>
                <w:sz w:val="20"/>
              </w:rPr>
            </w:pPr>
            <w:r w:rsidRPr="00047B76">
              <w:rPr>
                <w:sz w:val="20"/>
              </w:rPr>
              <w:t>Supreme Court of Canada</w:t>
            </w:r>
          </w:p>
          <w:p w:rsidR="0071029D" w:rsidRPr="00047B76" w:rsidRDefault="0071029D" w:rsidP="0023484E">
            <w:pPr>
              <w:jc w:val="both"/>
              <w:rPr>
                <w:sz w:val="20"/>
              </w:rPr>
            </w:pPr>
          </w:p>
        </w:tc>
        <w:tc>
          <w:tcPr>
            <w:tcW w:w="267" w:type="pct"/>
          </w:tcPr>
          <w:p w:rsidR="0071029D" w:rsidRPr="00047B76" w:rsidRDefault="0071029D" w:rsidP="0023484E">
            <w:pPr>
              <w:jc w:val="both"/>
              <w:rPr>
                <w:sz w:val="20"/>
              </w:rPr>
            </w:pPr>
          </w:p>
        </w:tc>
        <w:tc>
          <w:tcPr>
            <w:tcW w:w="2366" w:type="pct"/>
            <w:gridSpan w:val="2"/>
          </w:tcPr>
          <w:p w:rsidR="0071029D" w:rsidRPr="00047B76" w:rsidRDefault="0071029D" w:rsidP="0023484E">
            <w:pPr>
              <w:jc w:val="both"/>
              <w:rPr>
                <w:sz w:val="20"/>
              </w:rPr>
            </w:pPr>
            <w:r w:rsidRPr="00047B76">
              <w:rPr>
                <w:sz w:val="20"/>
              </w:rPr>
              <w:t>Application for leave to appeal filed</w:t>
            </w:r>
          </w:p>
          <w:p w:rsidR="0071029D" w:rsidRPr="00047B76" w:rsidRDefault="0071029D" w:rsidP="0023484E">
            <w:pPr>
              <w:jc w:val="both"/>
              <w:rPr>
                <w:sz w:val="20"/>
              </w:rPr>
            </w:pPr>
          </w:p>
        </w:tc>
      </w:tr>
      <w:tr w:rsidR="0071029D" w:rsidRPr="00047B76" w:rsidTr="0023484E">
        <w:tblPrEx>
          <w:tblCellMar>
            <w:bottom w:w="0" w:type="dxa"/>
          </w:tblCellMar>
        </w:tblPrEx>
        <w:tc>
          <w:tcPr>
            <w:tcW w:w="2367" w:type="pct"/>
          </w:tcPr>
          <w:p w:rsidR="0071029D" w:rsidRPr="00047B76" w:rsidRDefault="0071029D" w:rsidP="0023484E">
            <w:pPr>
              <w:jc w:val="both"/>
              <w:rPr>
                <w:sz w:val="20"/>
              </w:rPr>
            </w:pPr>
            <w:r w:rsidRPr="00047B76">
              <w:rPr>
                <w:sz w:val="20"/>
              </w:rPr>
              <w:t>August 9, 2019</w:t>
            </w:r>
          </w:p>
          <w:p w:rsidR="0071029D" w:rsidRPr="00047B76" w:rsidRDefault="0071029D" w:rsidP="0023484E">
            <w:pPr>
              <w:jc w:val="both"/>
              <w:rPr>
                <w:sz w:val="20"/>
              </w:rPr>
            </w:pPr>
            <w:r w:rsidRPr="00047B76">
              <w:rPr>
                <w:sz w:val="20"/>
              </w:rPr>
              <w:t>Supreme Court of Canada</w:t>
            </w:r>
          </w:p>
        </w:tc>
        <w:tc>
          <w:tcPr>
            <w:tcW w:w="267" w:type="pct"/>
          </w:tcPr>
          <w:p w:rsidR="0071029D" w:rsidRPr="00047B76" w:rsidRDefault="0071029D" w:rsidP="0023484E">
            <w:pPr>
              <w:jc w:val="both"/>
              <w:rPr>
                <w:sz w:val="20"/>
              </w:rPr>
            </w:pPr>
          </w:p>
        </w:tc>
        <w:tc>
          <w:tcPr>
            <w:tcW w:w="2366" w:type="pct"/>
            <w:gridSpan w:val="2"/>
          </w:tcPr>
          <w:p w:rsidR="0071029D" w:rsidRPr="00047B76" w:rsidRDefault="0071029D" w:rsidP="0023484E">
            <w:pPr>
              <w:jc w:val="both"/>
              <w:rPr>
                <w:sz w:val="20"/>
              </w:rPr>
            </w:pPr>
            <w:r w:rsidRPr="00047B76">
              <w:rPr>
                <w:sz w:val="20"/>
              </w:rPr>
              <w:t>Motion for an extension of time to serve and file the application for leave to appeal filed</w:t>
            </w:r>
          </w:p>
        </w:tc>
      </w:tr>
    </w:tbl>
    <w:p w:rsidR="0071029D" w:rsidRPr="00047B76" w:rsidRDefault="0071029D" w:rsidP="0071029D">
      <w:pPr>
        <w:jc w:val="both"/>
        <w:rPr>
          <w:sz w:val="20"/>
        </w:rPr>
      </w:pPr>
    </w:p>
    <w:p w:rsidR="0071029D" w:rsidRPr="00047B76" w:rsidRDefault="009A56E8" w:rsidP="0071029D">
      <w:pPr>
        <w:jc w:val="both"/>
        <w:rPr>
          <w:sz w:val="20"/>
        </w:rPr>
      </w:pPr>
      <w:r>
        <w:rPr>
          <w:sz w:val="20"/>
        </w:rPr>
        <w:pict>
          <v:rect id="_x0000_i1052" style="width:2in;height:1pt" o:hrpct="0" o:hralign="center" o:hrstd="t" o:hrnoshade="t" o:hr="t" fillcolor="black [3213]" stroked="f"/>
        </w:pict>
      </w:r>
    </w:p>
    <w:p w:rsidR="0071029D" w:rsidRPr="00047B76" w:rsidRDefault="0071029D" w:rsidP="0071029D">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71029D" w:rsidRPr="00047B76" w:rsidTr="0023484E">
        <w:trPr>
          <w:gridAfter w:val="1"/>
          <w:wAfter w:w="48" w:type="pct"/>
        </w:trPr>
        <w:tc>
          <w:tcPr>
            <w:tcW w:w="538" w:type="pct"/>
          </w:tcPr>
          <w:p w:rsidR="0071029D" w:rsidRPr="00047B76" w:rsidRDefault="0071029D" w:rsidP="0023484E">
            <w:pPr>
              <w:jc w:val="both"/>
              <w:rPr>
                <w:sz w:val="20"/>
                <w:lang w:val="fr-CA"/>
              </w:rPr>
            </w:pPr>
            <w:r w:rsidRPr="00047B76">
              <w:rPr>
                <w:rStyle w:val="SCCFileNumberChar"/>
                <w:sz w:val="20"/>
                <w:szCs w:val="20"/>
                <w:lang w:val="fr-CA"/>
              </w:rPr>
              <w:t>38768</w:t>
            </w:r>
          </w:p>
        </w:tc>
        <w:tc>
          <w:tcPr>
            <w:tcW w:w="4414" w:type="pct"/>
            <w:gridSpan w:val="3"/>
          </w:tcPr>
          <w:p w:rsidR="0071029D" w:rsidRPr="00047B76" w:rsidRDefault="0071029D" w:rsidP="0023484E">
            <w:pPr>
              <w:pStyle w:val="SCCLsocParty"/>
              <w:jc w:val="both"/>
              <w:rPr>
                <w:b/>
                <w:sz w:val="20"/>
                <w:szCs w:val="20"/>
              </w:rPr>
            </w:pPr>
            <w:r w:rsidRPr="00047B76">
              <w:rPr>
                <w:b/>
                <w:sz w:val="20"/>
                <w:szCs w:val="20"/>
              </w:rPr>
              <w:t>Brigitte Gratl c. Sa Majesté la Reine</w:t>
            </w:r>
          </w:p>
          <w:p w:rsidR="0071029D" w:rsidRPr="00047B76" w:rsidRDefault="0071029D" w:rsidP="0023484E">
            <w:pPr>
              <w:jc w:val="both"/>
              <w:rPr>
                <w:sz w:val="20"/>
                <w:lang w:val="fr-CA"/>
              </w:rPr>
            </w:pPr>
            <w:r w:rsidRPr="00047B76">
              <w:rPr>
                <w:sz w:val="20"/>
                <w:lang w:val="fr-CA"/>
              </w:rPr>
              <w:t>(C.F.) (Civile) (Autorisation)</w:t>
            </w:r>
          </w:p>
        </w:tc>
      </w:tr>
      <w:tr w:rsidR="00E80644" w:rsidRPr="00957F6E" w:rsidTr="0023484E">
        <w:trPr>
          <w:gridAfter w:val="1"/>
          <w:wAfter w:w="48" w:type="pct"/>
        </w:trPr>
        <w:tc>
          <w:tcPr>
            <w:tcW w:w="4952" w:type="pct"/>
            <w:gridSpan w:val="4"/>
          </w:tcPr>
          <w:p w:rsidR="00E80644" w:rsidRPr="00047B76" w:rsidRDefault="00A7741A" w:rsidP="0023484E">
            <w:pPr>
              <w:pStyle w:val="SCCBanSummary0"/>
              <w:rPr>
                <w:smallCaps w:val="0"/>
                <w:sz w:val="20"/>
                <w:szCs w:val="20"/>
                <w:lang w:val="fr-CA"/>
              </w:rPr>
            </w:pPr>
            <w:r w:rsidRPr="00047B76">
              <w:rPr>
                <w:smallCaps w:val="0"/>
                <w:sz w:val="20"/>
                <w:szCs w:val="20"/>
                <w:lang w:val="fr-CA"/>
              </w:rPr>
              <w:t>La requête en prorogation du délai de signification et de dépôt de la demande d’autorisation d’appel est accueillie. La demande d’autorisation d’appel de l’arrêt de la Cour d’appel fédérale, numéro A-185-17, 2019 CAF 3, daté du 4 janvier 2019, est rejetée avec dépens.</w:t>
            </w:r>
          </w:p>
          <w:p w:rsidR="00A7741A" w:rsidRPr="00047B76" w:rsidRDefault="00A7741A" w:rsidP="00A7741A">
            <w:pPr>
              <w:rPr>
                <w:lang w:val="fr-CA"/>
              </w:rPr>
            </w:pPr>
          </w:p>
        </w:tc>
      </w:tr>
      <w:tr w:rsidR="0071029D" w:rsidRPr="00957F6E" w:rsidTr="0023484E">
        <w:trPr>
          <w:gridAfter w:val="1"/>
          <w:wAfter w:w="48" w:type="pct"/>
        </w:trPr>
        <w:tc>
          <w:tcPr>
            <w:tcW w:w="4952" w:type="pct"/>
            <w:gridSpan w:val="4"/>
          </w:tcPr>
          <w:p w:rsidR="0071029D" w:rsidRPr="00047B76" w:rsidRDefault="0071029D" w:rsidP="0023484E">
            <w:pPr>
              <w:pStyle w:val="SCCBanSummary0"/>
              <w:rPr>
                <w:sz w:val="20"/>
                <w:szCs w:val="20"/>
                <w:lang w:val="fr-CA"/>
              </w:rPr>
            </w:pPr>
            <w:r w:rsidRPr="00047B76">
              <w:rPr>
                <w:smallCaps w:val="0"/>
                <w:sz w:val="20"/>
                <w:szCs w:val="20"/>
                <w:lang w:val="fr-CA"/>
              </w:rPr>
              <w:t>Droit fiscal — Appel de cotisations d’impôt sur le revenu — La Cour d’appel fédérale a</w:t>
            </w:r>
            <w:r w:rsidRPr="00047B76">
              <w:rPr>
                <w:smallCaps w:val="0"/>
                <w:sz w:val="20"/>
                <w:szCs w:val="20"/>
                <w:lang w:val="fr-CA"/>
              </w:rPr>
              <w:noBreakHyphen/>
              <w:t>t</w:t>
            </w:r>
            <w:r w:rsidRPr="00047B76">
              <w:rPr>
                <w:smallCaps w:val="0"/>
                <w:sz w:val="20"/>
                <w:szCs w:val="20"/>
                <w:lang w:val="fr-CA"/>
              </w:rPr>
              <w:noBreakHyphen/>
              <w:t>elle commis une erreur de droit dans son examen de la preuve? — La Cour d’appel fédérale a</w:t>
            </w:r>
            <w:r w:rsidRPr="00047B76">
              <w:rPr>
                <w:smallCaps w:val="0"/>
                <w:sz w:val="20"/>
                <w:szCs w:val="20"/>
                <w:lang w:val="fr-CA"/>
              </w:rPr>
              <w:noBreakHyphen/>
              <w:t>t</w:t>
            </w:r>
            <w:r w:rsidRPr="00047B76">
              <w:rPr>
                <w:smallCaps w:val="0"/>
                <w:sz w:val="20"/>
                <w:szCs w:val="20"/>
                <w:lang w:val="fr-CA"/>
              </w:rPr>
              <w:noBreakHyphen/>
              <w:t xml:space="preserve">elle commis une erreur de droit en interprétant mal et en appliquant l’arrêt </w:t>
            </w:r>
            <w:proofErr w:type="spellStart"/>
            <w:r w:rsidRPr="00047B76">
              <w:rPr>
                <w:i/>
                <w:smallCaps w:val="0"/>
                <w:sz w:val="20"/>
                <w:szCs w:val="20"/>
                <w:lang w:val="fr-CA"/>
              </w:rPr>
              <w:t>Housen</w:t>
            </w:r>
            <w:proofErr w:type="spellEnd"/>
            <w:r w:rsidRPr="00047B76">
              <w:rPr>
                <w:i/>
                <w:smallCaps w:val="0"/>
                <w:sz w:val="20"/>
                <w:szCs w:val="20"/>
                <w:lang w:val="fr-CA"/>
              </w:rPr>
              <w:t xml:space="preserve"> c. </w:t>
            </w:r>
            <w:proofErr w:type="spellStart"/>
            <w:r w:rsidRPr="00047B76">
              <w:rPr>
                <w:i/>
                <w:smallCaps w:val="0"/>
                <w:sz w:val="20"/>
                <w:szCs w:val="20"/>
                <w:lang w:val="fr-CA"/>
              </w:rPr>
              <w:t>Nikolaisen</w:t>
            </w:r>
            <w:proofErr w:type="spellEnd"/>
            <w:r w:rsidRPr="00047B76">
              <w:rPr>
                <w:smallCaps w:val="0"/>
                <w:sz w:val="20"/>
                <w:szCs w:val="20"/>
                <w:lang w:val="fr-CA"/>
              </w:rPr>
              <w:t xml:space="preserve">, 2002 CSC 33, [2002] 2 R.C.S. 235? — La Cour d’appel </w:t>
            </w:r>
            <w:proofErr w:type="gramStart"/>
            <w:r w:rsidRPr="00047B76">
              <w:rPr>
                <w:smallCaps w:val="0"/>
                <w:sz w:val="20"/>
                <w:szCs w:val="20"/>
                <w:lang w:val="fr-CA"/>
              </w:rPr>
              <w:t>fédérale</w:t>
            </w:r>
            <w:proofErr w:type="gramEnd"/>
            <w:r w:rsidRPr="00047B76">
              <w:rPr>
                <w:smallCaps w:val="0"/>
                <w:sz w:val="20"/>
                <w:szCs w:val="20"/>
                <w:lang w:val="fr-CA"/>
              </w:rPr>
              <w:t xml:space="preserve"> a</w:t>
            </w:r>
            <w:r w:rsidRPr="00047B76">
              <w:rPr>
                <w:smallCaps w:val="0"/>
                <w:sz w:val="20"/>
                <w:szCs w:val="20"/>
                <w:lang w:val="fr-CA"/>
              </w:rPr>
              <w:noBreakHyphen/>
              <w:t>t</w:t>
            </w:r>
            <w:r w:rsidRPr="00047B76">
              <w:rPr>
                <w:smallCaps w:val="0"/>
                <w:sz w:val="20"/>
                <w:szCs w:val="20"/>
                <w:lang w:val="fr-CA"/>
              </w:rPr>
              <w:noBreakHyphen/>
              <w:t>elle commis une erreur de droit en omettant de se prononcer sur l’argument de la demanderesse selon laquelle de nouvelles cotisations ne doivent pas être établies après l’expiration du délai de trois ans?</w:t>
            </w:r>
          </w:p>
        </w:tc>
      </w:tr>
      <w:tr w:rsidR="0071029D" w:rsidRPr="00047B76" w:rsidTr="0023484E">
        <w:trPr>
          <w:gridAfter w:val="1"/>
          <w:wAfter w:w="48" w:type="pct"/>
        </w:trPr>
        <w:tc>
          <w:tcPr>
            <w:tcW w:w="4952" w:type="pct"/>
            <w:gridSpan w:val="4"/>
          </w:tcPr>
          <w:p w:rsidR="0071029D" w:rsidRPr="00047B76" w:rsidRDefault="0071029D" w:rsidP="0023484E">
            <w:pPr>
              <w:jc w:val="both"/>
              <w:rPr>
                <w:sz w:val="20"/>
                <w:lang w:val="fr-CA"/>
              </w:rPr>
            </w:pPr>
          </w:p>
          <w:p w:rsidR="0071029D" w:rsidRPr="00047B76" w:rsidRDefault="0071029D" w:rsidP="0023484E">
            <w:pPr>
              <w:jc w:val="both"/>
              <w:rPr>
                <w:sz w:val="20"/>
                <w:lang w:val="fr-CA"/>
              </w:rPr>
            </w:pPr>
            <w:r w:rsidRPr="00047B76">
              <w:rPr>
                <w:sz w:val="20"/>
                <w:lang w:val="fr-CA"/>
              </w:rPr>
              <w:t xml:space="preserve">En mars 2009, le ministre du Revenu national a établi une nouvelle cotisation relativement aux années d’imposition 2003 et 2004 de la demanderesse sous le régime de la </w:t>
            </w:r>
            <w:r w:rsidRPr="00047B76">
              <w:rPr>
                <w:i/>
                <w:sz w:val="20"/>
                <w:lang w:val="fr-CA"/>
              </w:rPr>
              <w:t>Loi de l’impôt sur le revenu</w:t>
            </w:r>
            <w:r w:rsidRPr="00047B76">
              <w:rPr>
                <w:sz w:val="20"/>
                <w:lang w:val="fr-CA"/>
              </w:rPr>
              <w:t xml:space="preserve">, L.R.C. 1985, ch. 1. Le comptable de la demanderesse a déposé des avis d’opposition aux avis de nouvelle cotisation de mars 2009. Le ministre a envoyé par la poste un avis de confirmation à la demanderesse. La demanderesse a déposé des demandes de prorogation du délai d’appel des avis de nouvelle cotisation de mars 2009 en application de l’art. 167 de la </w:t>
            </w:r>
            <w:r w:rsidRPr="00047B76">
              <w:rPr>
                <w:i/>
                <w:sz w:val="20"/>
                <w:lang w:val="fr-CA"/>
              </w:rPr>
              <w:t>Loi</w:t>
            </w:r>
            <w:r w:rsidRPr="00047B76">
              <w:rPr>
                <w:sz w:val="20"/>
                <w:lang w:val="fr-CA"/>
              </w:rPr>
              <w:t>. Le juge de la Cour de l’impôt a rejeté les demandes de prorogations de délai. La Cour d’appel fédérale a rejeté l’appel.</w:t>
            </w:r>
          </w:p>
        </w:tc>
      </w:tr>
      <w:tr w:rsidR="0071029D" w:rsidRPr="00047B76" w:rsidTr="0023484E">
        <w:trPr>
          <w:gridAfter w:val="1"/>
          <w:wAfter w:w="48" w:type="pct"/>
        </w:trPr>
        <w:tc>
          <w:tcPr>
            <w:tcW w:w="4952" w:type="pct"/>
            <w:gridSpan w:val="4"/>
          </w:tcPr>
          <w:p w:rsidR="0071029D" w:rsidRPr="00047B76" w:rsidRDefault="0071029D" w:rsidP="0023484E">
            <w:pPr>
              <w:jc w:val="both"/>
              <w:rPr>
                <w:sz w:val="20"/>
                <w:lang w:val="fr-CA"/>
              </w:rPr>
            </w:pPr>
          </w:p>
        </w:tc>
      </w:tr>
      <w:tr w:rsidR="0071029D" w:rsidRPr="00957F6E" w:rsidTr="0023484E">
        <w:tblPrEx>
          <w:tblCellMar>
            <w:bottom w:w="0" w:type="dxa"/>
          </w:tblCellMar>
        </w:tblPrEx>
        <w:tc>
          <w:tcPr>
            <w:tcW w:w="2367" w:type="pct"/>
            <w:gridSpan w:val="2"/>
          </w:tcPr>
          <w:p w:rsidR="0071029D" w:rsidRPr="00047B76" w:rsidRDefault="0071029D" w:rsidP="0023484E">
            <w:pPr>
              <w:jc w:val="both"/>
              <w:rPr>
                <w:sz w:val="20"/>
                <w:lang w:val="fr-CA"/>
              </w:rPr>
            </w:pPr>
            <w:r w:rsidRPr="00047B76">
              <w:rPr>
                <w:sz w:val="20"/>
                <w:lang w:val="fr-CA"/>
              </w:rPr>
              <w:t>12 juin 2017</w:t>
            </w:r>
          </w:p>
          <w:p w:rsidR="0071029D" w:rsidRPr="00047B76" w:rsidRDefault="0071029D" w:rsidP="0023484E">
            <w:pPr>
              <w:jc w:val="both"/>
              <w:rPr>
                <w:sz w:val="20"/>
                <w:lang w:val="fr-CA"/>
              </w:rPr>
            </w:pPr>
            <w:r w:rsidRPr="00047B76">
              <w:rPr>
                <w:sz w:val="20"/>
                <w:lang w:val="fr-CA"/>
              </w:rPr>
              <w:t>Cour canadienne de l’impôt</w:t>
            </w:r>
          </w:p>
          <w:p w:rsidR="0071029D" w:rsidRPr="00047B76" w:rsidRDefault="0071029D" w:rsidP="0023484E">
            <w:pPr>
              <w:jc w:val="both"/>
              <w:rPr>
                <w:sz w:val="20"/>
                <w:lang w:val="fr-CA"/>
              </w:rPr>
            </w:pPr>
            <w:r w:rsidRPr="00047B76">
              <w:rPr>
                <w:sz w:val="20"/>
                <w:lang w:val="fr-CA"/>
              </w:rPr>
              <w:t>(Juge Visser)</w:t>
            </w:r>
          </w:p>
          <w:p w:rsidR="0071029D" w:rsidRPr="00047B76" w:rsidRDefault="0071029D" w:rsidP="0023484E">
            <w:pPr>
              <w:jc w:val="both"/>
              <w:rPr>
                <w:sz w:val="20"/>
                <w:lang w:val="fr-CA"/>
              </w:rPr>
            </w:pPr>
            <w:r w:rsidRPr="00047B76">
              <w:rPr>
                <w:sz w:val="20"/>
                <w:lang w:val="fr-CA"/>
              </w:rPr>
              <w:t>(non publié)</w:t>
            </w:r>
          </w:p>
          <w:p w:rsidR="0071029D" w:rsidRPr="00047B76" w:rsidRDefault="0071029D" w:rsidP="0023484E">
            <w:pPr>
              <w:jc w:val="both"/>
              <w:rPr>
                <w:sz w:val="20"/>
                <w:lang w:val="fr-CA"/>
              </w:rPr>
            </w:pPr>
          </w:p>
        </w:tc>
        <w:tc>
          <w:tcPr>
            <w:tcW w:w="267" w:type="pct"/>
          </w:tcPr>
          <w:p w:rsidR="0071029D" w:rsidRPr="00047B76" w:rsidRDefault="0071029D" w:rsidP="0023484E">
            <w:pPr>
              <w:jc w:val="both"/>
              <w:rPr>
                <w:sz w:val="20"/>
                <w:lang w:val="fr-CA"/>
              </w:rPr>
            </w:pPr>
          </w:p>
        </w:tc>
        <w:tc>
          <w:tcPr>
            <w:tcW w:w="2366" w:type="pct"/>
            <w:gridSpan w:val="2"/>
          </w:tcPr>
          <w:p w:rsidR="0071029D" w:rsidRPr="00047B76" w:rsidRDefault="0071029D" w:rsidP="0023484E">
            <w:pPr>
              <w:jc w:val="both"/>
              <w:rPr>
                <w:sz w:val="20"/>
                <w:lang w:val="fr-CA"/>
              </w:rPr>
            </w:pPr>
            <w:r w:rsidRPr="00047B76">
              <w:rPr>
                <w:sz w:val="20"/>
                <w:lang w:val="fr-CA"/>
              </w:rPr>
              <w:t>Rejet des demandes de prorogation de délai</w:t>
            </w:r>
          </w:p>
          <w:p w:rsidR="0071029D" w:rsidRPr="00047B76" w:rsidRDefault="0071029D" w:rsidP="0023484E">
            <w:pPr>
              <w:jc w:val="both"/>
              <w:rPr>
                <w:sz w:val="20"/>
                <w:lang w:val="fr-CA"/>
              </w:rPr>
            </w:pPr>
          </w:p>
        </w:tc>
      </w:tr>
    </w:tbl>
    <w:p w:rsidR="00900ECD" w:rsidRPr="00047B76" w:rsidRDefault="00900ECD">
      <w:pPr>
        <w:rPr>
          <w:lang w:val="fr-CA"/>
        </w:rPr>
      </w:pPr>
      <w:r w:rsidRPr="00047B76">
        <w:rPr>
          <w:lang w:val="fr-CA"/>
        </w:rPr>
        <w:br w:type="page"/>
      </w:r>
    </w:p>
    <w:tbl>
      <w:tblPr>
        <w:tblW w:w="5000" w:type="pct"/>
        <w:tblLayout w:type="fixed"/>
        <w:tblCellMar>
          <w:left w:w="0" w:type="dxa"/>
          <w:right w:w="0" w:type="dxa"/>
        </w:tblCellMar>
        <w:tblLook w:val="04A0" w:firstRow="1" w:lastRow="0" w:firstColumn="1" w:lastColumn="0" w:noHBand="0" w:noVBand="1"/>
      </w:tblPr>
      <w:tblGrid>
        <w:gridCol w:w="4553"/>
        <w:gridCol w:w="514"/>
        <w:gridCol w:w="4552"/>
      </w:tblGrid>
      <w:tr w:rsidR="0071029D" w:rsidRPr="00957F6E" w:rsidTr="0023484E">
        <w:tc>
          <w:tcPr>
            <w:tcW w:w="2367" w:type="pct"/>
          </w:tcPr>
          <w:p w:rsidR="0071029D" w:rsidRPr="00047B76" w:rsidRDefault="0071029D" w:rsidP="0023484E">
            <w:pPr>
              <w:jc w:val="both"/>
              <w:rPr>
                <w:sz w:val="20"/>
                <w:lang w:val="fr-CA"/>
              </w:rPr>
            </w:pPr>
            <w:r w:rsidRPr="00047B76">
              <w:rPr>
                <w:sz w:val="20"/>
                <w:lang w:val="fr-CA"/>
              </w:rPr>
              <w:lastRenderedPageBreak/>
              <w:t>4 janvier 2019</w:t>
            </w:r>
          </w:p>
          <w:p w:rsidR="0071029D" w:rsidRPr="00047B76" w:rsidRDefault="0071029D" w:rsidP="0023484E">
            <w:pPr>
              <w:jc w:val="both"/>
              <w:rPr>
                <w:sz w:val="20"/>
                <w:lang w:val="fr-CA"/>
              </w:rPr>
            </w:pPr>
            <w:r w:rsidRPr="00047B76">
              <w:rPr>
                <w:sz w:val="20"/>
                <w:lang w:val="fr-CA"/>
              </w:rPr>
              <w:t>Cour d’appel fédérale</w:t>
            </w:r>
          </w:p>
          <w:p w:rsidR="0071029D" w:rsidRPr="00047B76" w:rsidRDefault="0071029D" w:rsidP="0023484E">
            <w:pPr>
              <w:jc w:val="both"/>
              <w:rPr>
                <w:sz w:val="20"/>
                <w:lang w:val="fr-CA"/>
              </w:rPr>
            </w:pPr>
            <w:r w:rsidRPr="00047B76">
              <w:rPr>
                <w:sz w:val="20"/>
                <w:lang w:val="fr-CA"/>
              </w:rPr>
              <w:t xml:space="preserve">(Juges Webb, Rennie et </w:t>
            </w:r>
            <w:proofErr w:type="spellStart"/>
            <w:r w:rsidRPr="00047B76">
              <w:rPr>
                <w:sz w:val="20"/>
                <w:lang w:val="fr-CA"/>
              </w:rPr>
              <w:t>Laskin</w:t>
            </w:r>
            <w:proofErr w:type="spellEnd"/>
            <w:r w:rsidRPr="00047B76">
              <w:rPr>
                <w:sz w:val="20"/>
                <w:lang w:val="fr-CA"/>
              </w:rPr>
              <w:t>)</w:t>
            </w:r>
          </w:p>
          <w:p w:rsidR="0071029D" w:rsidRPr="00047B76" w:rsidRDefault="0071029D" w:rsidP="0023484E">
            <w:pPr>
              <w:jc w:val="both"/>
              <w:rPr>
                <w:sz w:val="20"/>
                <w:lang w:val="fr-CA"/>
              </w:rPr>
            </w:pPr>
            <w:r w:rsidRPr="00047B76">
              <w:rPr>
                <w:sz w:val="20"/>
                <w:lang w:val="fr-CA"/>
              </w:rPr>
              <w:t>A</w:t>
            </w:r>
            <w:r w:rsidRPr="00047B76">
              <w:rPr>
                <w:sz w:val="20"/>
                <w:lang w:val="fr-CA"/>
              </w:rPr>
              <w:noBreakHyphen/>
              <w:t>185</w:t>
            </w:r>
            <w:r w:rsidRPr="00047B76">
              <w:rPr>
                <w:sz w:val="20"/>
                <w:lang w:val="fr-CA"/>
              </w:rPr>
              <w:noBreakHyphen/>
              <w:t>17</w:t>
            </w:r>
          </w:p>
          <w:p w:rsidR="0071029D" w:rsidRPr="00047B76" w:rsidRDefault="009A56E8" w:rsidP="0023484E">
            <w:pPr>
              <w:jc w:val="both"/>
              <w:rPr>
                <w:sz w:val="20"/>
                <w:lang w:val="fr-CA"/>
              </w:rPr>
            </w:pPr>
            <w:hyperlink r:id="rId50" w:history="1">
              <w:r w:rsidR="0071029D" w:rsidRPr="00047B76">
                <w:rPr>
                  <w:rStyle w:val="Hyperlink"/>
                  <w:sz w:val="20"/>
                  <w:lang w:val="fr-CA"/>
                </w:rPr>
                <w:t>2019 CAF 3</w:t>
              </w:r>
            </w:hyperlink>
          </w:p>
          <w:p w:rsidR="0071029D" w:rsidRPr="00047B76" w:rsidRDefault="0071029D" w:rsidP="0023484E">
            <w:pPr>
              <w:jc w:val="both"/>
              <w:rPr>
                <w:sz w:val="20"/>
                <w:lang w:val="fr-CA"/>
              </w:rPr>
            </w:pPr>
          </w:p>
        </w:tc>
        <w:tc>
          <w:tcPr>
            <w:tcW w:w="267" w:type="pct"/>
          </w:tcPr>
          <w:p w:rsidR="0071029D" w:rsidRPr="00047B76" w:rsidRDefault="0071029D" w:rsidP="0023484E">
            <w:pPr>
              <w:jc w:val="both"/>
              <w:rPr>
                <w:sz w:val="20"/>
                <w:lang w:val="fr-CA"/>
              </w:rPr>
            </w:pPr>
          </w:p>
        </w:tc>
        <w:tc>
          <w:tcPr>
            <w:tcW w:w="2366" w:type="pct"/>
          </w:tcPr>
          <w:p w:rsidR="0071029D" w:rsidRPr="00047B76" w:rsidRDefault="0071029D" w:rsidP="0023484E">
            <w:pPr>
              <w:jc w:val="both"/>
              <w:rPr>
                <w:sz w:val="20"/>
                <w:lang w:val="fr-CA"/>
              </w:rPr>
            </w:pPr>
            <w:r w:rsidRPr="00047B76">
              <w:rPr>
                <w:sz w:val="20"/>
                <w:lang w:val="fr-CA"/>
              </w:rPr>
              <w:t>Rejet de l’appel avec dépens fixés</w:t>
            </w:r>
          </w:p>
        </w:tc>
      </w:tr>
      <w:tr w:rsidR="0071029D" w:rsidRPr="00957F6E" w:rsidTr="0023484E">
        <w:tc>
          <w:tcPr>
            <w:tcW w:w="2367" w:type="pct"/>
          </w:tcPr>
          <w:p w:rsidR="0071029D" w:rsidRPr="00047B76" w:rsidRDefault="0071029D" w:rsidP="0023484E">
            <w:pPr>
              <w:jc w:val="both"/>
              <w:rPr>
                <w:sz w:val="20"/>
                <w:lang w:val="fr-CA"/>
              </w:rPr>
            </w:pPr>
            <w:r w:rsidRPr="00047B76">
              <w:rPr>
                <w:sz w:val="20"/>
                <w:lang w:val="fr-CA"/>
              </w:rPr>
              <w:t>6 mars 2019</w:t>
            </w:r>
          </w:p>
          <w:p w:rsidR="0071029D" w:rsidRPr="00047B76" w:rsidRDefault="0071029D" w:rsidP="0023484E">
            <w:pPr>
              <w:jc w:val="both"/>
              <w:rPr>
                <w:sz w:val="20"/>
                <w:lang w:val="fr-CA"/>
              </w:rPr>
            </w:pPr>
            <w:r w:rsidRPr="00047B76">
              <w:rPr>
                <w:sz w:val="20"/>
                <w:lang w:val="fr-CA"/>
              </w:rPr>
              <w:t>Cour suprême du Canada</w:t>
            </w:r>
          </w:p>
          <w:p w:rsidR="0071029D" w:rsidRPr="00047B76" w:rsidRDefault="0071029D" w:rsidP="0023484E">
            <w:pPr>
              <w:jc w:val="both"/>
              <w:rPr>
                <w:sz w:val="20"/>
                <w:lang w:val="fr-CA"/>
              </w:rPr>
            </w:pPr>
          </w:p>
        </w:tc>
        <w:tc>
          <w:tcPr>
            <w:tcW w:w="267" w:type="pct"/>
          </w:tcPr>
          <w:p w:rsidR="0071029D" w:rsidRPr="00047B76" w:rsidRDefault="0071029D" w:rsidP="0023484E">
            <w:pPr>
              <w:jc w:val="both"/>
              <w:rPr>
                <w:sz w:val="20"/>
                <w:lang w:val="fr-CA"/>
              </w:rPr>
            </w:pPr>
          </w:p>
        </w:tc>
        <w:tc>
          <w:tcPr>
            <w:tcW w:w="2366" w:type="pct"/>
          </w:tcPr>
          <w:p w:rsidR="0071029D" w:rsidRPr="00047B76" w:rsidRDefault="0071029D" w:rsidP="0023484E">
            <w:pPr>
              <w:jc w:val="both"/>
              <w:rPr>
                <w:sz w:val="20"/>
                <w:lang w:val="fr-CA"/>
              </w:rPr>
            </w:pPr>
            <w:r w:rsidRPr="00047B76">
              <w:rPr>
                <w:sz w:val="20"/>
                <w:lang w:val="fr-CA"/>
              </w:rPr>
              <w:t>Dépôt de la demande d’autorisation d’appel</w:t>
            </w:r>
          </w:p>
          <w:p w:rsidR="0071029D" w:rsidRPr="00047B76" w:rsidRDefault="0071029D" w:rsidP="0023484E">
            <w:pPr>
              <w:jc w:val="both"/>
              <w:rPr>
                <w:sz w:val="20"/>
                <w:lang w:val="fr-CA"/>
              </w:rPr>
            </w:pPr>
          </w:p>
        </w:tc>
      </w:tr>
      <w:tr w:rsidR="0071029D" w:rsidRPr="00957F6E" w:rsidTr="0023484E">
        <w:tc>
          <w:tcPr>
            <w:tcW w:w="2367" w:type="pct"/>
          </w:tcPr>
          <w:p w:rsidR="0071029D" w:rsidRPr="00047B76" w:rsidRDefault="0071029D" w:rsidP="0023484E">
            <w:pPr>
              <w:jc w:val="both"/>
              <w:rPr>
                <w:sz w:val="20"/>
                <w:lang w:val="fr-CA"/>
              </w:rPr>
            </w:pPr>
            <w:r w:rsidRPr="00047B76">
              <w:rPr>
                <w:sz w:val="20"/>
                <w:lang w:val="fr-CA"/>
              </w:rPr>
              <w:t>9 août 2019</w:t>
            </w:r>
          </w:p>
          <w:p w:rsidR="0071029D" w:rsidRPr="00047B76" w:rsidRDefault="0071029D" w:rsidP="0023484E">
            <w:pPr>
              <w:jc w:val="both"/>
              <w:rPr>
                <w:sz w:val="20"/>
                <w:lang w:val="fr-CA"/>
              </w:rPr>
            </w:pPr>
            <w:r w:rsidRPr="00047B76">
              <w:rPr>
                <w:sz w:val="20"/>
                <w:lang w:val="fr-CA"/>
              </w:rPr>
              <w:t>Cour suprême du Canada</w:t>
            </w:r>
          </w:p>
          <w:p w:rsidR="0071029D" w:rsidRPr="00047B76" w:rsidRDefault="0071029D" w:rsidP="0023484E">
            <w:pPr>
              <w:jc w:val="both"/>
              <w:rPr>
                <w:sz w:val="20"/>
                <w:lang w:val="fr-CA"/>
              </w:rPr>
            </w:pPr>
          </w:p>
        </w:tc>
        <w:tc>
          <w:tcPr>
            <w:tcW w:w="267" w:type="pct"/>
          </w:tcPr>
          <w:p w:rsidR="0071029D" w:rsidRPr="00047B76" w:rsidRDefault="0071029D" w:rsidP="0023484E">
            <w:pPr>
              <w:jc w:val="both"/>
              <w:rPr>
                <w:sz w:val="20"/>
                <w:lang w:val="fr-CA"/>
              </w:rPr>
            </w:pPr>
          </w:p>
        </w:tc>
        <w:tc>
          <w:tcPr>
            <w:tcW w:w="2366" w:type="pct"/>
          </w:tcPr>
          <w:p w:rsidR="0071029D" w:rsidRPr="00047B76" w:rsidRDefault="0071029D" w:rsidP="0023484E">
            <w:pPr>
              <w:jc w:val="both"/>
              <w:rPr>
                <w:sz w:val="20"/>
                <w:lang w:val="fr-CA"/>
              </w:rPr>
            </w:pPr>
            <w:r w:rsidRPr="00047B76">
              <w:rPr>
                <w:sz w:val="20"/>
                <w:lang w:val="fr-CA"/>
              </w:rPr>
              <w:t>Dépôt de la requête en prorogation du délai de signification et de dépôt de la demande d’autorisation d’appel</w:t>
            </w:r>
          </w:p>
        </w:tc>
      </w:tr>
    </w:tbl>
    <w:p w:rsidR="0071029D" w:rsidRPr="00047B76" w:rsidRDefault="0071029D" w:rsidP="0071029D">
      <w:pPr>
        <w:jc w:val="both"/>
        <w:rPr>
          <w:sz w:val="20"/>
          <w:lang w:val="fr-CA"/>
        </w:rPr>
      </w:pPr>
    </w:p>
    <w:p w:rsidR="0071029D" w:rsidRPr="00047B76" w:rsidRDefault="009A56E8" w:rsidP="0071029D">
      <w:pPr>
        <w:jc w:val="both"/>
        <w:rPr>
          <w:sz w:val="20"/>
          <w:lang w:val="fr-CA"/>
        </w:rPr>
      </w:pPr>
      <w:r>
        <w:rPr>
          <w:sz w:val="20"/>
        </w:rPr>
        <w:pict>
          <v:rect id="_x0000_i1053" style="width:2in;height:1pt" o:hrpct="0" o:hralign="center" o:hrstd="t" o:hrnoshade="t" o:hr="t" fillcolor="black [3213]" stroked="f"/>
        </w:pict>
      </w:r>
    </w:p>
    <w:p w:rsidR="0071029D" w:rsidRPr="00047B76" w:rsidRDefault="0071029D" w:rsidP="0071029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3"/>
        <w:gridCol w:w="3590"/>
        <w:gridCol w:w="463"/>
        <w:gridCol w:w="4441"/>
      </w:tblGrid>
      <w:tr w:rsidR="0071029D" w:rsidRPr="00047B76" w:rsidTr="0023484E">
        <w:tc>
          <w:tcPr>
            <w:tcW w:w="542" w:type="pct"/>
          </w:tcPr>
          <w:p w:rsidR="0071029D" w:rsidRPr="00047B76" w:rsidRDefault="0071029D" w:rsidP="0023484E">
            <w:pPr>
              <w:jc w:val="both"/>
              <w:rPr>
                <w:sz w:val="20"/>
              </w:rPr>
            </w:pPr>
            <w:r w:rsidRPr="00047B76">
              <w:rPr>
                <w:rStyle w:val="SCCFileNumberChar"/>
                <w:sz w:val="20"/>
                <w:szCs w:val="20"/>
              </w:rPr>
              <w:t>38738</w:t>
            </w:r>
          </w:p>
        </w:tc>
        <w:tc>
          <w:tcPr>
            <w:tcW w:w="4458" w:type="pct"/>
            <w:gridSpan w:val="3"/>
          </w:tcPr>
          <w:p w:rsidR="0071029D" w:rsidRPr="00047B76" w:rsidRDefault="0071029D" w:rsidP="0023484E">
            <w:pPr>
              <w:pStyle w:val="SCCLsocParty"/>
              <w:jc w:val="both"/>
              <w:rPr>
                <w:b/>
                <w:sz w:val="20"/>
                <w:szCs w:val="20"/>
                <w:lang w:val="en-US"/>
              </w:rPr>
            </w:pPr>
            <w:r w:rsidRPr="00047B76">
              <w:rPr>
                <w:b/>
                <w:sz w:val="20"/>
                <w:szCs w:val="20"/>
                <w:lang w:val="en-US"/>
              </w:rPr>
              <w:t>Peoples Trust Company, Peoples Card Services Limited Partnership, Peoples Card Services Ltd., Vancouver City Savings Credit Union, Citizens Bank of Canada and All Trans Financial Services Credit Union Ltd. v. Ying Jiang</w:t>
            </w:r>
          </w:p>
          <w:p w:rsidR="0071029D" w:rsidRPr="00047B76" w:rsidRDefault="0071029D" w:rsidP="0023484E">
            <w:pPr>
              <w:jc w:val="both"/>
              <w:rPr>
                <w:sz w:val="20"/>
              </w:rPr>
            </w:pPr>
            <w:r w:rsidRPr="00047B76">
              <w:rPr>
                <w:sz w:val="20"/>
              </w:rPr>
              <w:t>(B.C.) (Civil) (By Leave)</w:t>
            </w:r>
          </w:p>
        </w:tc>
      </w:tr>
      <w:tr w:rsidR="00E80644" w:rsidRPr="00047B76" w:rsidTr="0023484E">
        <w:tc>
          <w:tcPr>
            <w:tcW w:w="5000" w:type="pct"/>
            <w:gridSpan w:val="4"/>
          </w:tcPr>
          <w:p w:rsidR="00C12392" w:rsidRPr="00047B76" w:rsidRDefault="00C12392" w:rsidP="00C12392">
            <w:pPr>
              <w:jc w:val="both"/>
              <w:rPr>
                <w:sz w:val="20"/>
                <w:szCs w:val="20"/>
              </w:rPr>
            </w:pPr>
            <w:r w:rsidRPr="00047B76">
              <w:rPr>
                <w:sz w:val="20"/>
                <w:szCs w:val="20"/>
              </w:rPr>
              <w:t>The motion to join three Court of Appeal for British Columbia files in a single application for leave to appeal is granted. The application for leave to appeal from the judgment of the Court of Appeal for British Columbia (Vancouver), Numbers CA45188, CA45192 and CA45193,  2019 BCCA 149, dated May 2, 2019, is dismissed with costs.</w:t>
            </w:r>
          </w:p>
          <w:p w:rsidR="00E80644" w:rsidRPr="00047B76" w:rsidRDefault="00E80644" w:rsidP="0023484E">
            <w:pPr>
              <w:jc w:val="both"/>
              <w:rPr>
                <w:sz w:val="20"/>
              </w:rPr>
            </w:pPr>
          </w:p>
        </w:tc>
      </w:tr>
      <w:tr w:rsidR="0071029D" w:rsidRPr="00047B76" w:rsidTr="0023484E">
        <w:tc>
          <w:tcPr>
            <w:tcW w:w="5000" w:type="pct"/>
            <w:gridSpan w:val="4"/>
          </w:tcPr>
          <w:p w:rsidR="0071029D" w:rsidRPr="00047B76" w:rsidRDefault="0071029D" w:rsidP="0023484E">
            <w:pPr>
              <w:jc w:val="both"/>
              <w:rPr>
                <w:sz w:val="20"/>
              </w:rPr>
            </w:pPr>
            <w:r w:rsidRPr="00047B76">
              <w:rPr>
                <w:sz w:val="20"/>
              </w:rPr>
              <w:t>Civil procedure — Class actions — Preferable procedure — How the goals of access to justice and behaviour modification fit into the framework of analyzing whether a class proceeding would be the preferable procedure for the fair and efficient resolution of the common issues — Whether the lower courts failed to grapple with the issues and failed to provide responsive reasons.</w:t>
            </w:r>
          </w:p>
        </w:tc>
      </w:tr>
      <w:tr w:rsidR="0071029D" w:rsidRPr="00047B76" w:rsidTr="0023484E">
        <w:tc>
          <w:tcPr>
            <w:tcW w:w="5000" w:type="pct"/>
            <w:gridSpan w:val="4"/>
          </w:tcPr>
          <w:p w:rsidR="0071029D" w:rsidRPr="00047B76" w:rsidRDefault="0071029D" w:rsidP="0023484E">
            <w:pPr>
              <w:jc w:val="both"/>
              <w:rPr>
                <w:sz w:val="20"/>
              </w:rPr>
            </w:pPr>
          </w:p>
        </w:tc>
      </w:tr>
      <w:tr w:rsidR="0071029D" w:rsidRPr="00047B76" w:rsidTr="0023484E">
        <w:tc>
          <w:tcPr>
            <w:tcW w:w="5000" w:type="pct"/>
            <w:gridSpan w:val="4"/>
          </w:tcPr>
          <w:p w:rsidR="0071029D" w:rsidRPr="00047B76" w:rsidRDefault="0071029D" w:rsidP="0023484E">
            <w:pPr>
              <w:jc w:val="both"/>
              <w:rPr>
                <w:sz w:val="20"/>
              </w:rPr>
            </w:pPr>
            <w:r w:rsidRPr="00047B76">
              <w:rPr>
                <w:rFonts w:eastAsia="Calibri"/>
                <w:sz w:val="20"/>
              </w:rPr>
              <w:t>Ms. Jiang bought a card issued by Citizens Bank and branded with a VISA logo from a retailer in Burnaby, B.C., for personal purposes. It had a face value of $25, but, as there was a $3.95 activation fee, she paid $28.95 for the card. The card was “good through 11/96”, had a monthly fee of $2.50 after that date, and was non</w:t>
            </w:r>
            <w:r w:rsidRPr="00047B76">
              <w:rPr>
                <w:rFonts w:eastAsia="Calibri"/>
                <w:sz w:val="20"/>
              </w:rPr>
              <w:noBreakHyphen/>
              <w:t xml:space="preserve">refundable. She filed an action under Part 4 of the </w:t>
            </w:r>
            <w:r w:rsidRPr="00047B76">
              <w:rPr>
                <w:rFonts w:eastAsia="Calibri"/>
                <w:i/>
                <w:sz w:val="20"/>
              </w:rPr>
              <w:t>Business Practices and Consumer Protection Act</w:t>
            </w:r>
            <w:r w:rsidRPr="00047B76">
              <w:rPr>
                <w:rFonts w:eastAsia="Calibri"/>
                <w:sz w:val="20"/>
              </w:rPr>
              <w:t>, S.B.C. 2004, c. 2, against the applicant financial institutions. The cards look and function like a credit card, are branded as VISA, American Express or MasterCard, and may be used for various purposes.</w:t>
            </w:r>
            <w:r w:rsidRPr="00047B76">
              <w:rPr>
                <w:sz w:val="20"/>
              </w:rPr>
              <w:t xml:space="preserve"> She sought declarations; an accounting, restitution and restoration of fees; damages; and an injunction. She applied to have the action certified under the </w:t>
            </w:r>
            <w:r w:rsidRPr="00047B76">
              <w:rPr>
                <w:i/>
                <w:sz w:val="20"/>
              </w:rPr>
              <w:t>Class Proceeding Act</w:t>
            </w:r>
            <w:r w:rsidRPr="00047B76">
              <w:rPr>
                <w:sz w:val="20"/>
              </w:rPr>
              <w:t>, R.S.B.C. 1996, c. 50, with herself as representative plaintiff. The application to certify the action as a class proceeding was dismissed due to the inability to objectively identify the class members. The Court of Appeal allowed the appeal and remitted the application to the lower court for determination of the remaining issues. The action was certified as a class proceeding, Ms. Jiang was appointed representative plaintiff for the resident and non</w:t>
            </w:r>
            <w:r w:rsidRPr="00047B76">
              <w:rPr>
                <w:sz w:val="20"/>
              </w:rPr>
              <w:noBreakHyphen/>
              <w:t>resident classes, and five common issues were certified. The Court of Appeal dismissed three further appeals.</w:t>
            </w:r>
          </w:p>
          <w:p w:rsidR="0071029D" w:rsidRPr="00047B76" w:rsidRDefault="0071029D" w:rsidP="0023484E">
            <w:pPr>
              <w:jc w:val="both"/>
              <w:rPr>
                <w:sz w:val="20"/>
              </w:rPr>
            </w:pPr>
          </w:p>
        </w:tc>
      </w:tr>
      <w:tr w:rsidR="0071029D" w:rsidRPr="00047B76" w:rsidTr="0023484E">
        <w:trPr>
          <w:trHeight w:val="864"/>
        </w:trPr>
        <w:tc>
          <w:tcPr>
            <w:tcW w:w="2426" w:type="pct"/>
            <w:gridSpan w:val="2"/>
          </w:tcPr>
          <w:p w:rsidR="0071029D" w:rsidRPr="00047B76" w:rsidRDefault="0071029D" w:rsidP="0023484E">
            <w:pPr>
              <w:jc w:val="both"/>
              <w:rPr>
                <w:sz w:val="20"/>
              </w:rPr>
            </w:pPr>
            <w:r w:rsidRPr="00047B76">
              <w:rPr>
                <w:sz w:val="20"/>
              </w:rPr>
              <w:t>March 3, 2016</w:t>
            </w:r>
          </w:p>
          <w:p w:rsidR="0071029D" w:rsidRPr="00047B76" w:rsidRDefault="0071029D" w:rsidP="0023484E">
            <w:pPr>
              <w:jc w:val="both"/>
              <w:rPr>
                <w:sz w:val="20"/>
              </w:rPr>
            </w:pPr>
            <w:r w:rsidRPr="00047B76">
              <w:rPr>
                <w:sz w:val="20"/>
              </w:rPr>
              <w:t>Supreme Court of British Columbia</w:t>
            </w:r>
          </w:p>
          <w:p w:rsidR="0071029D" w:rsidRPr="00047B76" w:rsidRDefault="0071029D" w:rsidP="0023484E">
            <w:pPr>
              <w:jc w:val="both"/>
              <w:rPr>
                <w:sz w:val="20"/>
              </w:rPr>
            </w:pPr>
            <w:r w:rsidRPr="00047B76">
              <w:rPr>
                <w:sz w:val="20"/>
              </w:rPr>
              <w:t>(Bowden J.)</w:t>
            </w:r>
          </w:p>
          <w:p w:rsidR="0071029D" w:rsidRPr="00047B76" w:rsidRDefault="009A56E8" w:rsidP="0023484E">
            <w:pPr>
              <w:jc w:val="both"/>
              <w:rPr>
                <w:sz w:val="20"/>
              </w:rPr>
            </w:pPr>
            <w:hyperlink r:id="rId51" w:anchor="document" w:history="1">
              <w:r w:rsidR="0071029D" w:rsidRPr="00047B76">
                <w:rPr>
                  <w:rStyle w:val="Hyperlink"/>
                  <w:sz w:val="20"/>
                </w:rPr>
                <w:t>2016 BCSC 368</w:t>
              </w:r>
            </w:hyperlink>
          </w:p>
          <w:p w:rsidR="0071029D" w:rsidRPr="00047B76" w:rsidRDefault="0071029D" w:rsidP="0023484E">
            <w:pPr>
              <w:jc w:val="both"/>
              <w:rPr>
                <w:sz w:val="20"/>
              </w:rPr>
            </w:pPr>
          </w:p>
        </w:tc>
        <w:tc>
          <w:tcPr>
            <w:tcW w:w="243" w:type="pct"/>
          </w:tcPr>
          <w:p w:rsidR="0071029D" w:rsidRPr="00047B76" w:rsidRDefault="0071029D" w:rsidP="0023484E">
            <w:pPr>
              <w:jc w:val="both"/>
              <w:rPr>
                <w:sz w:val="20"/>
              </w:rPr>
            </w:pPr>
          </w:p>
        </w:tc>
        <w:tc>
          <w:tcPr>
            <w:tcW w:w="2331" w:type="pct"/>
          </w:tcPr>
          <w:p w:rsidR="0071029D" w:rsidRPr="00047B76" w:rsidRDefault="0071029D" w:rsidP="0023484E">
            <w:pPr>
              <w:jc w:val="both"/>
              <w:rPr>
                <w:sz w:val="20"/>
              </w:rPr>
            </w:pPr>
            <w:r w:rsidRPr="00047B76">
              <w:rPr>
                <w:sz w:val="20"/>
              </w:rPr>
              <w:t xml:space="preserve">Application for certification of an action as a class proceeding under </w:t>
            </w:r>
            <w:r w:rsidRPr="00047B76">
              <w:rPr>
                <w:i/>
                <w:sz w:val="20"/>
              </w:rPr>
              <w:t>Class Proceeding Act</w:t>
            </w:r>
            <w:r w:rsidRPr="00047B76">
              <w:rPr>
                <w:sz w:val="20"/>
              </w:rPr>
              <w:t>, R.S.B.C. 1996, c. 50, dismissed</w:t>
            </w:r>
          </w:p>
          <w:p w:rsidR="0071029D" w:rsidRPr="00047B76" w:rsidRDefault="0071029D" w:rsidP="0023484E">
            <w:pPr>
              <w:jc w:val="both"/>
              <w:rPr>
                <w:sz w:val="20"/>
              </w:rPr>
            </w:pPr>
          </w:p>
        </w:tc>
      </w:tr>
      <w:tr w:rsidR="0071029D" w:rsidRPr="00047B76" w:rsidTr="0023484E">
        <w:tc>
          <w:tcPr>
            <w:tcW w:w="2426" w:type="pct"/>
            <w:gridSpan w:val="2"/>
          </w:tcPr>
          <w:p w:rsidR="0071029D" w:rsidRPr="00047B76" w:rsidRDefault="0071029D" w:rsidP="0023484E">
            <w:pPr>
              <w:jc w:val="both"/>
              <w:rPr>
                <w:sz w:val="20"/>
              </w:rPr>
            </w:pPr>
            <w:r w:rsidRPr="00047B76">
              <w:rPr>
                <w:sz w:val="20"/>
              </w:rPr>
              <w:t>March 3, 2016</w:t>
            </w:r>
          </w:p>
          <w:p w:rsidR="0071029D" w:rsidRPr="00047B76" w:rsidRDefault="0071029D" w:rsidP="0023484E">
            <w:pPr>
              <w:jc w:val="both"/>
              <w:rPr>
                <w:sz w:val="20"/>
              </w:rPr>
            </w:pPr>
            <w:r w:rsidRPr="00047B76">
              <w:rPr>
                <w:sz w:val="20"/>
              </w:rPr>
              <w:t xml:space="preserve">Court of Appeal for British Columbia </w:t>
            </w:r>
          </w:p>
          <w:p w:rsidR="0071029D" w:rsidRPr="00047B76" w:rsidRDefault="0071029D" w:rsidP="0023484E">
            <w:pPr>
              <w:jc w:val="both"/>
              <w:rPr>
                <w:sz w:val="20"/>
              </w:rPr>
            </w:pPr>
            <w:r w:rsidRPr="00047B76">
              <w:rPr>
                <w:sz w:val="20"/>
              </w:rPr>
              <w:t>(Vancouver)</w:t>
            </w:r>
          </w:p>
          <w:p w:rsidR="0071029D" w:rsidRPr="00047B76" w:rsidRDefault="0071029D" w:rsidP="0023484E">
            <w:pPr>
              <w:jc w:val="both"/>
              <w:rPr>
                <w:sz w:val="20"/>
              </w:rPr>
            </w:pPr>
            <w:r w:rsidRPr="00047B76">
              <w:rPr>
                <w:sz w:val="20"/>
              </w:rPr>
              <w:t>(Bauman C.J.B.C., Willcock, Fitch JJ.A.)</w:t>
            </w:r>
          </w:p>
          <w:p w:rsidR="0071029D" w:rsidRPr="00047B76" w:rsidRDefault="009A56E8" w:rsidP="0023484E">
            <w:pPr>
              <w:jc w:val="both"/>
              <w:rPr>
                <w:sz w:val="20"/>
              </w:rPr>
            </w:pPr>
            <w:hyperlink r:id="rId52" w:history="1">
              <w:r w:rsidR="0071029D" w:rsidRPr="00047B76">
                <w:rPr>
                  <w:rStyle w:val="Hyperlink"/>
                  <w:sz w:val="20"/>
                </w:rPr>
                <w:t>2017 BCCA 119</w:t>
              </w:r>
            </w:hyperlink>
          </w:p>
          <w:p w:rsidR="0071029D" w:rsidRPr="00047B76" w:rsidRDefault="0071029D" w:rsidP="0023484E">
            <w:pPr>
              <w:jc w:val="both"/>
              <w:rPr>
                <w:sz w:val="20"/>
              </w:rPr>
            </w:pPr>
          </w:p>
        </w:tc>
        <w:tc>
          <w:tcPr>
            <w:tcW w:w="243" w:type="pct"/>
          </w:tcPr>
          <w:p w:rsidR="0071029D" w:rsidRPr="00047B76" w:rsidRDefault="0071029D" w:rsidP="0023484E">
            <w:pPr>
              <w:jc w:val="both"/>
              <w:rPr>
                <w:sz w:val="20"/>
              </w:rPr>
            </w:pPr>
          </w:p>
        </w:tc>
        <w:tc>
          <w:tcPr>
            <w:tcW w:w="2331" w:type="pct"/>
          </w:tcPr>
          <w:p w:rsidR="0071029D" w:rsidRPr="00047B76" w:rsidRDefault="0071029D" w:rsidP="0023484E">
            <w:pPr>
              <w:jc w:val="both"/>
              <w:rPr>
                <w:sz w:val="20"/>
              </w:rPr>
            </w:pPr>
            <w:r w:rsidRPr="00047B76">
              <w:rPr>
                <w:sz w:val="20"/>
              </w:rPr>
              <w:t>Appeal allowed; certification application remitted to chambers judge</w:t>
            </w:r>
          </w:p>
        </w:tc>
      </w:tr>
      <w:tr w:rsidR="0071029D" w:rsidRPr="00047B76" w:rsidTr="0023484E">
        <w:tc>
          <w:tcPr>
            <w:tcW w:w="2426" w:type="pct"/>
            <w:gridSpan w:val="2"/>
          </w:tcPr>
          <w:p w:rsidR="0071029D" w:rsidRPr="00047B76" w:rsidRDefault="0071029D" w:rsidP="0023484E">
            <w:pPr>
              <w:jc w:val="both"/>
              <w:rPr>
                <w:sz w:val="20"/>
              </w:rPr>
            </w:pPr>
            <w:r w:rsidRPr="00047B76">
              <w:rPr>
                <w:sz w:val="20"/>
              </w:rPr>
              <w:lastRenderedPageBreak/>
              <w:t>March 1, 2018</w:t>
            </w:r>
          </w:p>
          <w:p w:rsidR="0071029D" w:rsidRPr="00047B76" w:rsidRDefault="0071029D" w:rsidP="0023484E">
            <w:pPr>
              <w:jc w:val="both"/>
              <w:rPr>
                <w:sz w:val="20"/>
              </w:rPr>
            </w:pPr>
            <w:r w:rsidRPr="00047B76">
              <w:rPr>
                <w:sz w:val="20"/>
              </w:rPr>
              <w:t>Supreme Court of British Columbia</w:t>
            </w:r>
          </w:p>
          <w:p w:rsidR="0071029D" w:rsidRPr="00047B76" w:rsidRDefault="0071029D" w:rsidP="0023484E">
            <w:pPr>
              <w:jc w:val="both"/>
              <w:rPr>
                <w:sz w:val="20"/>
              </w:rPr>
            </w:pPr>
            <w:r w:rsidRPr="00047B76">
              <w:rPr>
                <w:sz w:val="20"/>
              </w:rPr>
              <w:t>(Bowden J.)</w:t>
            </w:r>
          </w:p>
          <w:p w:rsidR="0071029D" w:rsidRPr="00047B76" w:rsidRDefault="009A56E8" w:rsidP="0023484E">
            <w:pPr>
              <w:jc w:val="both"/>
              <w:rPr>
                <w:sz w:val="20"/>
              </w:rPr>
            </w:pPr>
            <w:hyperlink r:id="rId53" w:history="1">
              <w:r w:rsidR="0071029D" w:rsidRPr="00047B76">
                <w:rPr>
                  <w:rStyle w:val="Hyperlink"/>
                  <w:sz w:val="20"/>
                </w:rPr>
                <w:t>2018 BCSC 299</w:t>
              </w:r>
            </w:hyperlink>
          </w:p>
          <w:p w:rsidR="0071029D" w:rsidRPr="00047B76" w:rsidRDefault="0071029D" w:rsidP="0023484E">
            <w:pPr>
              <w:jc w:val="both"/>
              <w:rPr>
                <w:sz w:val="20"/>
              </w:rPr>
            </w:pPr>
          </w:p>
        </w:tc>
        <w:tc>
          <w:tcPr>
            <w:tcW w:w="243" w:type="pct"/>
          </w:tcPr>
          <w:p w:rsidR="0071029D" w:rsidRPr="00047B76" w:rsidRDefault="0071029D" w:rsidP="0023484E">
            <w:pPr>
              <w:jc w:val="both"/>
              <w:rPr>
                <w:sz w:val="20"/>
              </w:rPr>
            </w:pPr>
          </w:p>
        </w:tc>
        <w:tc>
          <w:tcPr>
            <w:tcW w:w="2331" w:type="pct"/>
          </w:tcPr>
          <w:p w:rsidR="0071029D" w:rsidRPr="00047B76" w:rsidRDefault="0071029D" w:rsidP="0023484E">
            <w:pPr>
              <w:jc w:val="both"/>
              <w:rPr>
                <w:sz w:val="20"/>
              </w:rPr>
            </w:pPr>
            <w:r w:rsidRPr="00047B76">
              <w:rPr>
                <w:i/>
                <w:sz w:val="20"/>
              </w:rPr>
              <w:t>Inter alia</w:t>
            </w:r>
            <w:r w:rsidRPr="00047B76">
              <w:rPr>
                <w:sz w:val="20"/>
              </w:rPr>
              <w:t>, certification granted; plaintiff classes defined; Ms. Jiang appointed as representative plaintiff for both classes; common issues stated.</w:t>
            </w:r>
          </w:p>
          <w:p w:rsidR="0071029D" w:rsidRPr="00047B76" w:rsidRDefault="0071029D" w:rsidP="0023484E">
            <w:pPr>
              <w:jc w:val="both"/>
              <w:rPr>
                <w:sz w:val="20"/>
              </w:rPr>
            </w:pPr>
          </w:p>
        </w:tc>
      </w:tr>
      <w:tr w:rsidR="0071029D" w:rsidRPr="00047B76" w:rsidTr="0023484E">
        <w:tc>
          <w:tcPr>
            <w:tcW w:w="2426" w:type="pct"/>
            <w:gridSpan w:val="2"/>
          </w:tcPr>
          <w:p w:rsidR="0071029D" w:rsidRPr="00047B76" w:rsidRDefault="0071029D" w:rsidP="0023484E">
            <w:pPr>
              <w:jc w:val="both"/>
              <w:rPr>
                <w:sz w:val="20"/>
              </w:rPr>
            </w:pPr>
            <w:r w:rsidRPr="00047B76">
              <w:rPr>
                <w:sz w:val="20"/>
              </w:rPr>
              <w:t>May 2, 2019</w:t>
            </w:r>
          </w:p>
          <w:p w:rsidR="0071029D" w:rsidRPr="00047B76" w:rsidRDefault="0071029D" w:rsidP="0023484E">
            <w:pPr>
              <w:jc w:val="both"/>
              <w:rPr>
                <w:sz w:val="20"/>
              </w:rPr>
            </w:pPr>
            <w:r w:rsidRPr="00047B76">
              <w:rPr>
                <w:sz w:val="20"/>
              </w:rPr>
              <w:t xml:space="preserve">Court of Appeal for British Columbia </w:t>
            </w:r>
          </w:p>
          <w:p w:rsidR="0071029D" w:rsidRPr="00047B76" w:rsidRDefault="0071029D" w:rsidP="0023484E">
            <w:pPr>
              <w:jc w:val="both"/>
              <w:rPr>
                <w:sz w:val="20"/>
              </w:rPr>
            </w:pPr>
            <w:r w:rsidRPr="00047B76">
              <w:rPr>
                <w:sz w:val="20"/>
              </w:rPr>
              <w:t>(Vancouver)</w:t>
            </w:r>
          </w:p>
          <w:p w:rsidR="0071029D" w:rsidRPr="00047B76" w:rsidRDefault="0071029D" w:rsidP="0023484E">
            <w:pPr>
              <w:jc w:val="both"/>
              <w:rPr>
                <w:sz w:val="20"/>
              </w:rPr>
            </w:pPr>
            <w:r w:rsidRPr="00047B76">
              <w:rPr>
                <w:sz w:val="20"/>
              </w:rPr>
              <w:t>(Newbury, Bennett, Hunter JJ.A.)</w:t>
            </w:r>
          </w:p>
          <w:p w:rsidR="0071029D" w:rsidRPr="00047B76" w:rsidRDefault="009A56E8" w:rsidP="0023484E">
            <w:pPr>
              <w:jc w:val="both"/>
              <w:rPr>
                <w:sz w:val="20"/>
              </w:rPr>
            </w:pPr>
            <w:hyperlink r:id="rId54" w:history="1">
              <w:r w:rsidR="0071029D" w:rsidRPr="00047B76">
                <w:rPr>
                  <w:rStyle w:val="Hyperlink"/>
                  <w:sz w:val="20"/>
                </w:rPr>
                <w:t>2019 BCCA 149</w:t>
              </w:r>
            </w:hyperlink>
            <w:r w:rsidR="0071029D" w:rsidRPr="00047B76">
              <w:rPr>
                <w:sz w:val="20"/>
              </w:rPr>
              <w:t xml:space="preserve"> </w:t>
            </w:r>
          </w:p>
          <w:p w:rsidR="0071029D" w:rsidRPr="00047B76" w:rsidRDefault="0071029D" w:rsidP="0023484E">
            <w:pPr>
              <w:jc w:val="both"/>
              <w:rPr>
                <w:sz w:val="20"/>
              </w:rPr>
            </w:pPr>
          </w:p>
        </w:tc>
        <w:tc>
          <w:tcPr>
            <w:tcW w:w="243" w:type="pct"/>
          </w:tcPr>
          <w:p w:rsidR="0071029D" w:rsidRPr="00047B76" w:rsidRDefault="0071029D" w:rsidP="0023484E">
            <w:pPr>
              <w:jc w:val="both"/>
              <w:rPr>
                <w:sz w:val="20"/>
              </w:rPr>
            </w:pPr>
          </w:p>
        </w:tc>
        <w:tc>
          <w:tcPr>
            <w:tcW w:w="2331" w:type="pct"/>
          </w:tcPr>
          <w:p w:rsidR="0071029D" w:rsidRPr="00047B76" w:rsidRDefault="0071029D" w:rsidP="0023484E">
            <w:pPr>
              <w:jc w:val="both"/>
              <w:rPr>
                <w:sz w:val="20"/>
              </w:rPr>
            </w:pPr>
            <w:r w:rsidRPr="00047B76">
              <w:rPr>
                <w:sz w:val="20"/>
              </w:rPr>
              <w:t>Three appeals dismissed</w:t>
            </w:r>
          </w:p>
          <w:p w:rsidR="0071029D" w:rsidRPr="00047B76" w:rsidRDefault="0071029D" w:rsidP="0023484E">
            <w:pPr>
              <w:jc w:val="both"/>
              <w:rPr>
                <w:sz w:val="20"/>
              </w:rPr>
            </w:pPr>
          </w:p>
        </w:tc>
      </w:tr>
      <w:tr w:rsidR="0071029D" w:rsidRPr="00047B76" w:rsidTr="0023484E">
        <w:tc>
          <w:tcPr>
            <w:tcW w:w="2426" w:type="pct"/>
            <w:gridSpan w:val="2"/>
          </w:tcPr>
          <w:p w:rsidR="0071029D" w:rsidRPr="00047B76" w:rsidRDefault="0071029D" w:rsidP="0023484E">
            <w:pPr>
              <w:jc w:val="both"/>
              <w:rPr>
                <w:sz w:val="20"/>
              </w:rPr>
            </w:pPr>
            <w:r w:rsidRPr="00047B76">
              <w:rPr>
                <w:sz w:val="20"/>
              </w:rPr>
              <w:t>August 1, 2019</w:t>
            </w:r>
          </w:p>
          <w:p w:rsidR="0071029D" w:rsidRPr="00047B76" w:rsidRDefault="0071029D" w:rsidP="0023484E">
            <w:pPr>
              <w:jc w:val="both"/>
              <w:rPr>
                <w:sz w:val="20"/>
              </w:rPr>
            </w:pPr>
            <w:r w:rsidRPr="00047B76">
              <w:rPr>
                <w:sz w:val="20"/>
              </w:rPr>
              <w:t>Supreme Court of Canada</w:t>
            </w:r>
          </w:p>
        </w:tc>
        <w:tc>
          <w:tcPr>
            <w:tcW w:w="243" w:type="pct"/>
          </w:tcPr>
          <w:p w:rsidR="0071029D" w:rsidRPr="00047B76" w:rsidRDefault="0071029D" w:rsidP="0023484E">
            <w:pPr>
              <w:jc w:val="both"/>
              <w:rPr>
                <w:sz w:val="20"/>
              </w:rPr>
            </w:pPr>
          </w:p>
        </w:tc>
        <w:tc>
          <w:tcPr>
            <w:tcW w:w="2331" w:type="pct"/>
          </w:tcPr>
          <w:p w:rsidR="0071029D" w:rsidRPr="00047B76" w:rsidRDefault="0071029D" w:rsidP="0023484E">
            <w:pPr>
              <w:jc w:val="both"/>
              <w:rPr>
                <w:sz w:val="20"/>
              </w:rPr>
            </w:pPr>
            <w:r w:rsidRPr="00047B76">
              <w:rPr>
                <w:sz w:val="20"/>
              </w:rPr>
              <w:t>Application for leave to appeal and motion to file a single application for leave filed</w:t>
            </w:r>
          </w:p>
        </w:tc>
      </w:tr>
    </w:tbl>
    <w:p w:rsidR="0071029D" w:rsidRPr="00047B76" w:rsidRDefault="0071029D" w:rsidP="0071029D">
      <w:pPr>
        <w:jc w:val="both"/>
        <w:rPr>
          <w:sz w:val="20"/>
        </w:rPr>
      </w:pPr>
    </w:p>
    <w:p w:rsidR="0071029D" w:rsidRPr="00047B76" w:rsidRDefault="009A56E8" w:rsidP="0071029D">
      <w:pPr>
        <w:jc w:val="both"/>
        <w:rPr>
          <w:sz w:val="20"/>
        </w:rPr>
      </w:pPr>
      <w:r>
        <w:rPr>
          <w:sz w:val="20"/>
        </w:rPr>
        <w:pict>
          <v:rect id="_x0000_i1054" style="width:2in;height:1pt" o:hrpct="0" o:hralign="center" o:hrstd="t" o:hrnoshade="t" o:hr="t" fillcolor="black [3213]" stroked="f"/>
        </w:pict>
      </w:r>
    </w:p>
    <w:p w:rsidR="0071029D" w:rsidRPr="00047B76" w:rsidRDefault="0071029D" w:rsidP="0071029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3"/>
        <w:gridCol w:w="3590"/>
        <w:gridCol w:w="463"/>
        <w:gridCol w:w="4441"/>
      </w:tblGrid>
      <w:tr w:rsidR="0071029D" w:rsidRPr="00047B76" w:rsidTr="0023484E">
        <w:tc>
          <w:tcPr>
            <w:tcW w:w="542" w:type="pct"/>
          </w:tcPr>
          <w:p w:rsidR="0071029D" w:rsidRPr="00047B76" w:rsidRDefault="0071029D" w:rsidP="0023484E">
            <w:pPr>
              <w:jc w:val="both"/>
              <w:rPr>
                <w:sz w:val="20"/>
                <w:lang w:val="fr-CA"/>
              </w:rPr>
            </w:pPr>
            <w:r w:rsidRPr="00047B76">
              <w:rPr>
                <w:rStyle w:val="SCCFileNumberChar"/>
                <w:sz w:val="20"/>
                <w:szCs w:val="20"/>
                <w:lang w:val="fr-CA"/>
              </w:rPr>
              <w:t>38738</w:t>
            </w:r>
          </w:p>
        </w:tc>
        <w:tc>
          <w:tcPr>
            <w:tcW w:w="4458" w:type="pct"/>
            <w:gridSpan w:val="3"/>
          </w:tcPr>
          <w:p w:rsidR="0071029D" w:rsidRPr="00047B76" w:rsidRDefault="0071029D" w:rsidP="0023484E">
            <w:pPr>
              <w:pStyle w:val="SCCLsocParty"/>
              <w:jc w:val="both"/>
              <w:rPr>
                <w:b/>
                <w:sz w:val="20"/>
                <w:szCs w:val="20"/>
                <w:lang w:val="en-US"/>
              </w:rPr>
            </w:pPr>
            <w:proofErr w:type="spellStart"/>
            <w:r w:rsidRPr="00047B76">
              <w:rPr>
                <w:b/>
                <w:sz w:val="20"/>
                <w:szCs w:val="20"/>
                <w:lang w:val="en-US"/>
              </w:rPr>
              <w:t>Compagnie</w:t>
            </w:r>
            <w:proofErr w:type="spellEnd"/>
            <w:r w:rsidRPr="00047B76">
              <w:rPr>
                <w:b/>
                <w:sz w:val="20"/>
                <w:szCs w:val="20"/>
                <w:lang w:val="en-US"/>
              </w:rPr>
              <w:t xml:space="preserve"> de </w:t>
            </w:r>
            <w:proofErr w:type="spellStart"/>
            <w:r w:rsidRPr="00047B76">
              <w:rPr>
                <w:b/>
                <w:sz w:val="20"/>
                <w:szCs w:val="20"/>
                <w:lang w:val="en-US"/>
              </w:rPr>
              <w:t>Fiducie</w:t>
            </w:r>
            <w:proofErr w:type="spellEnd"/>
            <w:r w:rsidRPr="00047B76">
              <w:rPr>
                <w:b/>
                <w:sz w:val="20"/>
                <w:szCs w:val="20"/>
                <w:lang w:val="en-US"/>
              </w:rPr>
              <w:t xml:space="preserve"> Peoples, Peoples Card Services Limited Partnership, Peoples Card Services Ltd., Vancouver City Savings Credit Union, Banque Citizens du Canada et All Trans Financial Services Credit Union Ltd. c. Ying Jiang</w:t>
            </w:r>
          </w:p>
          <w:p w:rsidR="0071029D" w:rsidRPr="00047B76" w:rsidRDefault="0071029D" w:rsidP="0023484E">
            <w:pPr>
              <w:jc w:val="both"/>
              <w:rPr>
                <w:sz w:val="20"/>
                <w:lang w:val="fr-CA"/>
              </w:rPr>
            </w:pPr>
            <w:r w:rsidRPr="00047B76">
              <w:rPr>
                <w:sz w:val="20"/>
                <w:lang w:val="fr-CA"/>
              </w:rPr>
              <w:t>(C.-B.) (Civile) (Autorisation)</w:t>
            </w:r>
          </w:p>
        </w:tc>
      </w:tr>
      <w:tr w:rsidR="00E80644" w:rsidRPr="00957F6E" w:rsidTr="0023484E">
        <w:tc>
          <w:tcPr>
            <w:tcW w:w="5000" w:type="pct"/>
            <w:gridSpan w:val="4"/>
          </w:tcPr>
          <w:p w:rsidR="00E80644" w:rsidRPr="00047B76" w:rsidRDefault="00C12392" w:rsidP="0023484E">
            <w:pPr>
              <w:jc w:val="both"/>
              <w:rPr>
                <w:sz w:val="20"/>
                <w:szCs w:val="20"/>
                <w:lang w:val="fr-CA"/>
              </w:rPr>
            </w:pPr>
            <w:r w:rsidRPr="00047B76">
              <w:rPr>
                <w:sz w:val="20"/>
                <w:szCs w:val="20"/>
                <w:lang w:val="fr-CA"/>
              </w:rPr>
              <w:t>La requête pour joindre trois dossiers de la Cour d’appel de la Colombie-Britannique dans une seule demande d’autorisation d’appel est accueillie. La demande d’autorisation d’appel de l’arrêt de la Cour d’appel de la Colombie-Britannique (Vancouver), numéros CA45188, CA45192 et CA45193, 2019 BCCA 149, daté du 2 mai 2019, est rejetée avec dépens.</w:t>
            </w:r>
          </w:p>
          <w:p w:rsidR="00C12392" w:rsidRPr="00047B76" w:rsidRDefault="00C12392" w:rsidP="0023484E">
            <w:pPr>
              <w:jc w:val="both"/>
              <w:rPr>
                <w:sz w:val="20"/>
                <w:lang w:val="fr-CA"/>
              </w:rPr>
            </w:pPr>
          </w:p>
        </w:tc>
      </w:tr>
      <w:tr w:rsidR="0071029D" w:rsidRPr="00957F6E" w:rsidTr="0023484E">
        <w:tc>
          <w:tcPr>
            <w:tcW w:w="5000" w:type="pct"/>
            <w:gridSpan w:val="4"/>
          </w:tcPr>
          <w:p w:rsidR="0071029D" w:rsidRPr="00047B76" w:rsidRDefault="0071029D" w:rsidP="0023484E">
            <w:pPr>
              <w:jc w:val="both"/>
              <w:rPr>
                <w:sz w:val="20"/>
                <w:lang w:val="fr-CA"/>
              </w:rPr>
            </w:pPr>
            <w:r w:rsidRPr="00047B76">
              <w:rPr>
                <w:sz w:val="20"/>
                <w:lang w:val="fr-CA"/>
              </w:rPr>
              <w:t>Procédure civile — Recours collectifs — Procédure préférable — Comment les objectifs d’accès à la justice et de modification des comportements s’inscrivent</w:t>
            </w:r>
            <w:r w:rsidRPr="00047B76">
              <w:rPr>
                <w:sz w:val="20"/>
                <w:lang w:val="fr-CA"/>
              </w:rPr>
              <w:noBreakHyphen/>
            </w:r>
            <w:proofErr w:type="spellStart"/>
            <w:r w:rsidRPr="00047B76">
              <w:rPr>
                <w:sz w:val="20"/>
                <w:lang w:val="fr-CA"/>
              </w:rPr>
              <w:t>ils</w:t>
            </w:r>
            <w:proofErr w:type="spellEnd"/>
            <w:r w:rsidRPr="00047B76">
              <w:rPr>
                <w:sz w:val="20"/>
                <w:lang w:val="fr-CA"/>
              </w:rPr>
              <w:t xml:space="preserve"> dans le cadre d’analyse de la question de savoir si un recours collectif serait la meilleure procédure pour le règlement juste et efficace des questions communes? — Les juridictions inférieures </w:t>
            </w:r>
            <w:proofErr w:type="spellStart"/>
            <w:r w:rsidRPr="00047B76">
              <w:rPr>
                <w:sz w:val="20"/>
                <w:lang w:val="fr-CA"/>
              </w:rPr>
              <w:t>ont</w:t>
            </w:r>
            <w:r w:rsidRPr="00047B76">
              <w:rPr>
                <w:sz w:val="20"/>
                <w:lang w:val="fr-CA"/>
              </w:rPr>
              <w:noBreakHyphen/>
              <w:t>elles</w:t>
            </w:r>
            <w:proofErr w:type="spellEnd"/>
            <w:r w:rsidRPr="00047B76">
              <w:rPr>
                <w:sz w:val="20"/>
                <w:lang w:val="fr-CA"/>
              </w:rPr>
              <w:t xml:space="preserve"> omis de débattre des questions et de fournir des motifs adaptés?</w:t>
            </w:r>
          </w:p>
        </w:tc>
      </w:tr>
      <w:tr w:rsidR="0071029D" w:rsidRPr="00957F6E" w:rsidTr="0023484E">
        <w:tc>
          <w:tcPr>
            <w:tcW w:w="5000" w:type="pct"/>
            <w:gridSpan w:val="4"/>
          </w:tcPr>
          <w:p w:rsidR="0071029D" w:rsidRPr="00047B76" w:rsidRDefault="0071029D" w:rsidP="0023484E">
            <w:pPr>
              <w:jc w:val="both"/>
              <w:rPr>
                <w:sz w:val="20"/>
                <w:lang w:val="fr-CA"/>
              </w:rPr>
            </w:pPr>
          </w:p>
        </w:tc>
      </w:tr>
      <w:tr w:rsidR="0071029D" w:rsidRPr="00047B76" w:rsidTr="0023484E">
        <w:tc>
          <w:tcPr>
            <w:tcW w:w="5000" w:type="pct"/>
            <w:gridSpan w:val="4"/>
          </w:tcPr>
          <w:p w:rsidR="0071029D" w:rsidRPr="00047B76" w:rsidRDefault="0071029D" w:rsidP="0023484E">
            <w:pPr>
              <w:jc w:val="both"/>
              <w:rPr>
                <w:sz w:val="20"/>
                <w:lang w:val="fr-CA"/>
              </w:rPr>
            </w:pPr>
            <w:r w:rsidRPr="00047B76">
              <w:rPr>
                <w:rFonts w:eastAsia="Calibri"/>
                <w:sz w:val="20"/>
                <w:lang w:val="fr-CA"/>
              </w:rPr>
              <w:t>Madame Jiang a acheté à des fins personnelles d’un détaillant à Burnaby (C.</w:t>
            </w:r>
            <w:r w:rsidRPr="00047B76">
              <w:rPr>
                <w:rFonts w:eastAsia="Calibri"/>
                <w:sz w:val="20"/>
                <w:lang w:val="fr-CA"/>
              </w:rPr>
              <w:noBreakHyphen/>
              <w:t>B.) une carte émise par la Banque Citizens et portant un logo VISA. La carte avait une valeur nominale de 25 $, mais, parce qu’il y avait des frais d’activation de 3,95 $, elle a payé 28,95 $ pour la carte. La carte était [</w:t>
            </w:r>
            <w:r w:rsidRPr="00047B76">
              <w:rPr>
                <w:rFonts w:eastAsia="Calibri"/>
                <w:smallCaps/>
                <w:sz w:val="20"/>
                <w:lang w:val="fr-CA"/>
              </w:rPr>
              <w:t>traduction</w:t>
            </w:r>
            <w:r w:rsidRPr="00047B76">
              <w:rPr>
                <w:rFonts w:eastAsia="Calibri"/>
                <w:sz w:val="20"/>
                <w:lang w:val="fr-CA"/>
              </w:rPr>
              <w:t xml:space="preserve">] « valide jusqu’au 11/96 », elle portait des frais mensuels de 2,50 $ après cette date et elle était non remboursable. Elle a déposé une action sous le régime de la Partie 4 de la </w:t>
            </w:r>
            <w:r w:rsidRPr="00047B76">
              <w:rPr>
                <w:rFonts w:eastAsia="Calibri"/>
                <w:i/>
                <w:sz w:val="20"/>
                <w:lang w:val="fr-CA"/>
              </w:rPr>
              <w:t>Business Practices and Consumer Protection Act</w:t>
            </w:r>
            <w:r w:rsidRPr="00047B76">
              <w:rPr>
                <w:rFonts w:eastAsia="Calibri"/>
                <w:sz w:val="20"/>
                <w:lang w:val="fr-CA"/>
              </w:rPr>
              <w:t>, S.B.C. 2004, ch. 2, contre les institutions financières demanderesses. Les cartes ressemblent à des cartes de crédit et fonctionnent comme elles, elles portent la marque VISA, American Express ou MasterCard, et elles peuvent être utilisées à diverses fins.</w:t>
            </w:r>
            <w:r w:rsidRPr="00047B76">
              <w:rPr>
                <w:sz w:val="20"/>
                <w:lang w:val="fr-CA"/>
              </w:rPr>
              <w:t xml:space="preserve"> Madame Jiang a sollicité des jugements déclaratoires, une reddition de compte, la restitution et le remboursement des frais, des dommages</w:t>
            </w:r>
            <w:r w:rsidRPr="00047B76">
              <w:rPr>
                <w:sz w:val="20"/>
                <w:lang w:val="fr-CA"/>
              </w:rPr>
              <w:noBreakHyphen/>
              <w:t xml:space="preserve">intérêts et une injonction. Elle a demandé que l’action soit certifiée en tant que recours collectif en application de la </w:t>
            </w:r>
            <w:r w:rsidRPr="00047B76">
              <w:rPr>
                <w:i/>
                <w:sz w:val="20"/>
                <w:lang w:val="fr-CA"/>
              </w:rPr>
              <w:t xml:space="preserve">Class </w:t>
            </w:r>
            <w:proofErr w:type="spellStart"/>
            <w:r w:rsidRPr="00047B76">
              <w:rPr>
                <w:i/>
                <w:sz w:val="20"/>
                <w:lang w:val="fr-CA"/>
              </w:rPr>
              <w:t>Proceeding</w:t>
            </w:r>
            <w:proofErr w:type="spellEnd"/>
            <w:r w:rsidRPr="00047B76">
              <w:rPr>
                <w:i/>
                <w:sz w:val="20"/>
                <w:lang w:val="fr-CA"/>
              </w:rPr>
              <w:t xml:space="preserve"> Act</w:t>
            </w:r>
            <w:r w:rsidRPr="00047B76">
              <w:rPr>
                <w:sz w:val="20"/>
                <w:lang w:val="fr-CA"/>
              </w:rPr>
              <w:t>, R.S.B.C. 1996, ch. 50, se portant elle</w:t>
            </w:r>
            <w:r w:rsidRPr="00047B76">
              <w:rPr>
                <w:sz w:val="20"/>
                <w:lang w:val="fr-CA"/>
              </w:rPr>
              <w:noBreakHyphen/>
              <w:t>même demanderesse-représentante. La demande de certification de l’action en tant que recours collectif a été rejetée, vu l’impossibilité d’identifier objectivement les membres du groupe. La Cour d’appel a accueilli l’appel et a renvoyé la demande à la juridiction inférieure pour qu’elle tranche les questions qui restaient. L’action a été certifiée en tant que recours collectif, Mme Jiang a été nommée demanderesse</w:t>
            </w:r>
            <w:r w:rsidRPr="00047B76">
              <w:rPr>
                <w:sz w:val="20"/>
                <w:lang w:val="fr-CA"/>
              </w:rPr>
              <w:noBreakHyphen/>
              <w:t>représentante des catégories de résidents et de non</w:t>
            </w:r>
            <w:r w:rsidRPr="00047B76">
              <w:rPr>
                <w:sz w:val="20"/>
                <w:lang w:val="fr-CA"/>
              </w:rPr>
              <w:noBreakHyphen/>
              <w:t>résidents et cinq questions communes ont été certifiées. La Cour d’appel a rejeté trois autres appels.</w:t>
            </w:r>
          </w:p>
          <w:p w:rsidR="0071029D" w:rsidRPr="00047B76" w:rsidRDefault="0071029D" w:rsidP="0023484E">
            <w:pPr>
              <w:jc w:val="both"/>
              <w:rPr>
                <w:sz w:val="20"/>
                <w:lang w:val="fr-CA"/>
              </w:rPr>
            </w:pPr>
          </w:p>
        </w:tc>
      </w:tr>
      <w:tr w:rsidR="0071029D" w:rsidRPr="00957F6E" w:rsidTr="0023484E">
        <w:trPr>
          <w:trHeight w:val="864"/>
        </w:trPr>
        <w:tc>
          <w:tcPr>
            <w:tcW w:w="2426" w:type="pct"/>
            <w:gridSpan w:val="2"/>
          </w:tcPr>
          <w:p w:rsidR="0071029D" w:rsidRPr="00047B76" w:rsidRDefault="0071029D" w:rsidP="0023484E">
            <w:pPr>
              <w:jc w:val="both"/>
              <w:rPr>
                <w:sz w:val="20"/>
                <w:lang w:val="fr-CA"/>
              </w:rPr>
            </w:pPr>
            <w:r w:rsidRPr="00047B76">
              <w:rPr>
                <w:sz w:val="20"/>
                <w:lang w:val="fr-CA"/>
              </w:rPr>
              <w:t>3 mars 2016</w:t>
            </w:r>
          </w:p>
          <w:p w:rsidR="0071029D" w:rsidRPr="00047B76" w:rsidRDefault="0071029D" w:rsidP="0023484E">
            <w:pPr>
              <w:jc w:val="both"/>
              <w:rPr>
                <w:sz w:val="20"/>
                <w:lang w:val="fr-CA"/>
              </w:rPr>
            </w:pPr>
            <w:r w:rsidRPr="00047B76">
              <w:rPr>
                <w:sz w:val="20"/>
                <w:lang w:val="fr-CA"/>
              </w:rPr>
              <w:t>Cour suprême de la Colombie</w:t>
            </w:r>
            <w:r w:rsidRPr="00047B76">
              <w:rPr>
                <w:sz w:val="20"/>
                <w:lang w:val="fr-CA"/>
              </w:rPr>
              <w:noBreakHyphen/>
              <w:t>Britannique</w:t>
            </w:r>
          </w:p>
          <w:p w:rsidR="0071029D" w:rsidRPr="00047B76" w:rsidRDefault="0071029D" w:rsidP="0023484E">
            <w:pPr>
              <w:jc w:val="both"/>
              <w:rPr>
                <w:sz w:val="20"/>
                <w:lang w:val="fr-CA"/>
              </w:rPr>
            </w:pPr>
            <w:r w:rsidRPr="00047B76">
              <w:rPr>
                <w:sz w:val="20"/>
                <w:lang w:val="fr-CA"/>
              </w:rPr>
              <w:t xml:space="preserve">(Juge </w:t>
            </w:r>
            <w:proofErr w:type="spellStart"/>
            <w:r w:rsidRPr="00047B76">
              <w:rPr>
                <w:sz w:val="20"/>
                <w:lang w:val="fr-CA"/>
              </w:rPr>
              <w:t>Bowden</w:t>
            </w:r>
            <w:proofErr w:type="spellEnd"/>
            <w:r w:rsidRPr="00047B76">
              <w:rPr>
                <w:sz w:val="20"/>
                <w:lang w:val="fr-CA"/>
              </w:rPr>
              <w:t>)</w:t>
            </w:r>
          </w:p>
          <w:p w:rsidR="0071029D" w:rsidRPr="00047B76" w:rsidRDefault="009A56E8" w:rsidP="0023484E">
            <w:pPr>
              <w:jc w:val="both"/>
              <w:rPr>
                <w:sz w:val="20"/>
                <w:lang w:val="fr-CA"/>
              </w:rPr>
            </w:pPr>
            <w:hyperlink r:id="rId55" w:anchor="document" w:history="1">
              <w:r w:rsidR="0071029D" w:rsidRPr="00047B76">
                <w:rPr>
                  <w:rStyle w:val="Hyperlink"/>
                  <w:sz w:val="20"/>
                  <w:lang w:val="fr-CA"/>
                </w:rPr>
                <w:t>2016 BCSC 368</w:t>
              </w:r>
            </w:hyperlink>
          </w:p>
          <w:p w:rsidR="0071029D" w:rsidRPr="00047B76" w:rsidRDefault="0071029D" w:rsidP="0023484E">
            <w:pPr>
              <w:jc w:val="both"/>
              <w:rPr>
                <w:sz w:val="20"/>
                <w:lang w:val="fr-CA"/>
              </w:rPr>
            </w:pPr>
          </w:p>
        </w:tc>
        <w:tc>
          <w:tcPr>
            <w:tcW w:w="243" w:type="pct"/>
          </w:tcPr>
          <w:p w:rsidR="0071029D" w:rsidRPr="00047B76" w:rsidRDefault="0071029D" w:rsidP="0023484E">
            <w:pPr>
              <w:jc w:val="both"/>
              <w:rPr>
                <w:sz w:val="20"/>
                <w:lang w:val="fr-CA"/>
              </w:rPr>
            </w:pPr>
          </w:p>
        </w:tc>
        <w:tc>
          <w:tcPr>
            <w:tcW w:w="2331" w:type="pct"/>
          </w:tcPr>
          <w:p w:rsidR="0071029D" w:rsidRPr="00047B76" w:rsidRDefault="0071029D" w:rsidP="0023484E">
            <w:pPr>
              <w:jc w:val="both"/>
              <w:rPr>
                <w:sz w:val="20"/>
                <w:lang w:val="fr-CA"/>
              </w:rPr>
            </w:pPr>
            <w:r w:rsidRPr="00047B76">
              <w:rPr>
                <w:sz w:val="20"/>
                <w:lang w:val="fr-CA"/>
              </w:rPr>
              <w:t xml:space="preserve">Rejet de la demande de certification de l’action en tant que recours collectif sous le régime de la </w:t>
            </w:r>
            <w:r w:rsidRPr="00047B76">
              <w:rPr>
                <w:i/>
                <w:sz w:val="20"/>
                <w:lang w:val="fr-CA"/>
              </w:rPr>
              <w:t xml:space="preserve">Class </w:t>
            </w:r>
            <w:proofErr w:type="spellStart"/>
            <w:r w:rsidRPr="00047B76">
              <w:rPr>
                <w:i/>
                <w:sz w:val="20"/>
                <w:lang w:val="fr-CA"/>
              </w:rPr>
              <w:t>Proceeding</w:t>
            </w:r>
            <w:proofErr w:type="spellEnd"/>
            <w:r w:rsidRPr="00047B76">
              <w:rPr>
                <w:i/>
                <w:sz w:val="20"/>
                <w:lang w:val="fr-CA"/>
              </w:rPr>
              <w:t xml:space="preserve"> Act</w:t>
            </w:r>
            <w:r w:rsidRPr="00047B76">
              <w:rPr>
                <w:sz w:val="20"/>
                <w:lang w:val="fr-CA"/>
              </w:rPr>
              <w:t>, R.S.B.C. 1996, ch. 50</w:t>
            </w:r>
          </w:p>
          <w:p w:rsidR="0071029D" w:rsidRPr="00047B76" w:rsidRDefault="0071029D" w:rsidP="0023484E">
            <w:pPr>
              <w:jc w:val="both"/>
              <w:rPr>
                <w:sz w:val="20"/>
                <w:lang w:val="fr-CA"/>
              </w:rPr>
            </w:pPr>
          </w:p>
        </w:tc>
      </w:tr>
      <w:tr w:rsidR="0071029D" w:rsidRPr="00957F6E" w:rsidTr="0023484E">
        <w:tc>
          <w:tcPr>
            <w:tcW w:w="2426" w:type="pct"/>
            <w:gridSpan w:val="2"/>
          </w:tcPr>
          <w:p w:rsidR="0071029D" w:rsidRPr="00047B76" w:rsidRDefault="0071029D" w:rsidP="0023484E">
            <w:pPr>
              <w:jc w:val="both"/>
              <w:rPr>
                <w:sz w:val="20"/>
                <w:lang w:val="fr-CA"/>
              </w:rPr>
            </w:pPr>
            <w:r w:rsidRPr="00047B76">
              <w:rPr>
                <w:sz w:val="20"/>
                <w:lang w:val="fr-CA"/>
              </w:rPr>
              <w:lastRenderedPageBreak/>
              <w:t>3 mars 2016</w:t>
            </w:r>
          </w:p>
          <w:p w:rsidR="0071029D" w:rsidRPr="00047B76" w:rsidRDefault="0071029D" w:rsidP="0023484E">
            <w:pPr>
              <w:jc w:val="both"/>
              <w:rPr>
                <w:sz w:val="20"/>
                <w:lang w:val="fr-CA"/>
              </w:rPr>
            </w:pPr>
            <w:r w:rsidRPr="00047B76">
              <w:rPr>
                <w:sz w:val="20"/>
                <w:lang w:val="fr-CA"/>
              </w:rPr>
              <w:t>Cour d’appel de la Colombie-Britannique</w:t>
            </w:r>
          </w:p>
          <w:p w:rsidR="0071029D" w:rsidRPr="00047B76" w:rsidRDefault="0071029D" w:rsidP="0023484E">
            <w:pPr>
              <w:jc w:val="both"/>
              <w:rPr>
                <w:sz w:val="20"/>
                <w:lang w:val="fr-CA"/>
              </w:rPr>
            </w:pPr>
            <w:r w:rsidRPr="00047B76">
              <w:rPr>
                <w:sz w:val="20"/>
                <w:lang w:val="fr-CA"/>
              </w:rPr>
              <w:t>(Vancouver)</w:t>
            </w:r>
          </w:p>
          <w:p w:rsidR="0071029D" w:rsidRPr="00047B76" w:rsidRDefault="0071029D" w:rsidP="0023484E">
            <w:pPr>
              <w:jc w:val="both"/>
              <w:rPr>
                <w:sz w:val="20"/>
                <w:lang w:val="fr-CA"/>
              </w:rPr>
            </w:pPr>
            <w:r w:rsidRPr="00047B76">
              <w:rPr>
                <w:sz w:val="20"/>
                <w:lang w:val="fr-CA"/>
              </w:rPr>
              <w:t xml:space="preserve">(Juge en chef </w:t>
            </w:r>
            <w:proofErr w:type="spellStart"/>
            <w:r w:rsidRPr="00047B76">
              <w:rPr>
                <w:sz w:val="20"/>
                <w:lang w:val="fr-CA"/>
              </w:rPr>
              <w:t>Bauman</w:t>
            </w:r>
            <w:proofErr w:type="spellEnd"/>
            <w:r w:rsidRPr="00047B76">
              <w:rPr>
                <w:sz w:val="20"/>
                <w:lang w:val="fr-CA"/>
              </w:rPr>
              <w:t xml:space="preserve">, juges Willcock et </w:t>
            </w:r>
            <w:proofErr w:type="spellStart"/>
            <w:r w:rsidRPr="00047B76">
              <w:rPr>
                <w:sz w:val="20"/>
                <w:lang w:val="fr-CA"/>
              </w:rPr>
              <w:t>Fitch</w:t>
            </w:r>
            <w:proofErr w:type="spellEnd"/>
            <w:r w:rsidRPr="00047B76">
              <w:rPr>
                <w:sz w:val="20"/>
                <w:lang w:val="fr-CA"/>
              </w:rPr>
              <w:t>)</w:t>
            </w:r>
          </w:p>
          <w:p w:rsidR="0071029D" w:rsidRPr="00047B76" w:rsidRDefault="009A56E8" w:rsidP="0023484E">
            <w:pPr>
              <w:jc w:val="both"/>
              <w:rPr>
                <w:sz w:val="20"/>
                <w:lang w:val="fr-CA"/>
              </w:rPr>
            </w:pPr>
            <w:hyperlink r:id="rId56" w:history="1">
              <w:r w:rsidR="0071029D" w:rsidRPr="00047B76">
                <w:rPr>
                  <w:rStyle w:val="Hyperlink"/>
                  <w:sz w:val="20"/>
                  <w:lang w:val="fr-CA"/>
                </w:rPr>
                <w:t>2017 BCCA 119</w:t>
              </w:r>
            </w:hyperlink>
          </w:p>
          <w:p w:rsidR="0071029D" w:rsidRPr="00047B76" w:rsidRDefault="0071029D" w:rsidP="0023484E">
            <w:pPr>
              <w:jc w:val="both"/>
              <w:rPr>
                <w:sz w:val="20"/>
                <w:lang w:val="fr-CA"/>
              </w:rPr>
            </w:pPr>
          </w:p>
        </w:tc>
        <w:tc>
          <w:tcPr>
            <w:tcW w:w="243" w:type="pct"/>
          </w:tcPr>
          <w:p w:rsidR="0071029D" w:rsidRPr="00047B76" w:rsidRDefault="0071029D" w:rsidP="0023484E">
            <w:pPr>
              <w:jc w:val="both"/>
              <w:rPr>
                <w:sz w:val="20"/>
                <w:lang w:val="fr-CA"/>
              </w:rPr>
            </w:pPr>
          </w:p>
        </w:tc>
        <w:tc>
          <w:tcPr>
            <w:tcW w:w="2331" w:type="pct"/>
          </w:tcPr>
          <w:p w:rsidR="0071029D" w:rsidRPr="00047B76" w:rsidRDefault="0071029D" w:rsidP="0023484E">
            <w:pPr>
              <w:jc w:val="both"/>
              <w:rPr>
                <w:sz w:val="20"/>
                <w:lang w:val="fr-CA"/>
              </w:rPr>
            </w:pPr>
            <w:r w:rsidRPr="00047B76">
              <w:rPr>
                <w:sz w:val="20"/>
                <w:lang w:val="fr-CA"/>
              </w:rPr>
              <w:t>Arrêt accueillant l’appel et renvoyant la demande de certification au juge siégeant en son cabinet</w:t>
            </w:r>
          </w:p>
        </w:tc>
      </w:tr>
      <w:tr w:rsidR="0071029D" w:rsidRPr="00957F6E" w:rsidTr="0023484E">
        <w:tc>
          <w:tcPr>
            <w:tcW w:w="2426" w:type="pct"/>
            <w:gridSpan w:val="2"/>
          </w:tcPr>
          <w:p w:rsidR="0071029D" w:rsidRPr="00047B76" w:rsidRDefault="0071029D" w:rsidP="0023484E">
            <w:pPr>
              <w:jc w:val="both"/>
              <w:rPr>
                <w:sz w:val="20"/>
                <w:lang w:val="fr-CA"/>
              </w:rPr>
            </w:pPr>
            <w:r w:rsidRPr="00047B76">
              <w:rPr>
                <w:sz w:val="20"/>
                <w:lang w:val="fr-CA"/>
              </w:rPr>
              <w:t>1</w:t>
            </w:r>
            <w:r w:rsidRPr="00047B76">
              <w:rPr>
                <w:sz w:val="20"/>
                <w:vertAlign w:val="superscript"/>
                <w:lang w:val="fr-CA"/>
              </w:rPr>
              <w:t>er</w:t>
            </w:r>
            <w:r w:rsidRPr="00047B76">
              <w:rPr>
                <w:sz w:val="20"/>
                <w:lang w:val="fr-CA"/>
              </w:rPr>
              <w:t> mars 2018</w:t>
            </w:r>
          </w:p>
          <w:p w:rsidR="0071029D" w:rsidRPr="00047B76" w:rsidRDefault="0071029D" w:rsidP="0023484E">
            <w:pPr>
              <w:jc w:val="both"/>
              <w:rPr>
                <w:sz w:val="20"/>
                <w:lang w:val="fr-CA"/>
              </w:rPr>
            </w:pPr>
            <w:r w:rsidRPr="00047B76">
              <w:rPr>
                <w:sz w:val="20"/>
                <w:lang w:val="fr-CA"/>
              </w:rPr>
              <w:t>Cour suprême de la Colombie</w:t>
            </w:r>
            <w:r w:rsidRPr="00047B76">
              <w:rPr>
                <w:sz w:val="20"/>
                <w:lang w:val="fr-CA"/>
              </w:rPr>
              <w:noBreakHyphen/>
              <w:t>Britannique</w:t>
            </w:r>
          </w:p>
          <w:p w:rsidR="0071029D" w:rsidRPr="00047B76" w:rsidRDefault="0071029D" w:rsidP="0023484E">
            <w:pPr>
              <w:jc w:val="both"/>
              <w:rPr>
                <w:sz w:val="20"/>
                <w:lang w:val="fr-CA"/>
              </w:rPr>
            </w:pPr>
            <w:r w:rsidRPr="00047B76">
              <w:rPr>
                <w:sz w:val="20"/>
                <w:lang w:val="fr-CA"/>
              </w:rPr>
              <w:t xml:space="preserve">(Juge </w:t>
            </w:r>
            <w:proofErr w:type="spellStart"/>
            <w:r w:rsidRPr="00047B76">
              <w:rPr>
                <w:sz w:val="20"/>
                <w:lang w:val="fr-CA"/>
              </w:rPr>
              <w:t>Bowden</w:t>
            </w:r>
            <w:proofErr w:type="spellEnd"/>
            <w:r w:rsidRPr="00047B76">
              <w:rPr>
                <w:sz w:val="20"/>
                <w:lang w:val="fr-CA"/>
              </w:rPr>
              <w:t>)</w:t>
            </w:r>
          </w:p>
          <w:p w:rsidR="0071029D" w:rsidRPr="00047B76" w:rsidRDefault="009A56E8" w:rsidP="0023484E">
            <w:pPr>
              <w:jc w:val="both"/>
              <w:rPr>
                <w:sz w:val="20"/>
                <w:lang w:val="fr-CA"/>
              </w:rPr>
            </w:pPr>
            <w:hyperlink r:id="rId57" w:history="1">
              <w:r w:rsidR="0071029D" w:rsidRPr="00047B76">
                <w:rPr>
                  <w:rStyle w:val="Hyperlink"/>
                  <w:sz w:val="20"/>
                  <w:lang w:val="fr-CA"/>
                </w:rPr>
                <w:t>2018 BCSC 299</w:t>
              </w:r>
            </w:hyperlink>
          </w:p>
          <w:p w:rsidR="0071029D" w:rsidRPr="00047B76" w:rsidRDefault="0071029D" w:rsidP="0023484E">
            <w:pPr>
              <w:jc w:val="both"/>
              <w:rPr>
                <w:sz w:val="20"/>
                <w:lang w:val="fr-CA"/>
              </w:rPr>
            </w:pPr>
          </w:p>
        </w:tc>
        <w:tc>
          <w:tcPr>
            <w:tcW w:w="243" w:type="pct"/>
          </w:tcPr>
          <w:p w:rsidR="0071029D" w:rsidRPr="00047B76" w:rsidRDefault="0071029D" w:rsidP="0023484E">
            <w:pPr>
              <w:jc w:val="both"/>
              <w:rPr>
                <w:sz w:val="20"/>
                <w:lang w:val="fr-CA"/>
              </w:rPr>
            </w:pPr>
          </w:p>
        </w:tc>
        <w:tc>
          <w:tcPr>
            <w:tcW w:w="2331" w:type="pct"/>
          </w:tcPr>
          <w:p w:rsidR="0071029D" w:rsidRPr="00047B76" w:rsidRDefault="0071029D" w:rsidP="0023484E">
            <w:pPr>
              <w:jc w:val="both"/>
              <w:rPr>
                <w:sz w:val="20"/>
                <w:lang w:val="fr-CA"/>
              </w:rPr>
            </w:pPr>
            <w:r w:rsidRPr="00047B76">
              <w:rPr>
                <w:sz w:val="20"/>
                <w:lang w:val="fr-CA"/>
              </w:rPr>
              <w:t>Jugement accordant la certification, définissant les groupes, nommant Mme Jiang demanderesse-représentante des deux groupes et formulant les questions communes.</w:t>
            </w:r>
          </w:p>
          <w:p w:rsidR="0071029D" w:rsidRPr="00047B76" w:rsidRDefault="0071029D" w:rsidP="0023484E">
            <w:pPr>
              <w:jc w:val="both"/>
              <w:rPr>
                <w:sz w:val="20"/>
                <w:lang w:val="fr-CA"/>
              </w:rPr>
            </w:pPr>
          </w:p>
        </w:tc>
      </w:tr>
      <w:tr w:rsidR="0071029D" w:rsidRPr="00047B76" w:rsidTr="0023484E">
        <w:tc>
          <w:tcPr>
            <w:tcW w:w="2426" w:type="pct"/>
            <w:gridSpan w:val="2"/>
          </w:tcPr>
          <w:p w:rsidR="0071029D" w:rsidRPr="00047B76" w:rsidRDefault="0071029D" w:rsidP="0023484E">
            <w:pPr>
              <w:jc w:val="both"/>
              <w:rPr>
                <w:sz w:val="20"/>
                <w:lang w:val="fr-CA"/>
              </w:rPr>
            </w:pPr>
            <w:r w:rsidRPr="00047B76">
              <w:rPr>
                <w:sz w:val="20"/>
                <w:lang w:val="fr-CA"/>
              </w:rPr>
              <w:t>2 mai 2019</w:t>
            </w:r>
          </w:p>
          <w:p w:rsidR="0071029D" w:rsidRPr="00047B76" w:rsidRDefault="0071029D" w:rsidP="0023484E">
            <w:pPr>
              <w:jc w:val="both"/>
              <w:rPr>
                <w:sz w:val="20"/>
                <w:lang w:val="fr-CA"/>
              </w:rPr>
            </w:pPr>
            <w:r w:rsidRPr="00047B76">
              <w:rPr>
                <w:sz w:val="20"/>
                <w:lang w:val="fr-CA"/>
              </w:rPr>
              <w:t>Cour d’appel de la Colombie</w:t>
            </w:r>
            <w:r w:rsidRPr="00047B76">
              <w:rPr>
                <w:sz w:val="20"/>
                <w:lang w:val="fr-CA"/>
              </w:rPr>
              <w:noBreakHyphen/>
              <w:t>Britannique</w:t>
            </w:r>
          </w:p>
          <w:p w:rsidR="0071029D" w:rsidRPr="00047B76" w:rsidRDefault="0071029D" w:rsidP="0023484E">
            <w:pPr>
              <w:jc w:val="both"/>
              <w:rPr>
                <w:sz w:val="20"/>
                <w:lang w:val="fr-CA"/>
              </w:rPr>
            </w:pPr>
            <w:r w:rsidRPr="00047B76">
              <w:rPr>
                <w:sz w:val="20"/>
                <w:lang w:val="fr-CA"/>
              </w:rPr>
              <w:t>(Vancouver)</w:t>
            </w:r>
          </w:p>
          <w:p w:rsidR="0071029D" w:rsidRPr="00047B76" w:rsidRDefault="0071029D" w:rsidP="0023484E">
            <w:pPr>
              <w:jc w:val="both"/>
              <w:rPr>
                <w:sz w:val="20"/>
                <w:lang w:val="fr-CA"/>
              </w:rPr>
            </w:pPr>
            <w:r w:rsidRPr="00047B76">
              <w:rPr>
                <w:sz w:val="20"/>
                <w:lang w:val="fr-CA"/>
              </w:rPr>
              <w:t>(Juges Newbury, Bennett et Hunter)</w:t>
            </w:r>
          </w:p>
          <w:p w:rsidR="0071029D" w:rsidRPr="00047B76" w:rsidRDefault="009A56E8" w:rsidP="0023484E">
            <w:pPr>
              <w:jc w:val="both"/>
              <w:rPr>
                <w:sz w:val="20"/>
                <w:lang w:val="fr-CA"/>
              </w:rPr>
            </w:pPr>
            <w:hyperlink r:id="rId58" w:history="1">
              <w:r w:rsidR="0071029D" w:rsidRPr="00047B76">
                <w:rPr>
                  <w:rStyle w:val="Hyperlink"/>
                  <w:sz w:val="20"/>
                  <w:lang w:val="fr-CA"/>
                </w:rPr>
                <w:t>2019 BCCA 149</w:t>
              </w:r>
            </w:hyperlink>
            <w:r w:rsidR="0071029D" w:rsidRPr="00047B76">
              <w:rPr>
                <w:sz w:val="20"/>
                <w:lang w:val="fr-CA"/>
              </w:rPr>
              <w:t xml:space="preserve"> </w:t>
            </w:r>
          </w:p>
          <w:p w:rsidR="0071029D" w:rsidRPr="00047B76" w:rsidRDefault="0071029D" w:rsidP="0023484E">
            <w:pPr>
              <w:jc w:val="both"/>
              <w:rPr>
                <w:sz w:val="20"/>
                <w:lang w:val="fr-CA"/>
              </w:rPr>
            </w:pPr>
          </w:p>
        </w:tc>
        <w:tc>
          <w:tcPr>
            <w:tcW w:w="243" w:type="pct"/>
          </w:tcPr>
          <w:p w:rsidR="0071029D" w:rsidRPr="00047B76" w:rsidRDefault="0071029D" w:rsidP="0023484E">
            <w:pPr>
              <w:jc w:val="both"/>
              <w:rPr>
                <w:sz w:val="20"/>
                <w:lang w:val="fr-CA"/>
              </w:rPr>
            </w:pPr>
          </w:p>
        </w:tc>
        <w:tc>
          <w:tcPr>
            <w:tcW w:w="2331" w:type="pct"/>
          </w:tcPr>
          <w:p w:rsidR="0071029D" w:rsidRPr="00047B76" w:rsidRDefault="0071029D" w:rsidP="0023484E">
            <w:pPr>
              <w:jc w:val="both"/>
              <w:rPr>
                <w:sz w:val="20"/>
                <w:lang w:val="fr-CA"/>
              </w:rPr>
            </w:pPr>
            <w:r w:rsidRPr="00047B76">
              <w:rPr>
                <w:sz w:val="20"/>
                <w:lang w:val="fr-CA"/>
              </w:rPr>
              <w:t>Rejet des trois appels</w:t>
            </w:r>
          </w:p>
          <w:p w:rsidR="0071029D" w:rsidRPr="00047B76" w:rsidRDefault="0071029D" w:rsidP="0023484E">
            <w:pPr>
              <w:jc w:val="both"/>
              <w:rPr>
                <w:sz w:val="20"/>
                <w:lang w:val="fr-CA"/>
              </w:rPr>
            </w:pPr>
          </w:p>
        </w:tc>
      </w:tr>
      <w:tr w:rsidR="0071029D" w:rsidRPr="00957F6E" w:rsidTr="0023484E">
        <w:tc>
          <w:tcPr>
            <w:tcW w:w="2426" w:type="pct"/>
            <w:gridSpan w:val="2"/>
          </w:tcPr>
          <w:p w:rsidR="0071029D" w:rsidRPr="00047B76" w:rsidRDefault="0071029D" w:rsidP="0023484E">
            <w:pPr>
              <w:jc w:val="both"/>
              <w:rPr>
                <w:sz w:val="20"/>
                <w:lang w:val="fr-CA"/>
              </w:rPr>
            </w:pPr>
            <w:r w:rsidRPr="00047B76">
              <w:rPr>
                <w:sz w:val="20"/>
                <w:lang w:val="fr-CA"/>
              </w:rPr>
              <w:t>1</w:t>
            </w:r>
            <w:r w:rsidRPr="00047B76">
              <w:rPr>
                <w:sz w:val="20"/>
                <w:vertAlign w:val="superscript"/>
                <w:lang w:val="fr-CA"/>
              </w:rPr>
              <w:t>er</w:t>
            </w:r>
            <w:r w:rsidRPr="00047B76">
              <w:rPr>
                <w:sz w:val="20"/>
                <w:lang w:val="fr-CA"/>
              </w:rPr>
              <w:t> août 2019</w:t>
            </w:r>
          </w:p>
          <w:p w:rsidR="0071029D" w:rsidRPr="00047B76" w:rsidRDefault="0071029D" w:rsidP="0023484E">
            <w:pPr>
              <w:jc w:val="both"/>
              <w:rPr>
                <w:sz w:val="20"/>
                <w:lang w:val="fr-CA"/>
              </w:rPr>
            </w:pPr>
            <w:r w:rsidRPr="00047B76">
              <w:rPr>
                <w:sz w:val="20"/>
                <w:lang w:val="fr-CA"/>
              </w:rPr>
              <w:t>Cour suprême du Canada</w:t>
            </w:r>
          </w:p>
        </w:tc>
        <w:tc>
          <w:tcPr>
            <w:tcW w:w="243" w:type="pct"/>
          </w:tcPr>
          <w:p w:rsidR="0071029D" w:rsidRPr="00047B76" w:rsidRDefault="0071029D" w:rsidP="0023484E">
            <w:pPr>
              <w:jc w:val="both"/>
              <w:rPr>
                <w:sz w:val="20"/>
                <w:lang w:val="fr-CA"/>
              </w:rPr>
            </w:pPr>
          </w:p>
        </w:tc>
        <w:tc>
          <w:tcPr>
            <w:tcW w:w="2331" w:type="pct"/>
          </w:tcPr>
          <w:p w:rsidR="0071029D" w:rsidRPr="00047B76" w:rsidRDefault="0071029D" w:rsidP="0023484E">
            <w:pPr>
              <w:jc w:val="both"/>
              <w:rPr>
                <w:sz w:val="20"/>
                <w:lang w:val="fr-CA"/>
              </w:rPr>
            </w:pPr>
            <w:r w:rsidRPr="00047B76">
              <w:rPr>
                <w:sz w:val="20"/>
                <w:lang w:val="fr-CA"/>
              </w:rPr>
              <w:t>Dépôt de la demande d’autorisation d’appel et de la requête en vue de déposer une seule demande d’autorisation</w:t>
            </w:r>
          </w:p>
        </w:tc>
      </w:tr>
    </w:tbl>
    <w:p w:rsidR="0071029D" w:rsidRPr="00047B76" w:rsidRDefault="0071029D" w:rsidP="0071029D">
      <w:pPr>
        <w:jc w:val="both"/>
        <w:rPr>
          <w:sz w:val="20"/>
          <w:lang w:val="fr-CA"/>
        </w:rPr>
      </w:pPr>
    </w:p>
    <w:p w:rsidR="0071029D" w:rsidRPr="00047B76" w:rsidRDefault="009A56E8" w:rsidP="0071029D">
      <w:pPr>
        <w:jc w:val="both"/>
        <w:rPr>
          <w:sz w:val="20"/>
          <w:lang w:val="fr-CA"/>
        </w:rPr>
      </w:pPr>
      <w:r>
        <w:rPr>
          <w:sz w:val="20"/>
        </w:rPr>
        <w:pict>
          <v:rect id="_x0000_i1055" style="width:2in;height:1pt" o:hrpct="0" o:hralign="center" o:hrstd="t" o:hrnoshade="t" o:hr="t" fillcolor="black [3213]" stroked="f"/>
        </w:pict>
      </w:r>
    </w:p>
    <w:p w:rsidR="0071029D" w:rsidRPr="00047B76" w:rsidRDefault="0071029D" w:rsidP="0071029D">
      <w:pPr>
        <w:ind w:left="142" w:hanging="142"/>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71029D" w:rsidRPr="00047B76" w:rsidTr="0023484E">
        <w:trPr>
          <w:gridAfter w:val="1"/>
          <w:wAfter w:w="48" w:type="pct"/>
        </w:trPr>
        <w:tc>
          <w:tcPr>
            <w:tcW w:w="537" w:type="pct"/>
          </w:tcPr>
          <w:p w:rsidR="0071029D" w:rsidRPr="00047B76" w:rsidRDefault="0071029D" w:rsidP="0023484E">
            <w:pPr>
              <w:jc w:val="both"/>
              <w:rPr>
                <w:sz w:val="20"/>
              </w:rPr>
            </w:pPr>
            <w:r w:rsidRPr="00047B76">
              <w:rPr>
                <w:rStyle w:val="SCCFileNumberChar"/>
                <w:sz w:val="20"/>
                <w:szCs w:val="20"/>
              </w:rPr>
              <w:t>37831</w:t>
            </w:r>
          </w:p>
        </w:tc>
        <w:tc>
          <w:tcPr>
            <w:tcW w:w="4415" w:type="pct"/>
            <w:gridSpan w:val="3"/>
          </w:tcPr>
          <w:p w:rsidR="0071029D" w:rsidRPr="00047B76" w:rsidRDefault="0071029D" w:rsidP="0023484E">
            <w:pPr>
              <w:pStyle w:val="SCCLsocParty"/>
              <w:jc w:val="both"/>
              <w:rPr>
                <w:b/>
                <w:sz w:val="20"/>
                <w:szCs w:val="20"/>
                <w:lang w:val="en-CA"/>
              </w:rPr>
            </w:pPr>
            <w:r w:rsidRPr="00047B76">
              <w:rPr>
                <w:b/>
                <w:sz w:val="20"/>
                <w:szCs w:val="20"/>
                <w:lang w:val="en-CA"/>
              </w:rPr>
              <w:t>Justin Milette v. Her Majesty the Queen</w:t>
            </w:r>
            <w:r w:rsidR="00643999" w:rsidRPr="00047B76">
              <w:rPr>
                <w:b/>
                <w:sz w:val="20"/>
                <w:szCs w:val="20"/>
                <w:lang w:val="en-CA"/>
              </w:rPr>
              <w:t xml:space="preserve"> and Attorney General of Quebec</w:t>
            </w:r>
          </w:p>
          <w:p w:rsidR="0071029D" w:rsidRPr="00047B76" w:rsidRDefault="0071029D" w:rsidP="0023484E">
            <w:pPr>
              <w:jc w:val="both"/>
              <w:rPr>
                <w:sz w:val="20"/>
              </w:rPr>
            </w:pPr>
            <w:r w:rsidRPr="00047B76">
              <w:rPr>
                <w:sz w:val="20"/>
              </w:rPr>
              <w:t>(Que.) (Criminal) (By Leave)</w:t>
            </w:r>
          </w:p>
        </w:tc>
      </w:tr>
      <w:tr w:rsidR="00E80644" w:rsidRPr="00047B76" w:rsidTr="0023484E">
        <w:trPr>
          <w:gridAfter w:val="1"/>
          <w:wAfter w:w="48" w:type="pct"/>
        </w:trPr>
        <w:tc>
          <w:tcPr>
            <w:tcW w:w="4952" w:type="pct"/>
            <w:gridSpan w:val="4"/>
          </w:tcPr>
          <w:p w:rsidR="00643999" w:rsidRPr="00047B76" w:rsidRDefault="00643999" w:rsidP="00643999">
            <w:pPr>
              <w:jc w:val="both"/>
              <w:rPr>
                <w:rFonts w:cs="Times New Roman"/>
                <w:sz w:val="20"/>
                <w:szCs w:val="20"/>
              </w:rPr>
            </w:pPr>
            <w:r w:rsidRPr="00047B76">
              <w:rPr>
                <w:rFonts w:cs="Times New Roman"/>
                <w:sz w:val="20"/>
                <w:szCs w:val="20"/>
              </w:rPr>
              <w:t xml:space="preserve">The motion for an extension of time to serve and file the application for leave to appeal is granted. The motion to appoint counsel is dismissed. The motion to add the Attorney General of Canada as an intervener on the application for leave to appeal is dismissed. The miscellaneous motions are dismissed. </w:t>
            </w:r>
            <w:r w:rsidRPr="00047B76">
              <w:rPr>
                <w:sz w:val="20"/>
                <w:szCs w:val="20"/>
              </w:rPr>
              <w:t>The application for leave to appeal from the judgment of the Court of Appeal of Quebec (Québec), Number 200-10-003345-175, 2018 QCCA 736, dated April 6, 2018, is dismissed.</w:t>
            </w:r>
          </w:p>
          <w:p w:rsidR="00E80644" w:rsidRPr="00047B76" w:rsidRDefault="00E80644" w:rsidP="0023484E">
            <w:pPr>
              <w:pStyle w:val="SCCBanSummary0"/>
              <w:rPr>
                <w:smallCaps w:val="0"/>
                <w:sz w:val="20"/>
                <w:szCs w:val="20"/>
              </w:rPr>
            </w:pPr>
          </w:p>
        </w:tc>
      </w:tr>
      <w:tr w:rsidR="0071029D" w:rsidRPr="00047B76" w:rsidTr="0023484E">
        <w:trPr>
          <w:gridAfter w:val="1"/>
          <w:wAfter w:w="48" w:type="pct"/>
        </w:trPr>
        <w:tc>
          <w:tcPr>
            <w:tcW w:w="4952" w:type="pct"/>
            <w:gridSpan w:val="4"/>
          </w:tcPr>
          <w:p w:rsidR="0071029D" w:rsidRPr="00047B76" w:rsidRDefault="0071029D" w:rsidP="0023484E">
            <w:pPr>
              <w:pStyle w:val="SCCBanSummary0"/>
              <w:rPr>
                <w:sz w:val="20"/>
                <w:szCs w:val="20"/>
              </w:rPr>
            </w:pPr>
            <w:r w:rsidRPr="00047B76">
              <w:rPr>
                <w:sz w:val="20"/>
                <w:szCs w:val="20"/>
              </w:rPr>
              <w:t>(Publication Ban in Case) (Sealing Order) (</w:t>
            </w:r>
            <w:r w:rsidRPr="00047B76">
              <w:rPr>
                <w:sz w:val="20"/>
                <w:szCs w:val="20"/>
                <w:lang w:val="en-GB"/>
              </w:rPr>
              <w:t>Court file contains information that is not available for inspection by the public</w:t>
            </w:r>
            <w:r w:rsidRPr="00047B76">
              <w:rPr>
                <w:sz w:val="20"/>
                <w:szCs w:val="20"/>
              </w:rPr>
              <w:t>)</w:t>
            </w:r>
          </w:p>
          <w:p w:rsidR="0071029D" w:rsidRPr="00047B76" w:rsidRDefault="0071029D" w:rsidP="0023484E">
            <w:pPr>
              <w:jc w:val="both"/>
              <w:rPr>
                <w:sz w:val="20"/>
              </w:rPr>
            </w:pPr>
          </w:p>
        </w:tc>
      </w:tr>
      <w:tr w:rsidR="0071029D" w:rsidRPr="00047B76" w:rsidTr="0023484E">
        <w:trPr>
          <w:gridAfter w:val="1"/>
          <w:wAfter w:w="48" w:type="pct"/>
        </w:trPr>
        <w:tc>
          <w:tcPr>
            <w:tcW w:w="4952" w:type="pct"/>
            <w:gridSpan w:val="4"/>
          </w:tcPr>
          <w:p w:rsidR="0071029D" w:rsidRPr="00047B76" w:rsidRDefault="0071029D" w:rsidP="0023484E">
            <w:pPr>
              <w:jc w:val="both"/>
              <w:rPr>
                <w:sz w:val="20"/>
              </w:rPr>
            </w:pPr>
            <w:r w:rsidRPr="00047B76">
              <w:rPr>
                <w:sz w:val="20"/>
              </w:rPr>
              <w:t>Criminal law – Offences – Distribution of child pornography – Identity fraud – Appeals – Leave to appeal – Whether application for leave to appeal raises question of public importance.</w:t>
            </w:r>
          </w:p>
          <w:p w:rsidR="0071029D" w:rsidRPr="00047B76" w:rsidRDefault="0071029D" w:rsidP="0023484E">
            <w:pPr>
              <w:jc w:val="both"/>
              <w:rPr>
                <w:sz w:val="20"/>
              </w:rPr>
            </w:pPr>
          </w:p>
        </w:tc>
      </w:tr>
      <w:tr w:rsidR="0071029D" w:rsidRPr="00047B76" w:rsidTr="0023484E">
        <w:trPr>
          <w:gridAfter w:val="1"/>
          <w:wAfter w:w="48" w:type="pct"/>
        </w:trPr>
        <w:tc>
          <w:tcPr>
            <w:tcW w:w="4952" w:type="pct"/>
            <w:gridSpan w:val="4"/>
          </w:tcPr>
          <w:p w:rsidR="0071029D" w:rsidRPr="00047B76" w:rsidRDefault="0071029D" w:rsidP="0023484E">
            <w:pPr>
              <w:jc w:val="both"/>
              <w:rPr>
                <w:sz w:val="20"/>
              </w:rPr>
            </w:pPr>
            <w:r w:rsidRPr="00047B76">
              <w:rPr>
                <w:sz w:val="20"/>
              </w:rPr>
              <w:t xml:space="preserve">In 2015, Justin Milette was convicted of distributing child pornography and fraudulently personating another person. Mr. Milette appealed the double conviction to the Superior Court. The respondent moved to dismiss the appeal and to have Mr. Milette declared to be a quarrelsome litigant. The Superior Court allowed the respondent’s motions. </w:t>
            </w:r>
          </w:p>
          <w:p w:rsidR="0071029D" w:rsidRPr="00047B76" w:rsidRDefault="0071029D" w:rsidP="0023484E">
            <w:pPr>
              <w:jc w:val="both"/>
              <w:rPr>
                <w:sz w:val="20"/>
              </w:rPr>
            </w:pPr>
          </w:p>
        </w:tc>
      </w:tr>
      <w:tr w:rsidR="0071029D" w:rsidRPr="00047B76" w:rsidTr="0023484E">
        <w:tblPrEx>
          <w:tblCellMar>
            <w:bottom w:w="0" w:type="dxa"/>
          </w:tblCellMar>
        </w:tblPrEx>
        <w:tc>
          <w:tcPr>
            <w:tcW w:w="2367" w:type="pct"/>
            <w:gridSpan w:val="2"/>
          </w:tcPr>
          <w:p w:rsidR="0071029D" w:rsidRPr="00047B76" w:rsidRDefault="0071029D" w:rsidP="0023484E">
            <w:pPr>
              <w:jc w:val="both"/>
              <w:rPr>
                <w:sz w:val="20"/>
              </w:rPr>
            </w:pPr>
            <w:r w:rsidRPr="00047B76">
              <w:rPr>
                <w:sz w:val="20"/>
              </w:rPr>
              <w:t>December 16, 2015</w:t>
            </w:r>
          </w:p>
          <w:p w:rsidR="0071029D" w:rsidRPr="00047B76" w:rsidRDefault="0071029D" w:rsidP="0023484E">
            <w:pPr>
              <w:jc w:val="both"/>
              <w:rPr>
                <w:sz w:val="20"/>
              </w:rPr>
            </w:pPr>
            <w:r w:rsidRPr="00047B76">
              <w:rPr>
                <w:sz w:val="20"/>
              </w:rPr>
              <w:t>Court of Québec</w:t>
            </w:r>
          </w:p>
          <w:p w:rsidR="0071029D" w:rsidRPr="00047B76" w:rsidRDefault="0071029D" w:rsidP="0023484E">
            <w:pPr>
              <w:jc w:val="both"/>
              <w:rPr>
                <w:sz w:val="20"/>
              </w:rPr>
            </w:pPr>
            <w:r w:rsidRPr="00047B76">
              <w:rPr>
                <w:sz w:val="20"/>
              </w:rPr>
              <w:t>(Judge Lambert)</w:t>
            </w:r>
          </w:p>
          <w:p w:rsidR="0071029D" w:rsidRPr="00047B76" w:rsidRDefault="0071029D" w:rsidP="0023484E">
            <w:pPr>
              <w:jc w:val="both"/>
              <w:rPr>
                <w:sz w:val="20"/>
              </w:rPr>
            </w:pPr>
            <w:r w:rsidRPr="00047B76">
              <w:rPr>
                <w:sz w:val="20"/>
              </w:rPr>
              <w:t>Neutral citation: 2015 QCCQ 16688</w:t>
            </w:r>
          </w:p>
          <w:p w:rsidR="0071029D" w:rsidRPr="00047B76" w:rsidRDefault="0071029D" w:rsidP="0023484E">
            <w:pPr>
              <w:jc w:val="both"/>
              <w:rPr>
                <w:sz w:val="20"/>
              </w:rPr>
            </w:pPr>
          </w:p>
        </w:tc>
        <w:tc>
          <w:tcPr>
            <w:tcW w:w="267" w:type="pct"/>
          </w:tcPr>
          <w:p w:rsidR="0071029D" w:rsidRPr="00047B76" w:rsidRDefault="0071029D" w:rsidP="0023484E">
            <w:pPr>
              <w:jc w:val="both"/>
              <w:rPr>
                <w:sz w:val="20"/>
              </w:rPr>
            </w:pPr>
          </w:p>
        </w:tc>
        <w:tc>
          <w:tcPr>
            <w:tcW w:w="2366" w:type="pct"/>
            <w:gridSpan w:val="2"/>
          </w:tcPr>
          <w:p w:rsidR="0071029D" w:rsidRPr="00047B76" w:rsidRDefault="0071029D" w:rsidP="0023484E">
            <w:pPr>
              <w:jc w:val="both"/>
              <w:rPr>
                <w:sz w:val="20"/>
              </w:rPr>
            </w:pPr>
            <w:r w:rsidRPr="00047B76">
              <w:rPr>
                <w:sz w:val="20"/>
              </w:rPr>
              <w:t>Justin Milette convicted of distributing child pornography and fraudulently personating another person</w:t>
            </w:r>
          </w:p>
          <w:p w:rsidR="0071029D" w:rsidRPr="00047B76" w:rsidRDefault="0071029D" w:rsidP="0023484E">
            <w:pPr>
              <w:jc w:val="both"/>
              <w:rPr>
                <w:sz w:val="20"/>
              </w:rPr>
            </w:pPr>
          </w:p>
        </w:tc>
      </w:tr>
      <w:tr w:rsidR="0071029D" w:rsidRPr="00047B76" w:rsidTr="0023484E">
        <w:tblPrEx>
          <w:tblCellMar>
            <w:bottom w:w="0" w:type="dxa"/>
          </w:tblCellMar>
        </w:tblPrEx>
        <w:tc>
          <w:tcPr>
            <w:tcW w:w="2367" w:type="pct"/>
            <w:gridSpan w:val="2"/>
          </w:tcPr>
          <w:p w:rsidR="0071029D" w:rsidRPr="00047B76" w:rsidRDefault="0071029D" w:rsidP="0023484E">
            <w:pPr>
              <w:jc w:val="both"/>
              <w:rPr>
                <w:sz w:val="20"/>
              </w:rPr>
            </w:pPr>
            <w:r w:rsidRPr="00047B76">
              <w:rPr>
                <w:sz w:val="20"/>
              </w:rPr>
              <w:t>February 15, 2017</w:t>
            </w:r>
          </w:p>
          <w:p w:rsidR="0071029D" w:rsidRPr="00047B76" w:rsidRDefault="0071029D" w:rsidP="0023484E">
            <w:pPr>
              <w:jc w:val="both"/>
              <w:rPr>
                <w:sz w:val="20"/>
              </w:rPr>
            </w:pPr>
            <w:r w:rsidRPr="00047B76">
              <w:rPr>
                <w:sz w:val="20"/>
              </w:rPr>
              <w:t>Quebec Superior Court</w:t>
            </w:r>
          </w:p>
          <w:p w:rsidR="0071029D" w:rsidRPr="00047B76" w:rsidRDefault="0071029D" w:rsidP="0023484E">
            <w:pPr>
              <w:jc w:val="both"/>
              <w:rPr>
                <w:sz w:val="20"/>
              </w:rPr>
            </w:pPr>
            <w:r w:rsidRPr="00047B76">
              <w:rPr>
                <w:sz w:val="20"/>
              </w:rPr>
              <w:t>(</w:t>
            </w:r>
            <w:proofErr w:type="spellStart"/>
            <w:r w:rsidRPr="00047B76">
              <w:rPr>
                <w:sz w:val="20"/>
              </w:rPr>
              <w:t>Pronovost</w:t>
            </w:r>
            <w:proofErr w:type="spellEnd"/>
            <w:r w:rsidRPr="00047B76">
              <w:rPr>
                <w:sz w:val="20"/>
              </w:rPr>
              <w:t> J.)</w:t>
            </w:r>
          </w:p>
          <w:p w:rsidR="0071029D" w:rsidRPr="00047B76" w:rsidRDefault="0071029D" w:rsidP="0023484E">
            <w:pPr>
              <w:jc w:val="both"/>
              <w:rPr>
                <w:sz w:val="20"/>
              </w:rPr>
            </w:pPr>
            <w:r w:rsidRPr="00047B76">
              <w:rPr>
                <w:sz w:val="20"/>
              </w:rPr>
              <w:t>Neutral citation: 2017 QCCS 1321</w:t>
            </w:r>
          </w:p>
          <w:p w:rsidR="0071029D" w:rsidRPr="00047B76" w:rsidRDefault="0071029D" w:rsidP="0023484E">
            <w:pPr>
              <w:jc w:val="both"/>
              <w:rPr>
                <w:sz w:val="20"/>
              </w:rPr>
            </w:pPr>
          </w:p>
        </w:tc>
        <w:tc>
          <w:tcPr>
            <w:tcW w:w="267" w:type="pct"/>
          </w:tcPr>
          <w:p w:rsidR="0071029D" w:rsidRPr="00047B76" w:rsidRDefault="0071029D" w:rsidP="0023484E">
            <w:pPr>
              <w:jc w:val="both"/>
              <w:rPr>
                <w:sz w:val="20"/>
              </w:rPr>
            </w:pPr>
          </w:p>
        </w:tc>
        <w:tc>
          <w:tcPr>
            <w:tcW w:w="2366" w:type="pct"/>
            <w:gridSpan w:val="2"/>
          </w:tcPr>
          <w:p w:rsidR="0071029D" w:rsidRPr="00047B76" w:rsidRDefault="0071029D" w:rsidP="0023484E">
            <w:pPr>
              <w:jc w:val="both"/>
              <w:rPr>
                <w:sz w:val="20"/>
              </w:rPr>
            </w:pPr>
            <w:r w:rsidRPr="00047B76">
              <w:rPr>
                <w:sz w:val="20"/>
              </w:rPr>
              <w:t>Motion to dismiss appeal allowed</w:t>
            </w:r>
          </w:p>
          <w:p w:rsidR="0071029D" w:rsidRPr="00047B76" w:rsidRDefault="0071029D" w:rsidP="0023484E">
            <w:pPr>
              <w:jc w:val="both"/>
              <w:rPr>
                <w:sz w:val="20"/>
              </w:rPr>
            </w:pPr>
          </w:p>
        </w:tc>
      </w:tr>
      <w:tr w:rsidR="0071029D" w:rsidRPr="00047B76" w:rsidTr="0023484E">
        <w:tblPrEx>
          <w:tblCellMar>
            <w:bottom w:w="0" w:type="dxa"/>
          </w:tblCellMar>
        </w:tblPrEx>
        <w:tc>
          <w:tcPr>
            <w:tcW w:w="2367" w:type="pct"/>
            <w:gridSpan w:val="2"/>
          </w:tcPr>
          <w:p w:rsidR="0071029D" w:rsidRPr="00047B76" w:rsidRDefault="0071029D" w:rsidP="0023484E">
            <w:pPr>
              <w:jc w:val="both"/>
              <w:rPr>
                <w:sz w:val="20"/>
              </w:rPr>
            </w:pPr>
            <w:r w:rsidRPr="00047B76">
              <w:rPr>
                <w:sz w:val="20"/>
              </w:rPr>
              <w:lastRenderedPageBreak/>
              <w:t>April 4, 2017</w:t>
            </w:r>
          </w:p>
          <w:p w:rsidR="0071029D" w:rsidRPr="00047B76" w:rsidRDefault="0071029D" w:rsidP="0023484E">
            <w:pPr>
              <w:jc w:val="both"/>
              <w:rPr>
                <w:sz w:val="20"/>
              </w:rPr>
            </w:pPr>
            <w:r w:rsidRPr="00047B76">
              <w:rPr>
                <w:sz w:val="20"/>
              </w:rPr>
              <w:t>Quebec Court of Appeal (Québec)</w:t>
            </w:r>
          </w:p>
          <w:p w:rsidR="0071029D" w:rsidRPr="00047B76" w:rsidRDefault="0071029D" w:rsidP="0023484E">
            <w:pPr>
              <w:jc w:val="both"/>
              <w:rPr>
                <w:sz w:val="20"/>
              </w:rPr>
            </w:pPr>
            <w:r w:rsidRPr="00047B76">
              <w:rPr>
                <w:sz w:val="20"/>
              </w:rPr>
              <w:t>(Bouchard, Gagnon and Healy JJ.A.)</w:t>
            </w:r>
          </w:p>
          <w:p w:rsidR="0071029D" w:rsidRPr="00047B76" w:rsidRDefault="0071029D" w:rsidP="0023484E">
            <w:pPr>
              <w:jc w:val="both"/>
              <w:rPr>
                <w:sz w:val="20"/>
              </w:rPr>
            </w:pPr>
            <w:r w:rsidRPr="00047B76">
              <w:rPr>
                <w:sz w:val="20"/>
              </w:rPr>
              <w:t>Neutral citation: 2017 QCCA 543</w:t>
            </w:r>
          </w:p>
          <w:p w:rsidR="0071029D" w:rsidRPr="00047B76" w:rsidRDefault="0071029D" w:rsidP="0023484E">
            <w:pPr>
              <w:jc w:val="both"/>
              <w:rPr>
                <w:sz w:val="20"/>
              </w:rPr>
            </w:pPr>
          </w:p>
        </w:tc>
        <w:tc>
          <w:tcPr>
            <w:tcW w:w="267" w:type="pct"/>
          </w:tcPr>
          <w:p w:rsidR="0071029D" w:rsidRPr="00047B76" w:rsidRDefault="0071029D" w:rsidP="0023484E">
            <w:pPr>
              <w:jc w:val="both"/>
              <w:rPr>
                <w:sz w:val="20"/>
              </w:rPr>
            </w:pPr>
          </w:p>
        </w:tc>
        <w:tc>
          <w:tcPr>
            <w:tcW w:w="2366" w:type="pct"/>
            <w:gridSpan w:val="2"/>
          </w:tcPr>
          <w:p w:rsidR="0071029D" w:rsidRPr="00047B76" w:rsidRDefault="0071029D" w:rsidP="0023484E">
            <w:pPr>
              <w:jc w:val="both"/>
              <w:rPr>
                <w:sz w:val="20"/>
              </w:rPr>
            </w:pPr>
            <w:r w:rsidRPr="00047B76">
              <w:rPr>
                <w:sz w:val="20"/>
              </w:rPr>
              <w:t>Motion for leave to appeal dismissed</w:t>
            </w:r>
          </w:p>
          <w:p w:rsidR="0071029D" w:rsidRPr="00047B76" w:rsidRDefault="0071029D" w:rsidP="0023484E">
            <w:pPr>
              <w:jc w:val="both"/>
              <w:rPr>
                <w:sz w:val="20"/>
              </w:rPr>
            </w:pPr>
          </w:p>
        </w:tc>
      </w:tr>
      <w:tr w:rsidR="0071029D" w:rsidRPr="00047B76" w:rsidTr="0023484E">
        <w:tblPrEx>
          <w:tblCellMar>
            <w:bottom w:w="0" w:type="dxa"/>
          </w:tblCellMar>
        </w:tblPrEx>
        <w:tc>
          <w:tcPr>
            <w:tcW w:w="2367" w:type="pct"/>
            <w:gridSpan w:val="2"/>
          </w:tcPr>
          <w:p w:rsidR="0071029D" w:rsidRPr="00047B76" w:rsidRDefault="0071029D" w:rsidP="0023484E">
            <w:pPr>
              <w:jc w:val="both"/>
              <w:rPr>
                <w:sz w:val="20"/>
              </w:rPr>
            </w:pPr>
            <w:r w:rsidRPr="00047B76">
              <w:rPr>
                <w:sz w:val="20"/>
              </w:rPr>
              <w:t>June 5, 2017</w:t>
            </w:r>
          </w:p>
          <w:p w:rsidR="0071029D" w:rsidRPr="00047B76" w:rsidRDefault="0071029D" w:rsidP="0023484E">
            <w:pPr>
              <w:jc w:val="both"/>
              <w:rPr>
                <w:sz w:val="20"/>
              </w:rPr>
            </w:pPr>
            <w:r w:rsidRPr="00047B76">
              <w:rPr>
                <w:sz w:val="20"/>
              </w:rPr>
              <w:t>Supreme Court of Canada</w:t>
            </w:r>
          </w:p>
        </w:tc>
        <w:tc>
          <w:tcPr>
            <w:tcW w:w="267" w:type="pct"/>
          </w:tcPr>
          <w:p w:rsidR="0071029D" w:rsidRPr="00047B76" w:rsidRDefault="0071029D" w:rsidP="0023484E">
            <w:pPr>
              <w:jc w:val="both"/>
              <w:rPr>
                <w:sz w:val="20"/>
              </w:rPr>
            </w:pPr>
          </w:p>
        </w:tc>
        <w:tc>
          <w:tcPr>
            <w:tcW w:w="2366" w:type="pct"/>
            <w:gridSpan w:val="2"/>
          </w:tcPr>
          <w:p w:rsidR="0071029D" w:rsidRPr="00047B76" w:rsidRDefault="0071029D" w:rsidP="0023484E">
            <w:pPr>
              <w:jc w:val="both"/>
              <w:rPr>
                <w:sz w:val="20"/>
              </w:rPr>
            </w:pPr>
            <w:r w:rsidRPr="00047B76">
              <w:rPr>
                <w:sz w:val="20"/>
              </w:rPr>
              <w:t>Motion to extend time to file and serve application for leave to appeal and application for leave to appeal filed</w:t>
            </w:r>
          </w:p>
        </w:tc>
      </w:tr>
    </w:tbl>
    <w:p w:rsidR="0071029D" w:rsidRPr="00047B76" w:rsidRDefault="0071029D" w:rsidP="0071029D">
      <w:pPr>
        <w:jc w:val="both"/>
        <w:rPr>
          <w:sz w:val="20"/>
        </w:rPr>
      </w:pPr>
    </w:p>
    <w:p w:rsidR="0071029D" w:rsidRPr="00047B76" w:rsidRDefault="009A56E8" w:rsidP="0071029D">
      <w:pPr>
        <w:jc w:val="both"/>
        <w:rPr>
          <w:sz w:val="20"/>
        </w:rPr>
      </w:pPr>
      <w:r>
        <w:rPr>
          <w:sz w:val="20"/>
        </w:rPr>
        <w:pict>
          <v:rect id="_x0000_i1056" style="width:2in;height:1pt" o:hrpct="0" o:hralign="center" o:hrstd="t" o:hrnoshade="t" o:hr="t" fillcolor="black [3213]" stroked="f"/>
        </w:pict>
      </w:r>
    </w:p>
    <w:p w:rsidR="0071029D" w:rsidRPr="00047B76" w:rsidRDefault="0071029D" w:rsidP="0071029D">
      <w:pPr>
        <w:jc w:val="both"/>
        <w:rPr>
          <w:sz w:val="20"/>
          <w:lang w:val="en-US"/>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71029D" w:rsidRPr="00047B76" w:rsidTr="0023484E">
        <w:trPr>
          <w:gridAfter w:val="1"/>
          <w:wAfter w:w="48" w:type="pct"/>
        </w:trPr>
        <w:tc>
          <w:tcPr>
            <w:tcW w:w="537" w:type="pct"/>
          </w:tcPr>
          <w:p w:rsidR="0071029D" w:rsidRPr="00047B76" w:rsidRDefault="0071029D" w:rsidP="0023484E">
            <w:pPr>
              <w:jc w:val="both"/>
              <w:rPr>
                <w:sz w:val="20"/>
              </w:rPr>
            </w:pPr>
            <w:r w:rsidRPr="00047B76">
              <w:rPr>
                <w:rStyle w:val="SCCFileNumberChar"/>
                <w:sz w:val="20"/>
                <w:szCs w:val="20"/>
              </w:rPr>
              <w:t>37831</w:t>
            </w:r>
          </w:p>
        </w:tc>
        <w:tc>
          <w:tcPr>
            <w:tcW w:w="4415" w:type="pct"/>
            <w:gridSpan w:val="3"/>
          </w:tcPr>
          <w:p w:rsidR="0071029D" w:rsidRPr="00047B76" w:rsidRDefault="0071029D" w:rsidP="0023484E">
            <w:pPr>
              <w:pStyle w:val="SCCLsocParty"/>
              <w:jc w:val="both"/>
              <w:rPr>
                <w:b/>
                <w:sz w:val="20"/>
                <w:szCs w:val="20"/>
              </w:rPr>
            </w:pPr>
            <w:r w:rsidRPr="00047B76">
              <w:rPr>
                <w:b/>
                <w:sz w:val="20"/>
                <w:szCs w:val="20"/>
              </w:rPr>
              <w:t>Justin Milette c. Sa Majesté la Reine</w:t>
            </w:r>
            <w:r w:rsidR="00ED6318" w:rsidRPr="00047B76">
              <w:rPr>
                <w:b/>
                <w:sz w:val="20"/>
                <w:szCs w:val="20"/>
              </w:rPr>
              <w:t xml:space="preserve"> et procureure générale du Québec</w:t>
            </w:r>
          </w:p>
          <w:p w:rsidR="0071029D" w:rsidRPr="00047B76" w:rsidRDefault="0071029D" w:rsidP="0023484E">
            <w:pPr>
              <w:jc w:val="both"/>
              <w:rPr>
                <w:sz w:val="20"/>
              </w:rPr>
            </w:pPr>
            <w:r w:rsidRPr="00047B76">
              <w:rPr>
                <w:sz w:val="20"/>
              </w:rPr>
              <w:t>(Qc) (Criminelle) (Autorisation)</w:t>
            </w:r>
          </w:p>
        </w:tc>
      </w:tr>
      <w:tr w:rsidR="00E80644" w:rsidRPr="00957F6E" w:rsidTr="0023484E">
        <w:trPr>
          <w:gridAfter w:val="1"/>
          <w:wAfter w:w="48" w:type="pct"/>
        </w:trPr>
        <w:tc>
          <w:tcPr>
            <w:tcW w:w="4952" w:type="pct"/>
            <w:gridSpan w:val="4"/>
          </w:tcPr>
          <w:p w:rsidR="00ED6318" w:rsidRPr="00047B76" w:rsidRDefault="00ED6318" w:rsidP="00ED6318">
            <w:pPr>
              <w:jc w:val="both"/>
              <w:rPr>
                <w:sz w:val="20"/>
                <w:szCs w:val="20"/>
                <w:lang w:val="fr-CA"/>
              </w:rPr>
            </w:pPr>
            <w:r w:rsidRPr="00047B76">
              <w:rPr>
                <w:rFonts w:cs="Times New Roman"/>
                <w:sz w:val="20"/>
                <w:szCs w:val="20"/>
                <w:lang w:val="fr-CA"/>
              </w:rPr>
              <w:t>La requête en prorogation du délai de signification et de dépôt de la demande d’autorisation d’appel est accueillie. La requête en nomination d’un procureur est rejetée. La requête en vue d’ajouter le procureur général du Canada comme intervenant à la demande d’autorisation d’appel est rejetée. Les requêtes diverses sont rejetées.</w:t>
            </w:r>
            <w:r w:rsidRPr="00047B76">
              <w:rPr>
                <w:sz w:val="20"/>
                <w:szCs w:val="20"/>
                <w:lang w:val="fr-CA"/>
              </w:rPr>
              <w:t xml:space="preserve"> La demande d’autorisation d’appel de l’arrêt de la Cour d’appel du Québec (Québec), numéro 200-10-003345-175, 2018 QCCA 736, daté du 6 avril 2018, est rejetée.</w:t>
            </w:r>
          </w:p>
          <w:p w:rsidR="00E80644" w:rsidRPr="00047B76" w:rsidRDefault="00E80644" w:rsidP="0023484E">
            <w:pPr>
              <w:pStyle w:val="SCCBanSummary0"/>
              <w:rPr>
                <w:smallCaps w:val="0"/>
                <w:sz w:val="20"/>
                <w:szCs w:val="20"/>
                <w:lang w:val="fr-CA"/>
              </w:rPr>
            </w:pPr>
          </w:p>
        </w:tc>
      </w:tr>
      <w:tr w:rsidR="0071029D" w:rsidRPr="00957F6E" w:rsidTr="0023484E">
        <w:trPr>
          <w:gridAfter w:val="1"/>
          <w:wAfter w:w="48" w:type="pct"/>
        </w:trPr>
        <w:tc>
          <w:tcPr>
            <w:tcW w:w="4952" w:type="pct"/>
            <w:gridSpan w:val="4"/>
          </w:tcPr>
          <w:p w:rsidR="0071029D" w:rsidRPr="00047B76" w:rsidRDefault="0071029D" w:rsidP="0023484E">
            <w:pPr>
              <w:pStyle w:val="SCCBanSummary0"/>
              <w:rPr>
                <w:sz w:val="20"/>
                <w:szCs w:val="20"/>
                <w:lang w:val="fr-CA"/>
              </w:rPr>
            </w:pPr>
            <w:r w:rsidRPr="00047B76">
              <w:rPr>
                <w:sz w:val="20"/>
                <w:szCs w:val="20"/>
                <w:lang w:val="fr-CA"/>
              </w:rPr>
              <w:t>(Ordonnance de non-publication dans le dossier) (Ordonnance de mise sous scellés) (Le dossier de la Cour renferme des données que le public n’est pas autorisé à consulter)</w:t>
            </w:r>
          </w:p>
          <w:p w:rsidR="0071029D" w:rsidRPr="00047B76" w:rsidRDefault="0071029D" w:rsidP="0023484E">
            <w:pPr>
              <w:jc w:val="both"/>
              <w:rPr>
                <w:sz w:val="20"/>
                <w:lang w:val="fr-CA"/>
              </w:rPr>
            </w:pPr>
          </w:p>
        </w:tc>
      </w:tr>
      <w:tr w:rsidR="0071029D" w:rsidRPr="00957F6E" w:rsidTr="0023484E">
        <w:trPr>
          <w:gridAfter w:val="1"/>
          <w:wAfter w:w="48" w:type="pct"/>
        </w:trPr>
        <w:tc>
          <w:tcPr>
            <w:tcW w:w="4952" w:type="pct"/>
            <w:gridSpan w:val="4"/>
          </w:tcPr>
          <w:p w:rsidR="0071029D" w:rsidRPr="00047B76" w:rsidRDefault="0071029D" w:rsidP="0023484E">
            <w:pPr>
              <w:jc w:val="both"/>
              <w:rPr>
                <w:sz w:val="20"/>
                <w:lang w:val="fr-CA"/>
              </w:rPr>
            </w:pPr>
            <w:r w:rsidRPr="00047B76">
              <w:rPr>
                <w:sz w:val="20"/>
                <w:lang w:val="fr-CA"/>
              </w:rPr>
              <w:t>Droit criminel – Infractions – Distribution de pornographie juvénile – Fraude à l’identité – Appels – Permission d’appeler – La demande d’autorisation d’appel soulève-t-elle une question d’importance pour le public?</w:t>
            </w:r>
          </w:p>
          <w:p w:rsidR="0071029D" w:rsidRPr="00047B76" w:rsidRDefault="0071029D" w:rsidP="0023484E">
            <w:pPr>
              <w:jc w:val="both"/>
              <w:rPr>
                <w:sz w:val="20"/>
                <w:lang w:val="fr-CA"/>
              </w:rPr>
            </w:pPr>
          </w:p>
        </w:tc>
      </w:tr>
      <w:tr w:rsidR="0071029D" w:rsidRPr="00047B76" w:rsidTr="0023484E">
        <w:trPr>
          <w:gridAfter w:val="1"/>
          <w:wAfter w:w="48" w:type="pct"/>
        </w:trPr>
        <w:tc>
          <w:tcPr>
            <w:tcW w:w="4952" w:type="pct"/>
            <w:gridSpan w:val="4"/>
          </w:tcPr>
          <w:p w:rsidR="0071029D" w:rsidRPr="00047B76" w:rsidRDefault="0071029D" w:rsidP="0023484E">
            <w:pPr>
              <w:jc w:val="both"/>
              <w:rPr>
                <w:sz w:val="20"/>
              </w:rPr>
            </w:pPr>
            <w:r w:rsidRPr="00047B76">
              <w:rPr>
                <w:sz w:val="20"/>
                <w:lang w:val="fr-CA"/>
              </w:rPr>
              <w:t xml:space="preserve">En 2015, Justin Milette est reconnu coupable d’avoir distribué de la pornographie juvénile et de s’être frauduleusement fait passer pour une autre personne. Monsieur Milette en appelle de sa double condamnation auprès de la Cour supérieure. L’intimée demande le rejet de l’appel et présente une requête afin de faire déclarer M. Milette plaideur quérulent. </w:t>
            </w:r>
            <w:r w:rsidRPr="00047B76">
              <w:rPr>
                <w:sz w:val="20"/>
              </w:rPr>
              <w:t xml:space="preserve">La Cour </w:t>
            </w:r>
            <w:proofErr w:type="spellStart"/>
            <w:r w:rsidRPr="00047B76">
              <w:rPr>
                <w:sz w:val="20"/>
              </w:rPr>
              <w:t>supérieure</w:t>
            </w:r>
            <w:proofErr w:type="spellEnd"/>
            <w:r w:rsidRPr="00047B76">
              <w:rPr>
                <w:sz w:val="20"/>
              </w:rPr>
              <w:t xml:space="preserve"> fait droit aux demandes de </w:t>
            </w:r>
            <w:proofErr w:type="spellStart"/>
            <w:r w:rsidRPr="00047B76">
              <w:rPr>
                <w:sz w:val="20"/>
              </w:rPr>
              <w:t>l’intimée</w:t>
            </w:r>
            <w:proofErr w:type="spellEnd"/>
            <w:r w:rsidRPr="00047B76">
              <w:rPr>
                <w:sz w:val="20"/>
              </w:rPr>
              <w:t xml:space="preserve">. </w:t>
            </w:r>
          </w:p>
          <w:p w:rsidR="0071029D" w:rsidRPr="00047B76" w:rsidRDefault="0071029D" w:rsidP="0023484E">
            <w:pPr>
              <w:jc w:val="both"/>
              <w:rPr>
                <w:sz w:val="20"/>
              </w:rPr>
            </w:pPr>
          </w:p>
        </w:tc>
      </w:tr>
      <w:tr w:rsidR="0071029D" w:rsidRPr="00957F6E" w:rsidTr="0023484E">
        <w:tblPrEx>
          <w:tblCellMar>
            <w:bottom w:w="0" w:type="dxa"/>
          </w:tblCellMar>
        </w:tblPrEx>
        <w:tc>
          <w:tcPr>
            <w:tcW w:w="2367" w:type="pct"/>
            <w:gridSpan w:val="2"/>
          </w:tcPr>
          <w:p w:rsidR="0071029D" w:rsidRPr="00047B76" w:rsidRDefault="0071029D" w:rsidP="0023484E">
            <w:pPr>
              <w:jc w:val="both"/>
              <w:rPr>
                <w:sz w:val="20"/>
                <w:lang w:val="fr-CA"/>
              </w:rPr>
            </w:pPr>
            <w:r w:rsidRPr="00047B76">
              <w:rPr>
                <w:sz w:val="20"/>
                <w:lang w:val="fr-CA"/>
              </w:rPr>
              <w:t>Le 16 décembre 2015</w:t>
            </w:r>
          </w:p>
          <w:p w:rsidR="0071029D" w:rsidRPr="00047B76" w:rsidRDefault="0071029D" w:rsidP="0023484E">
            <w:pPr>
              <w:jc w:val="both"/>
              <w:rPr>
                <w:sz w:val="20"/>
                <w:lang w:val="fr-CA"/>
              </w:rPr>
            </w:pPr>
            <w:r w:rsidRPr="00047B76">
              <w:rPr>
                <w:sz w:val="20"/>
                <w:lang w:val="fr-CA"/>
              </w:rPr>
              <w:t>Cour du Québec</w:t>
            </w:r>
          </w:p>
          <w:p w:rsidR="0071029D" w:rsidRPr="00047B76" w:rsidRDefault="0071029D" w:rsidP="0023484E">
            <w:pPr>
              <w:jc w:val="both"/>
              <w:rPr>
                <w:sz w:val="20"/>
                <w:lang w:val="fr-CA"/>
              </w:rPr>
            </w:pPr>
            <w:r w:rsidRPr="00047B76">
              <w:rPr>
                <w:sz w:val="20"/>
                <w:lang w:val="fr-CA"/>
              </w:rPr>
              <w:t>(Le juge Lambert)</w:t>
            </w:r>
          </w:p>
          <w:p w:rsidR="0071029D" w:rsidRPr="00047B76" w:rsidRDefault="0071029D" w:rsidP="0023484E">
            <w:pPr>
              <w:jc w:val="both"/>
              <w:rPr>
                <w:sz w:val="20"/>
              </w:rPr>
            </w:pPr>
            <w:r w:rsidRPr="00047B76">
              <w:rPr>
                <w:sz w:val="20"/>
              </w:rPr>
              <w:t>Référence neutre : 2015 QCCQ 16688</w:t>
            </w:r>
          </w:p>
          <w:p w:rsidR="0071029D" w:rsidRPr="00047B76" w:rsidRDefault="0071029D" w:rsidP="0023484E">
            <w:pPr>
              <w:jc w:val="both"/>
              <w:rPr>
                <w:sz w:val="20"/>
              </w:rPr>
            </w:pPr>
          </w:p>
        </w:tc>
        <w:tc>
          <w:tcPr>
            <w:tcW w:w="267" w:type="pct"/>
          </w:tcPr>
          <w:p w:rsidR="0071029D" w:rsidRPr="00047B76" w:rsidRDefault="0071029D" w:rsidP="0023484E">
            <w:pPr>
              <w:jc w:val="both"/>
              <w:rPr>
                <w:sz w:val="20"/>
              </w:rPr>
            </w:pPr>
          </w:p>
        </w:tc>
        <w:tc>
          <w:tcPr>
            <w:tcW w:w="2366" w:type="pct"/>
            <w:gridSpan w:val="2"/>
          </w:tcPr>
          <w:p w:rsidR="0071029D" w:rsidRPr="00047B76" w:rsidRDefault="0071029D" w:rsidP="0023484E">
            <w:pPr>
              <w:jc w:val="both"/>
              <w:rPr>
                <w:sz w:val="20"/>
                <w:lang w:val="fr-CA"/>
              </w:rPr>
            </w:pPr>
            <w:r w:rsidRPr="00047B76">
              <w:rPr>
                <w:sz w:val="20"/>
                <w:lang w:val="fr-CA"/>
              </w:rPr>
              <w:t>Justin Milette reconnu coupable de distribution de pornographie juvénile et de s’être frauduleusement fait passer pour une autre personne</w:t>
            </w:r>
          </w:p>
          <w:p w:rsidR="0071029D" w:rsidRPr="00047B76" w:rsidRDefault="0071029D" w:rsidP="0023484E">
            <w:pPr>
              <w:jc w:val="both"/>
              <w:rPr>
                <w:sz w:val="20"/>
                <w:lang w:val="fr-CA"/>
              </w:rPr>
            </w:pPr>
          </w:p>
        </w:tc>
      </w:tr>
      <w:tr w:rsidR="0071029D" w:rsidRPr="00047B76" w:rsidTr="0023484E">
        <w:tblPrEx>
          <w:tblCellMar>
            <w:bottom w:w="0" w:type="dxa"/>
          </w:tblCellMar>
        </w:tblPrEx>
        <w:tc>
          <w:tcPr>
            <w:tcW w:w="2367" w:type="pct"/>
            <w:gridSpan w:val="2"/>
          </w:tcPr>
          <w:p w:rsidR="0071029D" w:rsidRPr="00047B76" w:rsidRDefault="0071029D" w:rsidP="0023484E">
            <w:pPr>
              <w:jc w:val="both"/>
              <w:rPr>
                <w:sz w:val="20"/>
                <w:lang w:val="fr-CA"/>
              </w:rPr>
            </w:pPr>
            <w:r w:rsidRPr="00047B76">
              <w:rPr>
                <w:sz w:val="20"/>
                <w:lang w:val="fr-CA"/>
              </w:rPr>
              <w:t>Le 15 février 2017</w:t>
            </w:r>
          </w:p>
          <w:p w:rsidR="0071029D" w:rsidRPr="00047B76" w:rsidRDefault="0071029D" w:rsidP="0023484E">
            <w:pPr>
              <w:jc w:val="both"/>
              <w:rPr>
                <w:sz w:val="20"/>
                <w:lang w:val="fr-CA"/>
              </w:rPr>
            </w:pPr>
            <w:r w:rsidRPr="00047B76">
              <w:rPr>
                <w:sz w:val="20"/>
                <w:lang w:val="fr-CA"/>
              </w:rPr>
              <w:t>Cour supérieure du Québec</w:t>
            </w:r>
          </w:p>
          <w:p w:rsidR="0071029D" w:rsidRPr="00047B76" w:rsidRDefault="0071029D" w:rsidP="0023484E">
            <w:pPr>
              <w:jc w:val="both"/>
              <w:rPr>
                <w:sz w:val="20"/>
                <w:lang w:val="fr-CA"/>
              </w:rPr>
            </w:pPr>
            <w:r w:rsidRPr="00047B76">
              <w:rPr>
                <w:sz w:val="20"/>
                <w:lang w:val="fr-CA"/>
              </w:rPr>
              <w:t>(Le juge Pronovost)</w:t>
            </w:r>
          </w:p>
          <w:p w:rsidR="0071029D" w:rsidRPr="00047B76" w:rsidRDefault="0071029D" w:rsidP="0023484E">
            <w:pPr>
              <w:jc w:val="both"/>
              <w:rPr>
                <w:sz w:val="20"/>
                <w:lang w:val="fr-CA"/>
              </w:rPr>
            </w:pPr>
            <w:r w:rsidRPr="00047B76">
              <w:rPr>
                <w:sz w:val="20"/>
                <w:lang w:val="fr-CA"/>
              </w:rPr>
              <w:t>Référence neutre : 2017 QCCS 1321</w:t>
            </w:r>
          </w:p>
          <w:p w:rsidR="0071029D" w:rsidRPr="00047B76" w:rsidRDefault="0071029D" w:rsidP="0023484E">
            <w:pPr>
              <w:jc w:val="both"/>
              <w:rPr>
                <w:sz w:val="20"/>
                <w:lang w:val="fr-CA"/>
              </w:rPr>
            </w:pPr>
          </w:p>
        </w:tc>
        <w:tc>
          <w:tcPr>
            <w:tcW w:w="267" w:type="pct"/>
          </w:tcPr>
          <w:p w:rsidR="0071029D" w:rsidRPr="00047B76" w:rsidRDefault="0071029D" w:rsidP="0023484E">
            <w:pPr>
              <w:jc w:val="both"/>
              <w:rPr>
                <w:sz w:val="20"/>
                <w:lang w:val="fr-CA"/>
              </w:rPr>
            </w:pPr>
          </w:p>
        </w:tc>
        <w:tc>
          <w:tcPr>
            <w:tcW w:w="2366" w:type="pct"/>
            <w:gridSpan w:val="2"/>
          </w:tcPr>
          <w:p w:rsidR="0071029D" w:rsidRPr="00047B76" w:rsidRDefault="0071029D" w:rsidP="0023484E">
            <w:pPr>
              <w:jc w:val="both"/>
              <w:rPr>
                <w:sz w:val="20"/>
              </w:rPr>
            </w:pPr>
            <w:r w:rsidRPr="00047B76">
              <w:rPr>
                <w:sz w:val="20"/>
              </w:rPr>
              <w:t xml:space="preserve">Requête pour </w:t>
            </w:r>
            <w:proofErr w:type="spellStart"/>
            <w:r w:rsidRPr="00047B76">
              <w:rPr>
                <w:sz w:val="20"/>
              </w:rPr>
              <w:t>rejet</w:t>
            </w:r>
            <w:proofErr w:type="spellEnd"/>
            <w:r w:rsidRPr="00047B76">
              <w:rPr>
                <w:sz w:val="20"/>
              </w:rPr>
              <w:t xml:space="preserve"> d’appel </w:t>
            </w:r>
            <w:proofErr w:type="spellStart"/>
            <w:r w:rsidRPr="00047B76">
              <w:rPr>
                <w:sz w:val="20"/>
              </w:rPr>
              <w:t>accueillie</w:t>
            </w:r>
            <w:proofErr w:type="spellEnd"/>
          </w:p>
          <w:p w:rsidR="0071029D" w:rsidRPr="00047B76" w:rsidRDefault="0071029D" w:rsidP="0023484E">
            <w:pPr>
              <w:jc w:val="both"/>
              <w:rPr>
                <w:sz w:val="20"/>
              </w:rPr>
            </w:pPr>
          </w:p>
        </w:tc>
      </w:tr>
      <w:tr w:rsidR="0071029D" w:rsidRPr="00047B76" w:rsidTr="0023484E">
        <w:tblPrEx>
          <w:tblCellMar>
            <w:bottom w:w="0" w:type="dxa"/>
          </w:tblCellMar>
        </w:tblPrEx>
        <w:tc>
          <w:tcPr>
            <w:tcW w:w="2367" w:type="pct"/>
            <w:gridSpan w:val="2"/>
          </w:tcPr>
          <w:p w:rsidR="0071029D" w:rsidRPr="00047B76" w:rsidRDefault="0071029D" w:rsidP="0023484E">
            <w:pPr>
              <w:jc w:val="both"/>
              <w:rPr>
                <w:sz w:val="20"/>
                <w:lang w:val="fr-CA"/>
              </w:rPr>
            </w:pPr>
            <w:r w:rsidRPr="00047B76">
              <w:rPr>
                <w:sz w:val="20"/>
                <w:lang w:val="fr-CA"/>
              </w:rPr>
              <w:t>Le 4 avril 2017</w:t>
            </w:r>
          </w:p>
          <w:p w:rsidR="0071029D" w:rsidRPr="00047B76" w:rsidRDefault="0071029D" w:rsidP="0023484E">
            <w:pPr>
              <w:jc w:val="both"/>
              <w:rPr>
                <w:sz w:val="20"/>
                <w:lang w:val="fr-CA"/>
              </w:rPr>
            </w:pPr>
            <w:r w:rsidRPr="00047B76">
              <w:rPr>
                <w:sz w:val="20"/>
                <w:lang w:val="fr-CA"/>
              </w:rPr>
              <w:t>Cour d’appel du Québec (Québec)</w:t>
            </w:r>
          </w:p>
          <w:p w:rsidR="0071029D" w:rsidRPr="00047B76" w:rsidRDefault="0071029D" w:rsidP="0023484E">
            <w:pPr>
              <w:jc w:val="both"/>
              <w:rPr>
                <w:sz w:val="20"/>
                <w:lang w:val="fr-CA"/>
              </w:rPr>
            </w:pPr>
            <w:r w:rsidRPr="00047B76">
              <w:rPr>
                <w:sz w:val="20"/>
                <w:lang w:val="fr-CA"/>
              </w:rPr>
              <w:t xml:space="preserve">(Les juges Bouchard, Gagnon et </w:t>
            </w:r>
            <w:proofErr w:type="spellStart"/>
            <w:r w:rsidRPr="00047B76">
              <w:rPr>
                <w:sz w:val="20"/>
                <w:lang w:val="fr-CA"/>
              </w:rPr>
              <w:t>Healy</w:t>
            </w:r>
            <w:proofErr w:type="spellEnd"/>
            <w:r w:rsidRPr="00047B76">
              <w:rPr>
                <w:sz w:val="20"/>
                <w:lang w:val="fr-CA"/>
              </w:rPr>
              <w:t>)</w:t>
            </w:r>
          </w:p>
          <w:p w:rsidR="0071029D" w:rsidRPr="00047B76" w:rsidRDefault="0071029D" w:rsidP="0023484E">
            <w:pPr>
              <w:jc w:val="both"/>
              <w:rPr>
                <w:sz w:val="20"/>
              </w:rPr>
            </w:pPr>
            <w:r w:rsidRPr="00047B76">
              <w:rPr>
                <w:sz w:val="20"/>
              </w:rPr>
              <w:t>Référence neutre : 2017 QCCA 543</w:t>
            </w:r>
          </w:p>
          <w:p w:rsidR="0071029D" w:rsidRPr="00047B76" w:rsidRDefault="0071029D" w:rsidP="0023484E">
            <w:pPr>
              <w:jc w:val="both"/>
              <w:rPr>
                <w:sz w:val="20"/>
              </w:rPr>
            </w:pPr>
          </w:p>
        </w:tc>
        <w:tc>
          <w:tcPr>
            <w:tcW w:w="267" w:type="pct"/>
          </w:tcPr>
          <w:p w:rsidR="0071029D" w:rsidRPr="00047B76" w:rsidRDefault="0071029D" w:rsidP="0023484E">
            <w:pPr>
              <w:jc w:val="both"/>
              <w:rPr>
                <w:sz w:val="20"/>
              </w:rPr>
            </w:pPr>
          </w:p>
        </w:tc>
        <w:tc>
          <w:tcPr>
            <w:tcW w:w="2366" w:type="pct"/>
            <w:gridSpan w:val="2"/>
          </w:tcPr>
          <w:p w:rsidR="0071029D" w:rsidRPr="00047B76" w:rsidRDefault="0071029D" w:rsidP="0023484E">
            <w:pPr>
              <w:jc w:val="both"/>
              <w:rPr>
                <w:sz w:val="20"/>
              </w:rPr>
            </w:pPr>
            <w:r w:rsidRPr="00047B76">
              <w:rPr>
                <w:sz w:val="20"/>
              </w:rPr>
              <w:t xml:space="preserve">Requête pour permission </w:t>
            </w:r>
            <w:proofErr w:type="spellStart"/>
            <w:r w:rsidRPr="00047B76">
              <w:rPr>
                <w:sz w:val="20"/>
              </w:rPr>
              <w:t>d’appeler</w:t>
            </w:r>
            <w:proofErr w:type="spellEnd"/>
            <w:r w:rsidRPr="00047B76">
              <w:rPr>
                <w:sz w:val="20"/>
              </w:rPr>
              <w:t xml:space="preserve"> rejetée</w:t>
            </w:r>
          </w:p>
          <w:p w:rsidR="0071029D" w:rsidRPr="00047B76" w:rsidRDefault="0071029D" w:rsidP="0023484E">
            <w:pPr>
              <w:jc w:val="both"/>
              <w:rPr>
                <w:sz w:val="20"/>
              </w:rPr>
            </w:pPr>
          </w:p>
        </w:tc>
      </w:tr>
      <w:tr w:rsidR="0071029D" w:rsidRPr="00957F6E" w:rsidTr="0023484E">
        <w:tblPrEx>
          <w:tblCellMar>
            <w:bottom w:w="0" w:type="dxa"/>
          </w:tblCellMar>
        </w:tblPrEx>
        <w:tc>
          <w:tcPr>
            <w:tcW w:w="2367" w:type="pct"/>
            <w:gridSpan w:val="2"/>
          </w:tcPr>
          <w:p w:rsidR="0071029D" w:rsidRPr="00047B76" w:rsidRDefault="0071029D" w:rsidP="0023484E">
            <w:pPr>
              <w:jc w:val="both"/>
              <w:rPr>
                <w:sz w:val="20"/>
                <w:lang w:val="fr-CA"/>
              </w:rPr>
            </w:pPr>
            <w:r w:rsidRPr="00047B76">
              <w:rPr>
                <w:sz w:val="20"/>
                <w:lang w:val="fr-CA"/>
              </w:rPr>
              <w:t>Le 5 juin 2017</w:t>
            </w:r>
          </w:p>
          <w:p w:rsidR="0071029D" w:rsidRPr="00047B76" w:rsidRDefault="0071029D" w:rsidP="0023484E">
            <w:pPr>
              <w:jc w:val="both"/>
              <w:rPr>
                <w:sz w:val="20"/>
                <w:lang w:val="fr-CA"/>
              </w:rPr>
            </w:pPr>
            <w:r w:rsidRPr="00047B76">
              <w:rPr>
                <w:sz w:val="20"/>
                <w:lang w:val="fr-CA"/>
              </w:rPr>
              <w:t>Cour suprême du Canada</w:t>
            </w:r>
          </w:p>
          <w:p w:rsidR="0071029D" w:rsidRPr="00047B76" w:rsidRDefault="0071029D" w:rsidP="0023484E">
            <w:pPr>
              <w:jc w:val="both"/>
              <w:rPr>
                <w:sz w:val="20"/>
                <w:lang w:val="fr-CA"/>
              </w:rPr>
            </w:pPr>
          </w:p>
        </w:tc>
        <w:tc>
          <w:tcPr>
            <w:tcW w:w="267" w:type="pct"/>
          </w:tcPr>
          <w:p w:rsidR="0071029D" w:rsidRPr="00047B76" w:rsidRDefault="0071029D" w:rsidP="0023484E">
            <w:pPr>
              <w:jc w:val="both"/>
              <w:rPr>
                <w:sz w:val="20"/>
                <w:lang w:val="fr-CA"/>
              </w:rPr>
            </w:pPr>
          </w:p>
        </w:tc>
        <w:tc>
          <w:tcPr>
            <w:tcW w:w="2366" w:type="pct"/>
            <w:gridSpan w:val="2"/>
          </w:tcPr>
          <w:p w:rsidR="0071029D" w:rsidRPr="00047B76" w:rsidRDefault="0071029D" w:rsidP="0023484E">
            <w:pPr>
              <w:jc w:val="both"/>
              <w:rPr>
                <w:sz w:val="20"/>
                <w:lang w:val="fr-CA"/>
              </w:rPr>
            </w:pPr>
            <w:r w:rsidRPr="00047B76">
              <w:rPr>
                <w:sz w:val="20"/>
                <w:lang w:val="fr-CA"/>
              </w:rPr>
              <w:t xml:space="preserve">Requête en prorogation de délai pour déposer et signifier une demande d’autorisation d’appel et demande d’autorisation </w:t>
            </w:r>
            <w:proofErr w:type="gramStart"/>
            <w:r w:rsidRPr="00047B76">
              <w:rPr>
                <w:sz w:val="20"/>
                <w:lang w:val="fr-CA"/>
              </w:rPr>
              <w:t>d’appel déposées</w:t>
            </w:r>
            <w:proofErr w:type="gramEnd"/>
          </w:p>
        </w:tc>
      </w:tr>
    </w:tbl>
    <w:p w:rsidR="0071029D" w:rsidRPr="00047B76" w:rsidRDefault="0071029D" w:rsidP="0071029D">
      <w:pPr>
        <w:jc w:val="both"/>
        <w:rPr>
          <w:sz w:val="20"/>
          <w:lang w:val="fr-CA"/>
        </w:rPr>
      </w:pPr>
    </w:p>
    <w:p w:rsidR="0071029D" w:rsidRPr="00047B76" w:rsidRDefault="009A56E8" w:rsidP="0071029D">
      <w:pPr>
        <w:jc w:val="both"/>
        <w:rPr>
          <w:sz w:val="20"/>
          <w:lang w:val="fr-CA"/>
        </w:rPr>
      </w:pPr>
      <w:r>
        <w:rPr>
          <w:sz w:val="20"/>
        </w:rPr>
        <w:pict>
          <v:rect id="_x0000_i1057" style="width:2in;height:1pt" o:hrpct="0" o:hralign="center" o:hrstd="t" o:hrnoshade="t" o:hr="t" fillcolor="black [3213]" stroked="f"/>
        </w:pict>
      </w:r>
    </w:p>
    <w:p w:rsidR="0071029D" w:rsidRPr="00047B76" w:rsidRDefault="0071029D" w:rsidP="0071029D">
      <w:pPr>
        <w:ind w:left="142" w:hanging="142"/>
        <w:jc w:val="both"/>
        <w:rPr>
          <w:sz w:val="20"/>
          <w:lang w:val="fr-CA"/>
        </w:rPr>
      </w:pPr>
    </w:p>
    <w:p w:rsidR="00900ECD" w:rsidRPr="00047B76" w:rsidRDefault="00900ECD">
      <w:r w:rsidRPr="00047B76">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1029D" w:rsidRPr="00047B76" w:rsidTr="0023484E">
        <w:tc>
          <w:tcPr>
            <w:tcW w:w="543" w:type="pct"/>
          </w:tcPr>
          <w:p w:rsidR="0071029D" w:rsidRPr="00047B76" w:rsidRDefault="0071029D" w:rsidP="0023484E">
            <w:pPr>
              <w:jc w:val="both"/>
              <w:rPr>
                <w:sz w:val="20"/>
              </w:rPr>
            </w:pPr>
            <w:r w:rsidRPr="00047B76">
              <w:rPr>
                <w:rStyle w:val="SCCFileNumberChar"/>
                <w:sz w:val="20"/>
                <w:szCs w:val="20"/>
              </w:rPr>
              <w:lastRenderedPageBreak/>
              <w:t>38679</w:t>
            </w:r>
          </w:p>
        </w:tc>
        <w:tc>
          <w:tcPr>
            <w:tcW w:w="4457" w:type="pct"/>
            <w:gridSpan w:val="3"/>
          </w:tcPr>
          <w:p w:rsidR="0071029D" w:rsidRPr="00047B76" w:rsidRDefault="0071029D" w:rsidP="0023484E">
            <w:pPr>
              <w:pStyle w:val="SCCLsocParty"/>
              <w:jc w:val="both"/>
              <w:rPr>
                <w:b/>
                <w:sz w:val="20"/>
                <w:szCs w:val="20"/>
                <w:lang w:val="en-US"/>
              </w:rPr>
            </w:pPr>
            <w:r w:rsidRPr="00047B76">
              <w:rPr>
                <w:b/>
                <w:sz w:val="20"/>
                <w:szCs w:val="20"/>
                <w:lang w:val="en-US"/>
              </w:rPr>
              <w:t>Guilian Li also known as Gui Lian Li v. Tong Wei</w:t>
            </w:r>
          </w:p>
          <w:p w:rsidR="0071029D" w:rsidRPr="00047B76" w:rsidRDefault="0071029D" w:rsidP="0023484E">
            <w:pPr>
              <w:jc w:val="both"/>
              <w:rPr>
                <w:sz w:val="20"/>
              </w:rPr>
            </w:pPr>
            <w:r w:rsidRPr="00047B76">
              <w:rPr>
                <w:sz w:val="20"/>
              </w:rPr>
              <w:t>(B.C.) (Civil) (By Leave)</w:t>
            </w:r>
          </w:p>
        </w:tc>
      </w:tr>
      <w:tr w:rsidR="00E80644" w:rsidRPr="00047B76" w:rsidTr="0023484E">
        <w:tc>
          <w:tcPr>
            <w:tcW w:w="5000" w:type="pct"/>
            <w:gridSpan w:val="4"/>
          </w:tcPr>
          <w:p w:rsidR="00E80644" w:rsidRPr="00047B76" w:rsidRDefault="00BA130B" w:rsidP="0023484E">
            <w:pPr>
              <w:jc w:val="both"/>
              <w:rPr>
                <w:sz w:val="20"/>
                <w:szCs w:val="20"/>
              </w:rPr>
            </w:pPr>
            <w:r w:rsidRPr="00047B76">
              <w:rPr>
                <w:sz w:val="20"/>
                <w:szCs w:val="20"/>
              </w:rPr>
              <w:t>The application for leave to appeal from the judgment of the Court of Appeal for British Columbia (Vancouver), Number CA45138, 2019 BCCA 114, dated April 9, 2019, is dismissed with costs.</w:t>
            </w:r>
          </w:p>
          <w:p w:rsidR="00BA130B" w:rsidRPr="00047B76" w:rsidRDefault="00BA130B" w:rsidP="0023484E">
            <w:pPr>
              <w:jc w:val="both"/>
              <w:rPr>
                <w:sz w:val="20"/>
              </w:rPr>
            </w:pPr>
          </w:p>
        </w:tc>
      </w:tr>
      <w:tr w:rsidR="0071029D" w:rsidRPr="00047B76" w:rsidTr="0023484E">
        <w:tc>
          <w:tcPr>
            <w:tcW w:w="5000" w:type="pct"/>
            <w:gridSpan w:val="4"/>
          </w:tcPr>
          <w:p w:rsidR="0071029D" w:rsidRPr="00047B76" w:rsidRDefault="0071029D" w:rsidP="0023484E">
            <w:pPr>
              <w:jc w:val="both"/>
              <w:rPr>
                <w:sz w:val="20"/>
              </w:rPr>
            </w:pPr>
            <w:r w:rsidRPr="00047B76">
              <w:rPr>
                <w:sz w:val="20"/>
              </w:rPr>
              <w:t xml:space="preserve">Private international law — Foreign judgments — Enforcement — Recognition — Contracts — Severance — Judgments and orders — Interest — What approach should Canadian courts take when asked to enforce a foreign judgment that contains an interest rate that is contrary to s. 347 of Canada’s </w:t>
            </w:r>
            <w:r w:rsidRPr="00047B76">
              <w:rPr>
                <w:i/>
                <w:sz w:val="20"/>
              </w:rPr>
              <w:t>Criminal Code</w:t>
            </w:r>
            <w:r w:rsidRPr="00047B76">
              <w:rPr>
                <w:sz w:val="20"/>
              </w:rPr>
              <w:t xml:space="preserve"> — To what extent must Canadian courts accept the entire content of documents, not relating to an order made, that a litigant describes as being from a foreign court’s file, for the truth of their contents?</w:t>
            </w:r>
          </w:p>
        </w:tc>
      </w:tr>
      <w:tr w:rsidR="0071029D" w:rsidRPr="00047B76" w:rsidTr="0023484E">
        <w:tc>
          <w:tcPr>
            <w:tcW w:w="5000" w:type="pct"/>
            <w:gridSpan w:val="4"/>
          </w:tcPr>
          <w:p w:rsidR="0071029D" w:rsidRPr="00047B76" w:rsidRDefault="0071029D" w:rsidP="0023484E">
            <w:pPr>
              <w:jc w:val="both"/>
              <w:rPr>
                <w:sz w:val="20"/>
              </w:rPr>
            </w:pPr>
          </w:p>
        </w:tc>
      </w:tr>
      <w:tr w:rsidR="0071029D" w:rsidRPr="00047B76" w:rsidTr="0023484E">
        <w:tc>
          <w:tcPr>
            <w:tcW w:w="5000" w:type="pct"/>
            <w:gridSpan w:val="4"/>
          </w:tcPr>
          <w:p w:rsidR="0071029D" w:rsidRPr="00047B76" w:rsidRDefault="0071029D" w:rsidP="0023484E">
            <w:pPr>
              <w:jc w:val="both"/>
              <w:rPr>
                <w:sz w:val="20"/>
              </w:rPr>
            </w:pPr>
            <w:r w:rsidRPr="00047B76">
              <w:rPr>
                <w:sz w:val="20"/>
              </w:rPr>
              <w:t xml:space="preserve">Guilian Li (also known as Gui Lian Li) and her husband </w:t>
            </w:r>
            <w:proofErr w:type="spellStart"/>
            <w:r w:rsidRPr="00047B76">
              <w:rPr>
                <w:sz w:val="20"/>
              </w:rPr>
              <w:t>Zijie</w:t>
            </w:r>
            <w:proofErr w:type="spellEnd"/>
            <w:r w:rsidRPr="00047B76">
              <w:rPr>
                <w:sz w:val="20"/>
              </w:rPr>
              <w:t xml:space="preserve"> Mei (also known as </w:t>
            </w:r>
            <w:proofErr w:type="spellStart"/>
            <w:r w:rsidRPr="00047B76">
              <w:rPr>
                <w:sz w:val="20"/>
              </w:rPr>
              <w:t>Zi</w:t>
            </w:r>
            <w:proofErr w:type="spellEnd"/>
            <w:r w:rsidRPr="00047B76">
              <w:rPr>
                <w:sz w:val="20"/>
              </w:rPr>
              <w:t xml:space="preserve"> </w:t>
            </w:r>
            <w:proofErr w:type="spellStart"/>
            <w:r w:rsidRPr="00047B76">
              <w:rPr>
                <w:sz w:val="20"/>
              </w:rPr>
              <w:t>Jie</w:t>
            </w:r>
            <w:proofErr w:type="spellEnd"/>
            <w:r w:rsidRPr="00047B76">
              <w:rPr>
                <w:sz w:val="20"/>
              </w:rPr>
              <w:t xml:space="preserve"> Mei) live in British Columbia and had business operations in China under a company they owned, </w:t>
            </w:r>
            <w:proofErr w:type="spellStart"/>
            <w:r w:rsidRPr="00047B76">
              <w:rPr>
                <w:sz w:val="20"/>
              </w:rPr>
              <w:t>Fenghui</w:t>
            </w:r>
            <w:proofErr w:type="spellEnd"/>
            <w:r w:rsidRPr="00047B76">
              <w:rPr>
                <w:sz w:val="20"/>
              </w:rPr>
              <w:t xml:space="preserve"> Ltd. In 2010 and 2012, Tong Wei loaned money to </w:t>
            </w:r>
            <w:proofErr w:type="spellStart"/>
            <w:r w:rsidRPr="00047B76">
              <w:rPr>
                <w:sz w:val="20"/>
              </w:rPr>
              <w:t>Fenghui</w:t>
            </w:r>
            <w:proofErr w:type="spellEnd"/>
            <w:r w:rsidRPr="00047B76">
              <w:rPr>
                <w:sz w:val="20"/>
              </w:rPr>
              <w:t xml:space="preserve"> Ltd. The 2012 loan was guaranteed by Ms. Li. The company defaulted on its loan payments and the guarantees were not fully honoured. Legal proceedings were initiated in China and a mediated settlement was reached. The settlement stipulated a lump sum payment covering the principle of the loans, interest and expenses for collection. As part of the settlement, it was agreed that any remaining unpaid balance was subject to default interest calculated at a rate of 0.2% of the unpaid balance per day (73% annualized). Two Chinese judgments confirmed the settlement agreement. The loans were not repaid on the date agreed in the settlement. Mr. Wei initiated enforcement proceedings in China and obtained a notice of enforcement against </w:t>
            </w:r>
            <w:proofErr w:type="spellStart"/>
            <w:r w:rsidRPr="00047B76">
              <w:rPr>
                <w:sz w:val="20"/>
              </w:rPr>
              <w:t>Fenghui</w:t>
            </w:r>
            <w:proofErr w:type="spellEnd"/>
            <w:r w:rsidRPr="00047B76">
              <w:rPr>
                <w:sz w:val="20"/>
              </w:rPr>
              <w:t xml:space="preserve"> Ltd, Ms. Li and Mr. Mei. Enforcement proceedings were then commenced in British Columbia against Mr. Mei and Ms. Li. In two separate decisions, a judge of the Supreme Court of British Columbia gave judgment enforcing the Chinese judgment, with a penalty interest rate of 60% rather than the 73% ordered by the Chinese court. On appeal to the Court of Appeal for British Columbia, a majority agreed with the trial judge’s conclusions that 60% interest was appropriate. Justice Willcock, in dissent, concluded that modifying the penalty interest impermissibly looked at the merits of the contract between the parties and interfered with a foreign judgment.</w:t>
            </w:r>
          </w:p>
          <w:p w:rsidR="0071029D" w:rsidRPr="00047B76" w:rsidRDefault="0071029D" w:rsidP="0023484E">
            <w:pPr>
              <w:jc w:val="both"/>
              <w:rPr>
                <w:sz w:val="20"/>
              </w:rPr>
            </w:pPr>
          </w:p>
        </w:tc>
      </w:tr>
      <w:tr w:rsidR="0071029D" w:rsidRPr="00047B76" w:rsidTr="0023484E">
        <w:tc>
          <w:tcPr>
            <w:tcW w:w="2427" w:type="pct"/>
            <w:gridSpan w:val="2"/>
          </w:tcPr>
          <w:p w:rsidR="0071029D" w:rsidRPr="00047B76" w:rsidRDefault="0071029D" w:rsidP="0023484E">
            <w:pPr>
              <w:jc w:val="both"/>
              <w:rPr>
                <w:sz w:val="20"/>
              </w:rPr>
            </w:pPr>
            <w:r w:rsidRPr="00047B76">
              <w:rPr>
                <w:sz w:val="20"/>
              </w:rPr>
              <w:t>February 1, 2018</w:t>
            </w:r>
          </w:p>
          <w:p w:rsidR="0071029D" w:rsidRPr="00047B76" w:rsidRDefault="0071029D" w:rsidP="0023484E">
            <w:pPr>
              <w:jc w:val="both"/>
              <w:rPr>
                <w:sz w:val="20"/>
              </w:rPr>
            </w:pPr>
            <w:r w:rsidRPr="00047B76">
              <w:rPr>
                <w:sz w:val="20"/>
              </w:rPr>
              <w:t>Supreme Court of British Columbia</w:t>
            </w:r>
          </w:p>
          <w:p w:rsidR="0071029D" w:rsidRPr="00047B76" w:rsidRDefault="0071029D" w:rsidP="0023484E">
            <w:pPr>
              <w:jc w:val="both"/>
              <w:rPr>
                <w:sz w:val="20"/>
              </w:rPr>
            </w:pPr>
            <w:r w:rsidRPr="00047B76">
              <w:rPr>
                <w:sz w:val="20"/>
              </w:rPr>
              <w:t>(Macintosh J.)</w:t>
            </w:r>
          </w:p>
          <w:p w:rsidR="0071029D" w:rsidRPr="00047B76" w:rsidRDefault="009A56E8" w:rsidP="0023484E">
            <w:pPr>
              <w:jc w:val="both"/>
              <w:rPr>
                <w:sz w:val="20"/>
              </w:rPr>
            </w:pPr>
            <w:hyperlink r:id="rId59" w:history="1">
              <w:r w:rsidR="0071029D" w:rsidRPr="00047B76">
                <w:rPr>
                  <w:rStyle w:val="Hyperlink"/>
                  <w:sz w:val="20"/>
                </w:rPr>
                <w:t>2018 BCSC 157</w:t>
              </w:r>
            </w:hyperlink>
          </w:p>
          <w:p w:rsidR="0071029D" w:rsidRPr="00047B76" w:rsidRDefault="0071029D" w:rsidP="0023484E">
            <w:pPr>
              <w:jc w:val="both"/>
              <w:rPr>
                <w:sz w:val="20"/>
              </w:rPr>
            </w:pPr>
          </w:p>
        </w:tc>
        <w:tc>
          <w:tcPr>
            <w:tcW w:w="243" w:type="pct"/>
          </w:tcPr>
          <w:p w:rsidR="0071029D" w:rsidRPr="00047B76" w:rsidRDefault="0071029D" w:rsidP="0023484E">
            <w:pPr>
              <w:jc w:val="both"/>
              <w:rPr>
                <w:sz w:val="20"/>
              </w:rPr>
            </w:pPr>
          </w:p>
        </w:tc>
        <w:tc>
          <w:tcPr>
            <w:tcW w:w="2330" w:type="pct"/>
          </w:tcPr>
          <w:p w:rsidR="0071029D" w:rsidRPr="00047B76" w:rsidRDefault="0071029D" w:rsidP="0023484E">
            <w:pPr>
              <w:jc w:val="both"/>
              <w:rPr>
                <w:sz w:val="20"/>
              </w:rPr>
            </w:pPr>
            <w:r w:rsidRPr="00047B76">
              <w:rPr>
                <w:sz w:val="20"/>
              </w:rPr>
              <w:t>Enforcement of Chinese judgment. Annual interest penalty reduced to 60% per year.</w:t>
            </w:r>
          </w:p>
          <w:p w:rsidR="0071029D" w:rsidRPr="00047B76" w:rsidRDefault="0071029D" w:rsidP="0023484E">
            <w:pPr>
              <w:jc w:val="both"/>
              <w:rPr>
                <w:sz w:val="20"/>
              </w:rPr>
            </w:pPr>
          </w:p>
        </w:tc>
      </w:tr>
      <w:tr w:rsidR="0071029D" w:rsidRPr="00047B76" w:rsidTr="0023484E">
        <w:tc>
          <w:tcPr>
            <w:tcW w:w="2427" w:type="pct"/>
            <w:gridSpan w:val="2"/>
          </w:tcPr>
          <w:p w:rsidR="0071029D" w:rsidRPr="00047B76" w:rsidRDefault="0071029D" w:rsidP="0023484E">
            <w:pPr>
              <w:jc w:val="both"/>
              <w:rPr>
                <w:sz w:val="20"/>
              </w:rPr>
            </w:pPr>
            <w:r w:rsidRPr="00047B76">
              <w:rPr>
                <w:sz w:val="20"/>
              </w:rPr>
              <w:t>June 27, 2018</w:t>
            </w:r>
          </w:p>
          <w:p w:rsidR="0071029D" w:rsidRPr="00047B76" w:rsidRDefault="0071029D" w:rsidP="0023484E">
            <w:pPr>
              <w:jc w:val="both"/>
              <w:rPr>
                <w:sz w:val="20"/>
              </w:rPr>
            </w:pPr>
            <w:r w:rsidRPr="00047B76">
              <w:rPr>
                <w:sz w:val="20"/>
              </w:rPr>
              <w:t>Supreme Court of British Columbia</w:t>
            </w:r>
          </w:p>
          <w:p w:rsidR="0071029D" w:rsidRPr="00047B76" w:rsidRDefault="0071029D" w:rsidP="0023484E">
            <w:pPr>
              <w:jc w:val="both"/>
              <w:rPr>
                <w:sz w:val="20"/>
              </w:rPr>
            </w:pPr>
            <w:r w:rsidRPr="00047B76">
              <w:rPr>
                <w:sz w:val="20"/>
              </w:rPr>
              <w:t>(Macintosh J.)</w:t>
            </w:r>
          </w:p>
          <w:p w:rsidR="0071029D" w:rsidRPr="00047B76" w:rsidRDefault="009A56E8" w:rsidP="0023484E">
            <w:pPr>
              <w:jc w:val="both"/>
              <w:rPr>
                <w:sz w:val="20"/>
              </w:rPr>
            </w:pPr>
            <w:hyperlink r:id="rId60" w:history="1">
              <w:r w:rsidR="0071029D" w:rsidRPr="00047B76">
                <w:rPr>
                  <w:rStyle w:val="Hyperlink"/>
                  <w:sz w:val="20"/>
                </w:rPr>
                <w:t>2018 BCSC 1057</w:t>
              </w:r>
            </w:hyperlink>
          </w:p>
          <w:p w:rsidR="0071029D" w:rsidRPr="00047B76" w:rsidRDefault="0071029D" w:rsidP="0023484E">
            <w:pPr>
              <w:jc w:val="both"/>
              <w:rPr>
                <w:sz w:val="20"/>
              </w:rPr>
            </w:pPr>
          </w:p>
        </w:tc>
        <w:tc>
          <w:tcPr>
            <w:tcW w:w="243" w:type="pct"/>
          </w:tcPr>
          <w:p w:rsidR="0071029D" w:rsidRPr="00047B76" w:rsidRDefault="0071029D" w:rsidP="0023484E">
            <w:pPr>
              <w:jc w:val="both"/>
              <w:rPr>
                <w:sz w:val="20"/>
              </w:rPr>
            </w:pPr>
          </w:p>
        </w:tc>
        <w:tc>
          <w:tcPr>
            <w:tcW w:w="2330" w:type="pct"/>
          </w:tcPr>
          <w:p w:rsidR="0071029D" w:rsidRPr="00047B76" w:rsidRDefault="0071029D" w:rsidP="0023484E">
            <w:pPr>
              <w:jc w:val="both"/>
              <w:rPr>
                <w:sz w:val="20"/>
              </w:rPr>
            </w:pPr>
            <w:r w:rsidRPr="00047B76">
              <w:rPr>
                <w:sz w:val="20"/>
              </w:rPr>
              <w:t>Supplemental reasons confirming the 60% annualized interest penalty.</w:t>
            </w:r>
          </w:p>
          <w:p w:rsidR="0071029D" w:rsidRPr="00047B76" w:rsidRDefault="0071029D" w:rsidP="0023484E">
            <w:pPr>
              <w:jc w:val="both"/>
              <w:rPr>
                <w:sz w:val="20"/>
              </w:rPr>
            </w:pPr>
          </w:p>
        </w:tc>
      </w:tr>
      <w:tr w:rsidR="0071029D" w:rsidRPr="00047B76" w:rsidTr="0023484E">
        <w:tc>
          <w:tcPr>
            <w:tcW w:w="2427" w:type="pct"/>
            <w:gridSpan w:val="2"/>
          </w:tcPr>
          <w:p w:rsidR="0071029D" w:rsidRPr="00047B76" w:rsidRDefault="0071029D" w:rsidP="0023484E">
            <w:pPr>
              <w:jc w:val="both"/>
              <w:rPr>
                <w:sz w:val="20"/>
              </w:rPr>
            </w:pPr>
            <w:r w:rsidRPr="00047B76">
              <w:rPr>
                <w:sz w:val="20"/>
              </w:rPr>
              <w:t>April 9, 2019</w:t>
            </w:r>
          </w:p>
          <w:p w:rsidR="0071029D" w:rsidRPr="00047B76" w:rsidRDefault="0071029D" w:rsidP="0023484E">
            <w:pPr>
              <w:jc w:val="both"/>
              <w:rPr>
                <w:sz w:val="20"/>
              </w:rPr>
            </w:pPr>
            <w:r w:rsidRPr="00047B76">
              <w:rPr>
                <w:sz w:val="20"/>
              </w:rPr>
              <w:t xml:space="preserve">Court of Appeal for British Columbia </w:t>
            </w:r>
          </w:p>
          <w:p w:rsidR="0071029D" w:rsidRPr="00047B76" w:rsidRDefault="0071029D" w:rsidP="0023484E">
            <w:pPr>
              <w:jc w:val="both"/>
              <w:rPr>
                <w:sz w:val="20"/>
              </w:rPr>
            </w:pPr>
            <w:r w:rsidRPr="00047B76">
              <w:rPr>
                <w:sz w:val="20"/>
              </w:rPr>
              <w:t>(Vancouver)</w:t>
            </w:r>
          </w:p>
          <w:p w:rsidR="0071029D" w:rsidRPr="00047B76" w:rsidRDefault="0071029D" w:rsidP="0023484E">
            <w:pPr>
              <w:jc w:val="both"/>
              <w:rPr>
                <w:sz w:val="20"/>
              </w:rPr>
            </w:pPr>
            <w:r w:rsidRPr="00047B76">
              <w:rPr>
                <w:sz w:val="20"/>
              </w:rPr>
              <w:t xml:space="preserve">(Newbury and Smith JJ.A; Willcock JJ.A. </w:t>
            </w:r>
          </w:p>
          <w:p w:rsidR="0071029D" w:rsidRPr="00047B76" w:rsidRDefault="0071029D" w:rsidP="0023484E">
            <w:pPr>
              <w:jc w:val="both"/>
              <w:rPr>
                <w:sz w:val="20"/>
              </w:rPr>
            </w:pPr>
            <w:r w:rsidRPr="00047B76">
              <w:rPr>
                <w:sz w:val="20"/>
              </w:rPr>
              <w:t>dissenting)</w:t>
            </w:r>
          </w:p>
          <w:p w:rsidR="0071029D" w:rsidRPr="00047B76" w:rsidRDefault="009A56E8" w:rsidP="0023484E">
            <w:pPr>
              <w:jc w:val="both"/>
              <w:rPr>
                <w:rStyle w:val="Hyperlink"/>
                <w:sz w:val="20"/>
              </w:rPr>
            </w:pPr>
            <w:hyperlink r:id="rId61" w:history="1">
              <w:r w:rsidR="0071029D" w:rsidRPr="00047B76">
                <w:rPr>
                  <w:rStyle w:val="Hyperlink"/>
                  <w:sz w:val="20"/>
                </w:rPr>
                <w:t>2019 BCCA 114</w:t>
              </w:r>
            </w:hyperlink>
          </w:p>
          <w:p w:rsidR="0071029D" w:rsidRPr="00047B76" w:rsidRDefault="0071029D" w:rsidP="0023484E">
            <w:pPr>
              <w:jc w:val="both"/>
              <w:rPr>
                <w:sz w:val="20"/>
              </w:rPr>
            </w:pPr>
          </w:p>
        </w:tc>
        <w:tc>
          <w:tcPr>
            <w:tcW w:w="243" w:type="pct"/>
          </w:tcPr>
          <w:p w:rsidR="0071029D" w:rsidRPr="00047B76" w:rsidRDefault="0071029D" w:rsidP="0023484E">
            <w:pPr>
              <w:jc w:val="both"/>
              <w:rPr>
                <w:sz w:val="20"/>
              </w:rPr>
            </w:pPr>
          </w:p>
        </w:tc>
        <w:tc>
          <w:tcPr>
            <w:tcW w:w="2330" w:type="pct"/>
          </w:tcPr>
          <w:p w:rsidR="0071029D" w:rsidRPr="00047B76" w:rsidRDefault="0071029D" w:rsidP="0023484E">
            <w:pPr>
              <w:jc w:val="both"/>
              <w:rPr>
                <w:sz w:val="20"/>
              </w:rPr>
            </w:pPr>
            <w:r w:rsidRPr="00047B76">
              <w:rPr>
                <w:sz w:val="20"/>
              </w:rPr>
              <w:t xml:space="preserve">Appeal dismissed. Willcock JJ.A. </w:t>
            </w:r>
            <w:proofErr w:type="gramStart"/>
            <w:r w:rsidRPr="00047B76">
              <w:rPr>
                <w:sz w:val="20"/>
              </w:rPr>
              <w:t>dissenting</w:t>
            </w:r>
            <w:proofErr w:type="gramEnd"/>
            <w:r w:rsidRPr="00047B76">
              <w:rPr>
                <w:sz w:val="20"/>
              </w:rPr>
              <w:t xml:space="preserve"> on issue of interest penalty.</w:t>
            </w:r>
          </w:p>
          <w:p w:rsidR="0071029D" w:rsidRPr="00047B76" w:rsidRDefault="0071029D" w:rsidP="0023484E">
            <w:pPr>
              <w:jc w:val="both"/>
              <w:rPr>
                <w:sz w:val="20"/>
              </w:rPr>
            </w:pPr>
          </w:p>
        </w:tc>
      </w:tr>
      <w:tr w:rsidR="0071029D" w:rsidRPr="00047B76" w:rsidTr="0023484E">
        <w:tc>
          <w:tcPr>
            <w:tcW w:w="2427" w:type="pct"/>
            <w:gridSpan w:val="2"/>
          </w:tcPr>
          <w:p w:rsidR="0071029D" w:rsidRPr="00047B76" w:rsidRDefault="0071029D" w:rsidP="0023484E">
            <w:pPr>
              <w:jc w:val="both"/>
              <w:rPr>
                <w:sz w:val="20"/>
              </w:rPr>
            </w:pPr>
            <w:r w:rsidRPr="00047B76">
              <w:rPr>
                <w:sz w:val="20"/>
              </w:rPr>
              <w:t>June 10, 2019</w:t>
            </w:r>
          </w:p>
          <w:p w:rsidR="0071029D" w:rsidRPr="00047B76" w:rsidRDefault="0071029D" w:rsidP="0023484E">
            <w:pPr>
              <w:jc w:val="both"/>
              <w:rPr>
                <w:sz w:val="20"/>
              </w:rPr>
            </w:pPr>
            <w:r w:rsidRPr="00047B76">
              <w:rPr>
                <w:sz w:val="20"/>
              </w:rPr>
              <w:t>Supreme Court of Canada</w:t>
            </w:r>
          </w:p>
        </w:tc>
        <w:tc>
          <w:tcPr>
            <w:tcW w:w="243" w:type="pct"/>
          </w:tcPr>
          <w:p w:rsidR="0071029D" w:rsidRPr="00047B76" w:rsidRDefault="0071029D" w:rsidP="0023484E">
            <w:pPr>
              <w:jc w:val="both"/>
              <w:rPr>
                <w:sz w:val="20"/>
              </w:rPr>
            </w:pPr>
          </w:p>
        </w:tc>
        <w:tc>
          <w:tcPr>
            <w:tcW w:w="2330" w:type="pct"/>
          </w:tcPr>
          <w:p w:rsidR="0071029D" w:rsidRPr="00047B76" w:rsidRDefault="0071029D" w:rsidP="0023484E">
            <w:pPr>
              <w:jc w:val="both"/>
              <w:rPr>
                <w:sz w:val="20"/>
              </w:rPr>
            </w:pPr>
            <w:r w:rsidRPr="00047B76">
              <w:rPr>
                <w:sz w:val="20"/>
              </w:rPr>
              <w:t>Application for leave to appeal filed</w:t>
            </w:r>
          </w:p>
          <w:p w:rsidR="0071029D" w:rsidRPr="00047B76" w:rsidRDefault="0071029D" w:rsidP="0023484E">
            <w:pPr>
              <w:jc w:val="both"/>
              <w:rPr>
                <w:sz w:val="20"/>
              </w:rPr>
            </w:pPr>
          </w:p>
        </w:tc>
      </w:tr>
    </w:tbl>
    <w:p w:rsidR="0071029D" w:rsidRPr="00047B76" w:rsidRDefault="0071029D" w:rsidP="0071029D">
      <w:pPr>
        <w:jc w:val="both"/>
        <w:rPr>
          <w:sz w:val="20"/>
        </w:rPr>
      </w:pPr>
    </w:p>
    <w:p w:rsidR="0071029D" w:rsidRPr="00047B76" w:rsidRDefault="009A56E8" w:rsidP="0071029D">
      <w:pPr>
        <w:jc w:val="both"/>
        <w:rPr>
          <w:sz w:val="20"/>
        </w:rPr>
      </w:pPr>
      <w:r>
        <w:rPr>
          <w:sz w:val="20"/>
        </w:rPr>
        <w:pict>
          <v:rect id="_x0000_i1058" style="width:2in;height:1pt" o:hrpct="0" o:hralign="center" o:hrstd="t" o:hrnoshade="t" o:hr="t" fillcolor="black [3213]" stroked="f"/>
        </w:pict>
      </w:r>
    </w:p>
    <w:p w:rsidR="0071029D" w:rsidRPr="00047B76" w:rsidRDefault="0071029D" w:rsidP="0071029D">
      <w:pPr>
        <w:jc w:val="both"/>
        <w:rPr>
          <w:sz w:val="20"/>
        </w:rPr>
      </w:pPr>
    </w:p>
    <w:p w:rsidR="00900ECD" w:rsidRPr="00047B76" w:rsidRDefault="00900ECD">
      <w:r w:rsidRPr="00047B76">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1029D" w:rsidRPr="00047B76" w:rsidTr="0023484E">
        <w:tc>
          <w:tcPr>
            <w:tcW w:w="543" w:type="pct"/>
          </w:tcPr>
          <w:p w:rsidR="0071029D" w:rsidRPr="00047B76" w:rsidRDefault="0071029D" w:rsidP="0023484E">
            <w:pPr>
              <w:jc w:val="both"/>
              <w:rPr>
                <w:sz w:val="20"/>
                <w:lang w:val="fr-CA"/>
              </w:rPr>
            </w:pPr>
            <w:r w:rsidRPr="00047B76">
              <w:rPr>
                <w:rStyle w:val="SCCFileNumberChar"/>
                <w:sz w:val="20"/>
                <w:szCs w:val="20"/>
                <w:lang w:val="fr-CA"/>
              </w:rPr>
              <w:lastRenderedPageBreak/>
              <w:t>38679</w:t>
            </w:r>
          </w:p>
        </w:tc>
        <w:tc>
          <w:tcPr>
            <w:tcW w:w="4457" w:type="pct"/>
            <w:gridSpan w:val="3"/>
          </w:tcPr>
          <w:p w:rsidR="0071029D" w:rsidRPr="00047B76" w:rsidRDefault="0071029D" w:rsidP="0023484E">
            <w:pPr>
              <w:pStyle w:val="SCCLsocParty"/>
              <w:jc w:val="both"/>
              <w:rPr>
                <w:b/>
                <w:sz w:val="20"/>
                <w:szCs w:val="20"/>
              </w:rPr>
            </w:pPr>
            <w:r w:rsidRPr="00047B76">
              <w:rPr>
                <w:b/>
                <w:sz w:val="20"/>
                <w:szCs w:val="20"/>
              </w:rPr>
              <w:t>Guilian Li aussi connue sous le nom de Gui Lian Li v. Tong Wei</w:t>
            </w:r>
          </w:p>
          <w:p w:rsidR="0071029D" w:rsidRPr="00047B76" w:rsidRDefault="0071029D" w:rsidP="0023484E">
            <w:pPr>
              <w:jc w:val="both"/>
              <w:rPr>
                <w:sz w:val="20"/>
                <w:lang w:val="fr-CA"/>
              </w:rPr>
            </w:pPr>
            <w:r w:rsidRPr="00047B76">
              <w:rPr>
                <w:sz w:val="20"/>
                <w:lang w:val="fr-CA"/>
              </w:rPr>
              <w:t>(C.</w:t>
            </w:r>
            <w:r w:rsidRPr="00047B76">
              <w:rPr>
                <w:sz w:val="20"/>
                <w:lang w:val="fr-CA"/>
              </w:rPr>
              <w:noBreakHyphen/>
              <w:t>B.) (Civile) (Autorisation)</w:t>
            </w:r>
          </w:p>
        </w:tc>
      </w:tr>
      <w:tr w:rsidR="00E80644" w:rsidRPr="00957F6E" w:rsidTr="0023484E">
        <w:tc>
          <w:tcPr>
            <w:tcW w:w="5000" w:type="pct"/>
            <w:gridSpan w:val="4"/>
          </w:tcPr>
          <w:p w:rsidR="00E80644" w:rsidRPr="00047B76" w:rsidRDefault="00BA130B" w:rsidP="0023484E">
            <w:pPr>
              <w:jc w:val="both"/>
              <w:rPr>
                <w:sz w:val="20"/>
                <w:szCs w:val="20"/>
                <w:lang w:val="fr-CA"/>
              </w:rPr>
            </w:pPr>
            <w:r w:rsidRPr="00047B76">
              <w:rPr>
                <w:sz w:val="20"/>
                <w:szCs w:val="20"/>
                <w:lang w:val="fr-CA"/>
              </w:rPr>
              <w:t>La demande d’autorisation d’appel de l’arrêt de la Cour d’appel de la Colombie-Britannique (Vancouver), numéro CA45138, 2019 BCCA 114, daté du 9 avril 2019, est rejetée avec dépens.</w:t>
            </w:r>
          </w:p>
          <w:p w:rsidR="00BA130B" w:rsidRPr="00047B76" w:rsidRDefault="00BA130B" w:rsidP="0023484E">
            <w:pPr>
              <w:jc w:val="both"/>
              <w:rPr>
                <w:sz w:val="20"/>
                <w:lang w:val="fr-CA"/>
              </w:rPr>
            </w:pPr>
          </w:p>
        </w:tc>
      </w:tr>
      <w:tr w:rsidR="0071029D" w:rsidRPr="00957F6E" w:rsidTr="0023484E">
        <w:tc>
          <w:tcPr>
            <w:tcW w:w="5000" w:type="pct"/>
            <w:gridSpan w:val="4"/>
          </w:tcPr>
          <w:p w:rsidR="0071029D" w:rsidRPr="00047B76" w:rsidRDefault="0071029D" w:rsidP="0023484E">
            <w:pPr>
              <w:jc w:val="both"/>
              <w:rPr>
                <w:sz w:val="20"/>
                <w:lang w:val="fr-CA"/>
              </w:rPr>
            </w:pPr>
            <w:r w:rsidRPr="00047B76">
              <w:rPr>
                <w:sz w:val="20"/>
                <w:lang w:val="fr-CA"/>
              </w:rPr>
              <w:t xml:space="preserve">Droit international privé — Jugements étrangers — Exécution — Reconnaissance — Contrats — Retranchement — Jugements et ordonnances — Intérêts — Quelle approche devraient adopter les tribunaux canadiens lorsqu’ils sont appelés à exécuter un jugement étranger qui prévoit un taux d’intérêt qui contrevient à l’art. 347 du </w:t>
            </w:r>
            <w:r w:rsidRPr="00047B76">
              <w:rPr>
                <w:i/>
                <w:sz w:val="20"/>
                <w:lang w:val="fr-CA"/>
              </w:rPr>
              <w:t>Code criminel</w:t>
            </w:r>
            <w:r w:rsidRPr="00047B76">
              <w:rPr>
                <w:sz w:val="20"/>
                <w:lang w:val="fr-CA"/>
              </w:rPr>
              <w:t xml:space="preserve"> canadien?</w:t>
            </w:r>
            <w:r w:rsidRPr="00047B76">
              <w:rPr>
                <w:i/>
                <w:sz w:val="20"/>
                <w:lang w:val="fr-CA"/>
              </w:rPr>
              <w:t xml:space="preserve"> </w:t>
            </w:r>
            <w:r w:rsidRPr="00047B76">
              <w:rPr>
                <w:sz w:val="20"/>
                <w:lang w:val="fr-CA"/>
              </w:rPr>
              <w:t>— Dans quelle mesure les tribunaux canadiens doivent</w:t>
            </w:r>
            <w:r w:rsidRPr="00047B76">
              <w:rPr>
                <w:sz w:val="20"/>
                <w:lang w:val="fr-CA"/>
              </w:rPr>
              <w:noBreakHyphen/>
              <w:t>ils accepter le contenu intégral de documents, non liés à une ordonnance rendue, qu’une partie au litige décrit comme provenant du dossier d’un tribunal étranger, pour la véracité de leur contenu?</w:t>
            </w:r>
          </w:p>
        </w:tc>
      </w:tr>
      <w:tr w:rsidR="0071029D" w:rsidRPr="00957F6E" w:rsidTr="0023484E">
        <w:tc>
          <w:tcPr>
            <w:tcW w:w="5000" w:type="pct"/>
            <w:gridSpan w:val="4"/>
          </w:tcPr>
          <w:p w:rsidR="0071029D" w:rsidRPr="00047B76" w:rsidRDefault="0071029D" w:rsidP="0023484E">
            <w:pPr>
              <w:jc w:val="both"/>
              <w:rPr>
                <w:sz w:val="20"/>
                <w:lang w:val="fr-CA"/>
              </w:rPr>
            </w:pPr>
          </w:p>
        </w:tc>
      </w:tr>
      <w:tr w:rsidR="0071029D" w:rsidRPr="00957F6E" w:rsidTr="0023484E">
        <w:tc>
          <w:tcPr>
            <w:tcW w:w="5000" w:type="pct"/>
            <w:gridSpan w:val="4"/>
          </w:tcPr>
          <w:p w:rsidR="0071029D" w:rsidRPr="00047B76" w:rsidRDefault="0071029D" w:rsidP="0023484E">
            <w:pPr>
              <w:jc w:val="both"/>
              <w:rPr>
                <w:sz w:val="20"/>
                <w:lang w:val="fr-CA"/>
              </w:rPr>
            </w:pPr>
            <w:r w:rsidRPr="00047B76">
              <w:rPr>
                <w:sz w:val="20"/>
                <w:lang w:val="fr-CA"/>
              </w:rPr>
              <w:t xml:space="preserve">Guilian Li (alias Gui Lian Li) et son époux </w:t>
            </w:r>
            <w:proofErr w:type="spellStart"/>
            <w:r w:rsidRPr="00047B76">
              <w:rPr>
                <w:sz w:val="20"/>
                <w:lang w:val="fr-CA"/>
              </w:rPr>
              <w:t>Zijie</w:t>
            </w:r>
            <w:proofErr w:type="spellEnd"/>
            <w:r w:rsidRPr="00047B76">
              <w:rPr>
                <w:sz w:val="20"/>
                <w:lang w:val="fr-CA"/>
              </w:rPr>
              <w:t xml:space="preserve"> </w:t>
            </w:r>
            <w:proofErr w:type="spellStart"/>
            <w:r w:rsidRPr="00047B76">
              <w:rPr>
                <w:sz w:val="20"/>
                <w:lang w:val="fr-CA"/>
              </w:rPr>
              <w:t>Mei</w:t>
            </w:r>
            <w:proofErr w:type="spellEnd"/>
            <w:r w:rsidRPr="00047B76">
              <w:rPr>
                <w:sz w:val="20"/>
                <w:lang w:val="fr-CA"/>
              </w:rPr>
              <w:t xml:space="preserve"> (alias Zi </w:t>
            </w:r>
            <w:proofErr w:type="spellStart"/>
            <w:r w:rsidRPr="00047B76">
              <w:rPr>
                <w:sz w:val="20"/>
                <w:lang w:val="fr-CA"/>
              </w:rPr>
              <w:t>Jie</w:t>
            </w:r>
            <w:proofErr w:type="spellEnd"/>
            <w:r w:rsidRPr="00047B76">
              <w:rPr>
                <w:sz w:val="20"/>
                <w:lang w:val="fr-CA"/>
              </w:rPr>
              <w:t xml:space="preserve"> </w:t>
            </w:r>
            <w:proofErr w:type="spellStart"/>
            <w:r w:rsidRPr="00047B76">
              <w:rPr>
                <w:sz w:val="20"/>
                <w:lang w:val="fr-CA"/>
              </w:rPr>
              <w:t>Mei</w:t>
            </w:r>
            <w:proofErr w:type="spellEnd"/>
            <w:r w:rsidRPr="00047B76">
              <w:rPr>
                <w:sz w:val="20"/>
                <w:lang w:val="fr-CA"/>
              </w:rPr>
              <w:t>) vivent en Colombie</w:t>
            </w:r>
            <w:r w:rsidRPr="00047B76">
              <w:rPr>
                <w:sz w:val="20"/>
                <w:lang w:val="fr-CA"/>
              </w:rPr>
              <w:noBreakHyphen/>
              <w:t xml:space="preserve">Britannique et exerçaient des activités commerciales en Chine par l’entremise d’une société en actions dont ils étaient propriétaires, </w:t>
            </w:r>
            <w:proofErr w:type="spellStart"/>
            <w:r w:rsidRPr="00047B76">
              <w:rPr>
                <w:sz w:val="20"/>
                <w:lang w:val="fr-CA"/>
              </w:rPr>
              <w:t>Fenghui</w:t>
            </w:r>
            <w:proofErr w:type="spellEnd"/>
            <w:r w:rsidRPr="00047B76">
              <w:rPr>
                <w:sz w:val="20"/>
                <w:lang w:val="fr-CA"/>
              </w:rPr>
              <w:t xml:space="preserve"> Ltd. En 2010 et 2012, Tong Wei a prêté de l’argent à </w:t>
            </w:r>
            <w:proofErr w:type="spellStart"/>
            <w:r w:rsidRPr="00047B76">
              <w:rPr>
                <w:sz w:val="20"/>
                <w:lang w:val="fr-CA"/>
              </w:rPr>
              <w:t>Fenghui</w:t>
            </w:r>
            <w:proofErr w:type="spellEnd"/>
            <w:r w:rsidRPr="00047B76">
              <w:rPr>
                <w:sz w:val="20"/>
                <w:lang w:val="fr-CA"/>
              </w:rPr>
              <w:t xml:space="preserve"> Ltd. Le prêt de 2012 était garanti par Mme Li. La société a manqué à ses obligations de remboursement et les garanties n’ont pas été entièrement honorées. Des procédures judiciaires ont été intentées en Chine et un accord à l’amiable a été conclu par voie de médiation. L’accord de règlement stipulait le paiement d’une somme forfaitaire couvrant le capital des prêts, les intérêts et les frais de recouvrement. Dans le cadre du règlement, il a été convenu que tout solde impayé restant porterait des intérêts moratoires calculés au taux de 0,2 % du solde impayé par jour (73 % par année). Deux jugements chinois ont confirmé l’accord de règlement. Les prêts n’ont pas été remboursés à la date convenue dans l’accord de règlement. Monsieur Wei a intenté des procédures d’exécution en Chine et a obtenu un avis d’exécution contre </w:t>
            </w:r>
            <w:proofErr w:type="spellStart"/>
            <w:r w:rsidRPr="00047B76">
              <w:rPr>
                <w:sz w:val="20"/>
                <w:lang w:val="fr-CA"/>
              </w:rPr>
              <w:t>Fenghui</w:t>
            </w:r>
            <w:proofErr w:type="spellEnd"/>
            <w:r w:rsidRPr="00047B76">
              <w:rPr>
                <w:sz w:val="20"/>
                <w:lang w:val="fr-CA"/>
              </w:rPr>
              <w:t xml:space="preserve"> Ltd, Mme Li et M. </w:t>
            </w:r>
            <w:proofErr w:type="spellStart"/>
            <w:r w:rsidRPr="00047B76">
              <w:rPr>
                <w:sz w:val="20"/>
                <w:lang w:val="fr-CA"/>
              </w:rPr>
              <w:t>Mei</w:t>
            </w:r>
            <w:proofErr w:type="spellEnd"/>
            <w:r w:rsidRPr="00047B76">
              <w:rPr>
                <w:sz w:val="20"/>
                <w:lang w:val="fr-CA"/>
              </w:rPr>
              <w:t>. Des procédures d’exécution ont ensuite été intentées en Colombie</w:t>
            </w:r>
            <w:r w:rsidRPr="00047B76">
              <w:rPr>
                <w:sz w:val="20"/>
                <w:lang w:val="fr-CA"/>
              </w:rPr>
              <w:noBreakHyphen/>
              <w:t>Britannique contre M. </w:t>
            </w:r>
            <w:proofErr w:type="spellStart"/>
            <w:r w:rsidRPr="00047B76">
              <w:rPr>
                <w:sz w:val="20"/>
                <w:lang w:val="fr-CA"/>
              </w:rPr>
              <w:t>Mei</w:t>
            </w:r>
            <w:proofErr w:type="spellEnd"/>
            <w:r w:rsidRPr="00047B76">
              <w:rPr>
                <w:sz w:val="20"/>
                <w:lang w:val="fr-CA"/>
              </w:rPr>
              <w:t xml:space="preserve"> et Mme Li. Dans deux décisions distinctes, un juge de la Cour suprême de la Colombie</w:t>
            </w:r>
            <w:r w:rsidRPr="00047B76">
              <w:rPr>
                <w:sz w:val="20"/>
                <w:lang w:val="fr-CA"/>
              </w:rPr>
              <w:noBreakHyphen/>
              <w:t>Britannique a rendu jugement exécutant le jugement chinois, assorti d’un taux d’intérêts moratoires de 60 %, plutôt que le taux de 73 % ordonné par le tribunal chinois. En appel, la Cour d’appel de la Colombie</w:t>
            </w:r>
            <w:r w:rsidRPr="00047B76">
              <w:rPr>
                <w:sz w:val="20"/>
                <w:lang w:val="fr-CA"/>
              </w:rPr>
              <w:noBreakHyphen/>
              <w:t>Britannique s’est dite d’accord avec la conclusion du juge de première instance selon laquelle le taux de 60 % était approprié. Le juge Willcock, dissident, a conclu que la modification des intérêts moratoires revenait à statuer de manière inadmissible sur la validité d’un contrat entre les parties et modifiait un jugement étranger.</w:t>
            </w:r>
          </w:p>
          <w:p w:rsidR="0071029D" w:rsidRPr="00047B76" w:rsidRDefault="0071029D" w:rsidP="0023484E">
            <w:pPr>
              <w:jc w:val="both"/>
              <w:rPr>
                <w:sz w:val="20"/>
                <w:lang w:val="fr-CA"/>
              </w:rPr>
            </w:pPr>
          </w:p>
        </w:tc>
      </w:tr>
      <w:tr w:rsidR="0071029D" w:rsidRPr="00957F6E" w:rsidTr="0023484E">
        <w:tc>
          <w:tcPr>
            <w:tcW w:w="2427" w:type="pct"/>
            <w:gridSpan w:val="2"/>
          </w:tcPr>
          <w:p w:rsidR="0071029D" w:rsidRPr="00047B76" w:rsidRDefault="0071029D" w:rsidP="0023484E">
            <w:pPr>
              <w:jc w:val="both"/>
              <w:rPr>
                <w:sz w:val="20"/>
                <w:lang w:val="fr-CA"/>
              </w:rPr>
            </w:pPr>
            <w:r w:rsidRPr="00047B76">
              <w:rPr>
                <w:sz w:val="20"/>
                <w:lang w:val="fr-CA"/>
              </w:rPr>
              <w:t>1</w:t>
            </w:r>
            <w:r w:rsidRPr="00047B76">
              <w:rPr>
                <w:sz w:val="20"/>
                <w:vertAlign w:val="superscript"/>
                <w:lang w:val="fr-CA"/>
              </w:rPr>
              <w:t>er</w:t>
            </w:r>
            <w:r w:rsidRPr="00047B76">
              <w:rPr>
                <w:sz w:val="20"/>
                <w:lang w:val="fr-CA"/>
              </w:rPr>
              <w:t> février 2018</w:t>
            </w:r>
          </w:p>
          <w:p w:rsidR="0071029D" w:rsidRPr="00047B76" w:rsidRDefault="0071029D" w:rsidP="0023484E">
            <w:pPr>
              <w:jc w:val="both"/>
              <w:rPr>
                <w:sz w:val="20"/>
                <w:lang w:val="fr-CA"/>
              </w:rPr>
            </w:pPr>
            <w:r w:rsidRPr="00047B76">
              <w:rPr>
                <w:sz w:val="20"/>
                <w:lang w:val="fr-CA"/>
              </w:rPr>
              <w:t>Cour suprême de la Colombie-Britannique</w:t>
            </w:r>
          </w:p>
          <w:p w:rsidR="0071029D" w:rsidRPr="00047B76" w:rsidRDefault="0071029D" w:rsidP="0023484E">
            <w:pPr>
              <w:jc w:val="both"/>
              <w:rPr>
                <w:sz w:val="20"/>
                <w:lang w:val="fr-CA"/>
              </w:rPr>
            </w:pPr>
            <w:r w:rsidRPr="00047B76">
              <w:rPr>
                <w:sz w:val="20"/>
                <w:lang w:val="fr-CA"/>
              </w:rPr>
              <w:t>(Juge Macintosh)</w:t>
            </w:r>
          </w:p>
          <w:p w:rsidR="0071029D" w:rsidRPr="00047B76" w:rsidRDefault="009A56E8" w:rsidP="0023484E">
            <w:pPr>
              <w:jc w:val="both"/>
              <w:rPr>
                <w:sz w:val="20"/>
                <w:lang w:val="fr-CA"/>
              </w:rPr>
            </w:pPr>
            <w:hyperlink r:id="rId62" w:history="1">
              <w:r w:rsidR="0071029D" w:rsidRPr="00047B76">
                <w:rPr>
                  <w:rStyle w:val="Hyperlink"/>
                  <w:sz w:val="20"/>
                  <w:lang w:val="fr-CA"/>
                </w:rPr>
                <w:t>2018 BCSC 157</w:t>
              </w:r>
            </w:hyperlink>
          </w:p>
          <w:p w:rsidR="0071029D" w:rsidRPr="00047B76" w:rsidRDefault="0071029D" w:rsidP="0023484E">
            <w:pPr>
              <w:jc w:val="both"/>
              <w:rPr>
                <w:sz w:val="20"/>
                <w:lang w:val="fr-CA"/>
              </w:rPr>
            </w:pPr>
          </w:p>
        </w:tc>
        <w:tc>
          <w:tcPr>
            <w:tcW w:w="243" w:type="pct"/>
          </w:tcPr>
          <w:p w:rsidR="0071029D" w:rsidRPr="00047B76" w:rsidRDefault="0071029D" w:rsidP="0023484E">
            <w:pPr>
              <w:jc w:val="both"/>
              <w:rPr>
                <w:sz w:val="20"/>
                <w:lang w:val="fr-CA"/>
              </w:rPr>
            </w:pPr>
          </w:p>
        </w:tc>
        <w:tc>
          <w:tcPr>
            <w:tcW w:w="2330" w:type="pct"/>
          </w:tcPr>
          <w:p w:rsidR="0071029D" w:rsidRPr="00047B76" w:rsidRDefault="0071029D" w:rsidP="0023484E">
            <w:pPr>
              <w:jc w:val="both"/>
              <w:rPr>
                <w:sz w:val="20"/>
                <w:lang w:val="fr-CA"/>
              </w:rPr>
            </w:pPr>
            <w:r w:rsidRPr="00047B76">
              <w:rPr>
                <w:sz w:val="20"/>
                <w:lang w:val="fr-CA"/>
              </w:rPr>
              <w:t>Exécution du jugement chinois et réduisant le taux annuel des intérêts moratoires à 60 %.</w:t>
            </w:r>
          </w:p>
          <w:p w:rsidR="0071029D" w:rsidRPr="00047B76" w:rsidRDefault="0071029D" w:rsidP="0023484E">
            <w:pPr>
              <w:jc w:val="both"/>
              <w:rPr>
                <w:sz w:val="20"/>
                <w:lang w:val="fr-CA"/>
              </w:rPr>
            </w:pPr>
          </w:p>
        </w:tc>
      </w:tr>
      <w:tr w:rsidR="0071029D" w:rsidRPr="00957F6E" w:rsidTr="0023484E">
        <w:tc>
          <w:tcPr>
            <w:tcW w:w="2427" w:type="pct"/>
            <w:gridSpan w:val="2"/>
          </w:tcPr>
          <w:p w:rsidR="0071029D" w:rsidRPr="00047B76" w:rsidRDefault="0071029D" w:rsidP="0023484E">
            <w:pPr>
              <w:jc w:val="both"/>
              <w:rPr>
                <w:sz w:val="20"/>
                <w:lang w:val="fr-CA"/>
              </w:rPr>
            </w:pPr>
            <w:r w:rsidRPr="00047B76">
              <w:rPr>
                <w:sz w:val="20"/>
                <w:lang w:val="fr-CA"/>
              </w:rPr>
              <w:t>27 juin 2018</w:t>
            </w:r>
          </w:p>
          <w:p w:rsidR="0071029D" w:rsidRPr="00047B76" w:rsidRDefault="0071029D" w:rsidP="0023484E">
            <w:pPr>
              <w:jc w:val="both"/>
              <w:rPr>
                <w:sz w:val="20"/>
                <w:lang w:val="fr-CA"/>
              </w:rPr>
            </w:pPr>
            <w:r w:rsidRPr="00047B76">
              <w:rPr>
                <w:sz w:val="20"/>
                <w:lang w:val="fr-CA"/>
              </w:rPr>
              <w:t>Cour suprême de la Colombie-Britannique</w:t>
            </w:r>
          </w:p>
          <w:p w:rsidR="0071029D" w:rsidRPr="00047B76" w:rsidRDefault="0071029D" w:rsidP="0023484E">
            <w:pPr>
              <w:jc w:val="both"/>
              <w:rPr>
                <w:sz w:val="20"/>
                <w:lang w:val="fr-CA"/>
              </w:rPr>
            </w:pPr>
            <w:r w:rsidRPr="00047B76">
              <w:rPr>
                <w:sz w:val="20"/>
                <w:lang w:val="fr-CA"/>
              </w:rPr>
              <w:t>(Juge Macintosh)</w:t>
            </w:r>
          </w:p>
          <w:p w:rsidR="0071029D" w:rsidRPr="00047B76" w:rsidRDefault="009A56E8" w:rsidP="0023484E">
            <w:pPr>
              <w:jc w:val="both"/>
              <w:rPr>
                <w:sz w:val="20"/>
                <w:lang w:val="fr-CA"/>
              </w:rPr>
            </w:pPr>
            <w:hyperlink r:id="rId63" w:history="1">
              <w:r w:rsidR="0071029D" w:rsidRPr="00047B76">
                <w:rPr>
                  <w:rStyle w:val="Hyperlink"/>
                  <w:sz w:val="20"/>
                  <w:lang w:val="fr-CA"/>
                </w:rPr>
                <w:t>2018 BCSC 1057</w:t>
              </w:r>
            </w:hyperlink>
          </w:p>
          <w:p w:rsidR="0071029D" w:rsidRPr="00047B76" w:rsidRDefault="0071029D" w:rsidP="0023484E">
            <w:pPr>
              <w:jc w:val="both"/>
              <w:rPr>
                <w:sz w:val="20"/>
                <w:lang w:val="fr-CA"/>
              </w:rPr>
            </w:pPr>
          </w:p>
        </w:tc>
        <w:tc>
          <w:tcPr>
            <w:tcW w:w="243" w:type="pct"/>
          </w:tcPr>
          <w:p w:rsidR="0071029D" w:rsidRPr="00047B76" w:rsidRDefault="0071029D" w:rsidP="0023484E">
            <w:pPr>
              <w:jc w:val="both"/>
              <w:rPr>
                <w:sz w:val="20"/>
                <w:lang w:val="fr-CA"/>
              </w:rPr>
            </w:pPr>
          </w:p>
        </w:tc>
        <w:tc>
          <w:tcPr>
            <w:tcW w:w="2330" w:type="pct"/>
          </w:tcPr>
          <w:p w:rsidR="0071029D" w:rsidRPr="00047B76" w:rsidRDefault="0071029D" w:rsidP="0023484E">
            <w:pPr>
              <w:jc w:val="both"/>
              <w:rPr>
                <w:sz w:val="20"/>
                <w:lang w:val="fr-CA"/>
              </w:rPr>
            </w:pPr>
            <w:r w:rsidRPr="00047B76">
              <w:rPr>
                <w:sz w:val="20"/>
                <w:lang w:val="fr-CA"/>
              </w:rPr>
              <w:t>Motifs supplémentaires confirmant les intérêts moratoires de 60 % par année.</w:t>
            </w:r>
          </w:p>
          <w:p w:rsidR="0071029D" w:rsidRPr="00047B76" w:rsidRDefault="0071029D" w:rsidP="0023484E">
            <w:pPr>
              <w:jc w:val="both"/>
              <w:rPr>
                <w:sz w:val="20"/>
                <w:lang w:val="fr-CA"/>
              </w:rPr>
            </w:pPr>
          </w:p>
        </w:tc>
      </w:tr>
      <w:tr w:rsidR="0071029D" w:rsidRPr="00957F6E" w:rsidTr="0023484E">
        <w:tc>
          <w:tcPr>
            <w:tcW w:w="2427" w:type="pct"/>
            <w:gridSpan w:val="2"/>
          </w:tcPr>
          <w:p w:rsidR="0071029D" w:rsidRPr="00047B76" w:rsidRDefault="0071029D" w:rsidP="0023484E">
            <w:pPr>
              <w:jc w:val="both"/>
              <w:rPr>
                <w:sz w:val="20"/>
                <w:lang w:val="fr-CA"/>
              </w:rPr>
            </w:pPr>
            <w:r w:rsidRPr="00047B76">
              <w:rPr>
                <w:sz w:val="20"/>
                <w:lang w:val="fr-CA"/>
              </w:rPr>
              <w:t>9 avril 2019</w:t>
            </w:r>
          </w:p>
          <w:p w:rsidR="0071029D" w:rsidRPr="00047B76" w:rsidRDefault="0071029D" w:rsidP="0023484E">
            <w:pPr>
              <w:jc w:val="both"/>
              <w:rPr>
                <w:sz w:val="20"/>
                <w:lang w:val="fr-CA"/>
              </w:rPr>
            </w:pPr>
            <w:r w:rsidRPr="00047B76">
              <w:rPr>
                <w:sz w:val="20"/>
                <w:lang w:val="fr-CA"/>
              </w:rPr>
              <w:t>Cour d’appel de la Colombie</w:t>
            </w:r>
            <w:r w:rsidRPr="00047B76">
              <w:rPr>
                <w:sz w:val="20"/>
                <w:lang w:val="fr-CA"/>
              </w:rPr>
              <w:noBreakHyphen/>
              <w:t>Britannique</w:t>
            </w:r>
          </w:p>
          <w:p w:rsidR="0071029D" w:rsidRPr="00047B76" w:rsidRDefault="0071029D" w:rsidP="0023484E">
            <w:pPr>
              <w:jc w:val="both"/>
              <w:rPr>
                <w:sz w:val="20"/>
                <w:lang w:val="fr-CA"/>
              </w:rPr>
            </w:pPr>
            <w:r w:rsidRPr="00047B76">
              <w:rPr>
                <w:sz w:val="20"/>
                <w:lang w:val="fr-CA"/>
              </w:rPr>
              <w:t>(Vancouver)</w:t>
            </w:r>
          </w:p>
          <w:p w:rsidR="0071029D" w:rsidRPr="00047B76" w:rsidRDefault="0071029D" w:rsidP="0023484E">
            <w:pPr>
              <w:jc w:val="both"/>
              <w:rPr>
                <w:sz w:val="20"/>
                <w:lang w:val="fr-CA"/>
              </w:rPr>
            </w:pPr>
            <w:r w:rsidRPr="00047B76">
              <w:rPr>
                <w:sz w:val="20"/>
                <w:lang w:val="fr-CA"/>
              </w:rPr>
              <w:t>(Juges Newbury, Smith et Willcock (dissident))</w:t>
            </w:r>
          </w:p>
          <w:p w:rsidR="0071029D" w:rsidRPr="00047B76" w:rsidRDefault="009A56E8" w:rsidP="0023484E">
            <w:pPr>
              <w:jc w:val="both"/>
              <w:rPr>
                <w:rStyle w:val="Hyperlink"/>
                <w:sz w:val="20"/>
                <w:lang w:val="fr-CA"/>
              </w:rPr>
            </w:pPr>
            <w:hyperlink r:id="rId64" w:history="1">
              <w:r w:rsidR="0071029D" w:rsidRPr="00047B76">
                <w:rPr>
                  <w:rStyle w:val="Hyperlink"/>
                  <w:sz w:val="20"/>
                  <w:lang w:val="fr-CA"/>
                </w:rPr>
                <w:t>2019 BCCA 114</w:t>
              </w:r>
            </w:hyperlink>
          </w:p>
          <w:p w:rsidR="0071029D" w:rsidRPr="00047B76" w:rsidRDefault="0071029D" w:rsidP="0023484E">
            <w:pPr>
              <w:jc w:val="both"/>
              <w:rPr>
                <w:sz w:val="20"/>
                <w:lang w:val="fr-CA"/>
              </w:rPr>
            </w:pPr>
          </w:p>
        </w:tc>
        <w:tc>
          <w:tcPr>
            <w:tcW w:w="243" w:type="pct"/>
          </w:tcPr>
          <w:p w:rsidR="0071029D" w:rsidRPr="00047B76" w:rsidRDefault="0071029D" w:rsidP="0023484E">
            <w:pPr>
              <w:jc w:val="both"/>
              <w:rPr>
                <w:sz w:val="20"/>
                <w:lang w:val="fr-CA"/>
              </w:rPr>
            </w:pPr>
          </w:p>
        </w:tc>
        <w:tc>
          <w:tcPr>
            <w:tcW w:w="2330" w:type="pct"/>
          </w:tcPr>
          <w:p w:rsidR="0071029D" w:rsidRPr="00047B76" w:rsidRDefault="0071029D" w:rsidP="0023484E">
            <w:pPr>
              <w:jc w:val="both"/>
              <w:rPr>
                <w:sz w:val="20"/>
                <w:lang w:val="fr-CA"/>
              </w:rPr>
            </w:pPr>
            <w:r w:rsidRPr="00047B76">
              <w:rPr>
                <w:sz w:val="20"/>
                <w:lang w:val="fr-CA"/>
              </w:rPr>
              <w:t>Rejet de l’appel. Dissidence du juge Willcock sur la question des intérêts moratoires.</w:t>
            </w:r>
          </w:p>
          <w:p w:rsidR="0071029D" w:rsidRPr="00047B76" w:rsidRDefault="0071029D" w:rsidP="0023484E">
            <w:pPr>
              <w:jc w:val="both"/>
              <w:rPr>
                <w:sz w:val="20"/>
                <w:lang w:val="fr-CA"/>
              </w:rPr>
            </w:pPr>
          </w:p>
        </w:tc>
      </w:tr>
      <w:tr w:rsidR="0071029D" w:rsidRPr="00957F6E" w:rsidTr="0023484E">
        <w:tc>
          <w:tcPr>
            <w:tcW w:w="2427" w:type="pct"/>
            <w:gridSpan w:val="2"/>
          </w:tcPr>
          <w:p w:rsidR="0071029D" w:rsidRPr="00047B76" w:rsidRDefault="0071029D" w:rsidP="0023484E">
            <w:pPr>
              <w:jc w:val="both"/>
              <w:rPr>
                <w:sz w:val="20"/>
                <w:lang w:val="fr-CA"/>
              </w:rPr>
            </w:pPr>
            <w:r w:rsidRPr="00047B76">
              <w:rPr>
                <w:sz w:val="20"/>
                <w:lang w:val="fr-CA"/>
              </w:rPr>
              <w:t>10 juin 2019</w:t>
            </w:r>
          </w:p>
          <w:p w:rsidR="0071029D" w:rsidRPr="00047B76" w:rsidRDefault="0071029D" w:rsidP="0023484E">
            <w:pPr>
              <w:jc w:val="both"/>
              <w:rPr>
                <w:sz w:val="20"/>
                <w:lang w:val="fr-CA"/>
              </w:rPr>
            </w:pPr>
            <w:r w:rsidRPr="00047B76">
              <w:rPr>
                <w:sz w:val="20"/>
                <w:lang w:val="fr-CA"/>
              </w:rPr>
              <w:t>Cour suprême du Canada</w:t>
            </w:r>
          </w:p>
        </w:tc>
        <w:tc>
          <w:tcPr>
            <w:tcW w:w="243" w:type="pct"/>
          </w:tcPr>
          <w:p w:rsidR="0071029D" w:rsidRPr="00047B76" w:rsidRDefault="0071029D" w:rsidP="0023484E">
            <w:pPr>
              <w:jc w:val="both"/>
              <w:rPr>
                <w:sz w:val="20"/>
                <w:lang w:val="fr-CA"/>
              </w:rPr>
            </w:pPr>
          </w:p>
        </w:tc>
        <w:tc>
          <w:tcPr>
            <w:tcW w:w="2330" w:type="pct"/>
          </w:tcPr>
          <w:p w:rsidR="0071029D" w:rsidRPr="00047B76" w:rsidRDefault="0071029D" w:rsidP="0023484E">
            <w:pPr>
              <w:jc w:val="both"/>
              <w:rPr>
                <w:sz w:val="20"/>
                <w:lang w:val="fr-CA"/>
              </w:rPr>
            </w:pPr>
            <w:r w:rsidRPr="00047B76">
              <w:rPr>
                <w:sz w:val="20"/>
                <w:lang w:val="fr-CA"/>
              </w:rPr>
              <w:t>Dépôt de la demande d’autorisation d’appel</w:t>
            </w:r>
          </w:p>
          <w:p w:rsidR="0071029D" w:rsidRPr="00047B76" w:rsidRDefault="0071029D" w:rsidP="0023484E">
            <w:pPr>
              <w:jc w:val="both"/>
              <w:rPr>
                <w:sz w:val="20"/>
                <w:lang w:val="fr-CA"/>
              </w:rPr>
            </w:pPr>
          </w:p>
        </w:tc>
      </w:tr>
    </w:tbl>
    <w:p w:rsidR="0071029D" w:rsidRPr="00047B76" w:rsidRDefault="0071029D" w:rsidP="0071029D">
      <w:pPr>
        <w:jc w:val="both"/>
        <w:rPr>
          <w:sz w:val="20"/>
          <w:lang w:val="fr-CA"/>
        </w:rPr>
      </w:pPr>
    </w:p>
    <w:p w:rsidR="0071029D" w:rsidRPr="00047B76" w:rsidRDefault="009A56E8" w:rsidP="0071029D">
      <w:pPr>
        <w:jc w:val="both"/>
        <w:rPr>
          <w:sz w:val="20"/>
          <w:lang w:val="fr-CA"/>
        </w:rPr>
      </w:pPr>
      <w:r>
        <w:rPr>
          <w:sz w:val="20"/>
        </w:rPr>
        <w:pict>
          <v:rect id="_x0000_i1059" style="width:2in;height:1pt" o:hrpct="0" o:hralign="center" o:hrstd="t" o:hrnoshade="t" o:hr="t" fillcolor="black [3213]" stroked="f"/>
        </w:pict>
      </w:r>
    </w:p>
    <w:p w:rsidR="0071029D" w:rsidRPr="00047B76" w:rsidRDefault="0071029D" w:rsidP="0071029D">
      <w:pPr>
        <w:ind w:left="142" w:hanging="142"/>
        <w:jc w:val="both"/>
        <w:rPr>
          <w:sz w:val="20"/>
          <w:lang w:val="fr-CA"/>
        </w:rPr>
      </w:pPr>
    </w:p>
    <w:p w:rsidR="00900ECD" w:rsidRPr="00047B76" w:rsidRDefault="00900ECD">
      <w:r w:rsidRPr="00047B76">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1029D" w:rsidRPr="00047B76" w:rsidTr="0023484E">
        <w:tc>
          <w:tcPr>
            <w:tcW w:w="543" w:type="pct"/>
          </w:tcPr>
          <w:p w:rsidR="0071029D" w:rsidRPr="00047B76" w:rsidRDefault="0071029D" w:rsidP="0023484E">
            <w:pPr>
              <w:jc w:val="both"/>
              <w:rPr>
                <w:sz w:val="20"/>
              </w:rPr>
            </w:pPr>
            <w:r w:rsidRPr="00047B76">
              <w:rPr>
                <w:rStyle w:val="SCCFileNumberChar"/>
                <w:sz w:val="20"/>
                <w:szCs w:val="20"/>
              </w:rPr>
              <w:lastRenderedPageBreak/>
              <w:t>38729</w:t>
            </w:r>
          </w:p>
        </w:tc>
        <w:tc>
          <w:tcPr>
            <w:tcW w:w="4457" w:type="pct"/>
            <w:gridSpan w:val="3"/>
          </w:tcPr>
          <w:p w:rsidR="0071029D" w:rsidRPr="00047B76" w:rsidRDefault="0071029D" w:rsidP="0023484E">
            <w:pPr>
              <w:pStyle w:val="SCCLsocParty"/>
              <w:jc w:val="both"/>
              <w:rPr>
                <w:b/>
                <w:sz w:val="20"/>
                <w:szCs w:val="20"/>
                <w:lang w:val="en-CA"/>
              </w:rPr>
            </w:pPr>
            <w:r w:rsidRPr="00047B76">
              <w:rPr>
                <w:b/>
                <w:sz w:val="20"/>
                <w:szCs w:val="20"/>
                <w:lang w:val="en-CA"/>
              </w:rPr>
              <w:t xml:space="preserve">Robert Mitchell v. Ville de </w:t>
            </w:r>
            <w:proofErr w:type="spellStart"/>
            <w:r w:rsidRPr="00047B76">
              <w:rPr>
                <w:b/>
                <w:sz w:val="20"/>
                <w:szCs w:val="20"/>
                <w:lang w:val="en-CA"/>
              </w:rPr>
              <w:t>Lévis</w:t>
            </w:r>
            <w:proofErr w:type="spellEnd"/>
            <w:r w:rsidRPr="00047B76">
              <w:rPr>
                <w:b/>
                <w:sz w:val="20"/>
                <w:szCs w:val="20"/>
                <w:lang w:val="en-CA"/>
              </w:rPr>
              <w:t>, Attorney General of Quebec and Attorney General of Canada</w:t>
            </w:r>
          </w:p>
          <w:p w:rsidR="0071029D" w:rsidRPr="00047B76" w:rsidRDefault="0071029D" w:rsidP="0023484E">
            <w:pPr>
              <w:jc w:val="both"/>
              <w:rPr>
                <w:sz w:val="20"/>
              </w:rPr>
            </w:pPr>
            <w:r w:rsidRPr="00047B76">
              <w:rPr>
                <w:sz w:val="20"/>
              </w:rPr>
              <w:t>(Que.) (Civil) (By Leave)</w:t>
            </w:r>
          </w:p>
        </w:tc>
      </w:tr>
      <w:tr w:rsidR="00E80644" w:rsidRPr="00047B76" w:rsidTr="0023484E">
        <w:tc>
          <w:tcPr>
            <w:tcW w:w="5000" w:type="pct"/>
            <w:gridSpan w:val="4"/>
          </w:tcPr>
          <w:p w:rsidR="00E80644" w:rsidRPr="00047B76" w:rsidRDefault="00C559E6" w:rsidP="0023484E">
            <w:pPr>
              <w:jc w:val="both"/>
              <w:rPr>
                <w:sz w:val="20"/>
                <w:szCs w:val="20"/>
              </w:rPr>
            </w:pPr>
            <w:r w:rsidRPr="00047B76">
              <w:rPr>
                <w:sz w:val="20"/>
                <w:szCs w:val="20"/>
              </w:rPr>
              <w:t>The application for leave to appeal from the judgment of the Court of Appeal of Quebec (Québec), Number 200-09-009959-195, 2019 QCCA 410, dated March 12, 2019, is dismissed with costs to the respondent, Attorney General of Canada.</w:t>
            </w:r>
          </w:p>
          <w:p w:rsidR="00C559E6" w:rsidRPr="00047B76" w:rsidRDefault="00C559E6" w:rsidP="0023484E">
            <w:pPr>
              <w:jc w:val="both"/>
              <w:rPr>
                <w:sz w:val="20"/>
              </w:rPr>
            </w:pPr>
          </w:p>
        </w:tc>
      </w:tr>
      <w:tr w:rsidR="0071029D" w:rsidRPr="00047B76" w:rsidTr="0023484E">
        <w:tc>
          <w:tcPr>
            <w:tcW w:w="5000" w:type="pct"/>
            <w:gridSpan w:val="4"/>
          </w:tcPr>
          <w:p w:rsidR="0071029D" w:rsidRPr="00047B76" w:rsidRDefault="0071029D" w:rsidP="0023484E">
            <w:pPr>
              <w:jc w:val="both"/>
              <w:rPr>
                <w:sz w:val="20"/>
              </w:rPr>
            </w:pPr>
            <w:r w:rsidRPr="00047B76">
              <w:rPr>
                <w:sz w:val="20"/>
              </w:rPr>
              <w:t>Appeals — Evidence — Bad faith — Collusion — Whether Court of Appeal, in bad faith, reached verdict that went against evidence in record — Whether there was bad faith by Quebec Court of Appeal that had effect of depriving Quebecers of right to completely unimpeded access to superior courts — Whether there was collusion between defendants and judiciary for purpose of depriving applicant of his right to decision on merits of his case.</w:t>
            </w:r>
          </w:p>
        </w:tc>
      </w:tr>
      <w:tr w:rsidR="0071029D" w:rsidRPr="00047B76" w:rsidTr="0023484E">
        <w:tc>
          <w:tcPr>
            <w:tcW w:w="5000" w:type="pct"/>
            <w:gridSpan w:val="4"/>
          </w:tcPr>
          <w:p w:rsidR="0071029D" w:rsidRPr="00047B76" w:rsidRDefault="0071029D" w:rsidP="0023484E">
            <w:pPr>
              <w:jc w:val="both"/>
              <w:rPr>
                <w:sz w:val="20"/>
              </w:rPr>
            </w:pPr>
          </w:p>
        </w:tc>
      </w:tr>
      <w:tr w:rsidR="0071029D" w:rsidRPr="00047B76" w:rsidTr="0023484E">
        <w:tc>
          <w:tcPr>
            <w:tcW w:w="5000" w:type="pct"/>
            <w:gridSpan w:val="4"/>
          </w:tcPr>
          <w:p w:rsidR="0071029D" w:rsidRPr="00047B76" w:rsidRDefault="0071029D" w:rsidP="0023484E">
            <w:pPr>
              <w:jc w:val="both"/>
              <w:rPr>
                <w:sz w:val="20"/>
              </w:rPr>
            </w:pPr>
            <w:r w:rsidRPr="00047B76">
              <w:rPr>
                <w:sz w:val="20"/>
              </w:rPr>
              <w:t>The applicant, Mr. Mitchell, sued the three respondents in response to various actions taken against him by the government and the public authorities since 2005. In answer, the respondents applied for the dismissal of Mr. Mitchell’s application. The Superior Court held that Mr. Mitchell’s application was unfounded and dismissed the action. The Court of Appeal unanimously dismissed the motion for leave to appeal out of time. It held that the criteria for appealing conclusions reached at trial were not met.</w:t>
            </w:r>
          </w:p>
          <w:p w:rsidR="0071029D" w:rsidRPr="00047B76" w:rsidRDefault="0071029D" w:rsidP="0023484E">
            <w:pPr>
              <w:jc w:val="both"/>
              <w:rPr>
                <w:sz w:val="20"/>
              </w:rPr>
            </w:pPr>
          </w:p>
        </w:tc>
      </w:tr>
      <w:tr w:rsidR="0071029D" w:rsidRPr="00047B76" w:rsidTr="0023484E">
        <w:tc>
          <w:tcPr>
            <w:tcW w:w="2427" w:type="pct"/>
            <w:gridSpan w:val="2"/>
          </w:tcPr>
          <w:p w:rsidR="0071029D" w:rsidRPr="00047B76" w:rsidRDefault="0071029D" w:rsidP="0023484E">
            <w:pPr>
              <w:jc w:val="both"/>
              <w:rPr>
                <w:sz w:val="20"/>
              </w:rPr>
            </w:pPr>
            <w:r w:rsidRPr="00047B76">
              <w:rPr>
                <w:sz w:val="20"/>
              </w:rPr>
              <w:t>September 11, 2018</w:t>
            </w:r>
          </w:p>
          <w:p w:rsidR="0071029D" w:rsidRPr="00047B76" w:rsidRDefault="0071029D" w:rsidP="0023484E">
            <w:pPr>
              <w:jc w:val="both"/>
              <w:rPr>
                <w:sz w:val="20"/>
              </w:rPr>
            </w:pPr>
            <w:r w:rsidRPr="00047B76">
              <w:rPr>
                <w:sz w:val="20"/>
              </w:rPr>
              <w:t>Quebec Superior Court</w:t>
            </w:r>
          </w:p>
          <w:p w:rsidR="0071029D" w:rsidRPr="00047B76" w:rsidRDefault="0071029D" w:rsidP="0023484E">
            <w:pPr>
              <w:jc w:val="both"/>
              <w:rPr>
                <w:sz w:val="20"/>
              </w:rPr>
            </w:pPr>
            <w:r w:rsidRPr="00047B76">
              <w:rPr>
                <w:sz w:val="20"/>
              </w:rPr>
              <w:t>(Lachance J.)</w:t>
            </w:r>
          </w:p>
          <w:p w:rsidR="0071029D" w:rsidRPr="00047B76" w:rsidRDefault="009A56E8" w:rsidP="0023484E">
            <w:pPr>
              <w:jc w:val="both"/>
              <w:rPr>
                <w:sz w:val="20"/>
              </w:rPr>
            </w:pPr>
            <w:hyperlink r:id="rId65" w:history="1">
              <w:r w:rsidR="0071029D" w:rsidRPr="00047B76">
                <w:rPr>
                  <w:rStyle w:val="Hyperlink"/>
                  <w:sz w:val="20"/>
                </w:rPr>
                <w:t>2018 QCCS 4519</w:t>
              </w:r>
            </w:hyperlink>
          </w:p>
          <w:p w:rsidR="0071029D" w:rsidRPr="00047B76" w:rsidRDefault="0071029D" w:rsidP="0023484E">
            <w:pPr>
              <w:jc w:val="both"/>
              <w:rPr>
                <w:sz w:val="20"/>
              </w:rPr>
            </w:pPr>
          </w:p>
        </w:tc>
        <w:tc>
          <w:tcPr>
            <w:tcW w:w="243" w:type="pct"/>
          </w:tcPr>
          <w:p w:rsidR="0071029D" w:rsidRPr="00047B76" w:rsidRDefault="0071029D" w:rsidP="0023484E">
            <w:pPr>
              <w:jc w:val="both"/>
              <w:rPr>
                <w:sz w:val="20"/>
              </w:rPr>
            </w:pPr>
          </w:p>
        </w:tc>
        <w:tc>
          <w:tcPr>
            <w:tcW w:w="2330" w:type="pct"/>
          </w:tcPr>
          <w:p w:rsidR="0071029D" w:rsidRPr="00047B76" w:rsidRDefault="0071029D" w:rsidP="0023484E">
            <w:pPr>
              <w:jc w:val="both"/>
              <w:rPr>
                <w:sz w:val="20"/>
              </w:rPr>
            </w:pPr>
            <w:r w:rsidRPr="00047B76">
              <w:rPr>
                <w:sz w:val="20"/>
              </w:rPr>
              <w:t>Applicant’s originating application dismissed</w:t>
            </w:r>
          </w:p>
          <w:p w:rsidR="0071029D" w:rsidRPr="00047B76" w:rsidRDefault="0071029D" w:rsidP="0023484E">
            <w:pPr>
              <w:jc w:val="both"/>
              <w:rPr>
                <w:sz w:val="20"/>
              </w:rPr>
            </w:pPr>
          </w:p>
        </w:tc>
      </w:tr>
      <w:tr w:rsidR="0071029D" w:rsidRPr="00047B76" w:rsidTr="0023484E">
        <w:tc>
          <w:tcPr>
            <w:tcW w:w="2427" w:type="pct"/>
            <w:gridSpan w:val="2"/>
          </w:tcPr>
          <w:p w:rsidR="0071029D" w:rsidRPr="00047B76" w:rsidRDefault="0071029D" w:rsidP="0023484E">
            <w:pPr>
              <w:jc w:val="both"/>
              <w:rPr>
                <w:sz w:val="20"/>
              </w:rPr>
            </w:pPr>
            <w:r w:rsidRPr="00047B76">
              <w:rPr>
                <w:sz w:val="20"/>
              </w:rPr>
              <w:t>March 12, 2019</w:t>
            </w:r>
          </w:p>
          <w:p w:rsidR="0071029D" w:rsidRPr="00047B76" w:rsidRDefault="0071029D" w:rsidP="0023484E">
            <w:pPr>
              <w:jc w:val="both"/>
              <w:rPr>
                <w:sz w:val="20"/>
              </w:rPr>
            </w:pPr>
            <w:r w:rsidRPr="00047B76">
              <w:rPr>
                <w:sz w:val="20"/>
              </w:rPr>
              <w:t>Quebec Court of Appeal (Québec)</w:t>
            </w:r>
          </w:p>
          <w:p w:rsidR="0071029D" w:rsidRPr="00047B76" w:rsidRDefault="0071029D" w:rsidP="0023484E">
            <w:pPr>
              <w:jc w:val="both"/>
              <w:rPr>
                <w:sz w:val="20"/>
                <w:lang w:val="fr-CA"/>
              </w:rPr>
            </w:pPr>
            <w:r w:rsidRPr="00047B76">
              <w:rPr>
                <w:sz w:val="20"/>
                <w:lang w:val="fr-CA"/>
              </w:rPr>
              <w:t xml:space="preserve">(Roy, Gagné and </w:t>
            </w:r>
            <w:proofErr w:type="spellStart"/>
            <w:r w:rsidRPr="00047B76">
              <w:rPr>
                <w:sz w:val="20"/>
                <w:lang w:val="fr-CA"/>
              </w:rPr>
              <w:t>Sansfaçon</w:t>
            </w:r>
            <w:proofErr w:type="spellEnd"/>
            <w:r w:rsidRPr="00047B76">
              <w:rPr>
                <w:sz w:val="20"/>
                <w:lang w:val="fr-CA"/>
              </w:rPr>
              <w:t xml:space="preserve"> JJ.A.)</w:t>
            </w:r>
          </w:p>
          <w:p w:rsidR="0071029D" w:rsidRPr="00047B76" w:rsidRDefault="009A56E8" w:rsidP="0023484E">
            <w:pPr>
              <w:jc w:val="both"/>
              <w:rPr>
                <w:sz w:val="20"/>
              </w:rPr>
            </w:pPr>
            <w:hyperlink r:id="rId66" w:history="1">
              <w:r w:rsidR="0071029D" w:rsidRPr="00047B76">
                <w:rPr>
                  <w:rStyle w:val="Hyperlink"/>
                  <w:sz w:val="20"/>
                </w:rPr>
                <w:t>2019 QCCA 410</w:t>
              </w:r>
            </w:hyperlink>
          </w:p>
          <w:p w:rsidR="0071029D" w:rsidRPr="00047B76" w:rsidRDefault="0071029D" w:rsidP="0023484E">
            <w:pPr>
              <w:jc w:val="both"/>
              <w:rPr>
                <w:sz w:val="20"/>
              </w:rPr>
            </w:pPr>
          </w:p>
        </w:tc>
        <w:tc>
          <w:tcPr>
            <w:tcW w:w="243" w:type="pct"/>
          </w:tcPr>
          <w:p w:rsidR="0071029D" w:rsidRPr="00047B76" w:rsidRDefault="0071029D" w:rsidP="0023484E">
            <w:pPr>
              <w:jc w:val="both"/>
              <w:rPr>
                <w:sz w:val="20"/>
              </w:rPr>
            </w:pPr>
          </w:p>
        </w:tc>
        <w:tc>
          <w:tcPr>
            <w:tcW w:w="2330" w:type="pct"/>
          </w:tcPr>
          <w:p w:rsidR="0071029D" w:rsidRPr="00047B76" w:rsidRDefault="0071029D" w:rsidP="0023484E">
            <w:pPr>
              <w:jc w:val="both"/>
              <w:rPr>
                <w:sz w:val="20"/>
              </w:rPr>
            </w:pPr>
            <w:r w:rsidRPr="00047B76">
              <w:rPr>
                <w:sz w:val="20"/>
              </w:rPr>
              <w:t>Motion for leave to appeal out of time dismissed</w:t>
            </w:r>
          </w:p>
          <w:p w:rsidR="0071029D" w:rsidRPr="00047B76" w:rsidRDefault="0071029D" w:rsidP="0023484E">
            <w:pPr>
              <w:jc w:val="both"/>
              <w:rPr>
                <w:sz w:val="20"/>
              </w:rPr>
            </w:pPr>
          </w:p>
        </w:tc>
      </w:tr>
      <w:tr w:rsidR="0071029D" w:rsidRPr="00047B76" w:rsidTr="0023484E">
        <w:tc>
          <w:tcPr>
            <w:tcW w:w="2427" w:type="pct"/>
            <w:gridSpan w:val="2"/>
          </w:tcPr>
          <w:p w:rsidR="0071029D" w:rsidRPr="00047B76" w:rsidRDefault="0071029D" w:rsidP="0023484E">
            <w:pPr>
              <w:jc w:val="both"/>
              <w:rPr>
                <w:sz w:val="20"/>
              </w:rPr>
            </w:pPr>
            <w:r w:rsidRPr="00047B76">
              <w:rPr>
                <w:sz w:val="20"/>
              </w:rPr>
              <w:t>May 10, 2019</w:t>
            </w:r>
          </w:p>
          <w:p w:rsidR="0071029D" w:rsidRPr="00047B76" w:rsidRDefault="0071029D" w:rsidP="0023484E">
            <w:pPr>
              <w:jc w:val="both"/>
              <w:rPr>
                <w:sz w:val="20"/>
              </w:rPr>
            </w:pPr>
            <w:r w:rsidRPr="00047B76">
              <w:rPr>
                <w:sz w:val="20"/>
              </w:rPr>
              <w:t>Supreme Court of Canada</w:t>
            </w:r>
          </w:p>
        </w:tc>
        <w:tc>
          <w:tcPr>
            <w:tcW w:w="243" w:type="pct"/>
          </w:tcPr>
          <w:p w:rsidR="0071029D" w:rsidRPr="00047B76" w:rsidRDefault="0071029D" w:rsidP="0023484E">
            <w:pPr>
              <w:jc w:val="both"/>
              <w:rPr>
                <w:sz w:val="20"/>
              </w:rPr>
            </w:pPr>
          </w:p>
        </w:tc>
        <w:tc>
          <w:tcPr>
            <w:tcW w:w="2330" w:type="pct"/>
          </w:tcPr>
          <w:p w:rsidR="0071029D" w:rsidRPr="00047B76" w:rsidRDefault="0071029D" w:rsidP="0023484E">
            <w:pPr>
              <w:jc w:val="both"/>
              <w:rPr>
                <w:sz w:val="20"/>
              </w:rPr>
            </w:pPr>
            <w:r w:rsidRPr="00047B76">
              <w:rPr>
                <w:sz w:val="20"/>
              </w:rPr>
              <w:t>Application for leave to appeal filed</w:t>
            </w:r>
          </w:p>
          <w:p w:rsidR="0071029D" w:rsidRPr="00047B76" w:rsidRDefault="0071029D" w:rsidP="0023484E">
            <w:pPr>
              <w:jc w:val="both"/>
              <w:rPr>
                <w:sz w:val="20"/>
              </w:rPr>
            </w:pPr>
          </w:p>
        </w:tc>
      </w:tr>
    </w:tbl>
    <w:p w:rsidR="0071029D" w:rsidRPr="00047B76" w:rsidRDefault="0071029D" w:rsidP="0071029D">
      <w:pPr>
        <w:jc w:val="both"/>
        <w:rPr>
          <w:sz w:val="20"/>
        </w:rPr>
      </w:pPr>
    </w:p>
    <w:p w:rsidR="0071029D" w:rsidRPr="00047B76" w:rsidRDefault="009A56E8" w:rsidP="0071029D">
      <w:pPr>
        <w:jc w:val="both"/>
        <w:rPr>
          <w:sz w:val="20"/>
        </w:rPr>
      </w:pPr>
      <w:r>
        <w:rPr>
          <w:sz w:val="20"/>
        </w:rPr>
        <w:pict>
          <v:rect id="_x0000_i1060" style="width:2in;height:1pt" o:hrpct="0" o:hralign="center" o:hrstd="t" o:hrnoshade="t" o:hr="t" fillcolor="black [3213]" stroked="f"/>
        </w:pict>
      </w:r>
    </w:p>
    <w:p w:rsidR="0071029D" w:rsidRPr="00047B76" w:rsidRDefault="0071029D" w:rsidP="0071029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1029D" w:rsidRPr="00047B76" w:rsidTr="0023484E">
        <w:tc>
          <w:tcPr>
            <w:tcW w:w="543" w:type="pct"/>
          </w:tcPr>
          <w:p w:rsidR="0071029D" w:rsidRPr="00047B76" w:rsidRDefault="0071029D" w:rsidP="0023484E">
            <w:pPr>
              <w:jc w:val="both"/>
              <w:rPr>
                <w:sz w:val="20"/>
              </w:rPr>
            </w:pPr>
            <w:r w:rsidRPr="00047B76">
              <w:rPr>
                <w:rStyle w:val="SCCFileNumberChar"/>
                <w:sz w:val="20"/>
                <w:szCs w:val="20"/>
              </w:rPr>
              <w:t>38729</w:t>
            </w:r>
          </w:p>
        </w:tc>
        <w:tc>
          <w:tcPr>
            <w:tcW w:w="4457" w:type="pct"/>
            <w:gridSpan w:val="3"/>
          </w:tcPr>
          <w:p w:rsidR="0071029D" w:rsidRPr="00047B76" w:rsidRDefault="0071029D" w:rsidP="0023484E">
            <w:pPr>
              <w:pStyle w:val="SCCLsocParty"/>
              <w:jc w:val="both"/>
              <w:rPr>
                <w:b/>
                <w:sz w:val="20"/>
                <w:szCs w:val="20"/>
              </w:rPr>
            </w:pPr>
            <w:r w:rsidRPr="00047B76">
              <w:rPr>
                <w:b/>
                <w:sz w:val="20"/>
                <w:szCs w:val="20"/>
              </w:rPr>
              <w:t>Robert Mitchell c. Ville de Lévis, procureure générale du Québec et procureur général du Canada</w:t>
            </w:r>
          </w:p>
          <w:p w:rsidR="0071029D" w:rsidRPr="00047B76" w:rsidRDefault="0071029D" w:rsidP="0023484E">
            <w:pPr>
              <w:jc w:val="both"/>
              <w:rPr>
                <w:sz w:val="20"/>
              </w:rPr>
            </w:pPr>
            <w:r w:rsidRPr="00047B76">
              <w:rPr>
                <w:sz w:val="20"/>
              </w:rPr>
              <w:t>(Qc) (Civile) (Autorisation)</w:t>
            </w:r>
          </w:p>
        </w:tc>
      </w:tr>
      <w:tr w:rsidR="00E80644" w:rsidRPr="00957F6E" w:rsidTr="0023484E">
        <w:tc>
          <w:tcPr>
            <w:tcW w:w="5000" w:type="pct"/>
            <w:gridSpan w:val="4"/>
          </w:tcPr>
          <w:p w:rsidR="00C559E6" w:rsidRPr="00047B76" w:rsidRDefault="00C559E6" w:rsidP="00C559E6">
            <w:pPr>
              <w:jc w:val="both"/>
              <w:rPr>
                <w:sz w:val="20"/>
                <w:szCs w:val="20"/>
                <w:lang w:val="fr-CA"/>
              </w:rPr>
            </w:pPr>
            <w:r w:rsidRPr="00047B76">
              <w:rPr>
                <w:sz w:val="20"/>
                <w:szCs w:val="20"/>
                <w:lang w:val="fr-CA"/>
              </w:rPr>
              <w:t>La demande d’autorisation d’appel de l’arrêt de la Cour d’appel du Québec (Québec), numéro 200-09-009959-195, 2019 QCCA 410, daté du 12 mars 2019, est rejetée avec dépens en faveur de l’intimé, procureur général du Canada.</w:t>
            </w:r>
          </w:p>
          <w:p w:rsidR="00E80644" w:rsidRPr="00047B76" w:rsidRDefault="00E80644" w:rsidP="0023484E">
            <w:pPr>
              <w:jc w:val="both"/>
              <w:rPr>
                <w:sz w:val="20"/>
                <w:lang w:val="fr-CA"/>
              </w:rPr>
            </w:pPr>
          </w:p>
        </w:tc>
      </w:tr>
      <w:tr w:rsidR="0071029D" w:rsidRPr="00957F6E" w:rsidTr="0023484E">
        <w:tc>
          <w:tcPr>
            <w:tcW w:w="5000" w:type="pct"/>
            <w:gridSpan w:val="4"/>
          </w:tcPr>
          <w:p w:rsidR="0071029D" w:rsidRPr="00047B76" w:rsidRDefault="0071029D" w:rsidP="0023484E">
            <w:pPr>
              <w:jc w:val="both"/>
              <w:rPr>
                <w:sz w:val="20"/>
                <w:lang w:val="fr-CA"/>
              </w:rPr>
            </w:pPr>
            <w:r w:rsidRPr="00047B76">
              <w:rPr>
                <w:sz w:val="20"/>
                <w:lang w:val="fr-CA"/>
              </w:rPr>
              <w:t>Appels — Preuve — Mauvaise foi — Collusion — La Cour d’appel a</w:t>
            </w:r>
            <w:r w:rsidRPr="00047B76">
              <w:rPr>
                <w:sz w:val="20"/>
                <w:lang w:val="fr-CA"/>
              </w:rPr>
              <w:noBreakHyphen/>
              <w:t>t</w:t>
            </w:r>
            <w:r w:rsidRPr="00047B76">
              <w:rPr>
                <w:sz w:val="20"/>
                <w:lang w:val="fr-CA"/>
              </w:rPr>
              <w:noBreakHyphen/>
              <w:t>elle, de mauvaise foi, rendu un verdict qui va à l’encontre de la preuve au dossier? — Y a</w:t>
            </w:r>
            <w:r w:rsidRPr="00047B76">
              <w:rPr>
                <w:sz w:val="20"/>
                <w:lang w:val="fr-CA"/>
              </w:rPr>
              <w:noBreakHyphen/>
              <w:t>t</w:t>
            </w:r>
            <w:r w:rsidRPr="00047B76">
              <w:rPr>
                <w:sz w:val="20"/>
                <w:lang w:val="fr-CA"/>
              </w:rPr>
              <w:noBreakHyphen/>
              <w:t>il eu mauvaise foi de la Cour d’appel du Québec qui a eu pour effet de priver les québécois du droit d’accès complètement libre aux tribunaux supérieurs? — Y a</w:t>
            </w:r>
            <w:r w:rsidRPr="00047B76">
              <w:rPr>
                <w:sz w:val="20"/>
                <w:lang w:val="fr-CA"/>
              </w:rPr>
              <w:noBreakHyphen/>
              <w:t>t</w:t>
            </w:r>
            <w:r w:rsidRPr="00047B76">
              <w:rPr>
                <w:sz w:val="20"/>
                <w:lang w:val="fr-CA"/>
              </w:rPr>
              <w:noBreakHyphen/>
              <w:t>il eu collusion entre les défenderesses et le pouvoir judiciaire dans le but de priver le demandeur de son droit à une décision sur le fond de son litige?</w:t>
            </w:r>
          </w:p>
        </w:tc>
      </w:tr>
      <w:tr w:rsidR="0071029D" w:rsidRPr="00957F6E" w:rsidTr="0023484E">
        <w:tc>
          <w:tcPr>
            <w:tcW w:w="5000" w:type="pct"/>
            <w:gridSpan w:val="4"/>
          </w:tcPr>
          <w:p w:rsidR="0071029D" w:rsidRPr="00047B76" w:rsidRDefault="0071029D" w:rsidP="0023484E">
            <w:pPr>
              <w:jc w:val="both"/>
              <w:rPr>
                <w:sz w:val="20"/>
                <w:lang w:val="fr-CA"/>
              </w:rPr>
            </w:pPr>
          </w:p>
        </w:tc>
      </w:tr>
      <w:tr w:rsidR="0071029D" w:rsidRPr="00957F6E" w:rsidTr="0023484E">
        <w:tc>
          <w:tcPr>
            <w:tcW w:w="5000" w:type="pct"/>
            <w:gridSpan w:val="4"/>
          </w:tcPr>
          <w:p w:rsidR="0071029D" w:rsidRPr="00047B76" w:rsidRDefault="0071029D" w:rsidP="0023484E">
            <w:pPr>
              <w:jc w:val="both"/>
              <w:rPr>
                <w:sz w:val="20"/>
                <w:lang w:val="fr-CA"/>
              </w:rPr>
            </w:pPr>
            <w:r w:rsidRPr="00047B76">
              <w:rPr>
                <w:sz w:val="20"/>
                <w:lang w:val="fr-CA"/>
              </w:rPr>
              <w:t>Le demandeur M. Mitchell poursuit en première instance les trois intimés à la suite de divers actes du gouvernement et des autorités publiques le visant survenus depuis 2005. En réponse, les intimés demandent le rejet de la demande de M. Mitchell. La Cour supérieure estime que la demande de M. Mitchell est mal fondée et rejette son recours. La Cour d’appel rejette unanimement la requête pour permission d’appeler hors délai. Elle estime que les critères pour appeler des conclusions tirées en première instance ne sont pas rencontrés.</w:t>
            </w:r>
          </w:p>
          <w:p w:rsidR="0071029D" w:rsidRPr="00047B76" w:rsidRDefault="0071029D" w:rsidP="0023484E">
            <w:pPr>
              <w:jc w:val="both"/>
              <w:rPr>
                <w:sz w:val="20"/>
                <w:lang w:val="fr-CA"/>
              </w:rPr>
            </w:pPr>
          </w:p>
        </w:tc>
      </w:tr>
      <w:tr w:rsidR="0071029D" w:rsidRPr="00957F6E" w:rsidTr="0023484E">
        <w:tc>
          <w:tcPr>
            <w:tcW w:w="2427" w:type="pct"/>
            <w:gridSpan w:val="2"/>
          </w:tcPr>
          <w:p w:rsidR="0071029D" w:rsidRPr="00047B76" w:rsidRDefault="0071029D" w:rsidP="0023484E">
            <w:pPr>
              <w:jc w:val="both"/>
              <w:rPr>
                <w:sz w:val="20"/>
                <w:lang w:val="fr-CA"/>
              </w:rPr>
            </w:pPr>
            <w:r w:rsidRPr="00047B76">
              <w:rPr>
                <w:sz w:val="20"/>
                <w:lang w:val="fr-CA"/>
              </w:rPr>
              <w:lastRenderedPageBreak/>
              <w:t>Le 11 septembre 2018</w:t>
            </w:r>
          </w:p>
          <w:p w:rsidR="0071029D" w:rsidRPr="00047B76" w:rsidRDefault="0071029D" w:rsidP="0023484E">
            <w:pPr>
              <w:jc w:val="both"/>
              <w:rPr>
                <w:sz w:val="20"/>
                <w:lang w:val="fr-CA"/>
              </w:rPr>
            </w:pPr>
            <w:r w:rsidRPr="00047B76">
              <w:rPr>
                <w:sz w:val="20"/>
                <w:lang w:val="fr-CA"/>
              </w:rPr>
              <w:t>Cour supérieure du Québec</w:t>
            </w:r>
          </w:p>
          <w:p w:rsidR="0071029D" w:rsidRPr="00047B76" w:rsidRDefault="0071029D" w:rsidP="0023484E">
            <w:pPr>
              <w:jc w:val="both"/>
              <w:rPr>
                <w:sz w:val="20"/>
              </w:rPr>
            </w:pPr>
            <w:r w:rsidRPr="00047B76">
              <w:rPr>
                <w:sz w:val="20"/>
              </w:rPr>
              <w:t>(le juge Lachance)</w:t>
            </w:r>
          </w:p>
          <w:p w:rsidR="0071029D" w:rsidRPr="00047B76" w:rsidRDefault="009A56E8" w:rsidP="0023484E">
            <w:pPr>
              <w:jc w:val="both"/>
              <w:rPr>
                <w:sz w:val="20"/>
              </w:rPr>
            </w:pPr>
            <w:hyperlink r:id="rId67" w:history="1">
              <w:r w:rsidR="0071029D" w:rsidRPr="00047B76">
                <w:rPr>
                  <w:rStyle w:val="Hyperlink"/>
                  <w:sz w:val="20"/>
                </w:rPr>
                <w:t>2018 QCCS 4519</w:t>
              </w:r>
            </w:hyperlink>
          </w:p>
          <w:p w:rsidR="0071029D" w:rsidRPr="00047B76" w:rsidRDefault="0071029D" w:rsidP="0023484E">
            <w:pPr>
              <w:jc w:val="both"/>
              <w:rPr>
                <w:sz w:val="20"/>
              </w:rPr>
            </w:pPr>
          </w:p>
        </w:tc>
        <w:tc>
          <w:tcPr>
            <w:tcW w:w="243" w:type="pct"/>
          </w:tcPr>
          <w:p w:rsidR="0071029D" w:rsidRPr="00047B76" w:rsidRDefault="0071029D" w:rsidP="0023484E">
            <w:pPr>
              <w:jc w:val="both"/>
              <w:rPr>
                <w:sz w:val="20"/>
              </w:rPr>
            </w:pPr>
          </w:p>
        </w:tc>
        <w:tc>
          <w:tcPr>
            <w:tcW w:w="2330" w:type="pct"/>
          </w:tcPr>
          <w:p w:rsidR="0071029D" w:rsidRPr="00047B76" w:rsidRDefault="0071029D" w:rsidP="0023484E">
            <w:pPr>
              <w:jc w:val="both"/>
              <w:rPr>
                <w:sz w:val="20"/>
                <w:lang w:val="fr-CA"/>
              </w:rPr>
            </w:pPr>
            <w:r w:rsidRPr="00047B76">
              <w:rPr>
                <w:sz w:val="20"/>
                <w:lang w:val="fr-CA"/>
              </w:rPr>
              <w:t>Demande introductive d’instance du demandeur rejetée</w:t>
            </w:r>
          </w:p>
          <w:p w:rsidR="0071029D" w:rsidRPr="00047B76" w:rsidRDefault="0071029D" w:rsidP="0023484E">
            <w:pPr>
              <w:jc w:val="both"/>
              <w:rPr>
                <w:sz w:val="20"/>
                <w:lang w:val="fr-CA"/>
              </w:rPr>
            </w:pPr>
          </w:p>
        </w:tc>
      </w:tr>
      <w:tr w:rsidR="0071029D" w:rsidRPr="00957F6E" w:rsidTr="0023484E">
        <w:tc>
          <w:tcPr>
            <w:tcW w:w="2427" w:type="pct"/>
            <w:gridSpan w:val="2"/>
          </w:tcPr>
          <w:p w:rsidR="0071029D" w:rsidRPr="00047B76" w:rsidRDefault="0071029D" w:rsidP="0023484E">
            <w:pPr>
              <w:jc w:val="both"/>
              <w:rPr>
                <w:sz w:val="20"/>
                <w:lang w:val="fr-CA"/>
              </w:rPr>
            </w:pPr>
            <w:r w:rsidRPr="00047B76">
              <w:rPr>
                <w:sz w:val="20"/>
                <w:lang w:val="fr-CA"/>
              </w:rPr>
              <w:t>Le 12 mars 2019</w:t>
            </w:r>
          </w:p>
          <w:p w:rsidR="0071029D" w:rsidRPr="00047B76" w:rsidRDefault="0071029D" w:rsidP="0023484E">
            <w:pPr>
              <w:jc w:val="both"/>
              <w:rPr>
                <w:sz w:val="20"/>
                <w:lang w:val="fr-CA"/>
              </w:rPr>
            </w:pPr>
            <w:r w:rsidRPr="00047B76">
              <w:rPr>
                <w:sz w:val="20"/>
                <w:lang w:val="fr-CA"/>
              </w:rPr>
              <w:t>Cour d’appel du Québec (Québec)</w:t>
            </w:r>
          </w:p>
          <w:p w:rsidR="0071029D" w:rsidRPr="00047B76" w:rsidRDefault="0071029D" w:rsidP="0023484E">
            <w:pPr>
              <w:jc w:val="both"/>
              <w:rPr>
                <w:sz w:val="20"/>
                <w:lang w:val="fr-CA"/>
              </w:rPr>
            </w:pPr>
            <w:r w:rsidRPr="00047B76">
              <w:rPr>
                <w:sz w:val="20"/>
                <w:lang w:val="fr-CA"/>
              </w:rPr>
              <w:t xml:space="preserve">(les juges Roy, Gagné et </w:t>
            </w:r>
            <w:proofErr w:type="spellStart"/>
            <w:r w:rsidRPr="00047B76">
              <w:rPr>
                <w:sz w:val="20"/>
                <w:lang w:val="fr-CA"/>
              </w:rPr>
              <w:t>Sansfaçon</w:t>
            </w:r>
            <w:proofErr w:type="spellEnd"/>
            <w:r w:rsidRPr="00047B76">
              <w:rPr>
                <w:sz w:val="20"/>
                <w:lang w:val="fr-CA"/>
              </w:rPr>
              <w:t>)</w:t>
            </w:r>
          </w:p>
          <w:p w:rsidR="0071029D" w:rsidRPr="00047B76" w:rsidRDefault="009A56E8" w:rsidP="0023484E">
            <w:pPr>
              <w:jc w:val="both"/>
              <w:rPr>
                <w:sz w:val="20"/>
              </w:rPr>
            </w:pPr>
            <w:hyperlink r:id="rId68" w:history="1">
              <w:r w:rsidR="0071029D" w:rsidRPr="00047B76">
                <w:rPr>
                  <w:rStyle w:val="Hyperlink"/>
                  <w:sz w:val="20"/>
                </w:rPr>
                <w:t>2019 QCCA 410</w:t>
              </w:r>
            </w:hyperlink>
          </w:p>
          <w:p w:rsidR="0071029D" w:rsidRPr="00047B76" w:rsidRDefault="0071029D" w:rsidP="0023484E">
            <w:pPr>
              <w:jc w:val="both"/>
              <w:rPr>
                <w:sz w:val="20"/>
              </w:rPr>
            </w:pPr>
          </w:p>
        </w:tc>
        <w:tc>
          <w:tcPr>
            <w:tcW w:w="243" w:type="pct"/>
          </w:tcPr>
          <w:p w:rsidR="0071029D" w:rsidRPr="00047B76" w:rsidRDefault="0071029D" w:rsidP="0023484E">
            <w:pPr>
              <w:jc w:val="both"/>
              <w:rPr>
                <w:sz w:val="20"/>
              </w:rPr>
            </w:pPr>
          </w:p>
        </w:tc>
        <w:tc>
          <w:tcPr>
            <w:tcW w:w="2330" w:type="pct"/>
          </w:tcPr>
          <w:p w:rsidR="0071029D" w:rsidRPr="00047B76" w:rsidRDefault="0071029D" w:rsidP="0023484E">
            <w:pPr>
              <w:jc w:val="both"/>
              <w:rPr>
                <w:sz w:val="20"/>
                <w:lang w:val="fr-CA"/>
              </w:rPr>
            </w:pPr>
            <w:r w:rsidRPr="00047B76">
              <w:rPr>
                <w:sz w:val="20"/>
                <w:lang w:val="fr-CA"/>
              </w:rPr>
              <w:t>Requête pour permission d’appeler hors délai rejetée</w:t>
            </w:r>
          </w:p>
          <w:p w:rsidR="0071029D" w:rsidRPr="00047B76" w:rsidRDefault="0071029D" w:rsidP="0023484E">
            <w:pPr>
              <w:jc w:val="both"/>
              <w:rPr>
                <w:sz w:val="20"/>
                <w:lang w:val="fr-CA"/>
              </w:rPr>
            </w:pPr>
          </w:p>
        </w:tc>
      </w:tr>
      <w:tr w:rsidR="0071029D" w:rsidRPr="00047B76" w:rsidTr="0023484E">
        <w:tc>
          <w:tcPr>
            <w:tcW w:w="2427" w:type="pct"/>
            <w:gridSpan w:val="2"/>
          </w:tcPr>
          <w:p w:rsidR="0071029D" w:rsidRPr="00047B76" w:rsidRDefault="0071029D" w:rsidP="0023484E">
            <w:pPr>
              <w:jc w:val="both"/>
              <w:rPr>
                <w:sz w:val="20"/>
                <w:lang w:val="fr-CA"/>
              </w:rPr>
            </w:pPr>
            <w:r w:rsidRPr="00047B76">
              <w:rPr>
                <w:sz w:val="20"/>
                <w:lang w:val="fr-CA"/>
              </w:rPr>
              <w:t>Le 10 mai 2019</w:t>
            </w:r>
          </w:p>
          <w:p w:rsidR="0071029D" w:rsidRPr="00047B76" w:rsidRDefault="0071029D" w:rsidP="0023484E">
            <w:pPr>
              <w:jc w:val="both"/>
              <w:rPr>
                <w:sz w:val="20"/>
                <w:lang w:val="fr-CA"/>
              </w:rPr>
            </w:pPr>
            <w:r w:rsidRPr="00047B76">
              <w:rPr>
                <w:sz w:val="20"/>
                <w:lang w:val="fr-CA"/>
              </w:rPr>
              <w:t>Cour suprême du Canada</w:t>
            </w:r>
          </w:p>
        </w:tc>
        <w:tc>
          <w:tcPr>
            <w:tcW w:w="243" w:type="pct"/>
          </w:tcPr>
          <w:p w:rsidR="0071029D" w:rsidRPr="00047B76" w:rsidRDefault="0071029D" w:rsidP="0023484E">
            <w:pPr>
              <w:jc w:val="both"/>
              <w:rPr>
                <w:sz w:val="20"/>
                <w:lang w:val="fr-CA"/>
              </w:rPr>
            </w:pPr>
          </w:p>
        </w:tc>
        <w:tc>
          <w:tcPr>
            <w:tcW w:w="2330" w:type="pct"/>
          </w:tcPr>
          <w:p w:rsidR="0071029D" w:rsidRPr="00047B76" w:rsidRDefault="0071029D" w:rsidP="0023484E">
            <w:pPr>
              <w:jc w:val="both"/>
              <w:rPr>
                <w:sz w:val="20"/>
              </w:rPr>
            </w:pPr>
            <w:r w:rsidRPr="00047B76">
              <w:rPr>
                <w:sz w:val="20"/>
              </w:rPr>
              <w:t xml:space="preserve">Demande d'autorisation d'appel </w:t>
            </w:r>
            <w:proofErr w:type="spellStart"/>
            <w:r w:rsidRPr="00047B76">
              <w:rPr>
                <w:sz w:val="20"/>
              </w:rPr>
              <w:t>déposée</w:t>
            </w:r>
            <w:proofErr w:type="spellEnd"/>
          </w:p>
          <w:p w:rsidR="0071029D" w:rsidRPr="00047B76" w:rsidRDefault="0071029D" w:rsidP="0023484E">
            <w:pPr>
              <w:jc w:val="both"/>
              <w:rPr>
                <w:sz w:val="20"/>
              </w:rPr>
            </w:pPr>
          </w:p>
        </w:tc>
      </w:tr>
    </w:tbl>
    <w:p w:rsidR="0071029D" w:rsidRPr="00047B76" w:rsidRDefault="0071029D" w:rsidP="0071029D">
      <w:pPr>
        <w:jc w:val="both"/>
        <w:rPr>
          <w:sz w:val="20"/>
        </w:rPr>
      </w:pPr>
    </w:p>
    <w:p w:rsidR="0071029D" w:rsidRPr="00047B76" w:rsidRDefault="009A56E8" w:rsidP="0071029D">
      <w:pPr>
        <w:jc w:val="both"/>
        <w:rPr>
          <w:sz w:val="20"/>
        </w:rPr>
      </w:pPr>
      <w:r>
        <w:rPr>
          <w:sz w:val="20"/>
        </w:rPr>
        <w:pict>
          <v:rect id="_x0000_i1061" style="width:2in;height:1pt" o:hrpct="0" o:hralign="center" o:hrstd="t" o:hrnoshade="t" o:hr="t" fillcolor="black [3213]" stroked="f"/>
        </w:pict>
      </w:r>
    </w:p>
    <w:p w:rsidR="0071029D" w:rsidRPr="00047B76" w:rsidRDefault="0071029D" w:rsidP="0071029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1029D" w:rsidRPr="00047B76" w:rsidTr="0023484E">
        <w:tc>
          <w:tcPr>
            <w:tcW w:w="543" w:type="pct"/>
          </w:tcPr>
          <w:p w:rsidR="0071029D" w:rsidRPr="00047B76" w:rsidRDefault="0071029D" w:rsidP="0023484E">
            <w:pPr>
              <w:jc w:val="both"/>
              <w:rPr>
                <w:sz w:val="20"/>
              </w:rPr>
            </w:pPr>
            <w:r w:rsidRPr="00047B76">
              <w:rPr>
                <w:rStyle w:val="SCCFileNumberChar"/>
                <w:sz w:val="20"/>
                <w:szCs w:val="20"/>
              </w:rPr>
              <w:t>38740</w:t>
            </w:r>
          </w:p>
        </w:tc>
        <w:tc>
          <w:tcPr>
            <w:tcW w:w="4457" w:type="pct"/>
            <w:gridSpan w:val="3"/>
          </w:tcPr>
          <w:p w:rsidR="0071029D" w:rsidRPr="00047B76" w:rsidRDefault="0071029D" w:rsidP="0023484E">
            <w:pPr>
              <w:pStyle w:val="SCCLsocParty"/>
              <w:jc w:val="both"/>
              <w:rPr>
                <w:b/>
                <w:sz w:val="20"/>
                <w:szCs w:val="20"/>
                <w:lang w:val="en-US"/>
              </w:rPr>
            </w:pPr>
            <w:r w:rsidRPr="00047B76">
              <w:rPr>
                <w:b/>
                <w:sz w:val="20"/>
                <w:szCs w:val="20"/>
                <w:lang w:val="en-US"/>
              </w:rPr>
              <w:t>Milagros Jacinto Queano v. Maria Angeles Robledano</w:t>
            </w:r>
          </w:p>
          <w:p w:rsidR="0071029D" w:rsidRPr="00047B76" w:rsidRDefault="0071029D" w:rsidP="0023484E">
            <w:pPr>
              <w:jc w:val="both"/>
              <w:rPr>
                <w:sz w:val="20"/>
              </w:rPr>
            </w:pPr>
            <w:r w:rsidRPr="00047B76">
              <w:rPr>
                <w:sz w:val="20"/>
              </w:rPr>
              <w:t>(B.C.) (Civil) (By Leave)</w:t>
            </w:r>
          </w:p>
        </w:tc>
      </w:tr>
      <w:tr w:rsidR="00E80644" w:rsidRPr="00047B76" w:rsidTr="0023484E">
        <w:tc>
          <w:tcPr>
            <w:tcW w:w="5000" w:type="pct"/>
            <w:gridSpan w:val="4"/>
          </w:tcPr>
          <w:p w:rsidR="004728AF" w:rsidRPr="00047B76" w:rsidRDefault="004728AF" w:rsidP="004728AF">
            <w:pPr>
              <w:jc w:val="both"/>
              <w:rPr>
                <w:sz w:val="20"/>
                <w:szCs w:val="20"/>
              </w:rPr>
            </w:pPr>
            <w:r w:rsidRPr="00047B76">
              <w:rPr>
                <w:sz w:val="20"/>
                <w:szCs w:val="20"/>
              </w:rPr>
              <w:t>The application for leave to appeal from the judgment of the Court of Appeal for British Columbia (Vancouver), Number CA45129, 2019 BCCA 150, dated May 2, 2019, is dismissed with costs.</w:t>
            </w:r>
          </w:p>
          <w:p w:rsidR="00E80644" w:rsidRPr="00047B76" w:rsidRDefault="00E80644" w:rsidP="0023484E">
            <w:pPr>
              <w:jc w:val="both"/>
              <w:rPr>
                <w:sz w:val="20"/>
              </w:rPr>
            </w:pPr>
          </w:p>
        </w:tc>
      </w:tr>
      <w:tr w:rsidR="0071029D" w:rsidRPr="00047B76" w:rsidTr="0023484E">
        <w:tc>
          <w:tcPr>
            <w:tcW w:w="5000" w:type="pct"/>
            <w:gridSpan w:val="4"/>
          </w:tcPr>
          <w:p w:rsidR="0071029D" w:rsidRPr="00047B76" w:rsidRDefault="0071029D" w:rsidP="0023484E">
            <w:pPr>
              <w:jc w:val="both"/>
              <w:rPr>
                <w:sz w:val="20"/>
              </w:rPr>
            </w:pPr>
            <w:r w:rsidRPr="00047B76">
              <w:rPr>
                <w:sz w:val="20"/>
              </w:rPr>
              <w:t>Wills and estates — Intestacy — Common law spouses — Respondent involved in long</w:t>
            </w:r>
            <w:r w:rsidRPr="00047B76">
              <w:rPr>
                <w:sz w:val="20"/>
              </w:rPr>
              <w:noBreakHyphen/>
              <w:t>term, intermittent and marriage</w:t>
            </w:r>
            <w:r w:rsidRPr="00047B76">
              <w:rPr>
                <w:sz w:val="20"/>
              </w:rPr>
              <w:noBreakHyphen/>
              <w:t>like relationship with deceased, claiming rights of surviving spouse on intestacy — What is the test for “termination” of a marriage</w:t>
            </w:r>
            <w:r w:rsidRPr="00047B76">
              <w:rPr>
                <w:sz w:val="20"/>
              </w:rPr>
              <w:noBreakHyphen/>
              <w:t>like relationship, under s. 2(2</w:t>
            </w:r>
            <w:proofErr w:type="gramStart"/>
            <w:r w:rsidRPr="00047B76">
              <w:rPr>
                <w:sz w:val="20"/>
              </w:rPr>
              <w:t>)(</w:t>
            </w:r>
            <w:proofErr w:type="gramEnd"/>
            <w:r w:rsidRPr="00047B76">
              <w:rPr>
                <w:sz w:val="20"/>
              </w:rPr>
              <w:t xml:space="preserve">b) of the </w:t>
            </w:r>
            <w:r w:rsidRPr="00047B76">
              <w:rPr>
                <w:i/>
                <w:sz w:val="20"/>
              </w:rPr>
              <w:t xml:space="preserve">Wills, Estates and Succession Act, </w:t>
            </w:r>
            <w:r w:rsidRPr="00047B76">
              <w:rPr>
                <w:sz w:val="20"/>
              </w:rPr>
              <w:t>S.B.C. 2009, c. 13</w:t>
            </w:r>
            <w:r w:rsidRPr="00047B76">
              <w:rPr>
                <w:i/>
                <w:sz w:val="20"/>
              </w:rPr>
              <w:t xml:space="preserve"> </w:t>
            </w:r>
            <w:r w:rsidRPr="00047B76">
              <w:rPr>
                <w:sz w:val="20"/>
              </w:rPr>
              <w:t>— Whether “separation” ends marriage</w:t>
            </w:r>
            <w:r w:rsidRPr="00047B76">
              <w:rPr>
                <w:sz w:val="20"/>
              </w:rPr>
              <w:noBreakHyphen/>
              <w:t>like relationship, as it does for married couples? — What does it mean to “live with each other in a marriage</w:t>
            </w:r>
            <w:r w:rsidRPr="00047B76">
              <w:rPr>
                <w:sz w:val="20"/>
              </w:rPr>
              <w:noBreakHyphen/>
              <w:t>like relationship for at least 2 years”, under s. 2(1</w:t>
            </w:r>
            <w:proofErr w:type="gramStart"/>
            <w:r w:rsidRPr="00047B76">
              <w:rPr>
                <w:sz w:val="20"/>
              </w:rPr>
              <w:t>)(</w:t>
            </w:r>
            <w:proofErr w:type="gramEnd"/>
            <w:r w:rsidRPr="00047B76">
              <w:rPr>
                <w:sz w:val="20"/>
              </w:rPr>
              <w:t>b) of</w:t>
            </w:r>
            <w:r w:rsidRPr="00047B76">
              <w:rPr>
                <w:i/>
                <w:sz w:val="20"/>
              </w:rPr>
              <w:t xml:space="preserve"> WESA</w:t>
            </w:r>
            <w:r w:rsidRPr="00047B76">
              <w:rPr>
                <w:sz w:val="20"/>
              </w:rPr>
              <w:t>? — When should courts regard two people as “living with each other”? — What is a “marriage</w:t>
            </w:r>
            <w:r w:rsidRPr="00047B76">
              <w:rPr>
                <w:sz w:val="20"/>
              </w:rPr>
              <w:noBreakHyphen/>
              <w:t>like relationship”?</w:t>
            </w:r>
          </w:p>
          <w:p w:rsidR="0071029D" w:rsidRPr="00047B76" w:rsidRDefault="0071029D" w:rsidP="0023484E">
            <w:pPr>
              <w:jc w:val="both"/>
              <w:rPr>
                <w:sz w:val="20"/>
              </w:rPr>
            </w:pPr>
          </w:p>
        </w:tc>
      </w:tr>
      <w:tr w:rsidR="0071029D" w:rsidRPr="00047B76" w:rsidTr="0023484E">
        <w:tc>
          <w:tcPr>
            <w:tcW w:w="5000" w:type="pct"/>
            <w:gridSpan w:val="4"/>
          </w:tcPr>
          <w:p w:rsidR="0071029D" w:rsidRPr="00047B76" w:rsidRDefault="0071029D" w:rsidP="0023484E">
            <w:pPr>
              <w:jc w:val="both"/>
              <w:rPr>
                <w:sz w:val="20"/>
              </w:rPr>
            </w:pPr>
            <w:r w:rsidRPr="00047B76">
              <w:rPr>
                <w:sz w:val="20"/>
                <w:lang w:val="en"/>
              </w:rPr>
              <w:t>Barbara Jacinto died unexpectedly on April 14, 2014. She had executed a will that designated the respondent, Ms. </w:t>
            </w:r>
            <w:r w:rsidRPr="00047B76">
              <w:rPr>
                <w:rStyle w:val="reflex"/>
                <w:sz w:val="20"/>
                <w:lang w:val="en"/>
              </w:rPr>
              <w:t>Robledano,</w:t>
            </w:r>
            <w:r w:rsidRPr="00047B76">
              <w:rPr>
                <w:sz w:val="20"/>
                <w:lang w:val="en"/>
              </w:rPr>
              <w:t xml:space="preserve"> as her sole beneficiary. The original will was never found after her death and by application of the presumption of revocation, Ms. Jacinto was declared to have died intestate. In court proceedings, Ms. </w:t>
            </w:r>
            <w:r w:rsidRPr="00047B76">
              <w:rPr>
                <w:rStyle w:val="reflex"/>
                <w:sz w:val="20"/>
                <w:lang w:val="en"/>
              </w:rPr>
              <w:t>Robledano</w:t>
            </w:r>
            <w:r w:rsidRPr="00047B76">
              <w:rPr>
                <w:sz w:val="20"/>
                <w:lang w:val="en"/>
              </w:rPr>
              <w:t xml:space="preserve"> maintained that she was the sole beneficiary of the estate on the ground that she was in a marriage</w:t>
            </w:r>
            <w:r w:rsidRPr="00047B76">
              <w:rPr>
                <w:sz w:val="20"/>
                <w:lang w:val="en"/>
              </w:rPr>
              <w:noBreakHyphen/>
              <w:t xml:space="preserve">like relationship with Ms. Jacinto under </w:t>
            </w:r>
            <w:hyperlink r:id="rId69" w:anchor="sec20_smooth" w:history="1">
              <w:r w:rsidRPr="00047B76">
                <w:rPr>
                  <w:sz w:val="20"/>
                  <w:lang w:val="en"/>
                </w:rPr>
                <w:t>s. 20</w:t>
              </w:r>
            </w:hyperlink>
            <w:r w:rsidRPr="00047B76">
              <w:rPr>
                <w:sz w:val="20"/>
                <w:lang w:val="en"/>
              </w:rPr>
              <w:t xml:space="preserve"> of the </w:t>
            </w:r>
            <w:hyperlink r:id="rId70" w:history="1">
              <w:r w:rsidRPr="00047B76">
                <w:rPr>
                  <w:i/>
                  <w:iCs/>
                  <w:sz w:val="20"/>
                  <w:lang w:val="en"/>
                </w:rPr>
                <w:t>Wills, Estates and Succession Act</w:t>
              </w:r>
              <w:r w:rsidRPr="00047B76">
                <w:rPr>
                  <w:sz w:val="20"/>
                  <w:lang w:val="en"/>
                </w:rPr>
                <w:t>, S.B.C. 2009, c. 13</w:t>
              </w:r>
            </w:hyperlink>
            <w:r w:rsidRPr="00047B76">
              <w:rPr>
                <w:sz w:val="20"/>
                <w:lang w:val="en"/>
              </w:rPr>
              <w:t xml:space="preserve"> (“</w:t>
            </w:r>
            <w:hyperlink r:id="rId71" w:history="1">
              <w:r w:rsidRPr="00047B76">
                <w:rPr>
                  <w:i/>
                  <w:iCs/>
                  <w:sz w:val="20"/>
                  <w:lang w:val="en"/>
                </w:rPr>
                <w:t>WESA</w:t>
              </w:r>
            </w:hyperlink>
            <w:r w:rsidRPr="00047B76">
              <w:rPr>
                <w:sz w:val="20"/>
                <w:lang w:val="en"/>
              </w:rPr>
              <w:t>”). The applicant, Ms. Queano, one of Ms. Jacinto’s sisters, contended that while Ms. </w:t>
            </w:r>
            <w:r w:rsidRPr="00047B76">
              <w:rPr>
                <w:rStyle w:val="reflex"/>
                <w:sz w:val="20"/>
                <w:lang w:val="en"/>
              </w:rPr>
              <w:t>Robledano</w:t>
            </w:r>
            <w:r w:rsidRPr="00047B76">
              <w:rPr>
                <w:sz w:val="20"/>
                <w:lang w:val="en"/>
              </w:rPr>
              <w:t xml:space="preserve"> had at one time been in a marriage-like relationship with Ms. Jacinto, their relationship had ceased to be marriage</w:t>
            </w:r>
            <w:r w:rsidRPr="00047B76">
              <w:rPr>
                <w:sz w:val="20"/>
                <w:lang w:val="en"/>
              </w:rPr>
              <w:noBreakHyphen/>
              <w:t>like by the time Ms. Jacinto died. Ms. Queano argued that Ms. </w:t>
            </w:r>
            <w:r w:rsidRPr="00047B76">
              <w:rPr>
                <w:rStyle w:val="reflex"/>
                <w:sz w:val="20"/>
                <w:lang w:val="en"/>
              </w:rPr>
              <w:t>Robledano</w:t>
            </w:r>
            <w:r w:rsidRPr="00047B76">
              <w:rPr>
                <w:sz w:val="20"/>
                <w:lang w:val="en"/>
              </w:rPr>
              <w:t xml:space="preserve"> was not a spouse under the </w:t>
            </w:r>
            <w:hyperlink r:id="rId72" w:history="1">
              <w:r w:rsidRPr="00047B76">
                <w:rPr>
                  <w:i/>
                  <w:iCs/>
                  <w:sz w:val="20"/>
                  <w:lang w:val="en"/>
                </w:rPr>
                <w:t>WESA</w:t>
              </w:r>
            </w:hyperlink>
            <w:r w:rsidRPr="00047B76">
              <w:rPr>
                <w:sz w:val="20"/>
                <w:lang w:val="en"/>
              </w:rPr>
              <w:t xml:space="preserve"> and that the estate should be split among Ms. Jacinto’s six sisters and one brother. The trial judge held that Ms. Robledano was the surviving spouse under the </w:t>
            </w:r>
            <w:r w:rsidRPr="00047B76">
              <w:rPr>
                <w:i/>
                <w:sz w:val="20"/>
                <w:lang w:val="en"/>
              </w:rPr>
              <w:t>Act</w:t>
            </w:r>
            <w:r w:rsidRPr="00047B76">
              <w:rPr>
                <w:sz w:val="20"/>
                <w:lang w:val="en"/>
              </w:rPr>
              <w:t xml:space="preserve"> and therefore entitled to the estate. This decision was upheld on appeal.</w:t>
            </w:r>
          </w:p>
        </w:tc>
      </w:tr>
      <w:tr w:rsidR="0071029D" w:rsidRPr="00047B76" w:rsidTr="0023484E">
        <w:trPr>
          <w:trHeight w:val="215"/>
        </w:trPr>
        <w:tc>
          <w:tcPr>
            <w:tcW w:w="5000" w:type="pct"/>
            <w:gridSpan w:val="4"/>
          </w:tcPr>
          <w:p w:rsidR="0071029D" w:rsidRPr="00047B76" w:rsidRDefault="0071029D" w:rsidP="0023484E">
            <w:pPr>
              <w:pStyle w:val="scjnumber1"/>
              <w:shd w:val="clear" w:color="auto" w:fill="FFFFFF"/>
              <w:spacing w:after="0"/>
              <w:jc w:val="both"/>
              <w:rPr>
                <w:sz w:val="20"/>
                <w:szCs w:val="20"/>
              </w:rPr>
            </w:pPr>
          </w:p>
        </w:tc>
      </w:tr>
      <w:tr w:rsidR="0071029D" w:rsidRPr="00047B76" w:rsidTr="0023484E">
        <w:tc>
          <w:tcPr>
            <w:tcW w:w="2427" w:type="pct"/>
            <w:gridSpan w:val="2"/>
          </w:tcPr>
          <w:p w:rsidR="0071029D" w:rsidRPr="00047B76" w:rsidRDefault="0071029D" w:rsidP="0023484E">
            <w:pPr>
              <w:jc w:val="both"/>
              <w:rPr>
                <w:sz w:val="20"/>
              </w:rPr>
            </w:pPr>
            <w:r w:rsidRPr="00047B76">
              <w:rPr>
                <w:sz w:val="20"/>
              </w:rPr>
              <w:t>January 31, 2018</w:t>
            </w:r>
          </w:p>
          <w:p w:rsidR="0071029D" w:rsidRPr="00047B76" w:rsidRDefault="0071029D" w:rsidP="0023484E">
            <w:pPr>
              <w:jc w:val="both"/>
              <w:rPr>
                <w:sz w:val="20"/>
              </w:rPr>
            </w:pPr>
            <w:r w:rsidRPr="00047B76">
              <w:rPr>
                <w:sz w:val="20"/>
              </w:rPr>
              <w:t>Supreme Court of British Columbia</w:t>
            </w:r>
          </w:p>
          <w:p w:rsidR="0071029D" w:rsidRPr="00047B76" w:rsidRDefault="0071029D" w:rsidP="0023484E">
            <w:pPr>
              <w:jc w:val="both"/>
              <w:rPr>
                <w:sz w:val="20"/>
              </w:rPr>
            </w:pPr>
            <w:r w:rsidRPr="00047B76">
              <w:rPr>
                <w:sz w:val="20"/>
              </w:rPr>
              <w:t>(Fleming J.)</w:t>
            </w:r>
          </w:p>
          <w:p w:rsidR="0071029D" w:rsidRPr="00047B76" w:rsidRDefault="009A56E8" w:rsidP="0023484E">
            <w:pPr>
              <w:jc w:val="both"/>
              <w:rPr>
                <w:sz w:val="20"/>
              </w:rPr>
            </w:pPr>
            <w:hyperlink r:id="rId73" w:history="1">
              <w:r w:rsidR="0071029D" w:rsidRPr="00047B76">
                <w:rPr>
                  <w:rStyle w:val="Hyperlink"/>
                  <w:sz w:val="20"/>
                </w:rPr>
                <w:t>2018 BCSC 152</w:t>
              </w:r>
            </w:hyperlink>
          </w:p>
          <w:p w:rsidR="0071029D" w:rsidRPr="00047B76" w:rsidRDefault="0071029D" w:rsidP="0023484E">
            <w:pPr>
              <w:jc w:val="both"/>
              <w:rPr>
                <w:sz w:val="20"/>
              </w:rPr>
            </w:pPr>
          </w:p>
        </w:tc>
        <w:tc>
          <w:tcPr>
            <w:tcW w:w="243" w:type="pct"/>
          </w:tcPr>
          <w:p w:rsidR="0071029D" w:rsidRPr="00047B76" w:rsidRDefault="0071029D" w:rsidP="0023484E">
            <w:pPr>
              <w:jc w:val="both"/>
              <w:rPr>
                <w:sz w:val="20"/>
              </w:rPr>
            </w:pPr>
          </w:p>
        </w:tc>
        <w:tc>
          <w:tcPr>
            <w:tcW w:w="2330" w:type="pct"/>
          </w:tcPr>
          <w:p w:rsidR="0071029D" w:rsidRPr="00047B76" w:rsidRDefault="0071029D" w:rsidP="0023484E">
            <w:pPr>
              <w:jc w:val="both"/>
              <w:rPr>
                <w:sz w:val="20"/>
              </w:rPr>
            </w:pPr>
            <w:r w:rsidRPr="00047B76">
              <w:rPr>
                <w:sz w:val="20"/>
              </w:rPr>
              <w:t>Order declaring respondent was surviving spouse of deceased</w:t>
            </w:r>
          </w:p>
          <w:p w:rsidR="0071029D" w:rsidRPr="00047B76" w:rsidRDefault="0071029D" w:rsidP="0023484E">
            <w:pPr>
              <w:jc w:val="both"/>
              <w:rPr>
                <w:sz w:val="20"/>
              </w:rPr>
            </w:pPr>
          </w:p>
          <w:p w:rsidR="0071029D" w:rsidRPr="00047B76" w:rsidRDefault="0071029D" w:rsidP="0023484E">
            <w:pPr>
              <w:jc w:val="both"/>
              <w:rPr>
                <w:sz w:val="20"/>
              </w:rPr>
            </w:pPr>
          </w:p>
        </w:tc>
      </w:tr>
      <w:tr w:rsidR="0071029D" w:rsidRPr="00047B76" w:rsidTr="0023484E">
        <w:tc>
          <w:tcPr>
            <w:tcW w:w="2427" w:type="pct"/>
            <w:gridSpan w:val="2"/>
          </w:tcPr>
          <w:p w:rsidR="0071029D" w:rsidRPr="00047B76" w:rsidRDefault="0071029D" w:rsidP="0023484E">
            <w:pPr>
              <w:jc w:val="both"/>
              <w:rPr>
                <w:sz w:val="20"/>
              </w:rPr>
            </w:pPr>
            <w:r w:rsidRPr="00047B76">
              <w:rPr>
                <w:sz w:val="20"/>
              </w:rPr>
              <w:t>May 2, 2019</w:t>
            </w:r>
          </w:p>
          <w:p w:rsidR="0071029D" w:rsidRPr="00047B76" w:rsidRDefault="0071029D" w:rsidP="0023484E">
            <w:pPr>
              <w:jc w:val="both"/>
              <w:rPr>
                <w:sz w:val="20"/>
              </w:rPr>
            </w:pPr>
            <w:r w:rsidRPr="00047B76">
              <w:rPr>
                <w:sz w:val="20"/>
              </w:rPr>
              <w:t xml:space="preserve">Court of Appeal for British Columbia </w:t>
            </w:r>
          </w:p>
          <w:p w:rsidR="0071029D" w:rsidRPr="00047B76" w:rsidRDefault="0071029D" w:rsidP="0023484E">
            <w:pPr>
              <w:jc w:val="both"/>
              <w:rPr>
                <w:sz w:val="20"/>
              </w:rPr>
            </w:pPr>
            <w:r w:rsidRPr="00047B76">
              <w:rPr>
                <w:sz w:val="20"/>
              </w:rPr>
              <w:t>(Vancouver)</w:t>
            </w:r>
          </w:p>
          <w:p w:rsidR="0071029D" w:rsidRPr="00047B76" w:rsidRDefault="0071029D" w:rsidP="0023484E">
            <w:pPr>
              <w:jc w:val="both"/>
              <w:rPr>
                <w:sz w:val="20"/>
              </w:rPr>
            </w:pPr>
            <w:r w:rsidRPr="00047B76">
              <w:rPr>
                <w:sz w:val="20"/>
              </w:rPr>
              <w:t xml:space="preserve">(Newbury, </w:t>
            </w:r>
            <w:proofErr w:type="spellStart"/>
            <w:r w:rsidRPr="00047B76">
              <w:rPr>
                <w:sz w:val="20"/>
              </w:rPr>
              <w:t>Groberman</w:t>
            </w:r>
            <w:proofErr w:type="spellEnd"/>
            <w:r w:rsidRPr="00047B76">
              <w:rPr>
                <w:sz w:val="20"/>
              </w:rPr>
              <w:t xml:space="preserve"> and </w:t>
            </w:r>
            <w:proofErr w:type="spellStart"/>
            <w:r w:rsidRPr="00047B76">
              <w:rPr>
                <w:sz w:val="20"/>
              </w:rPr>
              <w:t>Abrioux</w:t>
            </w:r>
            <w:proofErr w:type="spellEnd"/>
            <w:r w:rsidRPr="00047B76">
              <w:rPr>
                <w:sz w:val="20"/>
              </w:rPr>
              <w:t xml:space="preserve"> JJ.A.)</w:t>
            </w:r>
          </w:p>
          <w:p w:rsidR="0071029D" w:rsidRPr="00047B76" w:rsidRDefault="009A56E8" w:rsidP="0023484E">
            <w:pPr>
              <w:jc w:val="both"/>
              <w:rPr>
                <w:sz w:val="20"/>
              </w:rPr>
            </w:pPr>
            <w:hyperlink r:id="rId74" w:history="1">
              <w:r w:rsidR="0071029D" w:rsidRPr="00047B76">
                <w:rPr>
                  <w:rStyle w:val="Hyperlink"/>
                  <w:sz w:val="20"/>
                </w:rPr>
                <w:t>2019 BCCA 150</w:t>
              </w:r>
            </w:hyperlink>
          </w:p>
          <w:p w:rsidR="0071029D" w:rsidRPr="00047B76" w:rsidRDefault="0071029D" w:rsidP="0023484E">
            <w:pPr>
              <w:jc w:val="both"/>
              <w:rPr>
                <w:sz w:val="20"/>
              </w:rPr>
            </w:pPr>
          </w:p>
        </w:tc>
        <w:tc>
          <w:tcPr>
            <w:tcW w:w="243" w:type="pct"/>
          </w:tcPr>
          <w:p w:rsidR="0071029D" w:rsidRPr="00047B76" w:rsidRDefault="0071029D" w:rsidP="0023484E">
            <w:pPr>
              <w:jc w:val="both"/>
              <w:rPr>
                <w:sz w:val="20"/>
              </w:rPr>
            </w:pPr>
          </w:p>
        </w:tc>
        <w:tc>
          <w:tcPr>
            <w:tcW w:w="2330" w:type="pct"/>
          </w:tcPr>
          <w:p w:rsidR="0071029D" w:rsidRPr="00047B76" w:rsidRDefault="0071029D" w:rsidP="0023484E">
            <w:pPr>
              <w:jc w:val="both"/>
              <w:rPr>
                <w:sz w:val="20"/>
              </w:rPr>
            </w:pPr>
            <w:r w:rsidRPr="00047B76">
              <w:rPr>
                <w:sz w:val="20"/>
              </w:rPr>
              <w:t>Applicant’s appeal dismissed</w:t>
            </w:r>
          </w:p>
          <w:p w:rsidR="0071029D" w:rsidRPr="00047B76" w:rsidRDefault="0071029D" w:rsidP="0023484E">
            <w:pPr>
              <w:jc w:val="both"/>
              <w:rPr>
                <w:sz w:val="20"/>
              </w:rPr>
            </w:pPr>
          </w:p>
        </w:tc>
      </w:tr>
    </w:tbl>
    <w:p w:rsidR="00900ECD" w:rsidRPr="00047B76" w:rsidRDefault="00900ECD">
      <w:r w:rsidRPr="00047B76">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1029D" w:rsidRPr="00047B76" w:rsidTr="0023484E">
        <w:tc>
          <w:tcPr>
            <w:tcW w:w="2427" w:type="pct"/>
          </w:tcPr>
          <w:p w:rsidR="0071029D" w:rsidRPr="00047B76" w:rsidRDefault="0071029D" w:rsidP="0023484E">
            <w:pPr>
              <w:jc w:val="both"/>
              <w:rPr>
                <w:sz w:val="20"/>
              </w:rPr>
            </w:pPr>
            <w:r w:rsidRPr="00047B76">
              <w:rPr>
                <w:sz w:val="20"/>
              </w:rPr>
              <w:lastRenderedPageBreak/>
              <w:t>August 1, 2019</w:t>
            </w:r>
          </w:p>
          <w:p w:rsidR="0071029D" w:rsidRPr="00047B76" w:rsidRDefault="0071029D" w:rsidP="0023484E">
            <w:pPr>
              <w:jc w:val="both"/>
              <w:rPr>
                <w:sz w:val="20"/>
              </w:rPr>
            </w:pPr>
            <w:r w:rsidRPr="00047B76">
              <w:rPr>
                <w:sz w:val="20"/>
              </w:rPr>
              <w:t>Supreme Court of Canada</w:t>
            </w:r>
          </w:p>
        </w:tc>
        <w:tc>
          <w:tcPr>
            <w:tcW w:w="243" w:type="pct"/>
          </w:tcPr>
          <w:p w:rsidR="0071029D" w:rsidRPr="00047B76" w:rsidRDefault="0071029D" w:rsidP="0023484E">
            <w:pPr>
              <w:jc w:val="both"/>
              <w:rPr>
                <w:sz w:val="20"/>
              </w:rPr>
            </w:pPr>
          </w:p>
        </w:tc>
        <w:tc>
          <w:tcPr>
            <w:tcW w:w="2330" w:type="pct"/>
          </w:tcPr>
          <w:p w:rsidR="0071029D" w:rsidRPr="00047B76" w:rsidRDefault="0071029D" w:rsidP="0023484E">
            <w:pPr>
              <w:jc w:val="both"/>
              <w:rPr>
                <w:sz w:val="20"/>
              </w:rPr>
            </w:pPr>
            <w:r w:rsidRPr="00047B76">
              <w:rPr>
                <w:sz w:val="20"/>
              </w:rPr>
              <w:t>Application for leave to appeal filed</w:t>
            </w:r>
          </w:p>
          <w:p w:rsidR="0071029D" w:rsidRPr="00047B76" w:rsidRDefault="0071029D" w:rsidP="0023484E">
            <w:pPr>
              <w:jc w:val="both"/>
              <w:rPr>
                <w:sz w:val="20"/>
              </w:rPr>
            </w:pPr>
          </w:p>
        </w:tc>
      </w:tr>
    </w:tbl>
    <w:p w:rsidR="0071029D" w:rsidRPr="00047B76" w:rsidRDefault="0071029D" w:rsidP="0071029D">
      <w:pPr>
        <w:jc w:val="both"/>
        <w:rPr>
          <w:sz w:val="20"/>
        </w:rPr>
      </w:pPr>
    </w:p>
    <w:p w:rsidR="0071029D" w:rsidRPr="00047B76" w:rsidRDefault="009A56E8" w:rsidP="0071029D">
      <w:pPr>
        <w:jc w:val="both"/>
        <w:rPr>
          <w:sz w:val="20"/>
        </w:rPr>
      </w:pPr>
      <w:r>
        <w:rPr>
          <w:sz w:val="20"/>
        </w:rPr>
        <w:pict>
          <v:rect id="_x0000_i1062" style="width:2in;height:1pt" o:hrpct="0" o:hralign="center" o:hrstd="t" o:hrnoshade="t" o:hr="t" fillcolor="black [3213]" stroked="f"/>
        </w:pict>
      </w:r>
    </w:p>
    <w:p w:rsidR="0071029D" w:rsidRPr="00047B76" w:rsidRDefault="0071029D" w:rsidP="0071029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1029D" w:rsidRPr="00047B76" w:rsidTr="0023484E">
        <w:tc>
          <w:tcPr>
            <w:tcW w:w="543" w:type="pct"/>
          </w:tcPr>
          <w:p w:rsidR="0071029D" w:rsidRPr="00047B76" w:rsidRDefault="0071029D" w:rsidP="0023484E">
            <w:pPr>
              <w:jc w:val="both"/>
              <w:rPr>
                <w:sz w:val="20"/>
                <w:lang w:val="fr-CA"/>
              </w:rPr>
            </w:pPr>
            <w:r w:rsidRPr="00047B76">
              <w:rPr>
                <w:rStyle w:val="SCCFileNumberChar"/>
                <w:sz w:val="20"/>
                <w:szCs w:val="20"/>
                <w:lang w:val="fr-CA"/>
              </w:rPr>
              <w:t>38740</w:t>
            </w:r>
          </w:p>
        </w:tc>
        <w:tc>
          <w:tcPr>
            <w:tcW w:w="4457" w:type="pct"/>
            <w:gridSpan w:val="3"/>
          </w:tcPr>
          <w:p w:rsidR="0071029D" w:rsidRPr="00047B76" w:rsidRDefault="0071029D" w:rsidP="0023484E">
            <w:pPr>
              <w:pStyle w:val="SCCLsocParty"/>
              <w:jc w:val="both"/>
              <w:rPr>
                <w:b/>
                <w:sz w:val="20"/>
                <w:szCs w:val="20"/>
              </w:rPr>
            </w:pPr>
            <w:proofErr w:type="spellStart"/>
            <w:r w:rsidRPr="00047B76">
              <w:rPr>
                <w:b/>
                <w:sz w:val="20"/>
                <w:szCs w:val="20"/>
              </w:rPr>
              <w:t>Milagros</w:t>
            </w:r>
            <w:proofErr w:type="spellEnd"/>
            <w:r w:rsidRPr="00047B76">
              <w:rPr>
                <w:b/>
                <w:sz w:val="20"/>
                <w:szCs w:val="20"/>
              </w:rPr>
              <w:t xml:space="preserve"> </w:t>
            </w:r>
            <w:proofErr w:type="spellStart"/>
            <w:r w:rsidRPr="00047B76">
              <w:rPr>
                <w:b/>
                <w:sz w:val="20"/>
                <w:szCs w:val="20"/>
              </w:rPr>
              <w:t>Jacinto</w:t>
            </w:r>
            <w:proofErr w:type="spellEnd"/>
            <w:r w:rsidRPr="00047B76">
              <w:rPr>
                <w:b/>
                <w:sz w:val="20"/>
                <w:szCs w:val="20"/>
              </w:rPr>
              <w:t xml:space="preserve"> Queano c. Maria Angeles Robledano</w:t>
            </w:r>
          </w:p>
          <w:p w:rsidR="0071029D" w:rsidRPr="00047B76" w:rsidRDefault="0071029D" w:rsidP="0023484E">
            <w:pPr>
              <w:jc w:val="both"/>
              <w:rPr>
                <w:sz w:val="20"/>
                <w:lang w:val="fr-CA"/>
              </w:rPr>
            </w:pPr>
            <w:r w:rsidRPr="00047B76">
              <w:rPr>
                <w:sz w:val="20"/>
                <w:lang w:val="fr-CA"/>
              </w:rPr>
              <w:t>(C.-B.) (Civile) (Autorisation)</w:t>
            </w:r>
          </w:p>
        </w:tc>
      </w:tr>
      <w:tr w:rsidR="00E80644" w:rsidRPr="00957F6E" w:rsidTr="0023484E">
        <w:tc>
          <w:tcPr>
            <w:tcW w:w="5000" w:type="pct"/>
            <w:gridSpan w:val="4"/>
          </w:tcPr>
          <w:p w:rsidR="00E80644" w:rsidRPr="00047B76" w:rsidRDefault="004728AF" w:rsidP="0023484E">
            <w:pPr>
              <w:jc w:val="both"/>
              <w:rPr>
                <w:sz w:val="20"/>
                <w:szCs w:val="20"/>
                <w:lang w:val="fr-CA"/>
              </w:rPr>
            </w:pPr>
            <w:r w:rsidRPr="00047B76">
              <w:rPr>
                <w:sz w:val="20"/>
                <w:szCs w:val="20"/>
                <w:lang w:val="fr-CA"/>
              </w:rPr>
              <w:t>La demande d’autorisation d’appel de l’arrêt de la Cour d’appel de la Colombie-Britannique (Vancouver), numéro CA45129,  2019 BCCA 150, daté du 2 mai 2019, est rejetée avec dépens.</w:t>
            </w:r>
          </w:p>
          <w:p w:rsidR="004728AF" w:rsidRPr="00047B76" w:rsidRDefault="004728AF" w:rsidP="0023484E">
            <w:pPr>
              <w:jc w:val="both"/>
              <w:rPr>
                <w:sz w:val="20"/>
                <w:lang w:val="fr-CA"/>
              </w:rPr>
            </w:pPr>
          </w:p>
        </w:tc>
      </w:tr>
      <w:tr w:rsidR="0071029D" w:rsidRPr="00957F6E" w:rsidTr="0023484E">
        <w:tc>
          <w:tcPr>
            <w:tcW w:w="5000" w:type="pct"/>
            <w:gridSpan w:val="4"/>
          </w:tcPr>
          <w:p w:rsidR="0071029D" w:rsidRPr="00047B76" w:rsidRDefault="0071029D" w:rsidP="0023484E">
            <w:pPr>
              <w:jc w:val="both"/>
              <w:rPr>
                <w:sz w:val="20"/>
                <w:lang w:val="fr-CA"/>
              </w:rPr>
            </w:pPr>
            <w:r w:rsidRPr="00047B76">
              <w:rPr>
                <w:sz w:val="20"/>
                <w:lang w:val="fr-CA"/>
              </w:rPr>
              <w:t>Succession — Successions ab intestat — Conjoints de fait — L’intimée a vécu une relation de longue durée, intermittente et de nature conjugale avec la défunte, et a revendiqué des droits de conjointe survivante lors de l’ouverture de la succession ab intestat — Quel critère permet de déterminer la [</w:t>
            </w:r>
            <w:r w:rsidRPr="00047B76">
              <w:rPr>
                <w:smallCaps/>
                <w:sz w:val="20"/>
                <w:lang w:val="fr-CA"/>
              </w:rPr>
              <w:t>traduction</w:t>
            </w:r>
            <w:r w:rsidRPr="00047B76">
              <w:rPr>
                <w:sz w:val="20"/>
                <w:lang w:val="fr-CA"/>
              </w:rPr>
              <w:t>] « cessation » (</w:t>
            </w:r>
            <w:proofErr w:type="spellStart"/>
            <w:r w:rsidRPr="00047B76">
              <w:rPr>
                <w:i/>
                <w:sz w:val="20"/>
                <w:lang w:val="fr-CA"/>
              </w:rPr>
              <w:t>termination</w:t>
            </w:r>
            <w:proofErr w:type="spellEnd"/>
            <w:r w:rsidRPr="00047B76">
              <w:rPr>
                <w:sz w:val="20"/>
                <w:lang w:val="fr-CA"/>
              </w:rPr>
              <w:t xml:space="preserve">) de la relation de nature conjugale prévue à l’al. 2(2)b) de la </w:t>
            </w:r>
            <w:r w:rsidRPr="00047B76">
              <w:rPr>
                <w:i/>
                <w:sz w:val="20"/>
                <w:lang w:val="fr-CA"/>
              </w:rPr>
              <w:t xml:space="preserve">Wills, </w:t>
            </w:r>
            <w:proofErr w:type="spellStart"/>
            <w:r w:rsidRPr="00047B76">
              <w:rPr>
                <w:i/>
                <w:sz w:val="20"/>
                <w:lang w:val="fr-CA"/>
              </w:rPr>
              <w:t>Estates</w:t>
            </w:r>
            <w:proofErr w:type="spellEnd"/>
            <w:r w:rsidRPr="00047B76">
              <w:rPr>
                <w:i/>
                <w:sz w:val="20"/>
                <w:lang w:val="fr-CA"/>
              </w:rPr>
              <w:t xml:space="preserve"> and Succession Act, </w:t>
            </w:r>
            <w:r w:rsidRPr="00047B76">
              <w:rPr>
                <w:sz w:val="20"/>
                <w:lang w:val="fr-CA"/>
              </w:rPr>
              <w:t>S.B.C. 2009, ch. 13</w:t>
            </w:r>
            <w:r w:rsidRPr="00047B76">
              <w:rPr>
                <w:i/>
                <w:sz w:val="20"/>
                <w:lang w:val="fr-CA"/>
              </w:rPr>
              <w:t xml:space="preserve"> </w:t>
            </w:r>
            <w:r w:rsidRPr="00047B76">
              <w:rPr>
                <w:sz w:val="20"/>
                <w:lang w:val="fr-CA"/>
              </w:rPr>
              <w:t>— La [</w:t>
            </w:r>
            <w:r w:rsidRPr="00047B76">
              <w:rPr>
                <w:smallCaps/>
                <w:sz w:val="20"/>
                <w:lang w:val="fr-CA"/>
              </w:rPr>
              <w:t>traduction</w:t>
            </w:r>
            <w:r w:rsidRPr="00047B76">
              <w:rPr>
                <w:sz w:val="20"/>
                <w:lang w:val="fr-CA"/>
              </w:rPr>
              <w:t>] « séparation » met</w:t>
            </w:r>
            <w:r w:rsidRPr="00047B76">
              <w:rPr>
                <w:sz w:val="20"/>
                <w:lang w:val="fr-CA"/>
              </w:rPr>
              <w:noBreakHyphen/>
              <w:t>elle fin à la relation de nature conjugale, comme elle le fait pour les couples mariés? — Que signifie l’expression [</w:t>
            </w:r>
            <w:r w:rsidRPr="00047B76">
              <w:rPr>
                <w:smallCaps/>
                <w:sz w:val="20"/>
                <w:lang w:val="fr-CA"/>
              </w:rPr>
              <w:t>traduction</w:t>
            </w:r>
            <w:r w:rsidRPr="00047B76">
              <w:rPr>
                <w:sz w:val="20"/>
                <w:lang w:val="fr-CA"/>
              </w:rPr>
              <w:t>] « vivre ensemble dans une relation de nature conjugale pendant au moins deux ans » que l’on trouve à l’al. 2(1)b) de la</w:t>
            </w:r>
            <w:r w:rsidRPr="00047B76">
              <w:rPr>
                <w:i/>
                <w:sz w:val="20"/>
                <w:lang w:val="fr-CA"/>
              </w:rPr>
              <w:t xml:space="preserve"> WESA</w:t>
            </w:r>
            <w:r w:rsidRPr="00047B76">
              <w:rPr>
                <w:sz w:val="20"/>
                <w:lang w:val="fr-CA"/>
              </w:rPr>
              <w:t>? — Dans quelles situations les tribunaux doivent</w:t>
            </w:r>
            <w:r w:rsidRPr="00047B76">
              <w:rPr>
                <w:sz w:val="20"/>
                <w:lang w:val="fr-CA"/>
              </w:rPr>
              <w:noBreakHyphen/>
              <w:t>ils considérer que deux personnes « vivent ensemble »? — Qu’entend</w:t>
            </w:r>
            <w:r w:rsidRPr="00047B76">
              <w:rPr>
                <w:sz w:val="20"/>
                <w:lang w:val="fr-CA"/>
              </w:rPr>
              <w:noBreakHyphen/>
            </w:r>
            <w:proofErr w:type="spellStart"/>
            <w:r w:rsidRPr="00047B76">
              <w:rPr>
                <w:sz w:val="20"/>
                <w:lang w:val="fr-CA"/>
              </w:rPr>
              <w:t>on</w:t>
            </w:r>
            <w:proofErr w:type="spellEnd"/>
            <w:r w:rsidRPr="00047B76">
              <w:rPr>
                <w:sz w:val="20"/>
                <w:lang w:val="fr-CA"/>
              </w:rPr>
              <w:t xml:space="preserve"> par l’expression « relation de nature conjugale »?</w:t>
            </w:r>
          </w:p>
          <w:p w:rsidR="0071029D" w:rsidRPr="00047B76" w:rsidRDefault="0071029D" w:rsidP="0023484E">
            <w:pPr>
              <w:jc w:val="both"/>
              <w:rPr>
                <w:sz w:val="20"/>
                <w:lang w:val="fr-CA"/>
              </w:rPr>
            </w:pPr>
          </w:p>
        </w:tc>
      </w:tr>
      <w:tr w:rsidR="0071029D" w:rsidRPr="00047B76" w:rsidTr="0023484E">
        <w:tc>
          <w:tcPr>
            <w:tcW w:w="5000" w:type="pct"/>
            <w:gridSpan w:val="4"/>
          </w:tcPr>
          <w:p w:rsidR="0071029D" w:rsidRPr="00047B76" w:rsidRDefault="0071029D" w:rsidP="0023484E">
            <w:pPr>
              <w:jc w:val="both"/>
              <w:rPr>
                <w:sz w:val="20"/>
                <w:lang w:val="fr-CA"/>
              </w:rPr>
            </w:pPr>
            <w:r w:rsidRPr="00047B76">
              <w:rPr>
                <w:sz w:val="20"/>
                <w:lang w:val="fr-CA"/>
              </w:rPr>
              <w:t xml:space="preserve">Barbara </w:t>
            </w:r>
            <w:proofErr w:type="spellStart"/>
            <w:r w:rsidRPr="00047B76">
              <w:rPr>
                <w:sz w:val="20"/>
                <w:lang w:val="fr-CA"/>
              </w:rPr>
              <w:t>Jacinto</w:t>
            </w:r>
            <w:proofErr w:type="spellEnd"/>
            <w:r w:rsidRPr="00047B76">
              <w:rPr>
                <w:sz w:val="20"/>
                <w:lang w:val="fr-CA"/>
              </w:rPr>
              <w:t xml:space="preserve"> est décédée de façon inattendue le 14 avril 2014. Elle avait fait un testament qui désignait l’intimée, Mme </w:t>
            </w:r>
            <w:r w:rsidRPr="00047B76">
              <w:rPr>
                <w:rStyle w:val="reflex"/>
                <w:sz w:val="20"/>
                <w:lang w:val="fr-CA"/>
              </w:rPr>
              <w:t>Robledano,</w:t>
            </w:r>
            <w:r w:rsidRPr="00047B76">
              <w:rPr>
                <w:sz w:val="20"/>
                <w:lang w:val="fr-CA"/>
              </w:rPr>
              <w:t xml:space="preserve"> comme son unique bénéficiaire. Le testament original n’a jamais été trouvé après son décès et, par l’application de la présomption de révocation, le tribunal a déclaré que Mme </w:t>
            </w:r>
            <w:proofErr w:type="spellStart"/>
            <w:r w:rsidRPr="00047B76">
              <w:rPr>
                <w:sz w:val="20"/>
                <w:lang w:val="fr-CA"/>
              </w:rPr>
              <w:t>Jacinto</w:t>
            </w:r>
            <w:proofErr w:type="spellEnd"/>
            <w:r w:rsidRPr="00047B76">
              <w:rPr>
                <w:sz w:val="20"/>
                <w:lang w:val="fr-CA"/>
              </w:rPr>
              <w:t xml:space="preserve"> était décédée ab intestat. Dans les procédures judiciaires, Mme </w:t>
            </w:r>
            <w:r w:rsidRPr="00047B76">
              <w:rPr>
                <w:rStyle w:val="reflex"/>
                <w:sz w:val="20"/>
                <w:lang w:val="fr-CA"/>
              </w:rPr>
              <w:t>Robledano</w:t>
            </w:r>
            <w:r w:rsidRPr="00047B76">
              <w:rPr>
                <w:sz w:val="20"/>
                <w:lang w:val="fr-CA"/>
              </w:rPr>
              <w:t xml:space="preserve"> a soutenu qu’elle était l’unique bénéficiaire de la succession, faisant valoir qu’elle vivait une relation de nature conjugale avec Mme </w:t>
            </w:r>
            <w:proofErr w:type="spellStart"/>
            <w:r w:rsidRPr="00047B76">
              <w:rPr>
                <w:sz w:val="20"/>
                <w:lang w:val="fr-CA"/>
              </w:rPr>
              <w:t>Jacinto</w:t>
            </w:r>
            <w:proofErr w:type="spellEnd"/>
            <w:r w:rsidRPr="00047B76">
              <w:rPr>
                <w:sz w:val="20"/>
                <w:lang w:val="fr-CA"/>
              </w:rPr>
              <w:t xml:space="preserve"> au sens de l’art</w:t>
            </w:r>
            <w:hyperlink r:id="rId75" w:anchor="sec20_smooth" w:history="1">
              <w:r w:rsidRPr="00047B76">
                <w:rPr>
                  <w:sz w:val="20"/>
                  <w:lang w:val="fr-CA"/>
                </w:rPr>
                <w:t>. 20</w:t>
              </w:r>
            </w:hyperlink>
            <w:r w:rsidRPr="00047B76">
              <w:rPr>
                <w:sz w:val="20"/>
                <w:lang w:val="fr-CA"/>
              </w:rPr>
              <w:t xml:space="preserve"> de la </w:t>
            </w:r>
            <w:hyperlink r:id="rId76" w:history="1">
              <w:r w:rsidRPr="00047B76">
                <w:rPr>
                  <w:i/>
                  <w:iCs/>
                  <w:sz w:val="20"/>
                  <w:lang w:val="fr-CA"/>
                </w:rPr>
                <w:t xml:space="preserve">Wills, </w:t>
              </w:r>
              <w:proofErr w:type="spellStart"/>
              <w:r w:rsidRPr="00047B76">
                <w:rPr>
                  <w:i/>
                  <w:iCs/>
                  <w:sz w:val="20"/>
                  <w:lang w:val="fr-CA"/>
                </w:rPr>
                <w:t>Estates</w:t>
              </w:r>
              <w:proofErr w:type="spellEnd"/>
              <w:r w:rsidRPr="00047B76">
                <w:rPr>
                  <w:i/>
                  <w:iCs/>
                  <w:sz w:val="20"/>
                  <w:lang w:val="fr-CA"/>
                </w:rPr>
                <w:t xml:space="preserve"> and Succession Act</w:t>
              </w:r>
              <w:r w:rsidRPr="00047B76">
                <w:rPr>
                  <w:sz w:val="20"/>
                  <w:lang w:val="fr-CA"/>
                </w:rPr>
                <w:t>, S.B.C. 2009, ch. 13</w:t>
              </w:r>
            </w:hyperlink>
            <w:r w:rsidRPr="00047B76">
              <w:rPr>
                <w:sz w:val="20"/>
                <w:lang w:val="fr-CA"/>
              </w:rPr>
              <w:t xml:space="preserve"> (« </w:t>
            </w:r>
            <w:hyperlink r:id="rId77" w:history="1">
              <w:r w:rsidRPr="00047B76">
                <w:rPr>
                  <w:i/>
                  <w:iCs/>
                  <w:sz w:val="20"/>
                  <w:lang w:val="fr-CA"/>
                </w:rPr>
                <w:t>WESA</w:t>
              </w:r>
            </w:hyperlink>
            <w:r w:rsidRPr="00047B76">
              <w:rPr>
                <w:sz w:val="20"/>
                <w:lang w:val="fr-CA"/>
              </w:rPr>
              <w:t> »). La demanderesse, Mme Queano, une des sœurs de Mme </w:t>
            </w:r>
            <w:proofErr w:type="spellStart"/>
            <w:r w:rsidRPr="00047B76">
              <w:rPr>
                <w:sz w:val="20"/>
                <w:lang w:val="fr-CA"/>
              </w:rPr>
              <w:t>Jacinto</w:t>
            </w:r>
            <w:proofErr w:type="spellEnd"/>
            <w:r w:rsidRPr="00047B76">
              <w:rPr>
                <w:sz w:val="20"/>
                <w:lang w:val="fr-CA"/>
              </w:rPr>
              <w:t>, a soutenu que même si Mme </w:t>
            </w:r>
            <w:r w:rsidRPr="00047B76">
              <w:rPr>
                <w:rStyle w:val="reflex"/>
                <w:sz w:val="20"/>
                <w:lang w:val="fr-CA"/>
              </w:rPr>
              <w:t>Robledano</w:t>
            </w:r>
            <w:r w:rsidRPr="00047B76">
              <w:rPr>
                <w:sz w:val="20"/>
                <w:lang w:val="fr-CA"/>
              </w:rPr>
              <w:t xml:space="preserve"> avait déjà vécu une relation de nature conjugale avec Mme </w:t>
            </w:r>
            <w:proofErr w:type="spellStart"/>
            <w:r w:rsidRPr="00047B76">
              <w:rPr>
                <w:sz w:val="20"/>
                <w:lang w:val="fr-CA"/>
              </w:rPr>
              <w:t>Jacinto</w:t>
            </w:r>
            <w:proofErr w:type="spellEnd"/>
            <w:r w:rsidRPr="00047B76">
              <w:rPr>
                <w:sz w:val="20"/>
                <w:lang w:val="fr-CA"/>
              </w:rPr>
              <w:t>, leur relation avait cessé d’être de nature conjugale à l’époque où Mme </w:t>
            </w:r>
            <w:proofErr w:type="spellStart"/>
            <w:r w:rsidRPr="00047B76">
              <w:rPr>
                <w:sz w:val="20"/>
                <w:lang w:val="fr-CA"/>
              </w:rPr>
              <w:t>Jacinto</w:t>
            </w:r>
            <w:proofErr w:type="spellEnd"/>
            <w:r w:rsidRPr="00047B76">
              <w:rPr>
                <w:sz w:val="20"/>
                <w:lang w:val="fr-CA"/>
              </w:rPr>
              <w:t xml:space="preserve"> est décédée. Madame Queano a soutenu que Mme </w:t>
            </w:r>
            <w:r w:rsidRPr="00047B76">
              <w:rPr>
                <w:rStyle w:val="reflex"/>
                <w:sz w:val="20"/>
                <w:lang w:val="fr-CA"/>
              </w:rPr>
              <w:t>Robledano</w:t>
            </w:r>
            <w:r w:rsidRPr="00047B76">
              <w:rPr>
                <w:sz w:val="20"/>
                <w:lang w:val="fr-CA"/>
              </w:rPr>
              <w:t xml:space="preserve"> n’était pas une conjointe pour l’application de la </w:t>
            </w:r>
            <w:hyperlink r:id="rId78" w:history="1">
              <w:r w:rsidRPr="00047B76">
                <w:rPr>
                  <w:i/>
                  <w:iCs/>
                  <w:sz w:val="20"/>
                  <w:lang w:val="fr-CA"/>
                </w:rPr>
                <w:t>WESA</w:t>
              </w:r>
            </w:hyperlink>
            <w:r w:rsidRPr="00047B76">
              <w:rPr>
                <w:sz w:val="20"/>
                <w:lang w:val="fr-CA"/>
              </w:rPr>
              <w:t xml:space="preserve"> et que les biens de la succession devaient être partagés entre les six sœurs et le frère de Mme </w:t>
            </w:r>
            <w:proofErr w:type="spellStart"/>
            <w:r w:rsidRPr="00047B76">
              <w:rPr>
                <w:sz w:val="20"/>
                <w:lang w:val="fr-CA"/>
              </w:rPr>
              <w:t>Jacinto</w:t>
            </w:r>
            <w:proofErr w:type="spellEnd"/>
            <w:r w:rsidRPr="00047B76">
              <w:rPr>
                <w:sz w:val="20"/>
                <w:lang w:val="fr-CA"/>
              </w:rPr>
              <w:t>. La juge de première instance a conclu que Mme Robledano était la conjointe survivante pour l’application de la loi et qu’elle avait donc droit à la succession. Cette décision a été confirmée en appel.</w:t>
            </w:r>
          </w:p>
        </w:tc>
      </w:tr>
      <w:tr w:rsidR="0071029D" w:rsidRPr="00047B76" w:rsidTr="0023484E">
        <w:tc>
          <w:tcPr>
            <w:tcW w:w="5000" w:type="pct"/>
            <w:gridSpan w:val="4"/>
          </w:tcPr>
          <w:p w:rsidR="0071029D" w:rsidRPr="00047B76" w:rsidRDefault="0071029D" w:rsidP="0023484E">
            <w:pPr>
              <w:pStyle w:val="scjnumber1"/>
              <w:shd w:val="clear" w:color="auto" w:fill="FFFFFF"/>
              <w:spacing w:after="0"/>
              <w:jc w:val="both"/>
              <w:rPr>
                <w:sz w:val="20"/>
                <w:szCs w:val="20"/>
                <w:lang w:val="fr-CA"/>
              </w:rPr>
            </w:pPr>
          </w:p>
        </w:tc>
      </w:tr>
      <w:tr w:rsidR="0071029D" w:rsidRPr="00957F6E" w:rsidTr="0023484E">
        <w:tc>
          <w:tcPr>
            <w:tcW w:w="2427" w:type="pct"/>
            <w:gridSpan w:val="2"/>
          </w:tcPr>
          <w:p w:rsidR="0071029D" w:rsidRPr="00047B76" w:rsidRDefault="0071029D" w:rsidP="0023484E">
            <w:pPr>
              <w:jc w:val="both"/>
              <w:rPr>
                <w:sz w:val="20"/>
                <w:lang w:val="fr-CA"/>
              </w:rPr>
            </w:pPr>
            <w:r w:rsidRPr="00047B76">
              <w:rPr>
                <w:sz w:val="20"/>
                <w:lang w:val="fr-CA"/>
              </w:rPr>
              <w:t>31 janvier 2018</w:t>
            </w:r>
          </w:p>
          <w:p w:rsidR="0071029D" w:rsidRPr="00047B76" w:rsidRDefault="0071029D" w:rsidP="0023484E">
            <w:pPr>
              <w:jc w:val="both"/>
              <w:rPr>
                <w:sz w:val="20"/>
                <w:lang w:val="fr-CA"/>
              </w:rPr>
            </w:pPr>
            <w:r w:rsidRPr="00047B76">
              <w:rPr>
                <w:sz w:val="20"/>
                <w:lang w:val="fr-CA"/>
              </w:rPr>
              <w:t>Cour suprême de la Colombie</w:t>
            </w:r>
            <w:r w:rsidRPr="00047B76">
              <w:rPr>
                <w:sz w:val="20"/>
                <w:lang w:val="fr-CA"/>
              </w:rPr>
              <w:noBreakHyphen/>
              <w:t>Britannique</w:t>
            </w:r>
          </w:p>
          <w:p w:rsidR="0071029D" w:rsidRPr="00047B76" w:rsidRDefault="0071029D" w:rsidP="0023484E">
            <w:pPr>
              <w:jc w:val="both"/>
              <w:rPr>
                <w:sz w:val="20"/>
                <w:lang w:val="fr-CA"/>
              </w:rPr>
            </w:pPr>
            <w:r w:rsidRPr="00047B76">
              <w:rPr>
                <w:sz w:val="20"/>
                <w:lang w:val="fr-CA"/>
              </w:rPr>
              <w:t>(Juge Fleming)</w:t>
            </w:r>
          </w:p>
          <w:p w:rsidR="0071029D" w:rsidRPr="00047B76" w:rsidRDefault="009A56E8" w:rsidP="0023484E">
            <w:pPr>
              <w:jc w:val="both"/>
              <w:rPr>
                <w:sz w:val="20"/>
                <w:lang w:val="fr-CA"/>
              </w:rPr>
            </w:pPr>
            <w:hyperlink r:id="rId79" w:history="1">
              <w:r w:rsidR="0071029D" w:rsidRPr="00047B76">
                <w:rPr>
                  <w:rStyle w:val="Hyperlink"/>
                  <w:sz w:val="20"/>
                  <w:lang w:val="fr-CA"/>
                </w:rPr>
                <w:t>2018 BCSC 152</w:t>
              </w:r>
            </w:hyperlink>
          </w:p>
          <w:p w:rsidR="0071029D" w:rsidRPr="00047B76" w:rsidRDefault="0071029D" w:rsidP="0023484E">
            <w:pPr>
              <w:jc w:val="both"/>
              <w:rPr>
                <w:sz w:val="20"/>
                <w:lang w:val="fr-CA"/>
              </w:rPr>
            </w:pPr>
          </w:p>
        </w:tc>
        <w:tc>
          <w:tcPr>
            <w:tcW w:w="243" w:type="pct"/>
          </w:tcPr>
          <w:p w:rsidR="0071029D" w:rsidRPr="00047B76" w:rsidRDefault="0071029D" w:rsidP="0023484E">
            <w:pPr>
              <w:jc w:val="both"/>
              <w:rPr>
                <w:sz w:val="20"/>
                <w:lang w:val="fr-CA"/>
              </w:rPr>
            </w:pPr>
          </w:p>
        </w:tc>
        <w:tc>
          <w:tcPr>
            <w:tcW w:w="2330" w:type="pct"/>
          </w:tcPr>
          <w:p w:rsidR="0071029D" w:rsidRPr="00047B76" w:rsidRDefault="0071029D" w:rsidP="0023484E">
            <w:pPr>
              <w:jc w:val="both"/>
              <w:rPr>
                <w:sz w:val="20"/>
                <w:lang w:val="fr-CA"/>
              </w:rPr>
            </w:pPr>
            <w:r w:rsidRPr="00047B76">
              <w:rPr>
                <w:sz w:val="20"/>
                <w:lang w:val="fr-CA"/>
              </w:rPr>
              <w:t>Ordonnance déclarant que l’intimée est la conjointe survivante de la défunte</w:t>
            </w:r>
          </w:p>
          <w:p w:rsidR="0071029D" w:rsidRPr="00047B76" w:rsidRDefault="0071029D" w:rsidP="0023484E">
            <w:pPr>
              <w:jc w:val="both"/>
              <w:rPr>
                <w:sz w:val="20"/>
                <w:lang w:val="fr-CA"/>
              </w:rPr>
            </w:pPr>
          </w:p>
          <w:p w:rsidR="0071029D" w:rsidRPr="00047B76" w:rsidRDefault="0071029D" w:rsidP="0023484E">
            <w:pPr>
              <w:jc w:val="both"/>
              <w:rPr>
                <w:sz w:val="20"/>
                <w:lang w:val="fr-CA"/>
              </w:rPr>
            </w:pPr>
          </w:p>
        </w:tc>
      </w:tr>
      <w:tr w:rsidR="0071029D" w:rsidRPr="00957F6E" w:rsidTr="0023484E">
        <w:tc>
          <w:tcPr>
            <w:tcW w:w="2427" w:type="pct"/>
            <w:gridSpan w:val="2"/>
          </w:tcPr>
          <w:p w:rsidR="0071029D" w:rsidRPr="00047B76" w:rsidRDefault="0071029D" w:rsidP="0023484E">
            <w:pPr>
              <w:jc w:val="both"/>
              <w:rPr>
                <w:sz w:val="20"/>
                <w:lang w:val="fr-CA"/>
              </w:rPr>
            </w:pPr>
            <w:r w:rsidRPr="00047B76">
              <w:rPr>
                <w:sz w:val="20"/>
                <w:lang w:val="fr-CA"/>
              </w:rPr>
              <w:t>2 mai 2019</w:t>
            </w:r>
          </w:p>
          <w:p w:rsidR="0071029D" w:rsidRPr="00047B76" w:rsidRDefault="0071029D" w:rsidP="0023484E">
            <w:pPr>
              <w:jc w:val="both"/>
              <w:rPr>
                <w:sz w:val="20"/>
                <w:lang w:val="fr-CA"/>
              </w:rPr>
            </w:pPr>
            <w:r w:rsidRPr="00047B76">
              <w:rPr>
                <w:sz w:val="20"/>
                <w:lang w:val="fr-CA"/>
              </w:rPr>
              <w:t>Cour d’appel de la Colombie-Britannique</w:t>
            </w:r>
          </w:p>
          <w:p w:rsidR="0071029D" w:rsidRPr="00047B76" w:rsidRDefault="0071029D" w:rsidP="0023484E">
            <w:pPr>
              <w:jc w:val="both"/>
              <w:rPr>
                <w:sz w:val="20"/>
                <w:lang w:val="fr-CA"/>
              </w:rPr>
            </w:pPr>
            <w:r w:rsidRPr="00047B76">
              <w:rPr>
                <w:sz w:val="20"/>
                <w:lang w:val="fr-CA"/>
              </w:rPr>
              <w:t>(Vancouver)</w:t>
            </w:r>
          </w:p>
          <w:p w:rsidR="0071029D" w:rsidRPr="00047B76" w:rsidRDefault="0071029D" w:rsidP="0023484E">
            <w:pPr>
              <w:jc w:val="both"/>
              <w:rPr>
                <w:sz w:val="20"/>
                <w:lang w:val="fr-CA"/>
              </w:rPr>
            </w:pPr>
            <w:r w:rsidRPr="00047B76">
              <w:rPr>
                <w:sz w:val="20"/>
                <w:lang w:val="fr-CA"/>
              </w:rPr>
              <w:t xml:space="preserve">(Juges Newbury, </w:t>
            </w:r>
            <w:proofErr w:type="spellStart"/>
            <w:r w:rsidRPr="00047B76">
              <w:rPr>
                <w:sz w:val="20"/>
                <w:lang w:val="fr-CA"/>
              </w:rPr>
              <w:t>Groberman</w:t>
            </w:r>
            <w:proofErr w:type="spellEnd"/>
            <w:r w:rsidRPr="00047B76">
              <w:rPr>
                <w:sz w:val="20"/>
                <w:lang w:val="fr-CA"/>
              </w:rPr>
              <w:t xml:space="preserve"> et </w:t>
            </w:r>
            <w:proofErr w:type="spellStart"/>
            <w:r w:rsidRPr="00047B76">
              <w:rPr>
                <w:sz w:val="20"/>
                <w:lang w:val="fr-CA"/>
              </w:rPr>
              <w:t>Abrioux</w:t>
            </w:r>
            <w:proofErr w:type="spellEnd"/>
            <w:r w:rsidRPr="00047B76">
              <w:rPr>
                <w:sz w:val="20"/>
                <w:lang w:val="fr-CA"/>
              </w:rPr>
              <w:t>)</w:t>
            </w:r>
          </w:p>
          <w:p w:rsidR="0071029D" w:rsidRPr="00047B76" w:rsidRDefault="009A56E8" w:rsidP="0023484E">
            <w:pPr>
              <w:jc w:val="both"/>
              <w:rPr>
                <w:sz w:val="20"/>
                <w:lang w:val="fr-CA"/>
              </w:rPr>
            </w:pPr>
            <w:hyperlink r:id="rId80" w:history="1">
              <w:r w:rsidR="0071029D" w:rsidRPr="00047B76">
                <w:rPr>
                  <w:rStyle w:val="Hyperlink"/>
                  <w:sz w:val="20"/>
                  <w:lang w:val="fr-CA"/>
                </w:rPr>
                <w:t>2019 BCCA 150</w:t>
              </w:r>
            </w:hyperlink>
          </w:p>
          <w:p w:rsidR="0071029D" w:rsidRPr="00047B76" w:rsidRDefault="0071029D" w:rsidP="0023484E">
            <w:pPr>
              <w:jc w:val="both"/>
              <w:rPr>
                <w:sz w:val="20"/>
                <w:lang w:val="fr-CA"/>
              </w:rPr>
            </w:pPr>
          </w:p>
        </w:tc>
        <w:tc>
          <w:tcPr>
            <w:tcW w:w="243" w:type="pct"/>
          </w:tcPr>
          <w:p w:rsidR="0071029D" w:rsidRPr="00047B76" w:rsidRDefault="0071029D" w:rsidP="0023484E">
            <w:pPr>
              <w:jc w:val="both"/>
              <w:rPr>
                <w:sz w:val="20"/>
                <w:lang w:val="fr-CA"/>
              </w:rPr>
            </w:pPr>
          </w:p>
        </w:tc>
        <w:tc>
          <w:tcPr>
            <w:tcW w:w="2330" w:type="pct"/>
          </w:tcPr>
          <w:p w:rsidR="0071029D" w:rsidRPr="00047B76" w:rsidRDefault="0071029D" w:rsidP="0023484E">
            <w:pPr>
              <w:jc w:val="both"/>
              <w:rPr>
                <w:sz w:val="20"/>
                <w:lang w:val="fr-CA"/>
              </w:rPr>
            </w:pPr>
            <w:r w:rsidRPr="00047B76">
              <w:rPr>
                <w:sz w:val="20"/>
                <w:lang w:val="fr-CA"/>
              </w:rPr>
              <w:t>Rejet de l’appel de la demanderesse</w:t>
            </w:r>
          </w:p>
          <w:p w:rsidR="0071029D" w:rsidRPr="00047B76" w:rsidRDefault="0071029D" w:rsidP="0023484E">
            <w:pPr>
              <w:jc w:val="both"/>
              <w:rPr>
                <w:sz w:val="20"/>
                <w:lang w:val="fr-CA"/>
              </w:rPr>
            </w:pPr>
          </w:p>
        </w:tc>
      </w:tr>
      <w:tr w:rsidR="0071029D" w:rsidRPr="00957F6E" w:rsidTr="0023484E">
        <w:tc>
          <w:tcPr>
            <w:tcW w:w="2427" w:type="pct"/>
            <w:gridSpan w:val="2"/>
          </w:tcPr>
          <w:p w:rsidR="0071029D" w:rsidRPr="00047B76" w:rsidRDefault="0071029D" w:rsidP="0023484E">
            <w:pPr>
              <w:jc w:val="both"/>
              <w:rPr>
                <w:sz w:val="20"/>
                <w:lang w:val="fr-CA"/>
              </w:rPr>
            </w:pPr>
            <w:r w:rsidRPr="00047B76">
              <w:rPr>
                <w:sz w:val="20"/>
                <w:lang w:val="fr-CA"/>
              </w:rPr>
              <w:t>1</w:t>
            </w:r>
            <w:r w:rsidRPr="00047B76">
              <w:rPr>
                <w:sz w:val="20"/>
                <w:vertAlign w:val="superscript"/>
                <w:lang w:val="fr-CA"/>
              </w:rPr>
              <w:t>er</w:t>
            </w:r>
            <w:r w:rsidRPr="00047B76">
              <w:rPr>
                <w:sz w:val="20"/>
                <w:lang w:val="fr-CA"/>
              </w:rPr>
              <w:t> août 2019</w:t>
            </w:r>
          </w:p>
          <w:p w:rsidR="0071029D" w:rsidRPr="00047B76" w:rsidRDefault="0071029D" w:rsidP="0023484E">
            <w:pPr>
              <w:jc w:val="both"/>
              <w:rPr>
                <w:sz w:val="20"/>
                <w:lang w:val="fr-CA"/>
              </w:rPr>
            </w:pPr>
            <w:r w:rsidRPr="00047B76">
              <w:rPr>
                <w:sz w:val="20"/>
                <w:lang w:val="fr-CA"/>
              </w:rPr>
              <w:t>Cour suprême du Canada</w:t>
            </w:r>
          </w:p>
        </w:tc>
        <w:tc>
          <w:tcPr>
            <w:tcW w:w="243" w:type="pct"/>
          </w:tcPr>
          <w:p w:rsidR="0071029D" w:rsidRPr="00047B76" w:rsidRDefault="0071029D" w:rsidP="0023484E">
            <w:pPr>
              <w:jc w:val="both"/>
              <w:rPr>
                <w:sz w:val="20"/>
                <w:lang w:val="fr-CA"/>
              </w:rPr>
            </w:pPr>
          </w:p>
        </w:tc>
        <w:tc>
          <w:tcPr>
            <w:tcW w:w="2330" w:type="pct"/>
          </w:tcPr>
          <w:p w:rsidR="0071029D" w:rsidRPr="00047B76" w:rsidRDefault="0071029D" w:rsidP="0023484E">
            <w:pPr>
              <w:jc w:val="both"/>
              <w:rPr>
                <w:sz w:val="20"/>
                <w:lang w:val="fr-CA"/>
              </w:rPr>
            </w:pPr>
            <w:r w:rsidRPr="00047B76">
              <w:rPr>
                <w:sz w:val="20"/>
                <w:lang w:val="fr-CA"/>
              </w:rPr>
              <w:t>Dépôt de la demande d’autorisation d’appel</w:t>
            </w:r>
          </w:p>
          <w:p w:rsidR="0071029D" w:rsidRPr="00047B76" w:rsidRDefault="0071029D" w:rsidP="0023484E">
            <w:pPr>
              <w:jc w:val="both"/>
              <w:rPr>
                <w:sz w:val="20"/>
                <w:lang w:val="fr-CA"/>
              </w:rPr>
            </w:pPr>
          </w:p>
        </w:tc>
      </w:tr>
    </w:tbl>
    <w:p w:rsidR="0071029D" w:rsidRPr="00047B76" w:rsidRDefault="0071029D" w:rsidP="0071029D">
      <w:pPr>
        <w:jc w:val="both"/>
        <w:rPr>
          <w:sz w:val="20"/>
          <w:lang w:val="fr-CA"/>
        </w:rPr>
      </w:pPr>
    </w:p>
    <w:p w:rsidR="0071029D" w:rsidRPr="00047B76" w:rsidRDefault="009A56E8" w:rsidP="0071029D">
      <w:pPr>
        <w:jc w:val="both"/>
        <w:rPr>
          <w:sz w:val="20"/>
          <w:lang w:val="fr-CA"/>
        </w:rPr>
      </w:pPr>
      <w:r>
        <w:rPr>
          <w:sz w:val="20"/>
        </w:rPr>
        <w:pict>
          <v:rect id="_x0000_i1063" style="width:2in;height:1pt" o:hrpct="0" o:hralign="center" o:hrstd="t" o:hrnoshade="t" o:hr="t" fillcolor="black [3213]" stroked="f"/>
        </w:pict>
      </w:r>
    </w:p>
    <w:p w:rsidR="0071029D" w:rsidRPr="00047B76" w:rsidRDefault="0071029D" w:rsidP="0071029D">
      <w:pPr>
        <w:ind w:left="142" w:hanging="142"/>
        <w:jc w:val="both"/>
        <w:rPr>
          <w:sz w:val="20"/>
          <w:lang w:val="fr-CA"/>
        </w:rPr>
      </w:pPr>
    </w:p>
    <w:p w:rsidR="00900ECD" w:rsidRPr="00047B76" w:rsidRDefault="00900ECD">
      <w:r w:rsidRPr="00047B76">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1029D" w:rsidRPr="00047B76" w:rsidTr="0023484E">
        <w:tc>
          <w:tcPr>
            <w:tcW w:w="543" w:type="pct"/>
          </w:tcPr>
          <w:p w:rsidR="0071029D" w:rsidRPr="00047B76" w:rsidRDefault="0071029D" w:rsidP="0023484E">
            <w:pPr>
              <w:jc w:val="both"/>
              <w:rPr>
                <w:sz w:val="20"/>
              </w:rPr>
            </w:pPr>
            <w:r w:rsidRPr="00047B76">
              <w:rPr>
                <w:rStyle w:val="SCCFileNumberChar"/>
                <w:sz w:val="20"/>
                <w:szCs w:val="20"/>
              </w:rPr>
              <w:lastRenderedPageBreak/>
              <w:t>38698</w:t>
            </w:r>
          </w:p>
        </w:tc>
        <w:tc>
          <w:tcPr>
            <w:tcW w:w="4457" w:type="pct"/>
            <w:gridSpan w:val="3"/>
          </w:tcPr>
          <w:p w:rsidR="0071029D" w:rsidRPr="00047B76" w:rsidRDefault="0071029D" w:rsidP="0023484E">
            <w:pPr>
              <w:pStyle w:val="SCCLsocParty"/>
              <w:jc w:val="both"/>
              <w:rPr>
                <w:b/>
                <w:sz w:val="20"/>
                <w:szCs w:val="20"/>
                <w:lang w:val="en-US"/>
              </w:rPr>
            </w:pPr>
            <w:r w:rsidRPr="00047B76">
              <w:rPr>
                <w:b/>
                <w:sz w:val="20"/>
                <w:szCs w:val="20"/>
                <w:lang w:val="en-US"/>
              </w:rPr>
              <w:t>Doug C. Thompson Ltd. operating as Thompson Fuels v. Wayne Allan Gendron and Technical Standards and Safety Authority</w:t>
            </w:r>
          </w:p>
          <w:p w:rsidR="0071029D" w:rsidRPr="00047B76" w:rsidRDefault="0071029D" w:rsidP="0023484E">
            <w:pPr>
              <w:jc w:val="both"/>
              <w:rPr>
                <w:sz w:val="20"/>
              </w:rPr>
            </w:pPr>
            <w:r w:rsidRPr="00047B76">
              <w:rPr>
                <w:sz w:val="20"/>
              </w:rPr>
              <w:t>(Ont.) (Civil) (By Leave)</w:t>
            </w:r>
          </w:p>
        </w:tc>
      </w:tr>
      <w:tr w:rsidR="00E80644" w:rsidRPr="00047B76" w:rsidTr="0023484E">
        <w:tc>
          <w:tcPr>
            <w:tcW w:w="5000" w:type="pct"/>
            <w:gridSpan w:val="4"/>
          </w:tcPr>
          <w:p w:rsidR="00D14C64" w:rsidRPr="00047B76" w:rsidRDefault="00D14C64" w:rsidP="00D14C64">
            <w:pPr>
              <w:jc w:val="both"/>
              <w:rPr>
                <w:sz w:val="20"/>
                <w:szCs w:val="20"/>
              </w:rPr>
            </w:pPr>
            <w:r w:rsidRPr="00047B76">
              <w:rPr>
                <w:sz w:val="20"/>
                <w:szCs w:val="20"/>
              </w:rPr>
              <w:t>The motion for an extension of time to serve and file the response to the application for leave to appeal of the respondent, Wayne Allen Gendron, is granted. The application for leave to appeal from the judgment of the Court of Appeal for Ontario, Numbers C64188 and C64191, 2019 ONCA 293, dated April 12, 2019, is dismissed with costs.</w:t>
            </w:r>
          </w:p>
          <w:p w:rsidR="00E80644" w:rsidRPr="00047B76" w:rsidRDefault="00E80644" w:rsidP="0023484E">
            <w:pPr>
              <w:jc w:val="both"/>
              <w:rPr>
                <w:sz w:val="20"/>
              </w:rPr>
            </w:pPr>
          </w:p>
        </w:tc>
      </w:tr>
      <w:tr w:rsidR="0071029D" w:rsidRPr="00047B76" w:rsidTr="0023484E">
        <w:tc>
          <w:tcPr>
            <w:tcW w:w="5000" w:type="pct"/>
            <w:gridSpan w:val="4"/>
          </w:tcPr>
          <w:p w:rsidR="0071029D" w:rsidRPr="00047B76" w:rsidRDefault="0071029D" w:rsidP="0023484E">
            <w:pPr>
              <w:jc w:val="both"/>
              <w:rPr>
                <w:sz w:val="20"/>
              </w:rPr>
            </w:pPr>
            <w:r w:rsidRPr="00047B76">
              <w:rPr>
                <w:sz w:val="20"/>
              </w:rPr>
              <w:t xml:space="preserve">Torts — Negligence — Duty of care — Breach of Regulation — Contractual exclusion clause —Contributory negligence — Apportionment of liability — Assessment of damages — </w:t>
            </w:r>
            <w:proofErr w:type="spellStart"/>
            <w:r w:rsidRPr="00047B76">
              <w:rPr>
                <w:sz w:val="20"/>
              </w:rPr>
              <w:t>Pierringer</w:t>
            </w:r>
            <w:proofErr w:type="spellEnd"/>
            <w:r w:rsidRPr="00047B76">
              <w:rPr>
                <w:sz w:val="20"/>
              </w:rPr>
              <w:t xml:space="preserve"> settlement agreement ‒ Inspection of oil tanks ‒ Fuel oil leakage leading to an environmental contamination of soil and lake — Remediation — Should plaintiffs benefit from any excess from partial settlement regardless of their contributory negligence and the full satisfaction of their claim against the defendants — Whether the legal framework for comparative blameworthiness and apportionment of fault, including the relevant factors for assessment, should be consistent across provinces — Whether courts should address the failure of the homeowner to take reasonable steps under contributory negligence or/and mitigation of damages in the context of environmental contamination — Whether courts can determine negligence based upon noncompliance with regulatory or code requirements and not address the underlying reasonableness of any non</w:t>
            </w:r>
            <w:r w:rsidRPr="00047B76">
              <w:rPr>
                <w:sz w:val="20"/>
              </w:rPr>
              <w:noBreakHyphen/>
              <w:t xml:space="preserve">compliance — Whether the trial judge has an ongoing duty to </w:t>
            </w:r>
            <w:proofErr w:type="spellStart"/>
            <w:r w:rsidRPr="00047B76">
              <w:rPr>
                <w:sz w:val="20"/>
              </w:rPr>
              <w:t>gatekeep</w:t>
            </w:r>
            <w:proofErr w:type="spellEnd"/>
            <w:r w:rsidRPr="00047B76">
              <w:rPr>
                <w:sz w:val="20"/>
              </w:rPr>
              <w:t xml:space="preserve"> expert opinion that lacks sufficient objectivity and impartiality even beyond the qualification stage — Whether contractual exclusions are enforceable where regulatory non</w:t>
            </w:r>
            <w:r w:rsidRPr="00047B76">
              <w:rPr>
                <w:sz w:val="20"/>
              </w:rPr>
              <w:noBreakHyphen/>
              <w:t>compliance is found but the exclusions are not rooted in non</w:t>
            </w:r>
            <w:r w:rsidRPr="00047B76">
              <w:rPr>
                <w:sz w:val="20"/>
              </w:rPr>
              <w:noBreakHyphen/>
              <w:t>compliance and whether unconscionability and public policy should be assessed on the date that the contract was formed — Whether the trial judge filled its duty to provide adequate reasons</w:t>
            </w:r>
          </w:p>
        </w:tc>
      </w:tr>
      <w:tr w:rsidR="0071029D" w:rsidRPr="00047B76" w:rsidTr="0023484E">
        <w:tc>
          <w:tcPr>
            <w:tcW w:w="5000" w:type="pct"/>
            <w:gridSpan w:val="4"/>
          </w:tcPr>
          <w:p w:rsidR="0071029D" w:rsidRPr="00047B76" w:rsidRDefault="0071029D" w:rsidP="0023484E">
            <w:pPr>
              <w:jc w:val="both"/>
              <w:rPr>
                <w:sz w:val="20"/>
              </w:rPr>
            </w:pPr>
          </w:p>
        </w:tc>
      </w:tr>
      <w:tr w:rsidR="0071029D" w:rsidRPr="00047B76" w:rsidTr="0023484E">
        <w:tc>
          <w:tcPr>
            <w:tcW w:w="5000" w:type="pct"/>
            <w:gridSpan w:val="4"/>
          </w:tcPr>
          <w:p w:rsidR="0071029D" w:rsidRPr="00047B76" w:rsidRDefault="0071029D" w:rsidP="0023484E">
            <w:pPr>
              <w:jc w:val="both"/>
              <w:rPr>
                <w:sz w:val="20"/>
              </w:rPr>
            </w:pPr>
            <w:r w:rsidRPr="00047B76">
              <w:rPr>
                <w:sz w:val="20"/>
              </w:rPr>
              <w:t>On December 18, 2008, the applicant, Thompson Fuels delivered 700 litres of oil to the respondent Wayne Allan Gendron. Almost immediately after the delivery, the oil leaked from one of the two tanks that Mr. Gendron had installed himself. The leak was discovered by Mr. Gendron approximately one hour after the oil was delivered. He collected approximately 100 litres of fuel oil in Tupperware containers while some of it remained and soaked into the soil. The rest of the oil found its way to a lake nearby through a drainage system located under Mr. </w:t>
            </w:r>
            <w:proofErr w:type="spellStart"/>
            <w:r w:rsidRPr="00047B76">
              <w:rPr>
                <w:sz w:val="20"/>
              </w:rPr>
              <w:t>Gendron’s</w:t>
            </w:r>
            <w:proofErr w:type="spellEnd"/>
            <w:r w:rsidRPr="00047B76">
              <w:rPr>
                <w:sz w:val="20"/>
              </w:rPr>
              <w:t xml:space="preserve"> home and then through the city’s culvert. The Ministry of Environment (MOE) Spill Action Centre, informed of the leak, sent a report to the Technical Standards and Safety Authority responsible for the provincial regulation of fuel oil distribution. On December 22, 2008, a fuel safety inspector reviewed the report and did a visual inspection of Mr. </w:t>
            </w:r>
            <w:proofErr w:type="spellStart"/>
            <w:r w:rsidRPr="00047B76">
              <w:rPr>
                <w:sz w:val="20"/>
              </w:rPr>
              <w:t>Gendron’s</w:t>
            </w:r>
            <w:proofErr w:type="spellEnd"/>
            <w:r w:rsidRPr="00047B76">
              <w:rPr>
                <w:sz w:val="20"/>
              </w:rPr>
              <w:t xml:space="preserve"> property. On December 24, 2008, the inspector ordered Mr. Gendron to obtain a professional assessment on the full extent of the spill’s impacts to both soil and groundwater. On December 29, 2008, Mr. Gendron reported the matter to his insurer who retained an independent adjuster and remediation contractor. When informed by the contractor that the oil entered the lake nearby, the MOE ordered Mr. Gendron to undertake remediation. The on</w:t>
            </w:r>
            <w:r w:rsidRPr="00047B76">
              <w:rPr>
                <w:sz w:val="20"/>
              </w:rPr>
              <w:noBreakHyphen/>
              <w:t>site remediation, which included the demolition of the house, was carried out until July 2009. The cost of the off</w:t>
            </w:r>
            <w:r w:rsidRPr="00047B76">
              <w:rPr>
                <w:sz w:val="20"/>
              </w:rPr>
              <w:noBreakHyphen/>
              <w:t>site remediation ultimately reached close to $2 million. Mr. Gendron was eventually ordered to compensate the City of Kawartha Lake which had to complete remediation when Mr. </w:t>
            </w:r>
            <w:proofErr w:type="spellStart"/>
            <w:r w:rsidRPr="00047B76">
              <w:rPr>
                <w:sz w:val="20"/>
              </w:rPr>
              <w:t>Gendron’s</w:t>
            </w:r>
            <w:proofErr w:type="spellEnd"/>
            <w:r w:rsidRPr="00047B76">
              <w:rPr>
                <w:sz w:val="20"/>
              </w:rPr>
              <w:t xml:space="preserve"> off</w:t>
            </w:r>
            <w:r w:rsidRPr="00047B76">
              <w:rPr>
                <w:sz w:val="20"/>
              </w:rPr>
              <w:noBreakHyphen/>
              <w:t>site insurance coverage was exhausted. On July 15, 2009 Mr. Gendron filed proceedings against Thompson Fuels and two more defendants for negligence. The Ontario Superior Court of Justice granted the action against Thompson Fuels. The Court of Appeal dismissed the appeals filed by Thompson Fuels and Mr. Gendron with the exception of granting a reduction in the damages equal to the amount paid in relation to Mr. Gendron line of credit.</w:t>
            </w:r>
          </w:p>
          <w:p w:rsidR="0071029D" w:rsidRPr="00047B76" w:rsidRDefault="0071029D" w:rsidP="0023484E">
            <w:pPr>
              <w:jc w:val="both"/>
              <w:rPr>
                <w:sz w:val="20"/>
              </w:rPr>
            </w:pPr>
          </w:p>
        </w:tc>
      </w:tr>
      <w:tr w:rsidR="0071029D" w:rsidRPr="00047B76" w:rsidTr="0023484E">
        <w:tc>
          <w:tcPr>
            <w:tcW w:w="2427" w:type="pct"/>
            <w:gridSpan w:val="2"/>
          </w:tcPr>
          <w:p w:rsidR="0071029D" w:rsidRPr="00047B76" w:rsidRDefault="0071029D" w:rsidP="0023484E">
            <w:pPr>
              <w:jc w:val="both"/>
              <w:rPr>
                <w:sz w:val="20"/>
              </w:rPr>
            </w:pPr>
            <w:r w:rsidRPr="00047B76">
              <w:rPr>
                <w:sz w:val="20"/>
              </w:rPr>
              <w:t>July 17, 2017</w:t>
            </w:r>
          </w:p>
          <w:p w:rsidR="0071029D" w:rsidRPr="00047B76" w:rsidRDefault="0071029D" w:rsidP="0023484E">
            <w:pPr>
              <w:jc w:val="both"/>
              <w:rPr>
                <w:sz w:val="20"/>
              </w:rPr>
            </w:pPr>
            <w:r w:rsidRPr="00047B76">
              <w:rPr>
                <w:sz w:val="20"/>
              </w:rPr>
              <w:t>Ontario Superior Court of Justice</w:t>
            </w:r>
          </w:p>
          <w:p w:rsidR="0071029D" w:rsidRPr="00047B76" w:rsidRDefault="0071029D" w:rsidP="0023484E">
            <w:pPr>
              <w:jc w:val="both"/>
              <w:rPr>
                <w:sz w:val="20"/>
              </w:rPr>
            </w:pPr>
            <w:r w:rsidRPr="00047B76">
              <w:rPr>
                <w:sz w:val="20"/>
              </w:rPr>
              <w:t>(</w:t>
            </w:r>
            <w:proofErr w:type="spellStart"/>
            <w:r w:rsidRPr="00047B76">
              <w:rPr>
                <w:sz w:val="20"/>
              </w:rPr>
              <w:t>Charney</w:t>
            </w:r>
            <w:proofErr w:type="spellEnd"/>
            <w:r w:rsidRPr="00047B76">
              <w:rPr>
                <w:sz w:val="20"/>
              </w:rPr>
              <w:t xml:space="preserve"> J.)</w:t>
            </w:r>
          </w:p>
          <w:p w:rsidR="0071029D" w:rsidRPr="00047B76" w:rsidRDefault="009A56E8" w:rsidP="0023484E">
            <w:pPr>
              <w:jc w:val="both"/>
              <w:rPr>
                <w:sz w:val="20"/>
              </w:rPr>
            </w:pPr>
            <w:hyperlink r:id="rId81" w:history="1">
              <w:r w:rsidR="0071029D" w:rsidRPr="00047B76">
                <w:rPr>
                  <w:rStyle w:val="Hyperlink"/>
                  <w:sz w:val="20"/>
                </w:rPr>
                <w:t>2017 ONSC 4009</w:t>
              </w:r>
            </w:hyperlink>
          </w:p>
          <w:p w:rsidR="0071029D" w:rsidRPr="00047B76" w:rsidRDefault="0071029D" w:rsidP="0023484E">
            <w:pPr>
              <w:jc w:val="both"/>
              <w:rPr>
                <w:sz w:val="20"/>
              </w:rPr>
            </w:pPr>
          </w:p>
        </w:tc>
        <w:tc>
          <w:tcPr>
            <w:tcW w:w="243" w:type="pct"/>
          </w:tcPr>
          <w:p w:rsidR="0071029D" w:rsidRPr="00047B76" w:rsidRDefault="0071029D" w:rsidP="0023484E">
            <w:pPr>
              <w:jc w:val="both"/>
              <w:rPr>
                <w:sz w:val="20"/>
              </w:rPr>
            </w:pPr>
          </w:p>
        </w:tc>
        <w:tc>
          <w:tcPr>
            <w:tcW w:w="2330" w:type="pct"/>
          </w:tcPr>
          <w:p w:rsidR="0071029D" w:rsidRPr="00047B76" w:rsidRDefault="0071029D" w:rsidP="0023484E">
            <w:pPr>
              <w:jc w:val="both"/>
              <w:rPr>
                <w:sz w:val="20"/>
              </w:rPr>
            </w:pPr>
            <w:r w:rsidRPr="00047B76">
              <w:rPr>
                <w:sz w:val="20"/>
              </w:rPr>
              <w:t>Action for damages against Thompson Fuels granted.</w:t>
            </w:r>
          </w:p>
          <w:p w:rsidR="0071029D" w:rsidRPr="00047B76" w:rsidRDefault="0071029D" w:rsidP="0023484E">
            <w:pPr>
              <w:jc w:val="both"/>
              <w:rPr>
                <w:sz w:val="20"/>
              </w:rPr>
            </w:pPr>
          </w:p>
        </w:tc>
      </w:tr>
      <w:tr w:rsidR="0071029D" w:rsidRPr="00047B76" w:rsidTr="0023484E">
        <w:tc>
          <w:tcPr>
            <w:tcW w:w="2427" w:type="pct"/>
            <w:gridSpan w:val="2"/>
          </w:tcPr>
          <w:p w:rsidR="0071029D" w:rsidRPr="00047B76" w:rsidRDefault="0071029D" w:rsidP="0023484E">
            <w:pPr>
              <w:jc w:val="both"/>
              <w:rPr>
                <w:sz w:val="20"/>
              </w:rPr>
            </w:pPr>
            <w:r w:rsidRPr="00047B76">
              <w:rPr>
                <w:sz w:val="20"/>
              </w:rPr>
              <w:t>November 16, 2017</w:t>
            </w:r>
          </w:p>
          <w:p w:rsidR="0071029D" w:rsidRPr="00047B76" w:rsidRDefault="0071029D" w:rsidP="0023484E">
            <w:pPr>
              <w:jc w:val="both"/>
              <w:rPr>
                <w:sz w:val="20"/>
              </w:rPr>
            </w:pPr>
            <w:r w:rsidRPr="00047B76">
              <w:rPr>
                <w:sz w:val="20"/>
              </w:rPr>
              <w:t>Ontario Superior Court of Justice</w:t>
            </w:r>
          </w:p>
          <w:p w:rsidR="0071029D" w:rsidRPr="00047B76" w:rsidRDefault="0071029D" w:rsidP="0023484E">
            <w:pPr>
              <w:jc w:val="both"/>
              <w:rPr>
                <w:sz w:val="20"/>
              </w:rPr>
            </w:pPr>
            <w:r w:rsidRPr="00047B76">
              <w:rPr>
                <w:sz w:val="20"/>
              </w:rPr>
              <w:t>(</w:t>
            </w:r>
            <w:proofErr w:type="spellStart"/>
            <w:r w:rsidRPr="00047B76">
              <w:rPr>
                <w:sz w:val="20"/>
              </w:rPr>
              <w:t>Charney</w:t>
            </w:r>
            <w:proofErr w:type="spellEnd"/>
            <w:r w:rsidRPr="00047B76">
              <w:rPr>
                <w:sz w:val="20"/>
              </w:rPr>
              <w:t xml:space="preserve"> J.)</w:t>
            </w:r>
          </w:p>
          <w:p w:rsidR="0071029D" w:rsidRPr="00047B76" w:rsidRDefault="009A56E8" w:rsidP="0023484E">
            <w:pPr>
              <w:jc w:val="both"/>
              <w:rPr>
                <w:sz w:val="20"/>
              </w:rPr>
            </w:pPr>
            <w:hyperlink r:id="rId82" w:history="1">
              <w:r w:rsidR="0071029D" w:rsidRPr="00047B76">
                <w:rPr>
                  <w:rStyle w:val="Hyperlink"/>
                  <w:sz w:val="20"/>
                </w:rPr>
                <w:t>2017 ONSC 6856</w:t>
              </w:r>
            </w:hyperlink>
          </w:p>
          <w:p w:rsidR="0071029D" w:rsidRPr="00047B76" w:rsidRDefault="0071029D" w:rsidP="0023484E">
            <w:pPr>
              <w:jc w:val="both"/>
              <w:rPr>
                <w:sz w:val="20"/>
              </w:rPr>
            </w:pPr>
          </w:p>
        </w:tc>
        <w:tc>
          <w:tcPr>
            <w:tcW w:w="243" w:type="pct"/>
          </w:tcPr>
          <w:p w:rsidR="0071029D" w:rsidRPr="00047B76" w:rsidRDefault="0071029D" w:rsidP="0023484E">
            <w:pPr>
              <w:jc w:val="both"/>
              <w:rPr>
                <w:sz w:val="20"/>
              </w:rPr>
            </w:pPr>
          </w:p>
        </w:tc>
        <w:tc>
          <w:tcPr>
            <w:tcW w:w="2330" w:type="pct"/>
          </w:tcPr>
          <w:p w:rsidR="0071029D" w:rsidRPr="00047B76" w:rsidRDefault="0071029D" w:rsidP="0023484E">
            <w:pPr>
              <w:jc w:val="both"/>
              <w:rPr>
                <w:sz w:val="20"/>
              </w:rPr>
            </w:pPr>
            <w:r w:rsidRPr="00047B76">
              <w:rPr>
                <w:sz w:val="20"/>
              </w:rPr>
              <w:t>Motions for an order setting off the partial agreement and to vary the judgment filed by Thompson Fuels dismissed.</w:t>
            </w:r>
          </w:p>
          <w:p w:rsidR="0071029D" w:rsidRPr="00047B76" w:rsidRDefault="0071029D" w:rsidP="0023484E">
            <w:pPr>
              <w:jc w:val="both"/>
              <w:rPr>
                <w:sz w:val="20"/>
              </w:rPr>
            </w:pPr>
            <w:r w:rsidRPr="00047B76">
              <w:rPr>
                <w:sz w:val="20"/>
              </w:rPr>
              <w:t>Motion to vary the judgment filed by Wayne Allan Gendron dismissed.</w:t>
            </w:r>
          </w:p>
        </w:tc>
      </w:tr>
      <w:tr w:rsidR="0071029D" w:rsidRPr="00047B76" w:rsidTr="0023484E">
        <w:tc>
          <w:tcPr>
            <w:tcW w:w="2427" w:type="pct"/>
            <w:gridSpan w:val="2"/>
          </w:tcPr>
          <w:p w:rsidR="0071029D" w:rsidRPr="00047B76" w:rsidRDefault="0071029D" w:rsidP="0023484E">
            <w:pPr>
              <w:jc w:val="both"/>
              <w:rPr>
                <w:sz w:val="20"/>
              </w:rPr>
            </w:pPr>
            <w:r w:rsidRPr="00047B76">
              <w:rPr>
                <w:sz w:val="20"/>
              </w:rPr>
              <w:lastRenderedPageBreak/>
              <w:t>April 12, 2019</w:t>
            </w:r>
          </w:p>
          <w:p w:rsidR="0071029D" w:rsidRPr="00047B76" w:rsidRDefault="0071029D" w:rsidP="0023484E">
            <w:pPr>
              <w:jc w:val="both"/>
              <w:rPr>
                <w:sz w:val="20"/>
              </w:rPr>
            </w:pPr>
            <w:r w:rsidRPr="00047B76">
              <w:rPr>
                <w:sz w:val="20"/>
              </w:rPr>
              <w:t>Court of Appeal for Ontario</w:t>
            </w:r>
          </w:p>
          <w:p w:rsidR="0071029D" w:rsidRPr="00047B76" w:rsidRDefault="0071029D" w:rsidP="0023484E">
            <w:pPr>
              <w:jc w:val="both"/>
              <w:rPr>
                <w:sz w:val="20"/>
              </w:rPr>
            </w:pPr>
            <w:r w:rsidRPr="00047B76">
              <w:rPr>
                <w:sz w:val="20"/>
              </w:rPr>
              <w:t xml:space="preserve">(Hourigan, Miller and </w:t>
            </w:r>
            <w:proofErr w:type="spellStart"/>
            <w:r w:rsidRPr="00047B76">
              <w:rPr>
                <w:sz w:val="20"/>
              </w:rPr>
              <w:t>Paciocco</w:t>
            </w:r>
            <w:proofErr w:type="spellEnd"/>
            <w:r w:rsidRPr="00047B76">
              <w:rPr>
                <w:sz w:val="20"/>
              </w:rPr>
              <w:t xml:space="preserve"> JJ.A.)</w:t>
            </w:r>
          </w:p>
          <w:p w:rsidR="0071029D" w:rsidRPr="00047B76" w:rsidRDefault="009A56E8" w:rsidP="0023484E">
            <w:pPr>
              <w:jc w:val="both"/>
              <w:rPr>
                <w:sz w:val="20"/>
              </w:rPr>
            </w:pPr>
            <w:hyperlink r:id="rId83" w:history="1">
              <w:r w:rsidR="0071029D" w:rsidRPr="00047B76">
                <w:rPr>
                  <w:rStyle w:val="Hyperlink"/>
                  <w:sz w:val="20"/>
                </w:rPr>
                <w:t>2019 ONCA 293</w:t>
              </w:r>
            </w:hyperlink>
            <w:r w:rsidR="0071029D" w:rsidRPr="00047B76">
              <w:rPr>
                <w:sz w:val="20"/>
              </w:rPr>
              <w:t xml:space="preserve"> </w:t>
            </w:r>
          </w:p>
          <w:p w:rsidR="0071029D" w:rsidRPr="00047B76" w:rsidRDefault="0071029D" w:rsidP="0023484E">
            <w:pPr>
              <w:jc w:val="both"/>
              <w:rPr>
                <w:sz w:val="20"/>
              </w:rPr>
            </w:pPr>
          </w:p>
        </w:tc>
        <w:tc>
          <w:tcPr>
            <w:tcW w:w="243" w:type="pct"/>
          </w:tcPr>
          <w:p w:rsidR="0071029D" w:rsidRPr="00047B76" w:rsidRDefault="0071029D" w:rsidP="0023484E">
            <w:pPr>
              <w:jc w:val="both"/>
              <w:rPr>
                <w:sz w:val="20"/>
              </w:rPr>
            </w:pPr>
          </w:p>
        </w:tc>
        <w:tc>
          <w:tcPr>
            <w:tcW w:w="2330" w:type="pct"/>
          </w:tcPr>
          <w:p w:rsidR="0071029D" w:rsidRPr="00047B76" w:rsidRDefault="0071029D" w:rsidP="0023484E">
            <w:pPr>
              <w:jc w:val="both"/>
              <w:rPr>
                <w:sz w:val="20"/>
              </w:rPr>
            </w:pPr>
            <w:r w:rsidRPr="00047B76">
              <w:rPr>
                <w:sz w:val="20"/>
              </w:rPr>
              <w:t>Appeals dismissed in part.</w:t>
            </w:r>
          </w:p>
          <w:p w:rsidR="0071029D" w:rsidRPr="00047B76" w:rsidRDefault="0071029D" w:rsidP="0023484E">
            <w:pPr>
              <w:jc w:val="both"/>
              <w:rPr>
                <w:sz w:val="20"/>
              </w:rPr>
            </w:pPr>
          </w:p>
        </w:tc>
      </w:tr>
      <w:tr w:rsidR="0071029D" w:rsidRPr="00047B76" w:rsidTr="0023484E">
        <w:tc>
          <w:tcPr>
            <w:tcW w:w="2427" w:type="pct"/>
            <w:gridSpan w:val="2"/>
          </w:tcPr>
          <w:p w:rsidR="0071029D" w:rsidRPr="00047B76" w:rsidRDefault="0071029D" w:rsidP="0023484E">
            <w:pPr>
              <w:jc w:val="both"/>
              <w:rPr>
                <w:sz w:val="20"/>
              </w:rPr>
            </w:pPr>
            <w:r w:rsidRPr="00047B76">
              <w:rPr>
                <w:sz w:val="20"/>
              </w:rPr>
              <w:t>June 11, 2019</w:t>
            </w:r>
          </w:p>
          <w:p w:rsidR="0071029D" w:rsidRPr="00047B76" w:rsidRDefault="0071029D" w:rsidP="0023484E">
            <w:pPr>
              <w:jc w:val="both"/>
              <w:rPr>
                <w:sz w:val="20"/>
              </w:rPr>
            </w:pPr>
            <w:r w:rsidRPr="00047B76">
              <w:rPr>
                <w:sz w:val="20"/>
              </w:rPr>
              <w:t>Supreme Court of Canada</w:t>
            </w:r>
          </w:p>
        </w:tc>
        <w:tc>
          <w:tcPr>
            <w:tcW w:w="243" w:type="pct"/>
          </w:tcPr>
          <w:p w:rsidR="0071029D" w:rsidRPr="00047B76" w:rsidRDefault="0071029D" w:rsidP="0023484E">
            <w:pPr>
              <w:jc w:val="both"/>
              <w:rPr>
                <w:sz w:val="20"/>
              </w:rPr>
            </w:pPr>
          </w:p>
        </w:tc>
        <w:tc>
          <w:tcPr>
            <w:tcW w:w="2330" w:type="pct"/>
          </w:tcPr>
          <w:p w:rsidR="0071029D" w:rsidRPr="00047B76" w:rsidRDefault="0071029D" w:rsidP="0023484E">
            <w:pPr>
              <w:jc w:val="both"/>
              <w:rPr>
                <w:sz w:val="20"/>
              </w:rPr>
            </w:pPr>
            <w:r w:rsidRPr="00047B76">
              <w:rPr>
                <w:sz w:val="20"/>
              </w:rPr>
              <w:t>Application for leave to appeal filed</w:t>
            </w:r>
          </w:p>
          <w:p w:rsidR="0071029D" w:rsidRPr="00047B76" w:rsidRDefault="0071029D" w:rsidP="0023484E">
            <w:pPr>
              <w:jc w:val="both"/>
              <w:rPr>
                <w:sz w:val="20"/>
              </w:rPr>
            </w:pPr>
          </w:p>
        </w:tc>
      </w:tr>
    </w:tbl>
    <w:p w:rsidR="0071029D" w:rsidRPr="00047B76" w:rsidRDefault="0071029D" w:rsidP="0071029D">
      <w:pPr>
        <w:jc w:val="both"/>
        <w:rPr>
          <w:sz w:val="20"/>
        </w:rPr>
      </w:pPr>
    </w:p>
    <w:p w:rsidR="0071029D" w:rsidRPr="00047B76" w:rsidRDefault="009A56E8" w:rsidP="0071029D">
      <w:pPr>
        <w:jc w:val="both"/>
        <w:rPr>
          <w:sz w:val="20"/>
        </w:rPr>
      </w:pPr>
      <w:r>
        <w:rPr>
          <w:sz w:val="20"/>
        </w:rPr>
        <w:pict>
          <v:rect id="_x0000_i1064" style="width:2in;height:1pt" o:hrpct="0" o:hralign="center" o:hrstd="t" o:hrnoshade="t" o:hr="t" fillcolor="black [3213]" stroked="f"/>
        </w:pict>
      </w:r>
    </w:p>
    <w:p w:rsidR="0071029D" w:rsidRPr="00047B76" w:rsidRDefault="0071029D" w:rsidP="0071029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1029D" w:rsidRPr="00047B76" w:rsidTr="0023484E">
        <w:tc>
          <w:tcPr>
            <w:tcW w:w="543" w:type="pct"/>
          </w:tcPr>
          <w:p w:rsidR="0071029D" w:rsidRPr="00047B76" w:rsidRDefault="0071029D" w:rsidP="0023484E">
            <w:pPr>
              <w:jc w:val="both"/>
              <w:rPr>
                <w:sz w:val="20"/>
                <w:lang w:val="fr-CA"/>
              </w:rPr>
            </w:pPr>
            <w:r w:rsidRPr="00047B76">
              <w:rPr>
                <w:rStyle w:val="SCCFileNumberChar"/>
                <w:sz w:val="20"/>
                <w:szCs w:val="20"/>
                <w:lang w:val="fr-CA"/>
              </w:rPr>
              <w:t>38698</w:t>
            </w:r>
          </w:p>
        </w:tc>
        <w:tc>
          <w:tcPr>
            <w:tcW w:w="4457" w:type="pct"/>
          </w:tcPr>
          <w:p w:rsidR="0071029D" w:rsidRPr="00047B76" w:rsidRDefault="0071029D" w:rsidP="0023484E">
            <w:pPr>
              <w:pStyle w:val="SCCLsocParty"/>
              <w:jc w:val="both"/>
              <w:rPr>
                <w:b/>
                <w:sz w:val="20"/>
                <w:szCs w:val="20"/>
              </w:rPr>
            </w:pPr>
            <w:r w:rsidRPr="00047B76">
              <w:rPr>
                <w:b/>
                <w:sz w:val="20"/>
                <w:szCs w:val="20"/>
              </w:rPr>
              <w:t xml:space="preserve">Doug C. Thompson Ltd. faisant affaire sous le nom de Thompson Fuels c. Wayne Allan Gendron et </w:t>
            </w:r>
            <w:proofErr w:type="spellStart"/>
            <w:r w:rsidRPr="00047B76">
              <w:rPr>
                <w:b/>
                <w:sz w:val="20"/>
                <w:szCs w:val="20"/>
              </w:rPr>
              <w:t>Technical</w:t>
            </w:r>
            <w:proofErr w:type="spellEnd"/>
            <w:r w:rsidRPr="00047B76">
              <w:rPr>
                <w:b/>
                <w:sz w:val="20"/>
                <w:szCs w:val="20"/>
              </w:rPr>
              <w:t xml:space="preserve"> Standards and Safety </w:t>
            </w:r>
            <w:proofErr w:type="spellStart"/>
            <w:r w:rsidRPr="00047B76">
              <w:rPr>
                <w:b/>
                <w:sz w:val="20"/>
                <w:szCs w:val="20"/>
              </w:rPr>
              <w:t>Authority</w:t>
            </w:r>
            <w:proofErr w:type="spellEnd"/>
          </w:p>
          <w:p w:rsidR="0071029D" w:rsidRPr="00047B76" w:rsidRDefault="0071029D" w:rsidP="0023484E">
            <w:pPr>
              <w:jc w:val="both"/>
              <w:rPr>
                <w:sz w:val="20"/>
                <w:lang w:val="fr-CA"/>
              </w:rPr>
            </w:pPr>
            <w:r w:rsidRPr="00047B76">
              <w:rPr>
                <w:sz w:val="20"/>
                <w:lang w:val="fr-CA"/>
              </w:rPr>
              <w:t>(Ont.) (Civile) (Autorisation)</w:t>
            </w:r>
          </w:p>
        </w:tc>
      </w:tr>
      <w:tr w:rsidR="00E80644" w:rsidRPr="00957F6E" w:rsidTr="0023484E">
        <w:tc>
          <w:tcPr>
            <w:tcW w:w="5000" w:type="pct"/>
            <w:gridSpan w:val="2"/>
          </w:tcPr>
          <w:p w:rsidR="00E80644" w:rsidRPr="00047B76" w:rsidRDefault="00D14C64" w:rsidP="0023484E">
            <w:pPr>
              <w:jc w:val="both"/>
              <w:rPr>
                <w:sz w:val="20"/>
                <w:szCs w:val="20"/>
                <w:lang w:val="fr-CA"/>
              </w:rPr>
            </w:pPr>
            <w:r w:rsidRPr="00047B76">
              <w:rPr>
                <w:sz w:val="20"/>
                <w:szCs w:val="20"/>
                <w:lang w:val="fr-CA"/>
              </w:rPr>
              <w:t>La requête en prorogation du délai de signification et de dépôt de la réponse à la demande d’autorisation d’appel de l’intimé, Wayne Allen Gendron, est accueillie. La demande d’autorisation d’appel de l’arrêt de la Cour d’appel de l’Ontario, numéros C64188 et C64191, 2019 ONCA 293, daté du 12 avril 2019, est rejetée avec dépens.</w:t>
            </w:r>
          </w:p>
          <w:p w:rsidR="00D14C64" w:rsidRPr="00047B76" w:rsidRDefault="00D14C64" w:rsidP="0023484E">
            <w:pPr>
              <w:jc w:val="both"/>
              <w:rPr>
                <w:sz w:val="20"/>
                <w:lang w:val="fr-CA"/>
              </w:rPr>
            </w:pPr>
          </w:p>
        </w:tc>
      </w:tr>
      <w:tr w:rsidR="0071029D" w:rsidRPr="00957F6E" w:rsidTr="0023484E">
        <w:tc>
          <w:tcPr>
            <w:tcW w:w="5000" w:type="pct"/>
            <w:gridSpan w:val="2"/>
          </w:tcPr>
          <w:p w:rsidR="0071029D" w:rsidRPr="00047B76" w:rsidRDefault="0071029D" w:rsidP="0023484E">
            <w:pPr>
              <w:jc w:val="both"/>
              <w:rPr>
                <w:sz w:val="20"/>
                <w:lang w:val="fr-CA"/>
              </w:rPr>
            </w:pPr>
            <w:r w:rsidRPr="00047B76">
              <w:rPr>
                <w:sz w:val="20"/>
                <w:lang w:val="fr-CA"/>
              </w:rPr>
              <w:t xml:space="preserve">Responsabilité délictuelle — Négligence — Obligation de diligence — Violation d’un règlement — Clause d’exclusion contractuelle — Négligence contributive — Répartition de la responsabilité — Évaluation des dommages — Entente de règlement de type </w:t>
            </w:r>
            <w:proofErr w:type="spellStart"/>
            <w:r w:rsidRPr="00047B76">
              <w:rPr>
                <w:sz w:val="20"/>
                <w:lang w:val="fr-CA"/>
              </w:rPr>
              <w:t>Pierringer</w:t>
            </w:r>
            <w:proofErr w:type="spellEnd"/>
            <w:r w:rsidRPr="00047B76">
              <w:rPr>
                <w:sz w:val="20"/>
                <w:lang w:val="fr-CA"/>
              </w:rPr>
              <w:t xml:space="preserve"> ‒ Inspection de réservoirs de mazout — Une fuite de mazout a entraîné la contamination environnementale du sol et d’un lac — Assainissement — Les demandeurs devraient</w:t>
            </w:r>
            <w:r w:rsidRPr="00047B76">
              <w:rPr>
                <w:sz w:val="20"/>
                <w:lang w:val="fr-CA"/>
              </w:rPr>
              <w:noBreakHyphen/>
              <w:t>ils profiter de l’excédent éventuel d’un règlement partiel sans égard à leur négligence contributive et au règlement complet de leur réclamation contre les défendeurs? — Le cadre juridique applicable à la comparaison des comportements répréhensibles et à la répartition de la faute, y compris les facteurs d’évaluation pertinents, devrait</w:t>
            </w:r>
            <w:r w:rsidRPr="00047B76">
              <w:rPr>
                <w:sz w:val="20"/>
                <w:lang w:val="fr-CA"/>
              </w:rPr>
              <w:noBreakHyphen/>
              <w:t>il être uniforme d’une province à l’autre? — Les tribunaux devraient-ils se prononcer sur l’omission du propriétaire de la maison de prendre des mesures raisonnables au regard de la négligence contributive ou de la limitation du préjudice dans le contexte de la contamination environnementale? — Les tribunaux peuvent</w:t>
            </w:r>
            <w:r w:rsidRPr="00047B76">
              <w:rPr>
                <w:sz w:val="20"/>
                <w:lang w:val="fr-CA"/>
              </w:rPr>
              <w:noBreakHyphen/>
              <w:t>ils conclure à la négligence sur le fondement du non</w:t>
            </w:r>
            <w:r w:rsidRPr="00047B76">
              <w:rPr>
                <w:sz w:val="20"/>
                <w:lang w:val="fr-CA"/>
              </w:rPr>
              <w:noBreakHyphen/>
              <w:t>respect des prescriptions d’un règlement ou d’un code, sans se prononcer sur le caractère raisonnable sous</w:t>
            </w:r>
            <w:r w:rsidRPr="00047B76">
              <w:rPr>
                <w:sz w:val="20"/>
                <w:lang w:val="fr-CA"/>
              </w:rPr>
              <w:noBreakHyphen/>
              <w:t>jacent du non</w:t>
            </w:r>
            <w:r w:rsidRPr="00047B76">
              <w:rPr>
                <w:sz w:val="20"/>
                <w:lang w:val="fr-CA"/>
              </w:rPr>
              <w:noBreakHyphen/>
              <w:t>respect? — Le juge de première instance a</w:t>
            </w:r>
            <w:r w:rsidRPr="00047B76">
              <w:rPr>
                <w:sz w:val="20"/>
                <w:lang w:val="fr-CA"/>
              </w:rPr>
              <w:noBreakHyphen/>
              <w:t>t</w:t>
            </w:r>
            <w:r w:rsidRPr="00047B76">
              <w:rPr>
                <w:sz w:val="20"/>
                <w:lang w:val="fr-CA"/>
              </w:rPr>
              <w:noBreakHyphen/>
              <w:t>il une obligation continue de contrôler les opinions d’expert qui n’ont pas l’objectivité et l’impartialité suffisantes, et ce, même au</w:t>
            </w:r>
            <w:r w:rsidRPr="00047B76">
              <w:rPr>
                <w:sz w:val="20"/>
                <w:lang w:val="fr-CA"/>
              </w:rPr>
              <w:noBreakHyphen/>
              <w:t>delà du stade de l’évaluation de la qualification de l’expert? — Les exclusions contractuelles sont</w:t>
            </w:r>
            <w:r w:rsidRPr="00047B76">
              <w:rPr>
                <w:sz w:val="20"/>
                <w:lang w:val="fr-CA"/>
              </w:rPr>
              <w:noBreakHyphen/>
              <w:t>elles exécutoires lorsque le tribunal conclut au non</w:t>
            </w:r>
            <w:r w:rsidRPr="00047B76">
              <w:rPr>
                <w:sz w:val="20"/>
                <w:lang w:val="fr-CA"/>
              </w:rPr>
              <w:noBreakHyphen/>
              <w:t>respect d’un règlement, mais où les exclusions ne reposent pas sur la non</w:t>
            </w:r>
            <w:r w:rsidRPr="00047B76">
              <w:rPr>
                <w:sz w:val="20"/>
                <w:lang w:val="fr-CA"/>
              </w:rPr>
              <w:noBreakHyphen/>
              <w:t>conformité et y a</w:t>
            </w:r>
            <w:r w:rsidRPr="00047B76">
              <w:rPr>
                <w:sz w:val="20"/>
                <w:lang w:val="fr-CA"/>
              </w:rPr>
              <w:noBreakHyphen/>
              <w:t>t</w:t>
            </w:r>
            <w:r w:rsidRPr="00047B76">
              <w:rPr>
                <w:sz w:val="20"/>
                <w:lang w:val="fr-CA"/>
              </w:rPr>
              <w:noBreakHyphen/>
              <w:t>il lieu d’évaluer l’iniquité et l’ordre public à la date de formation du contrat? — Le juge de première instance s’est</w:t>
            </w:r>
            <w:r w:rsidRPr="00047B76">
              <w:rPr>
                <w:sz w:val="20"/>
                <w:lang w:val="fr-CA"/>
              </w:rPr>
              <w:noBreakHyphen/>
              <w:t>il acquitté de son obligation de fournir des motifs adéquats?</w:t>
            </w:r>
          </w:p>
        </w:tc>
      </w:tr>
      <w:tr w:rsidR="0071029D" w:rsidRPr="00957F6E" w:rsidTr="0023484E">
        <w:tc>
          <w:tcPr>
            <w:tcW w:w="5000" w:type="pct"/>
            <w:gridSpan w:val="2"/>
          </w:tcPr>
          <w:p w:rsidR="0071029D" w:rsidRPr="00047B76" w:rsidRDefault="0071029D" w:rsidP="0023484E">
            <w:pPr>
              <w:jc w:val="both"/>
              <w:rPr>
                <w:sz w:val="20"/>
                <w:lang w:val="fr-CA"/>
              </w:rPr>
            </w:pPr>
          </w:p>
        </w:tc>
      </w:tr>
    </w:tbl>
    <w:p w:rsidR="00900ECD" w:rsidRPr="00047B76" w:rsidRDefault="00900ECD">
      <w:pPr>
        <w:rPr>
          <w:lang w:val="fr-CA"/>
        </w:rPr>
      </w:pPr>
      <w:r w:rsidRPr="00047B76">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1029D" w:rsidRPr="00957F6E" w:rsidTr="0023484E">
        <w:tc>
          <w:tcPr>
            <w:tcW w:w="5000" w:type="pct"/>
            <w:gridSpan w:val="3"/>
          </w:tcPr>
          <w:p w:rsidR="0071029D" w:rsidRPr="00047B76" w:rsidRDefault="0071029D" w:rsidP="0023484E">
            <w:pPr>
              <w:jc w:val="both"/>
              <w:rPr>
                <w:sz w:val="20"/>
                <w:lang w:val="fr-CA"/>
              </w:rPr>
            </w:pPr>
            <w:r w:rsidRPr="00047B76">
              <w:rPr>
                <w:sz w:val="20"/>
                <w:lang w:val="fr-CA"/>
              </w:rPr>
              <w:lastRenderedPageBreak/>
              <w:t>Le 18 décembre 2008, la demanderesse, Thompson Fuels a livré 700 litres de mazout à l’intimé Wayne Allan Gendron. Presque immédiatement après la livraison, le mazout a fui d’un des deux réservoirs que M. Gendron avait installés lui</w:t>
            </w:r>
            <w:r w:rsidRPr="00047B76">
              <w:rPr>
                <w:sz w:val="20"/>
                <w:lang w:val="fr-CA"/>
              </w:rPr>
              <w:noBreakHyphen/>
              <w:t xml:space="preserve">même. Monsieur Gendron s’est aperçu de la fuite environ une heure après la livraison du mazout. Il a recueilli environ 100 litres de mazout dans des contenants « Tupperware », tandis qu’une partie du mazout est restée sur place et s’est infiltrée dans le sol. Le reste du mazout s’est frayé un chemin jusqu’à un lac voisin en passant par un réseau d’évacuation situé sous la maison de M. Gendron, puis par le ponceau municipal. Le Centre d’intervention en cas de déversement du ministère de l’Environnement (MDE), informé de la fuite, a envoyé un rapport au </w:t>
            </w:r>
            <w:proofErr w:type="spellStart"/>
            <w:r w:rsidRPr="00047B76">
              <w:rPr>
                <w:sz w:val="20"/>
                <w:lang w:val="fr-CA"/>
              </w:rPr>
              <w:t>Technical</w:t>
            </w:r>
            <w:proofErr w:type="spellEnd"/>
            <w:r w:rsidRPr="00047B76">
              <w:rPr>
                <w:sz w:val="20"/>
                <w:lang w:val="fr-CA"/>
              </w:rPr>
              <w:t xml:space="preserve"> Standards and Safety </w:t>
            </w:r>
            <w:proofErr w:type="spellStart"/>
            <w:r w:rsidRPr="00047B76">
              <w:rPr>
                <w:sz w:val="20"/>
                <w:lang w:val="fr-CA"/>
              </w:rPr>
              <w:t>Authority</w:t>
            </w:r>
            <w:proofErr w:type="spellEnd"/>
            <w:r w:rsidRPr="00047B76">
              <w:rPr>
                <w:sz w:val="20"/>
                <w:lang w:val="fr-CA"/>
              </w:rPr>
              <w:t xml:space="preserve"> (office des normes techniques et de la sécurité) responsable de la réglementation provinciale de la distribution du mazout. Le 22 décembre 2008, un inspecteur de la sécurité du mazout a examiné le rapport et a fait une inspection visuelle de la propriété de M. Gendron. Le 24 décembre 2008, l’inspecteur a ordonné à M. Gendron d’obtenir une expertise de l’étendue complète des impacts du déversement sur le sol et l’eau souterraine. Le 29 décembre 2008, M. Gendron a déclaré le sinistre à son assureur qui a retenu les services d’un expert indépendant et d’un entrepreneur en assainissement. Informé par l’entrepreneur que le mazout s’était introduit dans le lac voisin, le MDE a ordonné à M. Gendron d’entreprendre des travaux d’assainissement. Les travaux d’assainissement sur le site, qui comprenaient la démolition de la maison, se sont déroulés jusqu’en juillet 2009. Le coût de l’assainissement hors site a fini par atteindre près de deux millions de dollars. Monsieur Gendron a finalement été sommé d’indemniser la municipalité de </w:t>
            </w:r>
            <w:proofErr w:type="spellStart"/>
            <w:r w:rsidRPr="00047B76">
              <w:rPr>
                <w:sz w:val="20"/>
                <w:lang w:val="fr-CA"/>
              </w:rPr>
              <w:t>Kawartha</w:t>
            </w:r>
            <w:proofErr w:type="spellEnd"/>
            <w:r w:rsidRPr="00047B76">
              <w:rPr>
                <w:sz w:val="20"/>
                <w:lang w:val="fr-CA"/>
              </w:rPr>
              <w:t xml:space="preserve"> Lake qui a dû achever les travaux d’assainissement lorsque la couverture d’assurance hors site de M. Gendron a été épuisée. Le 15 juillet 2009, M. Gendron a déposé une poursuite contre Thompson Fuels et deux autres défendeurs pour négligence. La Cour supérieure de justice de l’Ontario a accueilli l’action contre Thompson Fuels. La Cour d’appel a rejeté les appels déposés par Thompson Fuels et M. Gendron, sauf qu’elle a consenti une réduction des dommages</w:t>
            </w:r>
            <w:r w:rsidRPr="00047B76">
              <w:rPr>
                <w:sz w:val="20"/>
                <w:lang w:val="fr-CA"/>
              </w:rPr>
              <w:noBreakHyphen/>
              <w:t>intérêts égale au montant payé en lien avec la ligne de crédit de M. Gendron.</w:t>
            </w:r>
          </w:p>
          <w:p w:rsidR="0071029D" w:rsidRPr="00047B76" w:rsidRDefault="0071029D" w:rsidP="0023484E">
            <w:pPr>
              <w:jc w:val="both"/>
              <w:rPr>
                <w:sz w:val="20"/>
                <w:lang w:val="fr-CA"/>
              </w:rPr>
            </w:pPr>
          </w:p>
        </w:tc>
      </w:tr>
      <w:tr w:rsidR="0071029D" w:rsidRPr="00957F6E" w:rsidTr="0023484E">
        <w:tc>
          <w:tcPr>
            <w:tcW w:w="2427" w:type="pct"/>
          </w:tcPr>
          <w:p w:rsidR="0071029D" w:rsidRPr="00047B76" w:rsidRDefault="0071029D" w:rsidP="0023484E">
            <w:pPr>
              <w:jc w:val="both"/>
              <w:rPr>
                <w:sz w:val="20"/>
                <w:lang w:val="fr-CA"/>
              </w:rPr>
            </w:pPr>
            <w:r w:rsidRPr="00047B76">
              <w:rPr>
                <w:sz w:val="20"/>
                <w:lang w:val="fr-CA"/>
              </w:rPr>
              <w:t>17 juillet 2017</w:t>
            </w:r>
          </w:p>
          <w:p w:rsidR="0071029D" w:rsidRPr="00047B76" w:rsidRDefault="0071029D" w:rsidP="0023484E">
            <w:pPr>
              <w:jc w:val="both"/>
              <w:rPr>
                <w:sz w:val="20"/>
                <w:lang w:val="fr-CA"/>
              </w:rPr>
            </w:pPr>
            <w:r w:rsidRPr="00047B76">
              <w:rPr>
                <w:sz w:val="20"/>
                <w:lang w:val="fr-CA"/>
              </w:rPr>
              <w:t>Cour supérieure de justice de l’Ontario</w:t>
            </w:r>
          </w:p>
          <w:p w:rsidR="0071029D" w:rsidRPr="00047B76" w:rsidRDefault="0071029D" w:rsidP="0023484E">
            <w:pPr>
              <w:jc w:val="both"/>
              <w:rPr>
                <w:sz w:val="20"/>
                <w:lang w:val="fr-CA"/>
              </w:rPr>
            </w:pPr>
            <w:r w:rsidRPr="00047B76">
              <w:rPr>
                <w:sz w:val="20"/>
                <w:lang w:val="fr-CA"/>
              </w:rPr>
              <w:t xml:space="preserve">(Juge </w:t>
            </w:r>
            <w:proofErr w:type="spellStart"/>
            <w:r w:rsidRPr="00047B76">
              <w:rPr>
                <w:sz w:val="20"/>
                <w:lang w:val="fr-CA"/>
              </w:rPr>
              <w:t>Charney</w:t>
            </w:r>
            <w:proofErr w:type="spellEnd"/>
            <w:r w:rsidRPr="00047B76">
              <w:rPr>
                <w:sz w:val="20"/>
                <w:lang w:val="fr-CA"/>
              </w:rPr>
              <w:t>)</w:t>
            </w:r>
          </w:p>
          <w:p w:rsidR="0071029D" w:rsidRPr="00047B76" w:rsidRDefault="009A56E8" w:rsidP="0023484E">
            <w:pPr>
              <w:jc w:val="both"/>
              <w:rPr>
                <w:sz w:val="20"/>
                <w:lang w:val="fr-CA"/>
              </w:rPr>
            </w:pPr>
            <w:hyperlink r:id="rId84" w:history="1">
              <w:r w:rsidR="0071029D" w:rsidRPr="00047B76">
                <w:rPr>
                  <w:rStyle w:val="Hyperlink"/>
                  <w:sz w:val="20"/>
                  <w:lang w:val="fr-CA"/>
                </w:rPr>
                <w:t>2017 ONSC 4009</w:t>
              </w:r>
            </w:hyperlink>
          </w:p>
          <w:p w:rsidR="0071029D" w:rsidRPr="00047B76" w:rsidRDefault="0071029D" w:rsidP="0023484E">
            <w:pPr>
              <w:jc w:val="both"/>
              <w:rPr>
                <w:sz w:val="20"/>
                <w:lang w:val="fr-CA"/>
              </w:rPr>
            </w:pPr>
          </w:p>
        </w:tc>
        <w:tc>
          <w:tcPr>
            <w:tcW w:w="243" w:type="pct"/>
          </w:tcPr>
          <w:p w:rsidR="0071029D" w:rsidRPr="00047B76" w:rsidRDefault="0071029D" w:rsidP="0023484E">
            <w:pPr>
              <w:jc w:val="both"/>
              <w:rPr>
                <w:sz w:val="20"/>
                <w:lang w:val="fr-CA"/>
              </w:rPr>
            </w:pPr>
          </w:p>
        </w:tc>
        <w:tc>
          <w:tcPr>
            <w:tcW w:w="2330" w:type="pct"/>
          </w:tcPr>
          <w:p w:rsidR="0071029D" w:rsidRPr="00047B76" w:rsidRDefault="0071029D" w:rsidP="0023484E">
            <w:pPr>
              <w:jc w:val="both"/>
              <w:rPr>
                <w:sz w:val="20"/>
                <w:lang w:val="fr-CA"/>
              </w:rPr>
            </w:pPr>
            <w:r w:rsidRPr="00047B76">
              <w:rPr>
                <w:sz w:val="20"/>
                <w:lang w:val="fr-CA"/>
              </w:rPr>
              <w:t>Jugement accueillant l’action en dommages</w:t>
            </w:r>
            <w:r w:rsidRPr="00047B76">
              <w:rPr>
                <w:sz w:val="20"/>
                <w:lang w:val="fr-CA"/>
              </w:rPr>
              <w:noBreakHyphen/>
              <w:t>intérêts contre Thompson Fuels.</w:t>
            </w:r>
          </w:p>
          <w:p w:rsidR="0071029D" w:rsidRPr="00047B76" w:rsidRDefault="0071029D" w:rsidP="0023484E">
            <w:pPr>
              <w:jc w:val="both"/>
              <w:rPr>
                <w:sz w:val="20"/>
                <w:lang w:val="fr-CA"/>
              </w:rPr>
            </w:pPr>
          </w:p>
        </w:tc>
      </w:tr>
      <w:tr w:rsidR="0071029D" w:rsidRPr="00957F6E" w:rsidTr="0023484E">
        <w:tc>
          <w:tcPr>
            <w:tcW w:w="2427" w:type="pct"/>
          </w:tcPr>
          <w:p w:rsidR="0071029D" w:rsidRPr="00047B76" w:rsidRDefault="0071029D" w:rsidP="0023484E">
            <w:pPr>
              <w:jc w:val="both"/>
              <w:rPr>
                <w:sz w:val="20"/>
                <w:lang w:val="fr-CA"/>
              </w:rPr>
            </w:pPr>
            <w:r w:rsidRPr="00047B76">
              <w:rPr>
                <w:sz w:val="20"/>
                <w:lang w:val="fr-CA"/>
              </w:rPr>
              <w:t>16 novembre 2017</w:t>
            </w:r>
          </w:p>
          <w:p w:rsidR="0071029D" w:rsidRPr="00047B76" w:rsidRDefault="0071029D" w:rsidP="0023484E">
            <w:pPr>
              <w:jc w:val="both"/>
              <w:rPr>
                <w:sz w:val="20"/>
                <w:lang w:val="fr-CA"/>
              </w:rPr>
            </w:pPr>
            <w:r w:rsidRPr="00047B76">
              <w:rPr>
                <w:sz w:val="20"/>
                <w:lang w:val="fr-CA"/>
              </w:rPr>
              <w:t>Cour supérieure de justice de l’Ontario</w:t>
            </w:r>
          </w:p>
          <w:p w:rsidR="0071029D" w:rsidRPr="00047B76" w:rsidRDefault="0071029D" w:rsidP="0023484E">
            <w:pPr>
              <w:jc w:val="both"/>
              <w:rPr>
                <w:sz w:val="20"/>
                <w:lang w:val="fr-CA"/>
              </w:rPr>
            </w:pPr>
            <w:r w:rsidRPr="00047B76">
              <w:rPr>
                <w:sz w:val="20"/>
                <w:lang w:val="fr-CA"/>
              </w:rPr>
              <w:t xml:space="preserve">(Juge </w:t>
            </w:r>
            <w:proofErr w:type="spellStart"/>
            <w:r w:rsidRPr="00047B76">
              <w:rPr>
                <w:sz w:val="20"/>
                <w:lang w:val="fr-CA"/>
              </w:rPr>
              <w:t>Charney</w:t>
            </w:r>
            <w:proofErr w:type="spellEnd"/>
            <w:r w:rsidRPr="00047B76">
              <w:rPr>
                <w:sz w:val="20"/>
                <w:lang w:val="fr-CA"/>
              </w:rPr>
              <w:t>)</w:t>
            </w:r>
          </w:p>
          <w:p w:rsidR="0071029D" w:rsidRPr="00047B76" w:rsidRDefault="009A56E8" w:rsidP="0023484E">
            <w:pPr>
              <w:jc w:val="both"/>
              <w:rPr>
                <w:sz w:val="20"/>
                <w:lang w:val="fr-CA"/>
              </w:rPr>
            </w:pPr>
            <w:hyperlink r:id="rId85" w:history="1">
              <w:r w:rsidR="0071029D" w:rsidRPr="00047B76">
                <w:rPr>
                  <w:rStyle w:val="Hyperlink"/>
                  <w:sz w:val="20"/>
                  <w:lang w:val="fr-CA"/>
                </w:rPr>
                <w:t>2017 ONSC 6856</w:t>
              </w:r>
            </w:hyperlink>
          </w:p>
          <w:p w:rsidR="0071029D" w:rsidRPr="00047B76" w:rsidRDefault="0071029D" w:rsidP="0023484E">
            <w:pPr>
              <w:jc w:val="both"/>
              <w:rPr>
                <w:sz w:val="20"/>
                <w:lang w:val="fr-CA"/>
              </w:rPr>
            </w:pPr>
          </w:p>
        </w:tc>
        <w:tc>
          <w:tcPr>
            <w:tcW w:w="243" w:type="pct"/>
          </w:tcPr>
          <w:p w:rsidR="0071029D" w:rsidRPr="00047B76" w:rsidRDefault="0071029D" w:rsidP="0023484E">
            <w:pPr>
              <w:jc w:val="both"/>
              <w:rPr>
                <w:sz w:val="20"/>
                <w:lang w:val="fr-CA"/>
              </w:rPr>
            </w:pPr>
          </w:p>
        </w:tc>
        <w:tc>
          <w:tcPr>
            <w:tcW w:w="2330" w:type="pct"/>
          </w:tcPr>
          <w:p w:rsidR="0071029D" w:rsidRPr="00047B76" w:rsidRDefault="0071029D" w:rsidP="0023484E">
            <w:pPr>
              <w:jc w:val="both"/>
              <w:rPr>
                <w:sz w:val="20"/>
                <w:lang w:val="fr-CA"/>
              </w:rPr>
            </w:pPr>
            <w:r w:rsidRPr="00047B76">
              <w:rPr>
                <w:sz w:val="20"/>
                <w:lang w:val="fr-CA"/>
              </w:rPr>
              <w:t>Rejet de la motion déposée par Thompson Fuels en vue d’obtenir une ordonnance de compensation de l’entente partielle et de modifier le jugement.</w:t>
            </w:r>
          </w:p>
          <w:p w:rsidR="0071029D" w:rsidRPr="00047B76" w:rsidRDefault="0071029D" w:rsidP="0023484E">
            <w:pPr>
              <w:jc w:val="both"/>
              <w:rPr>
                <w:sz w:val="20"/>
                <w:lang w:val="fr-CA"/>
              </w:rPr>
            </w:pPr>
            <w:r w:rsidRPr="00047B76">
              <w:rPr>
                <w:sz w:val="20"/>
                <w:lang w:val="fr-CA"/>
              </w:rPr>
              <w:t>Rejet de la motion déposée par Wayne Allan Gendron en vue de modifier le jugement.</w:t>
            </w:r>
          </w:p>
        </w:tc>
      </w:tr>
      <w:tr w:rsidR="0071029D" w:rsidRPr="00957F6E" w:rsidTr="0023484E">
        <w:tc>
          <w:tcPr>
            <w:tcW w:w="2427" w:type="pct"/>
          </w:tcPr>
          <w:p w:rsidR="0071029D" w:rsidRPr="00047B76" w:rsidRDefault="0071029D" w:rsidP="0023484E">
            <w:pPr>
              <w:jc w:val="both"/>
              <w:rPr>
                <w:sz w:val="20"/>
                <w:lang w:val="fr-CA"/>
              </w:rPr>
            </w:pPr>
            <w:r w:rsidRPr="00047B76">
              <w:rPr>
                <w:sz w:val="20"/>
                <w:lang w:val="fr-CA"/>
              </w:rPr>
              <w:t>12 avril 2019</w:t>
            </w:r>
          </w:p>
          <w:p w:rsidR="0071029D" w:rsidRPr="00047B76" w:rsidRDefault="0071029D" w:rsidP="0023484E">
            <w:pPr>
              <w:jc w:val="both"/>
              <w:rPr>
                <w:sz w:val="20"/>
                <w:lang w:val="fr-CA"/>
              </w:rPr>
            </w:pPr>
            <w:r w:rsidRPr="00047B76">
              <w:rPr>
                <w:sz w:val="20"/>
                <w:lang w:val="fr-CA"/>
              </w:rPr>
              <w:t>Cour d’appel de l’Ontario</w:t>
            </w:r>
          </w:p>
          <w:p w:rsidR="0071029D" w:rsidRPr="00047B76" w:rsidRDefault="0071029D" w:rsidP="0023484E">
            <w:pPr>
              <w:jc w:val="both"/>
              <w:rPr>
                <w:sz w:val="20"/>
                <w:lang w:val="fr-CA"/>
              </w:rPr>
            </w:pPr>
            <w:r w:rsidRPr="00047B76">
              <w:rPr>
                <w:sz w:val="20"/>
                <w:lang w:val="fr-CA"/>
              </w:rPr>
              <w:t xml:space="preserve">(Juges </w:t>
            </w:r>
            <w:proofErr w:type="spellStart"/>
            <w:r w:rsidRPr="00047B76">
              <w:rPr>
                <w:sz w:val="20"/>
                <w:lang w:val="fr-CA"/>
              </w:rPr>
              <w:t>Hourigan</w:t>
            </w:r>
            <w:proofErr w:type="spellEnd"/>
            <w:r w:rsidRPr="00047B76">
              <w:rPr>
                <w:sz w:val="20"/>
                <w:lang w:val="fr-CA"/>
              </w:rPr>
              <w:t xml:space="preserve">, Miller et </w:t>
            </w:r>
            <w:proofErr w:type="spellStart"/>
            <w:r w:rsidRPr="00047B76">
              <w:rPr>
                <w:sz w:val="20"/>
                <w:lang w:val="fr-CA"/>
              </w:rPr>
              <w:t>Paciocco</w:t>
            </w:r>
            <w:proofErr w:type="spellEnd"/>
            <w:r w:rsidRPr="00047B76">
              <w:rPr>
                <w:sz w:val="20"/>
                <w:lang w:val="fr-CA"/>
              </w:rPr>
              <w:t>)</w:t>
            </w:r>
          </w:p>
          <w:p w:rsidR="0071029D" w:rsidRPr="00047B76" w:rsidRDefault="009A56E8" w:rsidP="0023484E">
            <w:pPr>
              <w:jc w:val="both"/>
              <w:rPr>
                <w:sz w:val="20"/>
                <w:lang w:val="fr-CA"/>
              </w:rPr>
            </w:pPr>
            <w:hyperlink r:id="rId86" w:history="1">
              <w:r w:rsidR="0071029D" w:rsidRPr="00047B76">
                <w:rPr>
                  <w:rStyle w:val="Hyperlink"/>
                  <w:sz w:val="20"/>
                  <w:lang w:val="fr-CA"/>
                </w:rPr>
                <w:t>2019 ONCA 293</w:t>
              </w:r>
            </w:hyperlink>
            <w:r w:rsidR="0071029D" w:rsidRPr="00047B76">
              <w:rPr>
                <w:sz w:val="20"/>
                <w:lang w:val="fr-CA"/>
              </w:rPr>
              <w:t xml:space="preserve"> </w:t>
            </w:r>
          </w:p>
          <w:p w:rsidR="0071029D" w:rsidRPr="00047B76" w:rsidRDefault="0071029D" w:rsidP="0023484E">
            <w:pPr>
              <w:jc w:val="both"/>
              <w:rPr>
                <w:sz w:val="20"/>
                <w:lang w:val="fr-CA"/>
              </w:rPr>
            </w:pPr>
          </w:p>
        </w:tc>
        <w:tc>
          <w:tcPr>
            <w:tcW w:w="243" w:type="pct"/>
          </w:tcPr>
          <w:p w:rsidR="0071029D" w:rsidRPr="00047B76" w:rsidRDefault="0071029D" w:rsidP="0023484E">
            <w:pPr>
              <w:jc w:val="both"/>
              <w:rPr>
                <w:sz w:val="20"/>
                <w:lang w:val="fr-CA"/>
              </w:rPr>
            </w:pPr>
          </w:p>
        </w:tc>
        <w:tc>
          <w:tcPr>
            <w:tcW w:w="2330" w:type="pct"/>
          </w:tcPr>
          <w:p w:rsidR="0071029D" w:rsidRPr="00047B76" w:rsidRDefault="0071029D" w:rsidP="0023484E">
            <w:pPr>
              <w:jc w:val="both"/>
              <w:rPr>
                <w:sz w:val="20"/>
                <w:lang w:val="fr-CA"/>
              </w:rPr>
            </w:pPr>
            <w:r w:rsidRPr="00047B76">
              <w:rPr>
                <w:sz w:val="20"/>
                <w:lang w:val="fr-CA"/>
              </w:rPr>
              <w:t>Rejet des appels en partie.</w:t>
            </w:r>
          </w:p>
          <w:p w:rsidR="0071029D" w:rsidRPr="00047B76" w:rsidRDefault="0071029D" w:rsidP="0023484E">
            <w:pPr>
              <w:jc w:val="both"/>
              <w:rPr>
                <w:sz w:val="20"/>
                <w:lang w:val="fr-CA"/>
              </w:rPr>
            </w:pPr>
          </w:p>
        </w:tc>
      </w:tr>
      <w:tr w:rsidR="0071029D" w:rsidRPr="00957F6E" w:rsidTr="0023484E">
        <w:tc>
          <w:tcPr>
            <w:tcW w:w="2427" w:type="pct"/>
          </w:tcPr>
          <w:p w:rsidR="0071029D" w:rsidRPr="00047B76" w:rsidRDefault="0071029D" w:rsidP="0023484E">
            <w:pPr>
              <w:jc w:val="both"/>
              <w:rPr>
                <w:sz w:val="20"/>
                <w:lang w:val="fr-CA"/>
              </w:rPr>
            </w:pPr>
            <w:r w:rsidRPr="00047B76">
              <w:rPr>
                <w:sz w:val="20"/>
                <w:lang w:val="fr-CA"/>
              </w:rPr>
              <w:t>11 juin 2019</w:t>
            </w:r>
          </w:p>
          <w:p w:rsidR="0071029D" w:rsidRPr="00047B76" w:rsidRDefault="0071029D" w:rsidP="0023484E">
            <w:pPr>
              <w:jc w:val="both"/>
              <w:rPr>
                <w:sz w:val="20"/>
                <w:lang w:val="fr-CA"/>
              </w:rPr>
            </w:pPr>
            <w:r w:rsidRPr="00047B76">
              <w:rPr>
                <w:sz w:val="20"/>
                <w:lang w:val="fr-CA"/>
              </w:rPr>
              <w:t>Cour suprême du Canada</w:t>
            </w:r>
          </w:p>
        </w:tc>
        <w:tc>
          <w:tcPr>
            <w:tcW w:w="243" w:type="pct"/>
          </w:tcPr>
          <w:p w:rsidR="0071029D" w:rsidRPr="00047B76" w:rsidRDefault="0071029D" w:rsidP="0023484E">
            <w:pPr>
              <w:jc w:val="both"/>
              <w:rPr>
                <w:sz w:val="20"/>
                <w:lang w:val="fr-CA"/>
              </w:rPr>
            </w:pPr>
          </w:p>
        </w:tc>
        <w:tc>
          <w:tcPr>
            <w:tcW w:w="2330" w:type="pct"/>
          </w:tcPr>
          <w:p w:rsidR="0071029D" w:rsidRPr="00047B76" w:rsidRDefault="0071029D" w:rsidP="0023484E">
            <w:pPr>
              <w:jc w:val="both"/>
              <w:rPr>
                <w:sz w:val="20"/>
                <w:lang w:val="fr-CA"/>
              </w:rPr>
            </w:pPr>
            <w:r w:rsidRPr="00047B76">
              <w:rPr>
                <w:sz w:val="20"/>
                <w:lang w:val="fr-CA"/>
              </w:rPr>
              <w:t>Dépôt de la demande d’autorisation d’appel</w:t>
            </w:r>
          </w:p>
          <w:p w:rsidR="0071029D" w:rsidRPr="00047B76" w:rsidRDefault="0071029D" w:rsidP="0023484E">
            <w:pPr>
              <w:jc w:val="both"/>
              <w:rPr>
                <w:sz w:val="20"/>
                <w:lang w:val="fr-CA"/>
              </w:rPr>
            </w:pPr>
          </w:p>
        </w:tc>
      </w:tr>
    </w:tbl>
    <w:p w:rsidR="0071029D" w:rsidRPr="00047B76" w:rsidRDefault="0071029D" w:rsidP="0071029D">
      <w:pPr>
        <w:jc w:val="both"/>
        <w:rPr>
          <w:sz w:val="20"/>
          <w:lang w:val="fr-CA"/>
        </w:rPr>
      </w:pPr>
    </w:p>
    <w:p w:rsidR="0071029D" w:rsidRPr="00047B76" w:rsidRDefault="009A56E8" w:rsidP="0071029D">
      <w:pPr>
        <w:jc w:val="both"/>
        <w:rPr>
          <w:sz w:val="20"/>
          <w:lang w:val="fr-CA"/>
        </w:rPr>
      </w:pPr>
      <w:r>
        <w:rPr>
          <w:sz w:val="20"/>
        </w:rPr>
        <w:pict>
          <v:rect id="_x0000_i1065" style="width:2in;height:1pt" o:hrpct="0" o:hralign="center" o:hrstd="t" o:hrnoshade="t" o:hr="t" fillcolor="black [3213]" stroked="f"/>
        </w:pict>
      </w:r>
    </w:p>
    <w:p w:rsidR="0071029D" w:rsidRPr="00047B76" w:rsidRDefault="0071029D" w:rsidP="0071029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1029D" w:rsidRPr="00047B76" w:rsidTr="0023484E">
        <w:tc>
          <w:tcPr>
            <w:tcW w:w="543" w:type="pct"/>
          </w:tcPr>
          <w:p w:rsidR="0071029D" w:rsidRPr="00047B76" w:rsidRDefault="0071029D" w:rsidP="0023484E">
            <w:pPr>
              <w:jc w:val="both"/>
              <w:rPr>
                <w:sz w:val="20"/>
              </w:rPr>
            </w:pPr>
            <w:r w:rsidRPr="00047B76">
              <w:rPr>
                <w:rStyle w:val="SCCFileNumberChar"/>
                <w:sz w:val="20"/>
                <w:szCs w:val="20"/>
              </w:rPr>
              <w:t>38761</w:t>
            </w:r>
          </w:p>
        </w:tc>
        <w:tc>
          <w:tcPr>
            <w:tcW w:w="4457" w:type="pct"/>
          </w:tcPr>
          <w:p w:rsidR="0071029D" w:rsidRPr="00047B76" w:rsidRDefault="0071029D" w:rsidP="0023484E">
            <w:pPr>
              <w:pStyle w:val="SCCLsocParty"/>
              <w:jc w:val="both"/>
              <w:rPr>
                <w:b/>
                <w:sz w:val="20"/>
                <w:szCs w:val="20"/>
                <w:lang w:val="en-US"/>
              </w:rPr>
            </w:pPr>
            <w:r w:rsidRPr="00047B76">
              <w:rPr>
                <w:b/>
                <w:sz w:val="20"/>
                <w:szCs w:val="20"/>
                <w:lang w:val="en-US"/>
              </w:rPr>
              <w:t>Birchcliff Energy Ltd. v. Her Majesty the Queen</w:t>
            </w:r>
          </w:p>
          <w:p w:rsidR="0071029D" w:rsidRPr="00047B76" w:rsidRDefault="0071029D" w:rsidP="0023484E">
            <w:pPr>
              <w:jc w:val="both"/>
              <w:rPr>
                <w:sz w:val="20"/>
              </w:rPr>
            </w:pPr>
            <w:r w:rsidRPr="00047B76">
              <w:rPr>
                <w:sz w:val="20"/>
              </w:rPr>
              <w:t>(F.C.) (Civil) (By Leave)</w:t>
            </w:r>
          </w:p>
        </w:tc>
      </w:tr>
      <w:tr w:rsidR="00E80644" w:rsidRPr="00047B76" w:rsidTr="0023484E">
        <w:tc>
          <w:tcPr>
            <w:tcW w:w="5000" w:type="pct"/>
            <w:gridSpan w:val="2"/>
          </w:tcPr>
          <w:p w:rsidR="00D42629" w:rsidRPr="00047B76" w:rsidRDefault="00D42629" w:rsidP="00D42629">
            <w:pPr>
              <w:jc w:val="both"/>
              <w:rPr>
                <w:sz w:val="20"/>
                <w:szCs w:val="20"/>
              </w:rPr>
            </w:pPr>
            <w:r w:rsidRPr="00047B76">
              <w:rPr>
                <w:sz w:val="20"/>
                <w:szCs w:val="20"/>
              </w:rPr>
              <w:t>The application for leave to appeal from the judgment of the Federal Court of Appeal, Number A-396-17, 2019 FCA 151, dated May 16, 2019, is dismissed with costs.</w:t>
            </w:r>
          </w:p>
          <w:p w:rsidR="00E80644" w:rsidRPr="00047B76" w:rsidRDefault="00E80644" w:rsidP="0023484E">
            <w:pPr>
              <w:jc w:val="both"/>
              <w:rPr>
                <w:sz w:val="20"/>
              </w:rPr>
            </w:pPr>
          </w:p>
        </w:tc>
      </w:tr>
    </w:tbl>
    <w:p w:rsidR="00900ECD" w:rsidRPr="00047B76" w:rsidRDefault="00900ECD">
      <w:r w:rsidRPr="00047B76">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1029D" w:rsidRPr="00047B76" w:rsidTr="0023484E">
        <w:tc>
          <w:tcPr>
            <w:tcW w:w="5000" w:type="pct"/>
            <w:gridSpan w:val="3"/>
          </w:tcPr>
          <w:p w:rsidR="0071029D" w:rsidRPr="00047B76" w:rsidRDefault="0071029D" w:rsidP="0023484E">
            <w:pPr>
              <w:jc w:val="both"/>
              <w:rPr>
                <w:sz w:val="20"/>
              </w:rPr>
            </w:pPr>
            <w:r w:rsidRPr="00047B76">
              <w:rPr>
                <w:sz w:val="20"/>
              </w:rPr>
              <w:lastRenderedPageBreak/>
              <w:t xml:space="preserve">Taxation — Income tax — Assessment — General Anti-Avoidance Rule (GAAR) — Taxpayer’s </w:t>
            </w:r>
            <w:r w:rsidRPr="00047B76">
              <w:rPr>
                <w:sz w:val="20"/>
                <w:lang w:val="en"/>
              </w:rPr>
              <w:t xml:space="preserve">appeal from reassessment made under </w:t>
            </w:r>
            <w:r w:rsidRPr="00047B76">
              <w:rPr>
                <w:i/>
                <w:iCs/>
                <w:sz w:val="20"/>
                <w:lang w:val="en"/>
              </w:rPr>
              <w:t>Income Tax Act</w:t>
            </w:r>
            <w:r w:rsidRPr="00047B76">
              <w:rPr>
                <w:sz w:val="20"/>
                <w:lang w:val="en"/>
              </w:rPr>
              <w:t xml:space="preserve"> for 2006 taxation year dismissed — Federal Court of Appeal dismissing appeal — </w:t>
            </w:r>
            <w:r w:rsidRPr="00047B76">
              <w:rPr>
                <w:sz w:val="20"/>
              </w:rPr>
              <w:t xml:space="preserve">Whether Federal Court of Appeal expanded scope of GAAR resulting in GAAR being invoked and tax being imposed based on judicially selected alternative facts, rendering balance between acceptable and unacceptable tax planning uncertain — Whether Canadian court may invoke GAAR based on alternative facts “as if” facts were different from those determined by trier of fact — </w:t>
            </w:r>
            <w:r w:rsidRPr="00047B76">
              <w:rPr>
                <w:i/>
                <w:sz w:val="20"/>
              </w:rPr>
              <w:t>Income Tax Act</w:t>
            </w:r>
            <w:r w:rsidRPr="00047B76">
              <w:rPr>
                <w:sz w:val="20"/>
              </w:rPr>
              <w:t>, R.S.C. 1985 (5th Supp.), c. 1, s. 245.</w:t>
            </w:r>
          </w:p>
        </w:tc>
      </w:tr>
      <w:tr w:rsidR="0071029D" w:rsidRPr="00047B76" w:rsidTr="0023484E">
        <w:tc>
          <w:tcPr>
            <w:tcW w:w="5000" w:type="pct"/>
            <w:gridSpan w:val="3"/>
          </w:tcPr>
          <w:p w:rsidR="0071029D" w:rsidRPr="00047B76" w:rsidRDefault="0071029D" w:rsidP="0023484E">
            <w:pPr>
              <w:jc w:val="both"/>
              <w:rPr>
                <w:sz w:val="20"/>
              </w:rPr>
            </w:pPr>
          </w:p>
        </w:tc>
      </w:tr>
      <w:tr w:rsidR="0071029D" w:rsidRPr="00047B76" w:rsidTr="0023484E">
        <w:tc>
          <w:tcPr>
            <w:tcW w:w="5000" w:type="pct"/>
            <w:gridSpan w:val="3"/>
          </w:tcPr>
          <w:p w:rsidR="0071029D" w:rsidRPr="00047B76" w:rsidRDefault="0071029D" w:rsidP="0023484E">
            <w:pPr>
              <w:jc w:val="both"/>
              <w:rPr>
                <w:sz w:val="20"/>
              </w:rPr>
            </w:pPr>
            <w:r w:rsidRPr="00047B76">
              <w:rPr>
                <w:sz w:val="20"/>
              </w:rPr>
              <w:t xml:space="preserve">In 2002, </w:t>
            </w:r>
            <w:proofErr w:type="spellStart"/>
            <w:r w:rsidRPr="00047B76">
              <w:rPr>
                <w:sz w:val="20"/>
              </w:rPr>
              <w:t>Veracel</w:t>
            </w:r>
            <w:proofErr w:type="spellEnd"/>
            <w:r w:rsidRPr="00047B76">
              <w:rPr>
                <w:sz w:val="20"/>
              </w:rPr>
              <w:t xml:space="preserve"> Inc. filed bankruptcy proceedings and ceased to carry on its medical equipment business. At the end of 2004, </w:t>
            </w:r>
            <w:proofErr w:type="spellStart"/>
            <w:r w:rsidRPr="00047B76">
              <w:rPr>
                <w:sz w:val="20"/>
              </w:rPr>
              <w:t>Veracel</w:t>
            </w:r>
            <w:proofErr w:type="spellEnd"/>
            <w:r w:rsidRPr="00047B76">
              <w:rPr>
                <w:sz w:val="20"/>
              </w:rPr>
              <w:t xml:space="preserve"> had a variety of tax attributes, including $16.2 million in non-capital losses. Later in 2005, </w:t>
            </w:r>
            <w:proofErr w:type="spellStart"/>
            <w:r w:rsidRPr="00047B76">
              <w:rPr>
                <w:sz w:val="20"/>
              </w:rPr>
              <w:t>Veracel</w:t>
            </w:r>
            <w:proofErr w:type="spellEnd"/>
            <w:r w:rsidRPr="00047B76">
              <w:rPr>
                <w:sz w:val="20"/>
              </w:rPr>
              <w:t xml:space="preserve"> and the applicant taxpayer, Birchcliff Energy Ltd. amalgamated and continued to use the name Birchcliff. There were many steps leading to their amalgamation including steps to obtain additional capital and resulting in the creation of Class B shares of </w:t>
            </w:r>
            <w:proofErr w:type="spellStart"/>
            <w:r w:rsidRPr="00047B76">
              <w:rPr>
                <w:sz w:val="20"/>
              </w:rPr>
              <w:t>Veracel</w:t>
            </w:r>
            <w:proofErr w:type="spellEnd"/>
            <w:r w:rsidRPr="00047B76">
              <w:rPr>
                <w:sz w:val="20"/>
              </w:rPr>
              <w:t xml:space="preserve"> before the amalgamation. As a result, in filing its 2006 tax return Birchcliff claimed these non</w:t>
            </w:r>
            <w:r w:rsidRPr="00047B76">
              <w:rPr>
                <w:sz w:val="20"/>
              </w:rPr>
              <w:noBreakHyphen/>
              <w:t>capital losses. The respondent, Minister of National Revenue reassessed to deny the use of those non</w:t>
            </w:r>
            <w:r w:rsidRPr="00047B76">
              <w:rPr>
                <w:sz w:val="20"/>
              </w:rPr>
              <w:noBreakHyphen/>
              <w:t>capital losses. The Tax Court agreed and dismissed the appeal from the reassessment finding the GAAR applied in this case. The Federal Court of Appeal also agreed and dismissed the appeal.</w:t>
            </w:r>
          </w:p>
          <w:p w:rsidR="0071029D" w:rsidRPr="00047B76" w:rsidRDefault="0071029D" w:rsidP="0023484E">
            <w:pPr>
              <w:jc w:val="both"/>
              <w:rPr>
                <w:sz w:val="20"/>
              </w:rPr>
            </w:pPr>
          </w:p>
        </w:tc>
      </w:tr>
      <w:tr w:rsidR="0071029D" w:rsidRPr="00047B76" w:rsidTr="0023484E">
        <w:tc>
          <w:tcPr>
            <w:tcW w:w="2427" w:type="pct"/>
          </w:tcPr>
          <w:p w:rsidR="0071029D" w:rsidRPr="00047B76" w:rsidRDefault="0071029D" w:rsidP="0023484E">
            <w:pPr>
              <w:jc w:val="both"/>
              <w:rPr>
                <w:sz w:val="20"/>
              </w:rPr>
            </w:pPr>
            <w:r w:rsidRPr="00047B76">
              <w:rPr>
                <w:sz w:val="20"/>
              </w:rPr>
              <w:t>November 24, 2017</w:t>
            </w:r>
          </w:p>
          <w:p w:rsidR="0071029D" w:rsidRPr="00047B76" w:rsidRDefault="0071029D" w:rsidP="0023484E">
            <w:pPr>
              <w:jc w:val="both"/>
              <w:rPr>
                <w:sz w:val="20"/>
              </w:rPr>
            </w:pPr>
            <w:r w:rsidRPr="00047B76">
              <w:rPr>
                <w:sz w:val="20"/>
              </w:rPr>
              <w:t>Tax Court of Canada</w:t>
            </w:r>
          </w:p>
          <w:p w:rsidR="0071029D" w:rsidRPr="00047B76" w:rsidRDefault="0071029D" w:rsidP="0023484E">
            <w:pPr>
              <w:jc w:val="both"/>
              <w:rPr>
                <w:sz w:val="20"/>
              </w:rPr>
            </w:pPr>
            <w:r w:rsidRPr="00047B76">
              <w:rPr>
                <w:sz w:val="20"/>
              </w:rPr>
              <w:t>(</w:t>
            </w:r>
            <w:proofErr w:type="spellStart"/>
            <w:r w:rsidRPr="00047B76">
              <w:rPr>
                <w:sz w:val="20"/>
              </w:rPr>
              <w:t>Jorré</w:t>
            </w:r>
            <w:proofErr w:type="spellEnd"/>
            <w:r w:rsidRPr="00047B76">
              <w:rPr>
                <w:sz w:val="20"/>
              </w:rPr>
              <w:t xml:space="preserve"> J.)</w:t>
            </w:r>
          </w:p>
          <w:p w:rsidR="0071029D" w:rsidRPr="00047B76" w:rsidRDefault="009A56E8" w:rsidP="0023484E">
            <w:pPr>
              <w:jc w:val="both"/>
              <w:rPr>
                <w:sz w:val="20"/>
              </w:rPr>
            </w:pPr>
            <w:hyperlink r:id="rId87" w:history="1">
              <w:r w:rsidR="0071029D" w:rsidRPr="00047B76">
                <w:rPr>
                  <w:rStyle w:val="Hyperlink"/>
                  <w:sz w:val="20"/>
                </w:rPr>
                <w:t>2017 TCC 234</w:t>
              </w:r>
            </w:hyperlink>
          </w:p>
          <w:p w:rsidR="0071029D" w:rsidRPr="00047B76" w:rsidRDefault="0071029D" w:rsidP="0023484E">
            <w:pPr>
              <w:jc w:val="both"/>
              <w:rPr>
                <w:sz w:val="20"/>
              </w:rPr>
            </w:pPr>
          </w:p>
        </w:tc>
        <w:tc>
          <w:tcPr>
            <w:tcW w:w="243" w:type="pct"/>
          </w:tcPr>
          <w:p w:rsidR="0071029D" w:rsidRPr="00047B76" w:rsidRDefault="0071029D" w:rsidP="0023484E">
            <w:pPr>
              <w:jc w:val="both"/>
              <w:rPr>
                <w:sz w:val="20"/>
              </w:rPr>
            </w:pPr>
          </w:p>
        </w:tc>
        <w:tc>
          <w:tcPr>
            <w:tcW w:w="2330" w:type="pct"/>
          </w:tcPr>
          <w:p w:rsidR="0071029D" w:rsidRPr="00047B76" w:rsidRDefault="0071029D" w:rsidP="0023484E">
            <w:pPr>
              <w:jc w:val="both"/>
              <w:rPr>
                <w:sz w:val="20"/>
              </w:rPr>
            </w:pPr>
            <w:r w:rsidRPr="00047B76">
              <w:rPr>
                <w:sz w:val="20"/>
                <w:lang w:val="en"/>
              </w:rPr>
              <w:t xml:space="preserve">Appeal from the reassessment made under the </w:t>
            </w:r>
            <w:r w:rsidRPr="00047B76">
              <w:rPr>
                <w:i/>
                <w:iCs/>
                <w:sz w:val="20"/>
                <w:lang w:val="en"/>
              </w:rPr>
              <w:t>Income Tax Act</w:t>
            </w:r>
            <w:r w:rsidRPr="00047B76">
              <w:rPr>
                <w:sz w:val="20"/>
                <w:lang w:val="en"/>
              </w:rPr>
              <w:t xml:space="preserve"> for the 2006 taxation year dismissed.</w:t>
            </w:r>
          </w:p>
        </w:tc>
      </w:tr>
      <w:tr w:rsidR="0071029D" w:rsidRPr="00047B76" w:rsidTr="0023484E">
        <w:tc>
          <w:tcPr>
            <w:tcW w:w="2427" w:type="pct"/>
          </w:tcPr>
          <w:p w:rsidR="0071029D" w:rsidRPr="00047B76" w:rsidRDefault="0071029D" w:rsidP="0023484E">
            <w:pPr>
              <w:jc w:val="both"/>
              <w:rPr>
                <w:sz w:val="20"/>
              </w:rPr>
            </w:pPr>
            <w:r w:rsidRPr="00047B76">
              <w:rPr>
                <w:sz w:val="20"/>
              </w:rPr>
              <w:t>May 16, 2019</w:t>
            </w:r>
          </w:p>
          <w:p w:rsidR="0071029D" w:rsidRPr="00047B76" w:rsidRDefault="0071029D" w:rsidP="0023484E">
            <w:pPr>
              <w:jc w:val="both"/>
              <w:rPr>
                <w:sz w:val="20"/>
              </w:rPr>
            </w:pPr>
            <w:r w:rsidRPr="00047B76">
              <w:rPr>
                <w:sz w:val="20"/>
              </w:rPr>
              <w:t>Federal Court of Appeal</w:t>
            </w:r>
          </w:p>
          <w:p w:rsidR="0071029D" w:rsidRPr="00047B76" w:rsidRDefault="0071029D" w:rsidP="0023484E">
            <w:pPr>
              <w:jc w:val="both"/>
              <w:rPr>
                <w:sz w:val="20"/>
              </w:rPr>
            </w:pPr>
            <w:r w:rsidRPr="00047B76">
              <w:rPr>
                <w:sz w:val="20"/>
              </w:rPr>
              <w:t xml:space="preserve">(Gauthier, </w:t>
            </w:r>
            <w:proofErr w:type="spellStart"/>
            <w:r w:rsidRPr="00047B76">
              <w:rPr>
                <w:sz w:val="20"/>
              </w:rPr>
              <w:t>Stratas</w:t>
            </w:r>
            <w:proofErr w:type="spellEnd"/>
            <w:r w:rsidRPr="00047B76">
              <w:rPr>
                <w:sz w:val="20"/>
              </w:rPr>
              <w:t xml:space="preserve"> and Webb JJ.A.)</w:t>
            </w:r>
          </w:p>
          <w:p w:rsidR="0071029D" w:rsidRPr="00047B76" w:rsidRDefault="009A56E8" w:rsidP="0023484E">
            <w:pPr>
              <w:jc w:val="both"/>
              <w:rPr>
                <w:sz w:val="20"/>
              </w:rPr>
            </w:pPr>
            <w:hyperlink r:id="rId88" w:history="1">
              <w:r w:rsidR="0071029D" w:rsidRPr="00047B76">
                <w:rPr>
                  <w:rStyle w:val="Hyperlink"/>
                  <w:sz w:val="20"/>
                </w:rPr>
                <w:t>2019 FCA 151</w:t>
              </w:r>
            </w:hyperlink>
          </w:p>
          <w:p w:rsidR="0071029D" w:rsidRPr="00047B76" w:rsidRDefault="0071029D" w:rsidP="0023484E">
            <w:pPr>
              <w:jc w:val="both"/>
              <w:rPr>
                <w:sz w:val="20"/>
              </w:rPr>
            </w:pPr>
            <w:r w:rsidRPr="00047B76">
              <w:rPr>
                <w:sz w:val="20"/>
              </w:rPr>
              <w:t>File No.: A-396-17</w:t>
            </w:r>
          </w:p>
          <w:p w:rsidR="0071029D" w:rsidRPr="00047B76" w:rsidRDefault="0071029D" w:rsidP="0023484E">
            <w:pPr>
              <w:jc w:val="both"/>
              <w:rPr>
                <w:sz w:val="20"/>
              </w:rPr>
            </w:pPr>
          </w:p>
        </w:tc>
        <w:tc>
          <w:tcPr>
            <w:tcW w:w="243" w:type="pct"/>
          </w:tcPr>
          <w:p w:rsidR="0071029D" w:rsidRPr="00047B76" w:rsidRDefault="0071029D" w:rsidP="0023484E">
            <w:pPr>
              <w:jc w:val="both"/>
              <w:rPr>
                <w:sz w:val="20"/>
              </w:rPr>
            </w:pPr>
          </w:p>
        </w:tc>
        <w:tc>
          <w:tcPr>
            <w:tcW w:w="2330" w:type="pct"/>
          </w:tcPr>
          <w:p w:rsidR="0071029D" w:rsidRPr="00047B76" w:rsidRDefault="0071029D" w:rsidP="0023484E">
            <w:pPr>
              <w:jc w:val="both"/>
              <w:rPr>
                <w:sz w:val="20"/>
              </w:rPr>
            </w:pPr>
            <w:r w:rsidRPr="00047B76">
              <w:rPr>
                <w:sz w:val="20"/>
              </w:rPr>
              <w:t>Appeal dismissed.</w:t>
            </w:r>
          </w:p>
          <w:p w:rsidR="0071029D" w:rsidRPr="00047B76" w:rsidRDefault="0071029D" w:rsidP="0023484E">
            <w:pPr>
              <w:jc w:val="both"/>
              <w:rPr>
                <w:sz w:val="20"/>
              </w:rPr>
            </w:pPr>
          </w:p>
        </w:tc>
      </w:tr>
      <w:tr w:rsidR="0071029D" w:rsidRPr="00047B76" w:rsidTr="0023484E">
        <w:tc>
          <w:tcPr>
            <w:tcW w:w="2427" w:type="pct"/>
          </w:tcPr>
          <w:p w:rsidR="0071029D" w:rsidRPr="00047B76" w:rsidRDefault="0071029D" w:rsidP="0023484E">
            <w:pPr>
              <w:jc w:val="both"/>
              <w:rPr>
                <w:sz w:val="20"/>
              </w:rPr>
            </w:pPr>
            <w:r w:rsidRPr="00047B76">
              <w:rPr>
                <w:sz w:val="20"/>
              </w:rPr>
              <w:t>August 14, 2019</w:t>
            </w:r>
          </w:p>
          <w:p w:rsidR="0071029D" w:rsidRPr="00047B76" w:rsidRDefault="0071029D" w:rsidP="0023484E">
            <w:pPr>
              <w:jc w:val="both"/>
              <w:rPr>
                <w:sz w:val="20"/>
              </w:rPr>
            </w:pPr>
            <w:r w:rsidRPr="00047B76">
              <w:rPr>
                <w:sz w:val="20"/>
              </w:rPr>
              <w:t>Supreme Court of Canada</w:t>
            </w:r>
          </w:p>
        </w:tc>
        <w:tc>
          <w:tcPr>
            <w:tcW w:w="243" w:type="pct"/>
          </w:tcPr>
          <w:p w:rsidR="0071029D" w:rsidRPr="00047B76" w:rsidRDefault="0071029D" w:rsidP="0023484E">
            <w:pPr>
              <w:jc w:val="both"/>
              <w:rPr>
                <w:sz w:val="20"/>
              </w:rPr>
            </w:pPr>
          </w:p>
        </w:tc>
        <w:tc>
          <w:tcPr>
            <w:tcW w:w="2330" w:type="pct"/>
          </w:tcPr>
          <w:p w:rsidR="0071029D" w:rsidRPr="00047B76" w:rsidRDefault="0071029D" w:rsidP="0023484E">
            <w:pPr>
              <w:jc w:val="both"/>
              <w:rPr>
                <w:sz w:val="20"/>
              </w:rPr>
            </w:pPr>
            <w:r w:rsidRPr="00047B76">
              <w:rPr>
                <w:sz w:val="20"/>
              </w:rPr>
              <w:t>Application for leave to appeal filed.</w:t>
            </w:r>
          </w:p>
          <w:p w:rsidR="0071029D" w:rsidRPr="00047B76" w:rsidRDefault="0071029D" w:rsidP="0023484E">
            <w:pPr>
              <w:jc w:val="both"/>
              <w:rPr>
                <w:sz w:val="20"/>
              </w:rPr>
            </w:pPr>
          </w:p>
        </w:tc>
      </w:tr>
    </w:tbl>
    <w:p w:rsidR="0071029D" w:rsidRPr="00047B76" w:rsidRDefault="0071029D" w:rsidP="0071029D">
      <w:pPr>
        <w:jc w:val="both"/>
        <w:rPr>
          <w:sz w:val="20"/>
        </w:rPr>
      </w:pPr>
    </w:p>
    <w:p w:rsidR="0071029D" w:rsidRPr="00047B76" w:rsidRDefault="009A56E8" w:rsidP="0071029D">
      <w:pPr>
        <w:jc w:val="both"/>
        <w:rPr>
          <w:sz w:val="20"/>
        </w:rPr>
      </w:pPr>
      <w:r>
        <w:rPr>
          <w:sz w:val="20"/>
        </w:rPr>
        <w:pict>
          <v:rect id="_x0000_i1066" style="width:2in;height:1pt" o:hrpct="0" o:hralign="center" o:hrstd="t" o:hrnoshade="t" o:hr="t" fillcolor="black [3213]" stroked="f"/>
        </w:pict>
      </w:r>
    </w:p>
    <w:p w:rsidR="0071029D" w:rsidRPr="00047B76" w:rsidRDefault="0071029D" w:rsidP="0071029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1029D" w:rsidRPr="00047B76" w:rsidTr="0023484E">
        <w:tc>
          <w:tcPr>
            <w:tcW w:w="543" w:type="pct"/>
          </w:tcPr>
          <w:p w:rsidR="0071029D" w:rsidRPr="00047B76" w:rsidRDefault="0071029D" w:rsidP="0023484E">
            <w:pPr>
              <w:jc w:val="both"/>
              <w:rPr>
                <w:sz w:val="20"/>
                <w:lang w:val="fr-CA"/>
              </w:rPr>
            </w:pPr>
            <w:r w:rsidRPr="00047B76">
              <w:rPr>
                <w:rStyle w:val="SCCFileNumberChar"/>
                <w:sz w:val="20"/>
                <w:szCs w:val="20"/>
                <w:lang w:val="fr-CA"/>
              </w:rPr>
              <w:t>38761</w:t>
            </w:r>
          </w:p>
        </w:tc>
        <w:tc>
          <w:tcPr>
            <w:tcW w:w="4457" w:type="pct"/>
          </w:tcPr>
          <w:p w:rsidR="0071029D" w:rsidRPr="00047B76" w:rsidRDefault="0071029D" w:rsidP="0023484E">
            <w:pPr>
              <w:pStyle w:val="SCCLsocParty"/>
              <w:jc w:val="both"/>
              <w:rPr>
                <w:b/>
                <w:sz w:val="20"/>
                <w:szCs w:val="20"/>
              </w:rPr>
            </w:pPr>
            <w:r w:rsidRPr="00047B76">
              <w:rPr>
                <w:b/>
                <w:sz w:val="20"/>
                <w:szCs w:val="20"/>
              </w:rPr>
              <w:t>Birchcliff Energy Ltd. c. Sa Majesté la Reine</w:t>
            </w:r>
          </w:p>
          <w:p w:rsidR="0071029D" w:rsidRPr="00047B76" w:rsidRDefault="0071029D" w:rsidP="0023484E">
            <w:pPr>
              <w:jc w:val="both"/>
              <w:rPr>
                <w:sz w:val="20"/>
                <w:lang w:val="fr-CA"/>
              </w:rPr>
            </w:pPr>
            <w:r w:rsidRPr="00047B76">
              <w:rPr>
                <w:sz w:val="20"/>
                <w:lang w:val="fr-CA"/>
              </w:rPr>
              <w:t>(C.F.) (Civile) (Autorisation)</w:t>
            </w:r>
          </w:p>
        </w:tc>
      </w:tr>
      <w:tr w:rsidR="00E80644" w:rsidRPr="00957F6E" w:rsidTr="0023484E">
        <w:tc>
          <w:tcPr>
            <w:tcW w:w="5000" w:type="pct"/>
            <w:gridSpan w:val="2"/>
          </w:tcPr>
          <w:p w:rsidR="00E80644" w:rsidRPr="00047B76" w:rsidRDefault="00D42629" w:rsidP="0023484E">
            <w:pPr>
              <w:jc w:val="both"/>
              <w:rPr>
                <w:sz w:val="20"/>
                <w:szCs w:val="20"/>
                <w:lang w:val="fr-CA"/>
              </w:rPr>
            </w:pPr>
            <w:r w:rsidRPr="00047B76">
              <w:rPr>
                <w:sz w:val="20"/>
                <w:szCs w:val="20"/>
                <w:lang w:val="fr-CA"/>
              </w:rPr>
              <w:t>La demande d’autorisation d’appel de l’arrêt de la Cour d’appel fédérale, numéro A-396-17, 2019 FCA 151, daté du 16 mai 2019, est rejetée avec dépens.</w:t>
            </w:r>
          </w:p>
          <w:p w:rsidR="00D42629" w:rsidRPr="00047B76" w:rsidRDefault="00D42629" w:rsidP="0023484E">
            <w:pPr>
              <w:jc w:val="both"/>
              <w:rPr>
                <w:sz w:val="20"/>
                <w:lang w:val="fr-CA"/>
              </w:rPr>
            </w:pPr>
          </w:p>
        </w:tc>
      </w:tr>
      <w:tr w:rsidR="0071029D" w:rsidRPr="00957F6E" w:rsidTr="0023484E">
        <w:tc>
          <w:tcPr>
            <w:tcW w:w="5000" w:type="pct"/>
            <w:gridSpan w:val="2"/>
          </w:tcPr>
          <w:p w:rsidR="0071029D" w:rsidRPr="00047B76" w:rsidRDefault="0071029D" w:rsidP="0023484E">
            <w:pPr>
              <w:jc w:val="both"/>
              <w:rPr>
                <w:sz w:val="20"/>
                <w:lang w:val="fr-CA"/>
              </w:rPr>
            </w:pPr>
            <w:r w:rsidRPr="00047B76">
              <w:rPr>
                <w:sz w:val="20"/>
                <w:lang w:val="fr-CA"/>
              </w:rPr>
              <w:t xml:space="preserve">Droit fiscal — Impôt sur le revenu — Cotisation — Règle générale anti-évitement (RGAÉ) — L’appel interjeté par la contribuable de la nouvelle cotisation établie sous le régime de la </w:t>
            </w:r>
            <w:r w:rsidRPr="00047B76">
              <w:rPr>
                <w:i/>
                <w:sz w:val="20"/>
                <w:lang w:val="fr-CA"/>
              </w:rPr>
              <w:t>Loi de l’impôt sur le revenu</w:t>
            </w:r>
            <w:r w:rsidRPr="00047B76">
              <w:rPr>
                <w:sz w:val="20"/>
                <w:lang w:val="fr-CA"/>
              </w:rPr>
              <w:t xml:space="preserve"> pour l’année d’imposition 2006 a été rejeté — La Cour d’appel fédérale a rejeté l’appel — La Cour d’appel fédérale a</w:t>
            </w:r>
            <w:r w:rsidRPr="00047B76">
              <w:rPr>
                <w:sz w:val="20"/>
                <w:lang w:val="fr-CA"/>
              </w:rPr>
              <w:noBreakHyphen/>
              <w:t>t</w:t>
            </w:r>
            <w:r w:rsidRPr="00047B76">
              <w:rPr>
                <w:sz w:val="20"/>
                <w:lang w:val="fr-CA"/>
              </w:rPr>
              <w:noBreakHyphen/>
              <w:t>elle élargi la portée de la RGAÉ, permettant d’invoquer la RGAÉ et d’établir un impôt sur le fondement d’autres faits choisis par le tribunal, rendant incertain l’équilibre entre la planification fiscale acceptable et celle qui est inacceptable? — Les tribunaux canadiens peuvent</w:t>
            </w:r>
            <w:r w:rsidRPr="00047B76">
              <w:rPr>
                <w:sz w:val="20"/>
                <w:lang w:val="fr-CA"/>
              </w:rPr>
              <w:noBreakHyphen/>
              <w:t xml:space="preserve">ils invoquer la RGAÉ sur le fondement d’autres faits « comme si » les faits étaient différents de ceux déterminés par le juge des faits? — </w:t>
            </w:r>
            <w:r w:rsidRPr="00047B76">
              <w:rPr>
                <w:i/>
                <w:sz w:val="20"/>
                <w:lang w:val="fr-CA"/>
              </w:rPr>
              <w:t>Loi de l’impôt sur le revenu</w:t>
            </w:r>
            <w:r w:rsidRPr="00047B76">
              <w:rPr>
                <w:sz w:val="20"/>
                <w:lang w:val="fr-CA"/>
              </w:rPr>
              <w:t>, L.R.C. 1985 (5</w:t>
            </w:r>
            <w:r w:rsidRPr="00047B76">
              <w:rPr>
                <w:sz w:val="20"/>
                <w:vertAlign w:val="superscript"/>
                <w:lang w:val="fr-CA"/>
              </w:rPr>
              <w:t>e</w:t>
            </w:r>
            <w:r w:rsidRPr="00047B76">
              <w:rPr>
                <w:sz w:val="20"/>
                <w:lang w:val="fr-CA"/>
              </w:rPr>
              <w:t xml:space="preserve"> suppl.), ch. 1, art. 245.</w:t>
            </w:r>
          </w:p>
        </w:tc>
      </w:tr>
      <w:tr w:rsidR="0071029D" w:rsidRPr="00957F6E" w:rsidTr="0023484E">
        <w:tc>
          <w:tcPr>
            <w:tcW w:w="5000" w:type="pct"/>
            <w:gridSpan w:val="2"/>
          </w:tcPr>
          <w:p w:rsidR="0071029D" w:rsidRPr="00047B76" w:rsidRDefault="0071029D" w:rsidP="0023484E">
            <w:pPr>
              <w:jc w:val="both"/>
              <w:rPr>
                <w:sz w:val="20"/>
                <w:lang w:val="fr-CA"/>
              </w:rPr>
            </w:pPr>
          </w:p>
        </w:tc>
      </w:tr>
    </w:tbl>
    <w:p w:rsidR="00900ECD" w:rsidRPr="00047B76" w:rsidRDefault="00900ECD">
      <w:pPr>
        <w:rPr>
          <w:lang w:val="fr-CA"/>
        </w:rPr>
      </w:pPr>
      <w:r w:rsidRPr="00047B76">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1029D" w:rsidRPr="00957F6E" w:rsidTr="0023484E">
        <w:tc>
          <w:tcPr>
            <w:tcW w:w="5000" w:type="pct"/>
            <w:gridSpan w:val="3"/>
          </w:tcPr>
          <w:p w:rsidR="0071029D" w:rsidRPr="00047B76" w:rsidRDefault="0071029D" w:rsidP="0023484E">
            <w:pPr>
              <w:jc w:val="both"/>
              <w:rPr>
                <w:sz w:val="20"/>
                <w:lang w:val="fr-CA"/>
              </w:rPr>
            </w:pPr>
            <w:r w:rsidRPr="00047B76">
              <w:rPr>
                <w:sz w:val="20"/>
                <w:lang w:val="fr-CA"/>
              </w:rPr>
              <w:lastRenderedPageBreak/>
              <w:t xml:space="preserve">En 2002, </w:t>
            </w:r>
            <w:proofErr w:type="spellStart"/>
            <w:r w:rsidRPr="00047B76">
              <w:rPr>
                <w:sz w:val="20"/>
                <w:lang w:val="fr-CA"/>
              </w:rPr>
              <w:t>Veracel</w:t>
            </w:r>
            <w:proofErr w:type="spellEnd"/>
            <w:r w:rsidRPr="00047B76">
              <w:rPr>
                <w:sz w:val="20"/>
                <w:lang w:val="fr-CA"/>
              </w:rPr>
              <w:t xml:space="preserve"> Inc. a déposé une requête en faillite et a cessé d’exercer ses activités dans le domaine de l’équipement médical. À la fin de 2004, </w:t>
            </w:r>
            <w:proofErr w:type="spellStart"/>
            <w:r w:rsidRPr="00047B76">
              <w:rPr>
                <w:sz w:val="20"/>
                <w:lang w:val="fr-CA"/>
              </w:rPr>
              <w:t>Veracel</w:t>
            </w:r>
            <w:proofErr w:type="spellEnd"/>
            <w:r w:rsidRPr="00047B76">
              <w:rPr>
                <w:sz w:val="20"/>
                <w:lang w:val="fr-CA"/>
              </w:rPr>
              <w:t xml:space="preserve"> avait divers attributs fiscaux, dont des pertes autres que des pertes en capital de 16,2 millions de dollars. Plus tard en 2005, </w:t>
            </w:r>
            <w:proofErr w:type="spellStart"/>
            <w:r w:rsidRPr="00047B76">
              <w:rPr>
                <w:sz w:val="20"/>
                <w:lang w:val="fr-CA"/>
              </w:rPr>
              <w:t>Veracel</w:t>
            </w:r>
            <w:proofErr w:type="spellEnd"/>
            <w:r w:rsidRPr="00047B76">
              <w:rPr>
                <w:sz w:val="20"/>
                <w:lang w:val="fr-CA"/>
              </w:rPr>
              <w:t xml:space="preserve"> et la contribuable demanderesse, Birchcliff Energy Ltd. ont fusionné et ont continué à utiliser le nom de Birchcliff. De nombreuses étapes ont mené à cette fusion, notamment afin d’obtenir des capitaux supplémentaires, ce qui a entraîné la création d’actions de catégorie B de </w:t>
            </w:r>
            <w:proofErr w:type="spellStart"/>
            <w:r w:rsidRPr="00047B76">
              <w:rPr>
                <w:sz w:val="20"/>
                <w:lang w:val="fr-CA"/>
              </w:rPr>
              <w:t>Veracel</w:t>
            </w:r>
            <w:proofErr w:type="spellEnd"/>
            <w:r w:rsidRPr="00047B76">
              <w:rPr>
                <w:sz w:val="20"/>
                <w:lang w:val="fr-CA"/>
              </w:rPr>
              <w:t xml:space="preserve"> avant la fusion. En conséquence, dans sa déclaration de revenus de 2006, Birchcliff a demandé la déduction de ces pertes autres que des pertes en capital. L’intimé, le ministre du Revenu national, a établi une nouvelle cotisation dans laquelle il refusait la déduction de ces pertes autres que des pertes en capital. La Cour de l’impôt était d’accord et a rejeté l’appel de la nouvelle cotisation, concluant que la RGAÉ s’appliquait en l’espèce. La Cour d’appel fédérale était du même avis et a rejeté l’appel.</w:t>
            </w:r>
          </w:p>
          <w:p w:rsidR="0071029D" w:rsidRPr="00047B76" w:rsidRDefault="0071029D" w:rsidP="0023484E">
            <w:pPr>
              <w:jc w:val="both"/>
              <w:rPr>
                <w:sz w:val="20"/>
                <w:lang w:val="fr-CA"/>
              </w:rPr>
            </w:pPr>
          </w:p>
        </w:tc>
      </w:tr>
      <w:tr w:rsidR="0071029D" w:rsidRPr="00957F6E" w:rsidTr="0023484E">
        <w:tc>
          <w:tcPr>
            <w:tcW w:w="2427" w:type="pct"/>
          </w:tcPr>
          <w:p w:rsidR="0071029D" w:rsidRPr="00047B76" w:rsidRDefault="0071029D" w:rsidP="0023484E">
            <w:pPr>
              <w:jc w:val="both"/>
              <w:rPr>
                <w:sz w:val="20"/>
                <w:lang w:val="fr-CA"/>
              </w:rPr>
            </w:pPr>
            <w:r w:rsidRPr="00047B76">
              <w:rPr>
                <w:sz w:val="20"/>
                <w:lang w:val="fr-CA"/>
              </w:rPr>
              <w:t>24 novembre 2017</w:t>
            </w:r>
          </w:p>
          <w:p w:rsidR="0071029D" w:rsidRPr="00047B76" w:rsidRDefault="0071029D" w:rsidP="0023484E">
            <w:pPr>
              <w:jc w:val="both"/>
              <w:rPr>
                <w:sz w:val="20"/>
                <w:lang w:val="fr-CA"/>
              </w:rPr>
            </w:pPr>
            <w:r w:rsidRPr="00047B76">
              <w:rPr>
                <w:sz w:val="20"/>
                <w:lang w:val="fr-CA"/>
              </w:rPr>
              <w:t>Cour canadienne de l’impôt</w:t>
            </w:r>
          </w:p>
          <w:p w:rsidR="0071029D" w:rsidRPr="00047B76" w:rsidRDefault="0071029D" w:rsidP="0023484E">
            <w:pPr>
              <w:jc w:val="both"/>
              <w:rPr>
                <w:sz w:val="20"/>
                <w:lang w:val="fr-CA"/>
              </w:rPr>
            </w:pPr>
            <w:r w:rsidRPr="00047B76">
              <w:rPr>
                <w:sz w:val="20"/>
                <w:lang w:val="fr-CA"/>
              </w:rPr>
              <w:t xml:space="preserve">(Juge </w:t>
            </w:r>
            <w:proofErr w:type="spellStart"/>
            <w:r w:rsidRPr="00047B76">
              <w:rPr>
                <w:sz w:val="20"/>
                <w:lang w:val="fr-CA"/>
              </w:rPr>
              <w:t>Jorré</w:t>
            </w:r>
            <w:proofErr w:type="spellEnd"/>
            <w:r w:rsidRPr="00047B76">
              <w:rPr>
                <w:sz w:val="20"/>
                <w:lang w:val="fr-CA"/>
              </w:rPr>
              <w:t>)</w:t>
            </w:r>
          </w:p>
          <w:p w:rsidR="0071029D" w:rsidRPr="00047B76" w:rsidRDefault="009A56E8" w:rsidP="0023484E">
            <w:pPr>
              <w:jc w:val="both"/>
              <w:rPr>
                <w:sz w:val="20"/>
                <w:lang w:val="fr-CA"/>
              </w:rPr>
            </w:pPr>
            <w:hyperlink r:id="rId89" w:history="1">
              <w:r w:rsidR="0071029D" w:rsidRPr="00047B76">
                <w:rPr>
                  <w:rStyle w:val="Hyperlink"/>
                  <w:sz w:val="20"/>
                  <w:lang w:val="fr-CA"/>
                </w:rPr>
                <w:t>2017 CCI 234</w:t>
              </w:r>
            </w:hyperlink>
          </w:p>
          <w:p w:rsidR="0071029D" w:rsidRPr="00047B76" w:rsidRDefault="0071029D" w:rsidP="0023484E">
            <w:pPr>
              <w:jc w:val="both"/>
              <w:rPr>
                <w:sz w:val="20"/>
                <w:lang w:val="fr-CA"/>
              </w:rPr>
            </w:pPr>
          </w:p>
        </w:tc>
        <w:tc>
          <w:tcPr>
            <w:tcW w:w="243" w:type="pct"/>
          </w:tcPr>
          <w:p w:rsidR="0071029D" w:rsidRPr="00047B76" w:rsidRDefault="0071029D" w:rsidP="0023484E">
            <w:pPr>
              <w:jc w:val="both"/>
              <w:rPr>
                <w:sz w:val="20"/>
                <w:lang w:val="fr-CA"/>
              </w:rPr>
            </w:pPr>
          </w:p>
        </w:tc>
        <w:tc>
          <w:tcPr>
            <w:tcW w:w="2330" w:type="pct"/>
          </w:tcPr>
          <w:p w:rsidR="0071029D" w:rsidRPr="00047B76" w:rsidRDefault="0071029D" w:rsidP="0023484E">
            <w:pPr>
              <w:jc w:val="both"/>
              <w:rPr>
                <w:sz w:val="20"/>
                <w:lang w:val="fr-CA"/>
              </w:rPr>
            </w:pPr>
            <w:r w:rsidRPr="00047B76">
              <w:rPr>
                <w:sz w:val="20"/>
                <w:lang w:val="fr-CA"/>
              </w:rPr>
              <w:t xml:space="preserve">Rejet de l’appel de la nouvelle cotisation établie sous le régime de la </w:t>
            </w:r>
            <w:r w:rsidRPr="00047B76">
              <w:rPr>
                <w:i/>
                <w:iCs/>
                <w:sz w:val="20"/>
                <w:lang w:val="fr-CA"/>
              </w:rPr>
              <w:t>Loi de l’impôt sur le revenu</w:t>
            </w:r>
            <w:r w:rsidRPr="00047B76">
              <w:rPr>
                <w:sz w:val="20"/>
                <w:lang w:val="fr-CA"/>
              </w:rPr>
              <w:t xml:space="preserve"> pour l’année d’imposition 2006.</w:t>
            </w:r>
          </w:p>
        </w:tc>
      </w:tr>
      <w:tr w:rsidR="0071029D" w:rsidRPr="00047B76" w:rsidTr="0023484E">
        <w:tc>
          <w:tcPr>
            <w:tcW w:w="2427" w:type="pct"/>
          </w:tcPr>
          <w:p w:rsidR="0071029D" w:rsidRPr="00047B76" w:rsidRDefault="0071029D" w:rsidP="0023484E">
            <w:pPr>
              <w:jc w:val="both"/>
              <w:rPr>
                <w:sz w:val="20"/>
                <w:lang w:val="fr-CA"/>
              </w:rPr>
            </w:pPr>
            <w:r w:rsidRPr="00047B76">
              <w:rPr>
                <w:sz w:val="20"/>
                <w:lang w:val="fr-CA"/>
              </w:rPr>
              <w:t>16 mai 2019</w:t>
            </w:r>
          </w:p>
          <w:p w:rsidR="0071029D" w:rsidRPr="00047B76" w:rsidRDefault="0071029D" w:rsidP="0023484E">
            <w:pPr>
              <w:jc w:val="both"/>
              <w:rPr>
                <w:sz w:val="20"/>
                <w:lang w:val="fr-CA"/>
              </w:rPr>
            </w:pPr>
            <w:r w:rsidRPr="00047B76">
              <w:rPr>
                <w:sz w:val="20"/>
                <w:lang w:val="fr-CA"/>
              </w:rPr>
              <w:t>Cour d’appel fédérale</w:t>
            </w:r>
          </w:p>
          <w:p w:rsidR="0071029D" w:rsidRPr="00047B76" w:rsidRDefault="0071029D" w:rsidP="0023484E">
            <w:pPr>
              <w:jc w:val="both"/>
              <w:rPr>
                <w:sz w:val="20"/>
                <w:lang w:val="fr-CA"/>
              </w:rPr>
            </w:pPr>
            <w:r w:rsidRPr="00047B76">
              <w:rPr>
                <w:sz w:val="20"/>
                <w:lang w:val="fr-CA"/>
              </w:rPr>
              <w:t xml:space="preserve">(Juges Gauthier, </w:t>
            </w:r>
            <w:proofErr w:type="spellStart"/>
            <w:r w:rsidRPr="00047B76">
              <w:rPr>
                <w:sz w:val="20"/>
                <w:lang w:val="fr-CA"/>
              </w:rPr>
              <w:t>Stratas</w:t>
            </w:r>
            <w:proofErr w:type="spellEnd"/>
            <w:r w:rsidRPr="00047B76">
              <w:rPr>
                <w:sz w:val="20"/>
                <w:lang w:val="fr-CA"/>
              </w:rPr>
              <w:t xml:space="preserve"> et Webb)</w:t>
            </w:r>
          </w:p>
          <w:p w:rsidR="0071029D" w:rsidRPr="00047B76" w:rsidRDefault="009A56E8" w:rsidP="0023484E">
            <w:pPr>
              <w:jc w:val="both"/>
              <w:rPr>
                <w:sz w:val="20"/>
                <w:lang w:val="fr-CA"/>
              </w:rPr>
            </w:pPr>
            <w:hyperlink r:id="rId90" w:history="1">
              <w:r w:rsidR="0071029D" w:rsidRPr="00047B76">
                <w:rPr>
                  <w:rStyle w:val="Hyperlink"/>
                  <w:sz w:val="20"/>
                  <w:lang w:val="fr-CA"/>
                </w:rPr>
                <w:t>2019 FCA 151</w:t>
              </w:r>
            </w:hyperlink>
          </w:p>
          <w:p w:rsidR="0071029D" w:rsidRPr="00047B76" w:rsidRDefault="0071029D" w:rsidP="0023484E">
            <w:pPr>
              <w:jc w:val="both"/>
              <w:rPr>
                <w:sz w:val="20"/>
                <w:lang w:val="fr-CA"/>
              </w:rPr>
            </w:pPr>
            <w:r w:rsidRPr="00047B76">
              <w:rPr>
                <w:sz w:val="20"/>
                <w:lang w:val="fr-CA"/>
              </w:rPr>
              <w:t>N</w:t>
            </w:r>
            <w:r w:rsidRPr="00047B76">
              <w:rPr>
                <w:sz w:val="20"/>
                <w:vertAlign w:val="superscript"/>
                <w:lang w:val="fr-CA"/>
              </w:rPr>
              <w:t>o</w:t>
            </w:r>
            <w:r w:rsidRPr="00047B76">
              <w:rPr>
                <w:sz w:val="20"/>
                <w:lang w:val="fr-CA"/>
              </w:rPr>
              <w:t xml:space="preserve"> de dossier : A</w:t>
            </w:r>
            <w:r w:rsidRPr="00047B76">
              <w:rPr>
                <w:sz w:val="20"/>
                <w:lang w:val="fr-CA"/>
              </w:rPr>
              <w:noBreakHyphen/>
              <w:t>396</w:t>
            </w:r>
            <w:r w:rsidRPr="00047B76">
              <w:rPr>
                <w:sz w:val="20"/>
                <w:lang w:val="fr-CA"/>
              </w:rPr>
              <w:noBreakHyphen/>
              <w:t>17</w:t>
            </w:r>
          </w:p>
          <w:p w:rsidR="0071029D" w:rsidRPr="00047B76" w:rsidRDefault="0071029D" w:rsidP="0023484E">
            <w:pPr>
              <w:jc w:val="both"/>
              <w:rPr>
                <w:sz w:val="20"/>
                <w:lang w:val="fr-CA"/>
              </w:rPr>
            </w:pPr>
          </w:p>
        </w:tc>
        <w:tc>
          <w:tcPr>
            <w:tcW w:w="243" w:type="pct"/>
          </w:tcPr>
          <w:p w:rsidR="0071029D" w:rsidRPr="00047B76" w:rsidRDefault="0071029D" w:rsidP="0023484E">
            <w:pPr>
              <w:jc w:val="both"/>
              <w:rPr>
                <w:sz w:val="20"/>
                <w:lang w:val="fr-CA"/>
              </w:rPr>
            </w:pPr>
          </w:p>
        </w:tc>
        <w:tc>
          <w:tcPr>
            <w:tcW w:w="2330" w:type="pct"/>
          </w:tcPr>
          <w:p w:rsidR="0071029D" w:rsidRPr="00047B76" w:rsidRDefault="0071029D" w:rsidP="0023484E">
            <w:pPr>
              <w:jc w:val="both"/>
              <w:rPr>
                <w:sz w:val="20"/>
                <w:lang w:val="fr-CA"/>
              </w:rPr>
            </w:pPr>
            <w:r w:rsidRPr="00047B76">
              <w:rPr>
                <w:sz w:val="20"/>
                <w:lang w:val="fr-CA"/>
              </w:rPr>
              <w:t>Rejet de l’appel.</w:t>
            </w:r>
          </w:p>
          <w:p w:rsidR="0071029D" w:rsidRPr="00047B76" w:rsidRDefault="0071029D" w:rsidP="0023484E">
            <w:pPr>
              <w:jc w:val="both"/>
              <w:rPr>
                <w:sz w:val="20"/>
                <w:lang w:val="fr-CA"/>
              </w:rPr>
            </w:pPr>
          </w:p>
        </w:tc>
      </w:tr>
      <w:tr w:rsidR="0071029D" w:rsidRPr="00957F6E" w:rsidTr="0023484E">
        <w:tc>
          <w:tcPr>
            <w:tcW w:w="2427" w:type="pct"/>
          </w:tcPr>
          <w:p w:rsidR="0071029D" w:rsidRPr="00047B76" w:rsidRDefault="0071029D" w:rsidP="0023484E">
            <w:pPr>
              <w:jc w:val="both"/>
              <w:rPr>
                <w:sz w:val="20"/>
                <w:lang w:val="fr-CA"/>
              </w:rPr>
            </w:pPr>
            <w:r w:rsidRPr="00047B76">
              <w:rPr>
                <w:sz w:val="20"/>
                <w:lang w:val="fr-CA"/>
              </w:rPr>
              <w:t>14 août 2019</w:t>
            </w:r>
          </w:p>
          <w:p w:rsidR="0071029D" w:rsidRPr="00047B76" w:rsidRDefault="0071029D" w:rsidP="0023484E">
            <w:pPr>
              <w:jc w:val="both"/>
              <w:rPr>
                <w:sz w:val="20"/>
                <w:lang w:val="fr-CA"/>
              </w:rPr>
            </w:pPr>
            <w:r w:rsidRPr="00047B76">
              <w:rPr>
                <w:sz w:val="20"/>
                <w:lang w:val="fr-CA"/>
              </w:rPr>
              <w:t>Cour suprême du Canada</w:t>
            </w:r>
          </w:p>
        </w:tc>
        <w:tc>
          <w:tcPr>
            <w:tcW w:w="243" w:type="pct"/>
          </w:tcPr>
          <w:p w:rsidR="0071029D" w:rsidRPr="00047B76" w:rsidRDefault="0071029D" w:rsidP="0023484E">
            <w:pPr>
              <w:jc w:val="both"/>
              <w:rPr>
                <w:sz w:val="20"/>
                <w:lang w:val="fr-CA"/>
              </w:rPr>
            </w:pPr>
          </w:p>
        </w:tc>
        <w:tc>
          <w:tcPr>
            <w:tcW w:w="2330" w:type="pct"/>
          </w:tcPr>
          <w:p w:rsidR="0071029D" w:rsidRPr="00047B76" w:rsidRDefault="0071029D" w:rsidP="0023484E">
            <w:pPr>
              <w:jc w:val="both"/>
              <w:rPr>
                <w:sz w:val="20"/>
                <w:lang w:val="fr-CA"/>
              </w:rPr>
            </w:pPr>
            <w:r w:rsidRPr="00047B76">
              <w:rPr>
                <w:sz w:val="20"/>
                <w:lang w:val="fr-CA"/>
              </w:rPr>
              <w:t>Dépôt de la demande d’autorisation d’appel.</w:t>
            </w:r>
          </w:p>
          <w:p w:rsidR="0071029D" w:rsidRPr="00047B76" w:rsidRDefault="0071029D" w:rsidP="0023484E">
            <w:pPr>
              <w:jc w:val="both"/>
              <w:rPr>
                <w:sz w:val="20"/>
                <w:lang w:val="fr-CA"/>
              </w:rPr>
            </w:pPr>
          </w:p>
        </w:tc>
      </w:tr>
    </w:tbl>
    <w:p w:rsidR="0071029D" w:rsidRPr="00047B76" w:rsidRDefault="0071029D" w:rsidP="0071029D">
      <w:pPr>
        <w:jc w:val="both"/>
        <w:rPr>
          <w:sz w:val="20"/>
          <w:lang w:val="fr-CA"/>
        </w:rPr>
      </w:pPr>
    </w:p>
    <w:p w:rsidR="0071029D" w:rsidRPr="00047B76" w:rsidRDefault="009A56E8" w:rsidP="0071029D">
      <w:pPr>
        <w:jc w:val="both"/>
        <w:rPr>
          <w:sz w:val="20"/>
          <w:lang w:val="fr-CA"/>
        </w:rPr>
      </w:pPr>
      <w:r>
        <w:rPr>
          <w:sz w:val="20"/>
        </w:rPr>
        <w:pict>
          <v:rect id="_x0000_i1067" style="width:2in;height:1pt" o:hrpct="0" o:hralign="center" o:hrstd="t" o:hrnoshade="t" o:hr="t" fillcolor="black [3213]" stroked="f"/>
        </w:pict>
      </w:r>
    </w:p>
    <w:p w:rsidR="0071029D" w:rsidRPr="00047B76" w:rsidRDefault="0071029D" w:rsidP="0071029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1029D" w:rsidRPr="00047B76" w:rsidTr="0023484E">
        <w:tc>
          <w:tcPr>
            <w:tcW w:w="543" w:type="pct"/>
          </w:tcPr>
          <w:p w:rsidR="0071029D" w:rsidRPr="00047B76" w:rsidRDefault="0071029D" w:rsidP="0023484E">
            <w:pPr>
              <w:jc w:val="both"/>
              <w:rPr>
                <w:sz w:val="20"/>
              </w:rPr>
            </w:pPr>
            <w:r w:rsidRPr="00047B76">
              <w:rPr>
                <w:rStyle w:val="SCCFileNumberChar"/>
                <w:sz w:val="20"/>
                <w:szCs w:val="20"/>
              </w:rPr>
              <w:t>38746</w:t>
            </w:r>
          </w:p>
        </w:tc>
        <w:tc>
          <w:tcPr>
            <w:tcW w:w="4457" w:type="pct"/>
          </w:tcPr>
          <w:p w:rsidR="0071029D" w:rsidRPr="00047B76" w:rsidRDefault="0071029D" w:rsidP="0023484E">
            <w:pPr>
              <w:pStyle w:val="SCCLsocParty"/>
              <w:jc w:val="both"/>
              <w:rPr>
                <w:b/>
                <w:sz w:val="20"/>
                <w:szCs w:val="20"/>
                <w:lang w:val="en-US"/>
              </w:rPr>
            </w:pPr>
            <w:r w:rsidRPr="00047B76">
              <w:rPr>
                <w:b/>
                <w:sz w:val="20"/>
                <w:szCs w:val="20"/>
                <w:lang w:val="en-US"/>
              </w:rPr>
              <w:t>Catalyst Capital Group Inc. v. VimpelCom Ltd., Globalive Capital Inc., UBS Securities Canada Inc., Tennenbaum Capital Partners LLC, 64NM Holdings GP LLC, 64NM Holdings LP, LG Capital Investors LLC, Serruya Private Equity Inc., Novus Wireless Communications Inc. and West Face Capital Inc.</w:t>
            </w:r>
          </w:p>
          <w:p w:rsidR="0071029D" w:rsidRPr="00047B76" w:rsidRDefault="0071029D" w:rsidP="0023484E">
            <w:pPr>
              <w:jc w:val="both"/>
              <w:rPr>
                <w:sz w:val="20"/>
              </w:rPr>
            </w:pPr>
            <w:r w:rsidRPr="00047B76">
              <w:rPr>
                <w:sz w:val="20"/>
              </w:rPr>
              <w:t>(Ont.) (Civil) (By Leave)</w:t>
            </w:r>
          </w:p>
        </w:tc>
      </w:tr>
      <w:tr w:rsidR="00E80644" w:rsidRPr="00047B76" w:rsidTr="0023484E">
        <w:tc>
          <w:tcPr>
            <w:tcW w:w="5000" w:type="pct"/>
            <w:gridSpan w:val="2"/>
          </w:tcPr>
          <w:p w:rsidR="00AA115D" w:rsidRPr="00047B76" w:rsidRDefault="00AA115D" w:rsidP="00AA115D">
            <w:pPr>
              <w:jc w:val="both"/>
              <w:rPr>
                <w:sz w:val="20"/>
                <w:szCs w:val="20"/>
              </w:rPr>
            </w:pPr>
            <w:r w:rsidRPr="00047B76">
              <w:rPr>
                <w:sz w:val="20"/>
                <w:szCs w:val="20"/>
              </w:rPr>
              <w:t xml:space="preserve">The application for leave to appeal from the judgment of the Court of Appeal for Ontario, Number C65431, 2019 ONCA 354, dated May 2, 2019, is dismissed with costs. </w:t>
            </w:r>
          </w:p>
          <w:p w:rsidR="00E80644" w:rsidRPr="00047B76" w:rsidRDefault="00E80644" w:rsidP="0023484E">
            <w:pPr>
              <w:jc w:val="both"/>
              <w:rPr>
                <w:sz w:val="20"/>
              </w:rPr>
            </w:pPr>
          </w:p>
        </w:tc>
      </w:tr>
      <w:tr w:rsidR="0071029D" w:rsidRPr="00047B76" w:rsidTr="0023484E">
        <w:tc>
          <w:tcPr>
            <w:tcW w:w="5000" w:type="pct"/>
            <w:gridSpan w:val="2"/>
          </w:tcPr>
          <w:p w:rsidR="0071029D" w:rsidRPr="00047B76" w:rsidRDefault="0071029D" w:rsidP="0023484E">
            <w:pPr>
              <w:jc w:val="both"/>
              <w:rPr>
                <w:sz w:val="20"/>
              </w:rPr>
            </w:pPr>
            <w:r w:rsidRPr="00047B76">
              <w:rPr>
                <w:sz w:val="20"/>
              </w:rPr>
              <w:t>Civil procedure — Abuse of process — Estoppel — Applicant’s bid to purchase interest in a mobile carrier unsuccessful — Mobile carrier thereafter purchased by a consortium that included a competing firm — Applicant unsuccessful in action claiming competing firm used confidential information to acquire mobile carrier — Applicant starting new action against additional defendants and claiming further causes of action — Motion to dismiss new action allowed on the basis of abuse of process and, as against some defendants, on the basis of issue estoppel and cause of action estoppel — Appeal dismissed — How should courts and parties balance the interests of proportionality while protecting a party’s right to pursue claims in cases involving multiple parties with different and separate causes of action? — Whether proof of detriment is a necessary element for a party to obtain equitable remedies for the tort of breach of confidence.</w:t>
            </w:r>
          </w:p>
        </w:tc>
      </w:tr>
      <w:tr w:rsidR="0071029D" w:rsidRPr="00047B76" w:rsidTr="0023484E">
        <w:tc>
          <w:tcPr>
            <w:tcW w:w="5000" w:type="pct"/>
            <w:gridSpan w:val="2"/>
          </w:tcPr>
          <w:p w:rsidR="0071029D" w:rsidRPr="00047B76" w:rsidRDefault="0071029D" w:rsidP="0023484E">
            <w:pPr>
              <w:jc w:val="both"/>
              <w:rPr>
                <w:sz w:val="20"/>
              </w:rPr>
            </w:pPr>
          </w:p>
        </w:tc>
      </w:tr>
    </w:tbl>
    <w:p w:rsidR="00900ECD" w:rsidRPr="00047B76" w:rsidRDefault="00900ECD">
      <w:r w:rsidRPr="00047B76">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1029D" w:rsidRPr="00047B76" w:rsidTr="0023484E">
        <w:tc>
          <w:tcPr>
            <w:tcW w:w="5000" w:type="pct"/>
            <w:gridSpan w:val="3"/>
          </w:tcPr>
          <w:p w:rsidR="0071029D" w:rsidRPr="00047B76" w:rsidRDefault="0071029D" w:rsidP="0023484E">
            <w:pPr>
              <w:jc w:val="both"/>
              <w:rPr>
                <w:sz w:val="20"/>
              </w:rPr>
            </w:pPr>
            <w:r w:rsidRPr="00047B76">
              <w:rPr>
                <w:sz w:val="20"/>
              </w:rPr>
              <w:lastRenderedPageBreak/>
              <w:t xml:space="preserve">This case arises out of the failed attempt by the applicant, Catalyst Capital Group Inc., to purchase Wind Mobile from the respondent VimpelCom Ltd. </w:t>
            </w:r>
            <w:proofErr w:type="spellStart"/>
            <w:r w:rsidRPr="00047B76">
              <w:rPr>
                <w:sz w:val="20"/>
              </w:rPr>
              <w:t>VimpelCom’s</w:t>
            </w:r>
            <w:proofErr w:type="spellEnd"/>
            <w:r w:rsidRPr="00047B76">
              <w:rPr>
                <w:sz w:val="20"/>
              </w:rPr>
              <w:t xml:space="preserve"> interest in Wind Mobile was ultimately purchased by a consortium of purchasers (made up of most of the other respondents). Catalyst sued the respondents, alleging they committed the torts of inducing breach of contract, conspiracy, and breach of confidence which prevented it from acquiring Wind Mobile. It also alleged that VimpelCom breached its exclusivity agreement and confidentiality agreement. Catalyst’s claim was introduced five days before the commencement of the trial in another action it had initiated relating to its failed attempt at purchasing Wind Mobile. The Superior Court of Justice dismissed that action and the Court of Appeal upheld that dismissal. The defendants to the current action moved to dismiss Catalyst’s statement of claim on the basis of issue estoppel, cause of action estoppel, and abuse of process. The motions judge allowed the respondents’ motion. He dismissed the claim against all the defendants as an abuse of process and the claim against most of the defendants on the basis of issue estoppel and cause of action estoppel. The Court of Appeal dismissed Catalyst’s appeal.</w:t>
            </w:r>
          </w:p>
          <w:p w:rsidR="0071029D" w:rsidRPr="00047B76" w:rsidRDefault="0071029D" w:rsidP="0023484E">
            <w:pPr>
              <w:jc w:val="both"/>
              <w:rPr>
                <w:sz w:val="20"/>
              </w:rPr>
            </w:pPr>
          </w:p>
        </w:tc>
      </w:tr>
      <w:tr w:rsidR="0071029D" w:rsidRPr="00047B76" w:rsidTr="0023484E">
        <w:tc>
          <w:tcPr>
            <w:tcW w:w="2427" w:type="pct"/>
          </w:tcPr>
          <w:p w:rsidR="0071029D" w:rsidRPr="00047B76" w:rsidRDefault="0071029D" w:rsidP="0023484E">
            <w:pPr>
              <w:jc w:val="both"/>
              <w:rPr>
                <w:sz w:val="20"/>
              </w:rPr>
            </w:pPr>
            <w:r w:rsidRPr="00047B76">
              <w:rPr>
                <w:sz w:val="20"/>
              </w:rPr>
              <w:t>April 18, 2018</w:t>
            </w:r>
          </w:p>
          <w:p w:rsidR="0071029D" w:rsidRPr="00047B76" w:rsidRDefault="0071029D" w:rsidP="0023484E">
            <w:pPr>
              <w:jc w:val="both"/>
              <w:rPr>
                <w:sz w:val="20"/>
              </w:rPr>
            </w:pPr>
            <w:r w:rsidRPr="00047B76">
              <w:rPr>
                <w:sz w:val="20"/>
              </w:rPr>
              <w:t>Ontario Superior Court of Justice</w:t>
            </w:r>
          </w:p>
          <w:p w:rsidR="0071029D" w:rsidRPr="00047B76" w:rsidRDefault="0071029D" w:rsidP="0023484E">
            <w:pPr>
              <w:jc w:val="both"/>
              <w:rPr>
                <w:sz w:val="20"/>
              </w:rPr>
            </w:pPr>
            <w:r w:rsidRPr="00047B76">
              <w:rPr>
                <w:sz w:val="20"/>
              </w:rPr>
              <w:t>(</w:t>
            </w:r>
            <w:proofErr w:type="spellStart"/>
            <w:r w:rsidRPr="00047B76">
              <w:rPr>
                <w:sz w:val="20"/>
              </w:rPr>
              <w:t>Hainey</w:t>
            </w:r>
            <w:proofErr w:type="spellEnd"/>
            <w:r w:rsidRPr="00047B76">
              <w:rPr>
                <w:sz w:val="20"/>
              </w:rPr>
              <w:t xml:space="preserve"> J.)</w:t>
            </w:r>
          </w:p>
          <w:p w:rsidR="0071029D" w:rsidRPr="00047B76" w:rsidRDefault="009A56E8" w:rsidP="0023484E">
            <w:pPr>
              <w:jc w:val="both"/>
              <w:rPr>
                <w:sz w:val="20"/>
              </w:rPr>
            </w:pPr>
            <w:hyperlink r:id="rId91" w:history="1">
              <w:r w:rsidR="0071029D" w:rsidRPr="00047B76">
                <w:rPr>
                  <w:rStyle w:val="Hyperlink"/>
                  <w:sz w:val="20"/>
                </w:rPr>
                <w:t>2018 ONSC 2471</w:t>
              </w:r>
            </w:hyperlink>
          </w:p>
          <w:p w:rsidR="0071029D" w:rsidRPr="00047B76" w:rsidRDefault="0071029D" w:rsidP="0023484E">
            <w:pPr>
              <w:jc w:val="both"/>
              <w:rPr>
                <w:sz w:val="20"/>
              </w:rPr>
            </w:pPr>
          </w:p>
        </w:tc>
        <w:tc>
          <w:tcPr>
            <w:tcW w:w="243" w:type="pct"/>
          </w:tcPr>
          <w:p w:rsidR="0071029D" w:rsidRPr="00047B76" w:rsidRDefault="0071029D" w:rsidP="0023484E">
            <w:pPr>
              <w:jc w:val="both"/>
              <w:rPr>
                <w:sz w:val="20"/>
              </w:rPr>
            </w:pPr>
          </w:p>
        </w:tc>
        <w:tc>
          <w:tcPr>
            <w:tcW w:w="2330" w:type="pct"/>
          </w:tcPr>
          <w:p w:rsidR="0071029D" w:rsidRPr="00047B76" w:rsidRDefault="0071029D" w:rsidP="0023484E">
            <w:pPr>
              <w:jc w:val="both"/>
              <w:rPr>
                <w:sz w:val="20"/>
              </w:rPr>
            </w:pPr>
            <w:r w:rsidRPr="00047B76">
              <w:rPr>
                <w:sz w:val="20"/>
              </w:rPr>
              <w:t>Respondents’ motion to dismiss applicant’s statement of claim allowed; applicant’s action dismissed as an abuse of process</w:t>
            </w:r>
          </w:p>
          <w:p w:rsidR="0071029D" w:rsidRPr="00047B76" w:rsidRDefault="0071029D" w:rsidP="0023484E">
            <w:pPr>
              <w:jc w:val="both"/>
              <w:rPr>
                <w:sz w:val="20"/>
              </w:rPr>
            </w:pPr>
          </w:p>
        </w:tc>
      </w:tr>
      <w:tr w:rsidR="0071029D" w:rsidRPr="00047B76" w:rsidTr="0023484E">
        <w:tc>
          <w:tcPr>
            <w:tcW w:w="2427" w:type="pct"/>
          </w:tcPr>
          <w:p w:rsidR="0071029D" w:rsidRPr="00047B76" w:rsidRDefault="0071029D" w:rsidP="0023484E">
            <w:pPr>
              <w:jc w:val="both"/>
              <w:rPr>
                <w:sz w:val="20"/>
              </w:rPr>
            </w:pPr>
            <w:r w:rsidRPr="00047B76">
              <w:rPr>
                <w:sz w:val="20"/>
              </w:rPr>
              <w:t>May 2, 2019</w:t>
            </w:r>
          </w:p>
          <w:p w:rsidR="0071029D" w:rsidRPr="00047B76" w:rsidRDefault="0071029D" w:rsidP="0023484E">
            <w:pPr>
              <w:jc w:val="both"/>
              <w:rPr>
                <w:sz w:val="20"/>
              </w:rPr>
            </w:pPr>
            <w:r w:rsidRPr="00047B76">
              <w:rPr>
                <w:sz w:val="20"/>
              </w:rPr>
              <w:t>Court of Appeal for Ontario</w:t>
            </w:r>
          </w:p>
          <w:p w:rsidR="0071029D" w:rsidRPr="00047B76" w:rsidRDefault="0071029D" w:rsidP="0023484E">
            <w:pPr>
              <w:jc w:val="both"/>
              <w:rPr>
                <w:sz w:val="20"/>
              </w:rPr>
            </w:pPr>
            <w:r w:rsidRPr="00047B76">
              <w:rPr>
                <w:sz w:val="20"/>
              </w:rPr>
              <w:t xml:space="preserve">(Tulloch, </w:t>
            </w:r>
            <w:proofErr w:type="spellStart"/>
            <w:r w:rsidRPr="00047B76">
              <w:rPr>
                <w:sz w:val="20"/>
              </w:rPr>
              <w:t>Benotto</w:t>
            </w:r>
            <w:proofErr w:type="spellEnd"/>
            <w:r w:rsidRPr="00047B76">
              <w:rPr>
                <w:sz w:val="20"/>
              </w:rPr>
              <w:t xml:space="preserve">, and </w:t>
            </w:r>
            <w:proofErr w:type="spellStart"/>
            <w:r w:rsidRPr="00047B76">
              <w:rPr>
                <w:sz w:val="20"/>
              </w:rPr>
              <w:t>Huscroft</w:t>
            </w:r>
            <w:proofErr w:type="spellEnd"/>
            <w:r w:rsidRPr="00047B76">
              <w:rPr>
                <w:sz w:val="20"/>
              </w:rPr>
              <w:t xml:space="preserve"> JJ.A.)</w:t>
            </w:r>
          </w:p>
          <w:p w:rsidR="0071029D" w:rsidRPr="00047B76" w:rsidRDefault="009A56E8" w:rsidP="0023484E">
            <w:pPr>
              <w:jc w:val="both"/>
              <w:rPr>
                <w:sz w:val="20"/>
              </w:rPr>
            </w:pPr>
            <w:hyperlink r:id="rId92" w:history="1">
              <w:r w:rsidR="0071029D" w:rsidRPr="00047B76">
                <w:rPr>
                  <w:rStyle w:val="Hyperlink"/>
                  <w:sz w:val="20"/>
                </w:rPr>
                <w:t>2019 ONCA 354</w:t>
              </w:r>
            </w:hyperlink>
            <w:r w:rsidR="0071029D" w:rsidRPr="00047B76">
              <w:rPr>
                <w:sz w:val="20"/>
              </w:rPr>
              <w:t xml:space="preserve"> (docket: C65431)</w:t>
            </w:r>
          </w:p>
          <w:p w:rsidR="0071029D" w:rsidRPr="00047B76" w:rsidRDefault="0071029D" w:rsidP="0023484E">
            <w:pPr>
              <w:jc w:val="both"/>
              <w:rPr>
                <w:sz w:val="20"/>
              </w:rPr>
            </w:pPr>
          </w:p>
        </w:tc>
        <w:tc>
          <w:tcPr>
            <w:tcW w:w="243" w:type="pct"/>
          </w:tcPr>
          <w:p w:rsidR="0071029D" w:rsidRPr="00047B76" w:rsidRDefault="0071029D" w:rsidP="0023484E">
            <w:pPr>
              <w:jc w:val="both"/>
              <w:rPr>
                <w:sz w:val="20"/>
              </w:rPr>
            </w:pPr>
          </w:p>
        </w:tc>
        <w:tc>
          <w:tcPr>
            <w:tcW w:w="2330" w:type="pct"/>
          </w:tcPr>
          <w:p w:rsidR="0071029D" w:rsidRPr="00047B76" w:rsidRDefault="0071029D" w:rsidP="0023484E">
            <w:pPr>
              <w:jc w:val="both"/>
              <w:rPr>
                <w:sz w:val="20"/>
              </w:rPr>
            </w:pPr>
            <w:r w:rsidRPr="00047B76">
              <w:rPr>
                <w:sz w:val="20"/>
              </w:rPr>
              <w:t>Appeal dismissed</w:t>
            </w:r>
          </w:p>
          <w:p w:rsidR="0071029D" w:rsidRPr="00047B76" w:rsidRDefault="0071029D" w:rsidP="0023484E">
            <w:pPr>
              <w:jc w:val="both"/>
              <w:rPr>
                <w:sz w:val="20"/>
              </w:rPr>
            </w:pPr>
          </w:p>
        </w:tc>
      </w:tr>
      <w:tr w:rsidR="0071029D" w:rsidRPr="00047B76" w:rsidTr="0023484E">
        <w:tc>
          <w:tcPr>
            <w:tcW w:w="2427" w:type="pct"/>
          </w:tcPr>
          <w:p w:rsidR="0071029D" w:rsidRPr="00047B76" w:rsidRDefault="0071029D" w:rsidP="0023484E">
            <w:pPr>
              <w:jc w:val="both"/>
              <w:rPr>
                <w:sz w:val="20"/>
              </w:rPr>
            </w:pPr>
            <w:r w:rsidRPr="00047B76">
              <w:rPr>
                <w:sz w:val="20"/>
              </w:rPr>
              <w:t>August 1, 2019</w:t>
            </w:r>
          </w:p>
          <w:p w:rsidR="0071029D" w:rsidRPr="00047B76" w:rsidRDefault="0071029D" w:rsidP="0023484E">
            <w:pPr>
              <w:jc w:val="both"/>
              <w:rPr>
                <w:sz w:val="20"/>
              </w:rPr>
            </w:pPr>
            <w:r w:rsidRPr="00047B76">
              <w:rPr>
                <w:sz w:val="20"/>
              </w:rPr>
              <w:t>Supreme Court of Canada</w:t>
            </w:r>
          </w:p>
        </w:tc>
        <w:tc>
          <w:tcPr>
            <w:tcW w:w="243" w:type="pct"/>
          </w:tcPr>
          <w:p w:rsidR="0071029D" w:rsidRPr="00047B76" w:rsidRDefault="0071029D" w:rsidP="0023484E">
            <w:pPr>
              <w:jc w:val="both"/>
              <w:rPr>
                <w:sz w:val="20"/>
              </w:rPr>
            </w:pPr>
          </w:p>
        </w:tc>
        <w:tc>
          <w:tcPr>
            <w:tcW w:w="2330" w:type="pct"/>
          </w:tcPr>
          <w:p w:rsidR="0071029D" w:rsidRPr="00047B76" w:rsidRDefault="0071029D" w:rsidP="0023484E">
            <w:pPr>
              <w:jc w:val="both"/>
              <w:rPr>
                <w:sz w:val="20"/>
              </w:rPr>
            </w:pPr>
            <w:r w:rsidRPr="00047B76">
              <w:rPr>
                <w:sz w:val="20"/>
              </w:rPr>
              <w:t>Application for leave to appeal filed</w:t>
            </w:r>
          </w:p>
        </w:tc>
      </w:tr>
    </w:tbl>
    <w:p w:rsidR="0071029D" w:rsidRPr="00047B76" w:rsidRDefault="0071029D" w:rsidP="0071029D">
      <w:pPr>
        <w:jc w:val="both"/>
        <w:rPr>
          <w:sz w:val="20"/>
        </w:rPr>
      </w:pPr>
    </w:p>
    <w:p w:rsidR="0071029D" w:rsidRPr="00047B76" w:rsidRDefault="009A56E8" w:rsidP="0071029D">
      <w:pPr>
        <w:jc w:val="both"/>
        <w:rPr>
          <w:sz w:val="20"/>
        </w:rPr>
      </w:pPr>
      <w:r>
        <w:rPr>
          <w:sz w:val="20"/>
        </w:rPr>
        <w:pict>
          <v:rect id="_x0000_i1068" style="width:2in;height:1pt" o:hrpct="0" o:hralign="center" o:hrstd="t" o:hrnoshade="t" o:hr="t" fillcolor="black [3213]" stroked="f"/>
        </w:pict>
      </w:r>
    </w:p>
    <w:p w:rsidR="0071029D" w:rsidRPr="00047B76" w:rsidRDefault="0071029D" w:rsidP="0071029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1029D" w:rsidRPr="00047B76" w:rsidTr="0023484E">
        <w:tc>
          <w:tcPr>
            <w:tcW w:w="543" w:type="pct"/>
          </w:tcPr>
          <w:p w:rsidR="0071029D" w:rsidRPr="00047B76" w:rsidRDefault="0071029D" w:rsidP="0023484E">
            <w:pPr>
              <w:jc w:val="both"/>
              <w:rPr>
                <w:sz w:val="20"/>
                <w:lang w:val="fr-CA"/>
              </w:rPr>
            </w:pPr>
            <w:r w:rsidRPr="00047B76">
              <w:rPr>
                <w:rStyle w:val="SCCFileNumberChar"/>
                <w:sz w:val="20"/>
                <w:szCs w:val="20"/>
                <w:lang w:val="fr-CA"/>
              </w:rPr>
              <w:t>38746</w:t>
            </w:r>
          </w:p>
        </w:tc>
        <w:tc>
          <w:tcPr>
            <w:tcW w:w="4457" w:type="pct"/>
          </w:tcPr>
          <w:p w:rsidR="0071029D" w:rsidRPr="00047B76" w:rsidRDefault="0071029D" w:rsidP="0023484E">
            <w:pPr>
              <w:pStyle w:val="SCCLsocParty"/>
              <w:jc w:val="both"/>
              <w:rPr>
                <w:b/>
                <w:sz w:val="20"/>
                <w:szCs w:val="20"/>
                <w:lang w:val="en-US"/>
              </w:rPr>
            </w:pPr>
            <w:r w:rsidRPr="00047B76">
              <w:rPr>
                <w:b/>
                <w:sz w:val="20"/>
                <w:szCs w:val="20"/>
                <w:lang w:val="en-US"/>
              </w:rPr>
              <w:t xml:space="preserve">Catalyst Capital Group Inc. c. VimpelCom Ltd., Globalive Capital Inc., UBS </w:t>
            </w:r>
            <w:proofErr w:type="spellStart"/>
            <w:r w:rsidRPr="00047B76">
              <w:rPr>
                <w:b/>
                <w:sz w:val="20"/>
                <w:szCs w:val="20"/>
                <w:lang w:val="en-US"/>
              </w:rPr>
              <w:t>Valeurs</w:t>
            </w:r>
            <w:proofErr w:type="spellEnd"/>
            <w:r w:rsidRPr="00047B76">
              <w:rPr>
                <w:b/>
                <w:sz w:val="20"/>
                <w:szCs w:val="20"/>
                <w:lang w:val="en-US"/>
              </w:rPr>
              <w:t xml:space="preserve"> </w:t>
            </w:r>
            <w:proofErr w:type="spellStart"/>
            <w:r w:rsidRPr="00047B76">
              <w:rPr>
                <w:b/>
                <w:sz w:val="20"/>
                <w:szCs w:val="20"/>
                <w:lang w:val="en-US"/>
              </w:rPr>
              <w:t>Mobilières</w:t>
            </w:r>
            <w:proofErr w:type="spellEnd"/>
            <w:r w:rsidRPr="00047B76">
              <w:rPr>
                <w:b/>
                <w:sz w:val="20"/>
                <w:szCs w:val="20"/>
                <w:lang w:val="en-US"/>
              </w:rPr>
              <w:t xml:space="preserve"> Canada Inc., Tennenbaum Capital Partners LLC, 64NM Holdings GP LLC, 64NM Holdings LP, LG Capital Investors LLC, Serruya Private Equity Inc., Novus Wireless Communications Inc. et West Face Capital Inc.</w:t>
            </w:r>
          </w:p>
          <w:p w:rsidR="0071029D" w:rsidRPr="00047B76" w:rsidRDefault="0071029D" w:rsidP="0023484E">
            <w:pPr>
              <w:jc w:val="both"/>
              <w:rPr>
                <w:sz w:val="20"/>
                <w:lang w:val="fr-CA"/>
              </w:rPr>
            </w:pPr>
            <w:r w:rsidRPr="00047B76">
              <w:rPr>
                <w:sz w:val="20"/>
                <w:lang w:val="fr-CA"/>
              </w:rPr>
              <w:t>(Ont.) (Civile) (Autorisation)</w:t>
            </w:r>
          </w:p>
        </w:tc>
      </w:tr>
      <w:tr w:rsidR="00E80644" w:rsidRPr="00957F6E" w:rsidTr="0023484E">
        <w:tc>
          <w:tcPr>
            <w:tcW w:w="5000" w:type="pct"/>
            <w:gridSpan w:val="2"/>
          </w:tcPr>
          <w:p w:rsidR="00E80644" w:rsidRPr="00047B76" w:rsidRDefault="00AA115D" w:rsidP="0023484E">
            <w:pPr>
              <w:jc w:val="both"/>
              <w:rPr>
                <w:sz w:val="20"/>
                <w:szCs w:val="20"/>
                <w:lang w:val="fr-CA"/>
              </w:rPr>
            </w:pPr>
            <w:r w:rsidRPr="00047B76">
              <w:rPr>
                <w:sz w:val="20"/>
                <w:szCs w:val="20"/>
                <w:lang w:val="fr-CA"/>
              </w:rPr>
              <w:t>La demande d’autorisation d’appel de l’arrêt de la Cour d’appel de l’Ontario, numéro C65431, 2019 ONCA 354, daté du 2 mai 2019, est rejetée avec dépens.</w:t>
            </w:r>
          </w:p>
          <w:p w:rsidR="00AA115D" w:rsidRPr="00047B76" w:rsidRDefault="00AA115D" w:rsidP="0023484E">
            <w:pPr>
              <w:jc w:val="both"/>
              <w:rPr>
                <w:sz w:val="20"/>
                <w:lang w:val="fr-CA"/>
              </w:rPr>
            </w:pPr>
          </w:p>
        </w:tc>
      </w:tr>
      <w:tr w:rsidR="0071029D" w:rsidRPr="00957F6E" w:rsidTr="0023484E">
        <w:tc>
          <w:tcPr>
            <w:tcW w:w="5000" w:type="pct"/>
            <w:gridSpan w:val="2"/>
          </w:tcPr>
          <w:p w:rsidR="0071029D" w:rsidRPr="00047B76" w:rsidRDefault="0071029D" w:rsidP="0023484E">
            <w:pPr>
              <w:jc w:val="both"/>
              <w:rPr>
                <w:sz w:val="20"/>
                <w:lang w:val="fr-CA"/>
              </w:rPr>
            </w:pPr>
            <w:r w:rsidRPr="00047B76">
              <w:rPr>
                <w:sz w:val="20"/>
                <w:lang w:val="fr-CA"/>
              </w:rPr>
              <w:t xml:space="preserve">Procédure civile — Abus de procédure — </w:t>
            </w:r>
            <w:proofErr w:type="spellStart"/>
            <w:r w:rsidRPr="00047B76">
              <w:rPr>
                <w:sz w:val="20"/>
                <w:lang w:val="fr-CA"/>
              </w:rPr>
              <w:t>Préclusion</w:t>
            </w:r>
            <w:proofErr w:type="spellEnd"/>
            <w:r w:rsidRPr="00047B76">
              <w:rPr>
                <w:sz w:val="20"/>
                <w:lang w:val="fr-CA"/>
              </w:rPr>
              <w:t xml:space="preserve"> — La tentative de la demanderesse d’acheter une participation dans une entreprise de téléphonie mobile a échoué — L’entreprise de téléphonie mobile a par la suite été achetée par un consortium qui comprenait une concurrente — La demanderesse a été déboutée dans son action alléguant que la concurrente s’était servie de renseignements confidentiels pour acquérir l’entreprise de téléphonie mobile —La demanderesse a intenté une nouvelle action contre des défenderesses additionnelles et faisant valoir d’autres causes d’action — La motion en rejet de la nouvelle action a été accueillie pour cause d’abus de procédure et, à l’égard de certaines défenderesses, pour cause de </w:t>
            </w:r>
            <w:proofErr w:type="spellStart"/>
            <w:r w:rsidRPr="00047B76">
              <w:rPr>
                <w:sz w:val="20"/>
                <w:lang w:val="fr-CA"/>
              </w:rPr>
              <w:t>préclusion</w:t>
            </w:r>
            <w:proofErr w:type="spellEnd"/>
            <w:r w:rsidRPr="00047B76">
              <w:rPr>
                <w:sz w:val="20"/>
                <w:lang w:val="fr-CA"/>
              </w:rPr>
              <w:t xml:space="preserve"> découlant d’une question déjà tranchée et de </w:t>
            </w:r>
            <w:proofErr w:type="spellStart"/>
            <w:r w:rsidRPr="00047B76">
              <w:rPr>
                <w:sz w:val="20"/>
                <w:lang w:val="fr-CA"/>
              </w:rPr>
              <w:t>préclusion</w:t>
            </w:r>
            <w:proofErr w:type="spellEnd"/>
            <w:r w:rsidRPr="00047B76">
              <w:rPr>
                <w:sz w:val="20"/>
                <w:lang w:val="fr-CA"/>
              </w:rPr>
              <w:t xml:space="preserve"> fondée sur la cause d’action — Rejet de l’appel — Comment les tribunaux et les parties doivent</w:t>
            </w:r>
            <w:r w:rsidRPr="00047B76">
              <w:rPr>
                <w:sz w:val="20"/>
                <w:lang w:val="fr-CA"/>
              </w:rPr>
              <w:noBreakHyphen/>
              <w:t>ils mettre en balance les intérêts de la proportionnalité tout en protégeant le droit d’une partie de faire valoir des réclamations dans des affaires intéressant plusieurs parties ayant des causes d’action différentes et distinctes? — Une preuve de désavantage est</w:t>
            </w:r>
            <w:r w:rsidRPr="00047B76">
              <w:rPr>
                <w:sz w:val="20"/>
                <w:lang w:val="fr-CA"/>
              </w:rPr>
              <w:noBreakHyphen/>
              <w:t xml:space="preserve">elle un élément nécessaire pour qu’une partie puisse obtenir des réparations en </w:t>
            </w:r>
            <w:proofErr w:type="spellStart"/>
            <w:r w:rsidRPr="00047B76">
              <w:rPr>
                <w:sz w:val="20"/>
                <w:lang w:val="fr-CA"/>
              </w:rPr>
              <w:t>equity</w:t>
            </w:r>
            <w:proofErr w:type="spellEnd"/>
            <w:r w:rsidRPr="00047B76">
              <w:rPr>
                <w:sz w:val="20"/>
                <w:lang w:val="fr-CA"/>
              </w:rPr>
              <w:t xml:space="preserve"> au titre du délit d’abus de confiance?</w:t>
            </w:r>
          </w:p>
        </w:tc>
      </w:tr>
      <w:tr w:rsidR="0071029D" w:rsidRPr="00957F6E" w:rsidTr="0023484E">
        <w:tc>
          <w:tcPr>
            <w:tcW w:w="5000" w:type="pct"/>
            <w:gridSpan w:val="2"/>
          </w:tcPr>
          <w:p w:rsidR="0071029D" w:rsidRPr="00047B76" w:rsidRDefault="0071029D" w:rsidP="0023484E">
            <w:pPr>
              <w:jc w:val="both"/>
              <w:rPr>
                <w:sz w:val="20"/>
                <w:lang w:val="fr-CA"/>
              </w:rPr>
            </w:pPr>
          </w:p>
        </w:tc>
      </w:tr>
    </w:tbl>
    <w:p w:rsidR="00900ECD" w:rsidRPr="00047B76" w:rsidRDefault="00900ECD">
      <w:pPr>
        <w:rPr>
          <w:lang w:val="fr-CA"/>
        </w:rPr>
      </w:pPr>
      <w:r w:rsidRPr="00047B76">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1029D" w:rsidRPr="00047B76" w:rsidTr="0023484E">
        <w:tc>
          <w:tcPr>
            <w:tcW w:w="5000" w:type="pct"/>
            <w:gridSpan w:val="3"/>
          </w:tcPr>
          <w:p w:rsidR="0071029D" w:rsidRPr="00047B76" w:rsidRDefault="0071029D" w:rsidP="0023484E">
            <w:pPr>
              <w:jc w:val="both"/>
              <w:rPr>
                <w:sz w:val="20"/>
                <w:lang w:val="fr-CA"/>
              </w:rPr>
            </w:pPr>
            <w:r w:rsidRPr="00047B76">
              <w:rPr>
                <w:sz w:val="20"/>
                <w:lang w:val="fr-CA"/>
              </w:rPr>
              <w:lastRenderedPageBreak/>
              <w:t xml:space="preserve">La présente demande a pour origine la tentative infructueuse de la demanderesse, </w:t>
            </w:r>
            <w:proofErr w:type="spellStart"/>
            <w:r w:rsidRPr="00047B76">
              <w:rPr>
                <w:sz w:val="20"/>
                <w:lang w:val="fr-CA"/>
              </w:rPr>
              <w:t>Catalyst</w:t>
            </w:r>
            <w:proofErr w:type="spellEnd"/>
            <w:r w:rsidRPr="00047B76">
              <w:rPr>
                <w:sz w:val="20"/>
                <w:lang w:val="fr-CA"/>
              </w:rPr>
              <w:t xml:space="preserve"> Capital Group Inc., d’acheter Wind Mobile de l’intimée VimpelCom Ltd. La participation de VimpelCom dans Wind Mobile a fini par être achetée par un consortium d’acheteurs (constitué de la plupart des autres intimées). </w:t>
            </w:r>
            <w:proofErr w:type="spellStart"/>
            <w:r w:rsidRPr="00047B76">
              <w:rPr>
                <w:sz w:val="20"/>
                <w:lang w:val="fr-CA"/>
              </w:rPr>
              <w:t>Catalyst</w:t>
            </w:r>
            <w:proofErr w:type="spellEnd"/>
            <w:r w:rsidRPr="00047B76">
              <w:rPr>
                <w:sz w:val="20"/>
                <w:lang w:val="fr-CA"/>
              </w:rPr>
              <w:t xml:space="preserve"> a poursuivi les intimées, leur reprochant d’avoir commis les délits d’incitation à rupture de contrat, de complot et d’abus de confiance, ce qui l’a empêchée d’acquérir Wind Mobile. Elle a également allégué que VimpelCom avait violé son contrat d’exclusivité et son accord de confidentialité. La demande de </w:t>
            </w:r>
            <w:proofErr w:type="spellStart"/>
            <w:r w:rsidRPr="00047B76">
              <w:rPr>
                <w:sz w:val="20"/>
                <w:lang w:val="fr-CA"/>
              </w:rPr>
              <w:t>Catalyst</w:t>
            </w:r>
            <w:proofErr w:type="spellEnd"/>
            <w:r w:rsidRPr="00047B76">
              <w:rPr>
                <w:sz w:val="20"/>
                <w:lang w:val="fr-CA"/>
              </w:rPr>
              <w:t xml:space="preserve"> a été introduite cinq jours avant le début du procès dans une autre action qu’elle avait intentée relativement à sa tentative infructueuse d’acheter Wind Mobile. La Cour supérieure de justice a rejeté cette action et la Cour d’appel a confirmé ce rejet. Les défenderesses à l’action en l’espèce ont demandé par motion le rejet de la déclaration de </w:t>
            </w:r>
            <w:proofErr w:type="spellStart"/>
            <w:r w:rsidRPr="00047B76">
              <w:rPr>
                <w:sz w:val="20"/>
                <w:lang w:val="fr-CA"/>
              </w:rPr>
              <w:t>Catalyst</w:t>
            </w:r>
            <w:proofErr w:type="spellEnd"/>
            <w:r w:rsidRPr="00047B76">
              <w:rPr>
                <w:sz w:val="20"/>
                <w:lang w:val="fr-CA"/>
              </w:rPr>
              <w:t xml:space="preserve"> pour cause de </w:t>
            </w:r>
            <w:proofErr w:type="spellStart"/>
            <w:r w:rsidRPr="00047B76">
              <w:rPr>
                <w:sz w:val="20"/>
                <w:lang w:val="fr-CA"/>
              </w:rPr>
              <w:t>préclusion</w:t>
            </w:r>
            <w:proofErr w:type="spellEnd"/>
            <w:r w:rsidRPr="00047B76">
              <w:rPr>
                <w:sz w:val="20"/>
                <w:lang w:val="fr-CA"/>
              </w:rPr>
              <w:t xml:space="preserve"> découlant d’une question déjà tranchée, de </w:t>
            </w:r>
            <w:proofErr w:type="spellStart"/>
            <w:r w:rsidRPr="00047B76">
              <w:rPr>
                <w:sz w:val="20"/>
                <w:lang w:val="fr-CA"/>
              </w:rPr>
              <w:t>préclusion</w:t>
            </w:r>
            <w:proofErr w:type="spellEnd"/>
            <w:r w:rsidRPr="00047B76">
              <w:rPr>
                <w:sz w:val="20"/>
                <w:lang w:val="fr-CA"/>
              </w:rPr>
              <w:t xml:space="preserve"> fondée sur la cause d’action et d’abus de procédure. Le juge des requêtes a accueilli la motion des intimées. Il a rejeté la demande contre toutes les défenderesses pour cause d’abus de procédure et la demande contre la plupart des défenderesses pour cause de </w:t>
            </w:r>
            <w:proofErr w:type="spellStart"/>
            <w:r w:rsidRPr="00047B76">
              <w:rPr>
                <w:sz w:val="20"/>
                <w:lang w:val="fr-CA"/>
              </w:rPr>
              <w:t>préclusion</w:t>
            </w:r>
            <w:proofErr w:type="spellEnd"/>
            <w:r w:rsidRPr="00047B76">
              <w:rPr>
                <w:sz w:val="20"/>
                <w:lang w:val="fr-CA"/>
              </w:rPr>
              <w:t xml:space="preserve"> découlant d’une question déjà tranchée et de </w:t>
            </w:r>
            <w:proofErr w:type="spellStart"/>
            <w:r w:rsidRPr="00047B76">
              <w:rPr>
                <w:sz w:val="20"/>
                <w:lang w:val="fr-CA"/>
              </w:rPr>
              <w:t>préclusion</w:t>
            </w:r>
            <w:proofErr w:type="spellEnd"/>
            <w:r w:rsidRPr="00047B76">
              <w:rPr>
                <w:sz w:val="20"/>
                <w:lang w:val="fr-CA"/>
              </w:rPr>
              <w:t xml:space="preserve"> fondée sur la cause d’action. La Cour d’appel a rejeté l’appel de </w:t>
            </w:r>
            <w:proofErr w:type="spellStart"/>
            <w:r w:rsidRPr="00047B76">
              <w:rPr>
                <w:sz w:val="20"/>
                <w:lang w:val="fr-CA"/>
              </w:rPr>
              <w:t>Catalyst</w:t>
            </w:r>
            <w:proofErr w:type="spellEnd"/>
            <w:r w:rsidRPr="00047B76">
              <w:rPr>
                <w:sz w:val="20"/>
                <w:lang w:val="fr-CA"/>
              </w:rPr>
              <w:t>.</w:t>
            </w:r>
          </w:p>
          <w:p w:rsidR="0071029D" w:rsidRPr="00047B76" w:rsidRDefault="0071029D" w:rsidP="0023484E">
            <w:pPr>
              <w:jc w:val="both"/>
              <w:rPr>
                <w:sz w:val="20"/>
                <w:lang w:val="fr-CA"/>
              </w:rPr>
            </w:pPr>
          </w:p>
        </w:tc>
      </w:tr>
      <w:tr w:rsidR="0071029D" w:rsidRPr="00957F6E" w:rsidTr="0023484E">
        <w:tc>
          <w:tcPr>
            <w:tcW w:w="2427" w:type="pct"/>
          </w:tcPr>
          <w:p w:rsidR="0071029D" w:rsidRPr="00047B76" w:rsidRDefault="0071029D" w:rsidP="0023484E">
            <w:pPr>
              <w:jc w:val="both"/>
              <w:rPr>
                <w:sz w:val="20"/>
                <w:lang w:val="fr-CA"/>
              </w:rPr>
            </w:pPr>
            <w:r w:rsidRPr="00047B76">
              <w:rPr>
                <w:sz w:val="20"/>
                <w:lang w:val="fr-CA"/>
              </w:rPr>
              <w:t>18 avril 2018</w:t>
            </w:r>
          </w:p>
          <w:p w:rsidR="0071029D" w:rsidRPr="00047B76" w:rsidRDefault="0071029D" w:rsidP="0023484E">
            <w:pPr>
              <w:jc w:val="both"/>
              <w:rPr>
                <w:sz w:val="20"/>
                <w:lang w:val="fr-CA"/>
              </w:rPr>
            </w:pPr>
            <w:r w:rsidRPr="00047B76">
              <w:rPr>
                <w:sz w:val="20"/>
                <w:lang w:val="fr-CA"/>
              </w:rPr>
              <w:t>Cour supérieure de justice de l’Ontario</w:t>
            </w:r>
          </w:p>
          <w:p w:rsidR="0071029D" w:rsidRPr="00047B76" w:rsidRDefault="0071029D" w:rsidP="0023484E">
            <w:pPr>
              <w:jc w:val="both"/>
              <w:rPr>
                <w:sz w:val="20"/>
                <w:lang w:val="fr-CA"/>
              </w:rPr>
            </w:pPr>
            <w:r w:rsidRPr="00047B76">
              <w:rPr>
                <w:sz w:val="20"/>
                <w:lang w:val="fr-CA"/>
              </w:rPr>
              <w:t xml:space="preserve">(Juge </w:t>
            </w:r>
            <w:proofErr w:type="spellStart"/>
            <w:r w:rsidRPr="00047B76">
              <w:rPr>
                <w:sz w:val="20"/>
                <w:lang w:val="fr-CA"/>
              </w:rPr>
              <w:t>Hainey</w:t>
            </w:r>
            <w:proofErr w:type="spellEnd"/>
            <w:r w:rsidRPr="00047B76">
              <w:rPr>
                <w:sz w:val="20"/>
                <w:lang w:val="fr-CA"/>
              </w:rPr>
              <w:t>)</w:t>
            </w:r>
          </w:p>
          <w:p w:rsidR="0071029D" w:rsidRPr="00047B76" w:rsidRDefault="009A56E8" w:rsidP="0023484E">
            <w:pPr>
              <w:jc w:val="both"/>
              <w:rPr>
                <w:sz w:val="20"/>
                <w:lang w:val="fr-CA"/>
              </w:rPr>
            </w:pPr>
            <w:hyperlink r:id="rId93" w:history="1">
              <w:r w:rsidR="0071029D" w:rsidRPr="00047B76">
                <w:rPr>
                  <w:rStyle w:val="Hyperlink"/>
                  <w:sz w:val="20"/>
                  <w:lang w:val="fr-CA"/>
                </w:rPr>
                <w:t>2018 ONSC 2471</w:t>
              </w:r>
            </w:hyperlink>
          </w:p>
          <w:p w:rsidR="0071029D" w:rsidRPr="00047B76" w:rsidRDefault="0071029D" w:rsidP="0023484E">
            <w:pPr>
              <w:jc w:val="both"/>
              <w:rPr>
                <w:sz w:val="20"/>
                <w:lang w:val="fr-CA"/>
              </w:rPr>
            </w:pPr>
          </w:p>
        </w:tc>
        <w:tc>
          <w:tcPr>
            <w:tcW w:w="243" w:type="pct"/>
          </w:tcPr>
          <w:p w:rsidR="0071029D" w:rsidRPr="00047B76" w:rsidRDefault="0071029D" w:rsidP="0023484E">
            <w:pPr>
              <w:jc w:val="both"/>
              <w:rPr>
                <w:sz w:val="20"/>
                <w:lang w:val="fr-CA"/>
              </w:rPr>
            </w:pPr>
          </w:p>
        </w:tc>
        <w:tc>
          <w:tcPr>
            <w:tcW w:w="2330" w:type="pct"/>
          </w:tcPr>
          <w:p w:rsidR="0071029D" w:rsidRPr="00047B76" w:rsidRDefault="0071029D" w:rsidP="0023484E">
            <w:pPr>
              <w:jc w:val="both"/>
              <w:rPr>
                <w:sz w:val="20"/>
                <w:lang w:val="fr-CA"/>
              </w:rPr>
            </w:pPr>
            <w:r w:rsidRPr="00047B76">
              <w:rPr>
                <w:sz w:val="20"/>
                <w:lang w:val="fr-CA"/>
              </w:rPr>
              <w:t>Jugement accueillant la motion des intimées en rejet de la déclaration de la demanderesse et rejetant l’action de la demanderesse pour cause d’abus de procédure</w:t>
            </w:r>
          </w:p>
          <w:p w:rsidR="0071029D" w:rsidRPr="00047B76" w:rsidRDefault="0071029D" w:rsidP="0023484E">
            <w:pPr>
              <w:jc w:val="both"/>
              <w:rPr>
                <w:sz w:val="20"/>
                <w:lang w:val="fr-CA"/>
              </w:rPr>
            </w:pPr>
          </w:p>
        </w:tc>
      </w:tr>
      <w:tr w:rsidR="0071029D" w:rsidRPr="00047B76" w:rsidTr="0023484E">
        <w:tc>
          <w:tcPr>
            <w:tcW w:w="2427" w:type="pct"/>
          </w:tcPr>
          <w:p w:rsidR="0071029D" w:rsidRPr="00047B76" w:rsidRDefault="0071029D" w:rsidP="0023484E">
            <w:pPr>
              <w:jc w:val="both"/>
              <w:rPr>
                <w:sz w:val="20"/>
                <w:lang w:val="fr-CA"/>
              </w:rPr>
            </w:pPr>
            <w:r w:rsidRPr="00047B76">
              <w:rPr>
                <w:sz w:val="20"/>
                <w:lang w:val="fr-CA"/>
              </w:rPr>
              <w:t>2 mai 2019</w:t>
            </w:r>
          </w:p>
          <w:p w:rsidR="0071029D" w:rsidRPr="00047B76" w:rsidRDefault="0071029D" w:rsidP="0023484E">
            <w:pPr>
              <w:jc w:val="both"/>
              <w:rPr>
                <w:sz w:val="20"/>
                <w:lang w:val="fr-CA"/>
              </w:rPr>
            </w:pPr>
            <w:r w:rsidRPr="00047B76">
              <w:rPr>
                <w:sz w:val="20"/>
                <w:lang w:val="fr-CA"/>
              </w:rPr>
              <w:t>Cour d’appel de l’Ontario</w:t>
            </w:r>
          </w:p>
          <w:p w:rsidR="0071029D" w:rsidRPr="00047B76" w:rsidRDefault="0071029D" w:rsidP="0023484E">
            <w:pPr>
              <w:jc w:val="both"/>
              <w:rPr>
                <w:sz w:val="20"/>
                <w:lang w:val="fr-CA"/>
              </w:rPr>
            </w:pPr>
            <w:r w:rsidRPr="00047B76">
              <w:rPr>
                <w:sz w:val="20"/>
                <w:lang w:val="fr-CA"/>
              </w:rPr>
              <w:t xml:space="preserve">(Juges </w:t>
            </w:r>
            <w:proofErr w:type="spellStart"/>
            <w:r w:rsidRPr="00047B76">
              <w:rPr>
                <w:sz w:val="20"/>
                <w:lang w:val="fr-CA"/>
              </w:rPr>
              <w:t>Tulloch</w:t>
            </w:r>
            <w:proofErr w:type="spellEnd"/>
            <w:r w:rsidRPr="00047B76">
              <w:rPr>
                <w:sz w:val="20"/>
                <w:lang w:val="fr-CA"/>
              </w:rPr>
              <w:t xml:space="preserve">, </w:t>
            </w:r>
            <w:proofErr w:type="spellStart"/>
            <w:r w:rsidRPr="00047B76">
              <w:rPr>
                <w:sz w:val="20"/>
                <w:lang w:val="fr-CA"/>
              </w:rPr>
              <w:t>Benotto</w:t>
            </w:r>
            <w:proofErr w:type="spellEnd"/>
            <w:r w:rsidRPr="00047B76">
              <w:rPr>
                <w:sz w:val="20"/>
                <w:lang w:val="fr-CA"/>
              </w:rPr>
              <w:t xml:space="preserve"> et </w:t>
            </w:r>
            <w:proofErr w:type="spellStart"/>
            <w:r w:rsidRPr="00047B76">
              <w:rPr>
                <w:sz w:val="20"/>
                <w:lang w:val="fr-CA"/>
              </w:rPr>
              <w:t>Huscroft</w:t>
            </w:r>
            <w:proofErr w:type="spellEnd"/>
            <w:r w:rsidRPr="00047B76">
              <w:rPr>
                <w:sz w:val="20"/>
                <w:lang w:val="fr-CA"/>
              </w:rPr>
              <w:t>)</w:t>
            </w:r>
          </w:p>
          <w:p w:rsidR="0071029D" w:rsidRPr="00047B76" w:rsidRDefault="009A56E8" w:rsidP="0023484E">
            <w:pPr>
              <w:jc w:val="both"/>
              <w:rPr>
                <w:sz w:val="20"/>
                <w:lang w:val="fr-CA"/>
              </w:rPr>
            </w:pPr>
            <w:hyperlink r:id="rId94" w:history="1">
              <w:r w:rsidR="0071029D" w:rsidRPr="00047B76">
                <w:rPr>
                  <w:rStyle w:val="Hyperlink"/>
                  <w:sz w:val="20"/>
                  <w:lang w:val="fr-CA"/>
                </w:rPr>
                <w:t>2019 ONCA 354</w:t>
              </w:r>
            </w:hyperlink>
            <w:r w:rsidR="0071029D" w:rsidRPr="00047B76">
              <w:rPr>
                <w:sz w:val="20"/>
                <w:lang w:val="fr-CA"/>
              </w:rPr>
              <w:t xml:space="preserve"> (registre : C65431)</w:t>
            </w:r>
          </w:p>
          <w:p w:rsidR="0071029D" w:rsidRPr="00047B76" w:rsidRDefault="0071029D" w:rsidP="0023484E">
            <w:pPr>
              <w:jc w:val="both"/>
              <w:rPr>
                <w:sz w:val="20"/>
                <w:lang w:val="fr-CA"/>
              </w:rPr>
            </w:pPr>
          </w:p>
        </w:tc>
        <w:tc>
          <w:tcPr>
            <w:tcW w:w="243" w:type="pct"/>
          </w:tcPr>
          <w:p w:rsidR="0071029D" w:rsidRPr="00047B76" w:rsidRDefault="0071029D" w:rsidP="0023484E">
            <w:pPr>
              <w:jc w:val="both"/>
              <w:rPr>
                <w:sz w:val="20"/>
                <w:lang w:val="fr-CA"/>
              </w:rPr>
            </w:pPr>
          </w:p>
        </w:tc>
        <w:tc>
          <w:tcPr>
            <w:tcW w:w="2330" w:type="pct"/>
          </w:tcPr>
          <w:p w:rsidR="0071029D" w:rsidRPr="00047B76" w:rsidRDefault="0071029D" w:rsidP="0023484E">
            <w:pPr>
              <w:jc w:val="both"/>
              <w:rPr>
                <w:sz w:val="20"/>
                <w:lang w:val="fr-CA"/>
              </w:rPr>
            </w:pPr>
            <w:r w:rsidRPr="00047B76">
              <w:rPr>
                <w:sz w:val="20"/>
                <w:lang w:val="fr-CA"/>
              </w:rPr>
              <w:t>Rejet de l’appel</w:t>
            </w:r>
          </w:p>
          <w:p w:rsidR="0071029D" w:rsidRPr="00047B76" w:rsidRDefault="0071029D" w:rsidP="0023484E">
            <w:pPr>
              <w:jc w:val="both"/>
              <w:rPr>
                <w:sz w:val="20"/>
                <w:lang w:val="fr-CA"/>
              </w:rPr>
            </w:pPr>
          </w:p>
        </w:tc>
      </w:tr>
      <w:tr w:rsidR="0071029D" w:rsidRPr="00957F6E" w:rsidTr="0023484E">
        <w:tc>
          <w:tcPr>
            <w:tcW w:w="2427" w:type="pct"/>
          </w:tcPr>
          <w:p w:rsidR="0071029D" w:rsidRPr="00047B76" w:rsidRDefault="0071029D" w:rsidP="0023484E">
            <w:pPr>
              <w:jc w:val="both"/>
              <w:rPr>
                <w:sz w:val="20"/>
                <w:lang w:val="fr-CA"/>
              </w:rPr>
            </w:pPr>
            <w:r w:rsidRPr="00047B76">
              <w:rPr>
                <w:sz w:val="20"/>
                <w:lang w:val="fr-CA"/>
              </w:rPr>
              <w:t>1</w:t>
            </w:r>
            <w:r w:rsidRPr="00047B76">
              <w:rPr>
                <w:sz w:val="20"/>
                <w:vertAlign w:val="superscript"/>
                <w:lang w:val="fr-CA"/>
              </w:rPr>
              <w:t>er</w:t>
            </w:r>
            <w:r w:rsidRPr="00047B76">
              <w:rPr>
                <w:sz w:val="20"/>
                <w:lang w:val="fr-CA"/>
              </w:rPr>
              <w:t> août 2019</w:t>
            </w:r>
          </w:p>
          <w:p w:rsidR="0071029D" w:rsidRPr="00047B76" w:rsidRDefault="0071029D" w:rsidP="0023484E">
            <w:pPr>
              <w:jc w:val="both"/>
              <w:rPr>
                <w:sz w:val="20"/>
                <w:lang w:val="fr-CA"/>
              </w:rPr>
            </w:pPr>
            <w:r w:rsidRPr="00047B76">
              <w:rPr>
                <w:sz w:val="20"/>
                <w:lang w:val="fr-CA"/>
              </w:rPr>
              <w:t>Cour suprême du Canada</w:t>
            </w:r>
          </w:p>
        </w:tc>
        <w:tc>
          <w:tcPr>
            <w:tcW w:w="243" w:type="pct"/>
          </w:tcPr>
          <w:p w:rsidR="0071029D" w:rsidRPr="00047B76" w:rsidRDefault="0071029D" w:rsidP="0023484E">
            <w:pPr>
              <w:jc w:val="both"/>
              <w:rPr>
                <w:sz w:val="20"/>
                <w:lang w:val="fr-CA"/>
              </w:rPr>
            </w:pPr>
          </w:p>
        </w:tc>
        <w:tc>
          <w:tcPr>
            <w:tcW w:w="2330" w:type="pct"/>
          </w:tcPr>
          <w:p w:rsidR="0071029D" w:rsidRPr="00047B76" w:rsidRDefault="0071029D" w:rsidP="0023484E">
            <w:pPr>
              <w:jc w:val="both"/>
              <w:rPr>
                <w:sz w:val="20"/>
                <w:lang w:val="fr-CA"/>
              </w:rPr>
            </w:pPr>
            <w:r w:rsidRPr="00047B76">
              <w:rPr>
                <w:sz w:val="20"/>
                <w:lang w:val="fr-CA"/>
              </w:rPr>
              <w:t>Dépôt de la demande d’autorisation d’appel</w:t>
            </w:r>
          </w:p>
        </w:tc>
      </w:tr>
    </w:tbl>
    <w:p w:rsidR="0071029D" w:rsidRPr="00047B76" w:rsidRDefault="0071029D" w:rsidP="0071029D">
      <w:pPr>
        <w:jc w:val="both"/>
        <w:rPr>
          <w:sz w:val="20"/>
          <w:lang w:val="fr-CA"/>
        </w:rPr>
      </w:pPr>
    </w:p>
    <w:p w:rsidR="0071029D" w:rsidRPr="00047B76" w:rsidRDefault="009A56E8" w:rsidP="0071029D">
      <w:pPr>
        <w:ind w:left="142" w:hanging="142"/>
        <w:rPr>
          <w:sz w:val="20"/>
          <w:lang w:val="fr-CA"/>
        </w:rPr>
      </w:pPr>
      <w:r>
        <w:rPr>
          <w:sz w:val="20"/>
        </w:rPr>
        <w:pict>
          <v:rect id="_x0000_i1069" style="width:2in;height:1pt" o:hrpct="0" o:hralign="center" o:hrstd="t" o:hrnoshade="t" o:hr="t" fillcolor="black [3213]" stroked="f"/>
        </w:pict>
      </w:r>
    </w:p>
    <w:p w:rsidR="00A15E6F" w:rsidRPr="00047B76" w:rsidRDefault="00A15E6F" w:rsidP="00F16063">
      <w:pPr>
        <w:rPr>
          <w:sz w:val="20"/>
          <w:szCs w:val="20"/>
        </w:rPr>
      </w:pPr>
    </w:p>
    <w:p w:rsidR="0071029D" w:rsidRPr="00047B76" w:rsidRDefault="0071029D" w:rsidP="00102792">
      <w:pPr>
        <w:jc w:val="both"/>
        <w:rPr>
          <w:sz w:val="20"/>
          <w:lang w:val="fr-CA"/>
        </w:rPr>
      </w:pPr>
    </w:p>
    <w:p w:rsidR="00102792" w:rsidRPr="00047B76" w:rsidRDefault="00102792" w:rsidP="00102792">
      <w:pPr>
        <w:jc w:val="both"/>
        <w:rPr>
          <w:sz w:val="20"/>
          <w:lang w:val="fr-CA"/>
        </w:rPr>
      </w:pPr>
    </w:p>
    <w:p w:rsidR="00890FEB" w:rsidRPr="00047B76" w:rsidRDefault="00890FEB" w:rsidP="008D292F">
      <w:pPr>
        <w:rPr>
          <w:sz w:val="20"/>
          <w:szCs w:val="20"/>
          <w:lang w:val="fr-CA"/>
        </w:rPr>
      </w:pPr>
    </w:p>
    <w:p w:rsidR="00890FEB" w:rsidRPr="00047B76" w:rsidRDefault="00890FEB" w:rsidP="008D292F">
      <w:pPr>
        <w:rPr>
          <w:b/>
          <w:sz w:val="20"/>
          <w:szCs w:val="20"/>
          <w:lang w:val="fr-CA"/>
        </w:rPr>
        <w:sectPr w:rsidR="00890FEB" w:rsidRPr="00047B76" w:rsidSect="008D292F">
          <w:headerReference w:type="even" r:id="rId95"/>
          <w:headerReference w:type="default" r:id="rId96"/>
          <w:footerReference w:type="even" r:id="rId97"/>
          <w:footerReference w:type="default" r:id="rId98"/>
          <w:headerReference w:type="first" r:id="rId99"/>
          <w:footerReference w:type="first" r:id="rId100"/>
          <w:pgSz w:w="12240" w:h="15840"/>
          <w:pgMar w:top="720" w:right="965" w:bottom="1080" w:left="1656" w:header="720" w:footer="965" w:gutter="0"/>
          <w:cols w:space="720"/>
          <w:titlePg/>
          <w:docGrid w:linePitch="326"/>
        </w:sectPr>
      </w:pPr>
    </w:p>
    <w:p w:rsidR="00693C38" w:rsidRPr="00047B76" w:rsidRDefault="00DD0BDC" w:rsidP="00567602">
      <w:pPr>
        <w:pStyle w:val="Header1StyleE"/>
        <w:pBdr>
          <w:bottom w:val="single" w:sz="12" w:space="1" w:color="auto"/>
        </w:pBdr>
        <w:rPr>
          <w:lang w:val="fr-CA"/>
        </w:rPr>
      </w:pPr>
      <w:bookmarkStart w:id="6" w:name="_Toc24615299"/>
      <w:r w:rsidRPr="00047B76">
        <w:rPr>
          <w:lang w:val="fr-CA"/>
        </w:rPr>
        <w:lastRenderedPageBreak/>
        <w:t>Motions</w:t>
      </w:r>
      <w:r w:rsidR="00271E1E" w:rsidRPr="00047B76">
        <w:rPr>
          <w:lang w:val="fr-CA"/>
        </w:rPr>
        <w:t xml:space="preserve"> / </w:t>
      </w:r>
      <w:r w:rsidR="00693C38" w:rsidRPr="00047B76">
        <w:rPr>
          <w:lang w:val="fr-CA"/>
        </w:rPr>
        <w:br/>
      </w:r>
      <w:r w:rsidRPr="00047B76">
        <w:rPr>
          <w:lang w:val="fr-CA"/>
        </w:rPr>
        <w:t>Requêtes</w:t>
      </w:r>
      <w:bookmarkEnd w:id="6"/>
    </w:p>
    <w:p w:rsidR="00890FEB" w:rsidRPr="00047B76" w:rsidRDefault="00890FEB" w:rsidP="00890FEB">
      <w:pPr>
        <w:rPr>
          <w:sz w:val="20"/>
          <w:szCs w:val="20"/>
          <w:lang w:val="fr-CA"/>
        </w:rPr>
      </w:pPr>
    </w:p>
    <w:p w:rsidR="008859F1" w:rsidRPr="00047B76" w:rsidRDefault="00C74798" w:rsidP="008859F1">
      <w:pPr>
        <w:rPr>
          <w:b/>
          <w:sz w:val="20"/>
          <w:szCs w:val="20"/>
          <w:lang w:val="fr-CA"/>
        </w:rPr>
      </w:pPr>
      <w:r w:rsidRPr="00047B76">
        <w:rPr>
          <w:b/>
          <w:sz w:val="20"/>
          <w:szCs w:val="20"/>
          <w:lang w:val="fr-CA"/>
        </w:rPr>
        <w:t>NOVEMBER</w:t>
      </w:r>
      <w:r w:rsidR="008859F1" w:rsidRPr="00047B76">
        <w:rPr>
          <w:b/>
          <w:sz w:val="20"/>
          <w:szCs w:val="20"/>
          <w:lang w:val="fr-CA"/>
        </w:rPr>
        <w:t xml:space="preserve"> </w:t>
      </w:r>
      <w:r w:rsidRPr="00047B76">
        <w:rPr>
          <w:b/>
          <w:sz w:val="20"/>
          <w:szCs w:val="20"/>
          <w:lang w:val="fr-CA"/>
        </w:rPr>
        <w:t>8</w:t>
      </w:r>
      <w:r w:rsidR="008859F1" w:rsidRPr="00047B76">
        <w:rPr>
          <w:b/>
          <w:sz w:val="20"/>
          <w:szCs w:val="20"/>
          <w:lang w:val="fr-CA"/>
        </w:rPr>
        <w:t xml:space="preserve">, 2019 / LE </w:t>
      </w:r>
      <w:r w:rsidRPr="00047B76">
        <w:rPr>
          <w:b/>
          <w:sz w:val="20"/>
          <w:szCs w:val="20"/>
          <w:lang w:val="fr-CA"/>
        </w:rPr>
        <w:t>8</w:t>
      </w:r>
      <w:r w:rsidR="008859F1" w:rsidRPr="00047B76">
        <w:rPr>
          <w:b/>
          <w:sz w:val="20"/>
          <w:szCs w:val="20"/>
          <w:lang w:val="fr-CA"/>
        </w:rPr>
        <w:t xml:space="preserve"> </w:t>
      </w:r>
      <w:r w:rsidRPr="00047B76">
        <w:rPr>
          <w:b/>
          <w:sz w:val="20"/>
          <w:szCs w:val="20"/>
          <w:lang w:val="fr-CA"/>
        </w:rPr>
        <w:t>NOVEMBRE</w:t>
      </w:r>
      <w:r w:rsidR="008859F1" w:rsidRPr="00047B76">
        <w:rPr>
          <w:b/>
          <w:sz w:val="20"/>
          <w:szCs w:val="20"/>
          <w:lang w:val="fr-CA"/>
        </w:rPr>
        <w:t xml:space="preserve"> 2019</w:t>
      </w:r>
    </w:p>
    <w:p w:rsidR="00102792" w:rsidRPr="00047B76"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957556" w:rsidRPr="00047B76" w:rsidTr="00957556">
        <w:tc>
          <w:tcPr>
            <w:tcW w:w="4804" w:type="dxa"/>
            <w:tcBorders>
              <w:top w:val="nil"/>
              <w:left w:val="nil"/>
              <w:bottom w:val="nil"/>
              <w:right w:val="nil"/>
            </w:tcBorders>
          </w:tcPr>
          <w:p w:rsidR="00957556" w:rsidRPr="00047B76" w:rsidRDefault="00957556" w:rsidP="00C74798">
            <w:pPr>
              <w:tabs>
                <w:tab w:val="left" w:pos="-1440"/>
                <w:tab w:val="left" w:pos="-720"/>
              </w:tabs>
              <w:jc w:val="both"/>
              <w:rPr>
                <w:rFonts w:eastAsia="Times New Roman" w:cs="Times New Roman"/>
                <w:b/>
                <w:sz w:val="20"/>
                <w:szCs w:val="20"/>
                <w:lang w:val="en-US" w:eastAsia="en-CA"/>
              </w:rPr>
            </w:pPr>
            <w:r w:rsidRPr="00047B76">
              <w:rPr>
                <w:rFonts w:eastAsia="Times New Roman" w:cs="Times New Roman"/>
                <w:b/>
                <w:sz w:val="20"/>
                <w:szCs w:val="20"/>
                <w:lang w:val="en-US" w:eastAsia="en-CA"/>
              </w:rPr>
              <w:t xml:space="preserve">Motion to </w:t>
            </w:r>
            <w:r w:rsidR="00C74798" w:rsidRPr="00047B76">
              <w:rPr>
                <w:rFonts w:eastAsia="Times New Roman" w:cs="Times New Roman"/>
                <w:b/>
                <w:sz w:val="20"/>
                <w:szCs w:val="20"/>
                <w:lang w:val="en-US" w:eastAsia="en-CA"/>
              </w:rPr>
              <w:t>quash</w:t>
            </w:r>
          </w:p>
        </w:tc>
        <w:tc>
          <w:tcPr>
            <w:tcW w:w="4805" w:type="dxa"/>
            <w:tcBorders>
              <w:top w:val="nil"/>
              <w:left w:val="nil"/>
              <w:bottom w:val="nil"/>
              <w:right w:val="nil"/>
            </w:tcBorders>
          </w:tcPr>
          <w:p w:rsidR="00957556" w:rsidRPr="00047B76" w:rsidRDefault="00957556" w:rsidP="00C74798">
            <w:pPr>
              <w:tabs>
                <w:tab w:val="left" w:pos="-1440"/>
                <w:tab w:val="left" w:pos="-720"/>
              </w:tabs>
              <w:jc w:val="both"/>
              <w:rPr>
                <w:rFonts w:eastAsia="Times New Roman" w:cs="Times New Roman"/>
                <w:b/>
                <w:sz w:val="20"/>
                <w:szCs w:val="20"/>
                <w:lang w:val="fr-CA" w:eastAsia="en-CA"/>
              </w:rPr>
            </w:pPr>
            <w:r w:rsidRPr="00047B76">
              <w:rPr>
                <w:rFonts w:eastAsia="Times New Roman" w:cs="Times New Roman"/>
                <w:b/>
                <w:sz w:val="20"/>
                <w:szCs w:val="20"/>
                <w:lang w:val="fr-CA" w:eastAsia="en-CA"/>
              </w:rPr>
              <w:t xml:space="preserve">Requête en </w:t>
            </w:r>
            <w:r w:rsidR="00C74798" w:rsidRPr="00047B76">
              <w:rPr>
                <w:rFonts w:eastAsia="Times New Roman" w:cs="Times New Roman"/>
                <w:b/>
                <w:sz w:val="20"/>
                <w:szCs w:val="20"/>
                <w:lang w:val="fr-CA" w:eastAsia="en-CA"/>
              </w:rPr>
              <w:t>annulation</w:t>
            </w:r>
          </w:p>
        </w:tc>
      </w:tr>
    </w:tbl>
    <w:p w:rsidR="00957556" w:rsidRPr="00047B76" w:rsidRDefault="00957556" w:rsidP="00102792">
      <w:pPr>
        <w:tabs>
          <w:tab w:val="left" w:pos="-1440"/>
          <w:tab w:val="left" w:pos="-720"/>
        </w:tabs>
        <w:jc w:val="both"/>
        <w:rPr>
          <w:rFonts w:eastAsia="Times New Roman" w:cs="Times New Roman"/>
          <w:sz w:val="20"/>
          <w:szCs w:val="20"/>
          <w:lang w:val="fr-CA" w:eastAsia="en-CA"/>
        </w:rPr>
      </w:pPr>
    </w:p>
    <w:p w:rsidR="00523985" w:rsidRPr="00047B76" w:rsidRDefault="00523985" w:rsidP="00523985">
      <w:pPr>
        <w:rPr>
          <w:rFonts w:cs="Times New Roman"/>
          <w:b/>
          <w:bCs/>
          <w:sz w:val="20"/>
          <w:szCs w:val="20"/>
        </w:rPr>
      </w:pPr>
      <w:r w:rsidRPr="00047B76">
        <w:rPr>
          <w:rFonts w:cs="Times New Roman"/>
          <w:b/>
          <w:bCs/>
          <w:sz w:val="20"/>
          <w:szCs w:val="20"/>
        </w:rPr>
        <w:t>C.P. v. HER MAJESTY THE QUEEN</w:t>
      </w:r>
    </w:p>
    <w:p w:rsidR="00523985" w:rsidRPr="00047B76" w:rsidRDefault="00523985" w:rsidP="00523985">
      <w:pPr>
        <w:rPr>
          <w:rFonts w:cs="Times New Roman"/>
          <w:bCs/>
          <w:sz w:val="20"/>
          <w:szCs w:val="20"/>
        </w:rPr>
      </w:pPr>
      <w:r w:rsidRPr="00047B76">
        <w:rPr>
          <w:rFonts w:cs="Times New Roman"/>
          <w:bCs/>
          <w:sz w:val="20"/>
          <w:szCs w:val="20"/>
        </w:rPr>
        <w:t>(Ont.) (38546)</w:t>
      </w:r>
    </w:p>
    <w:p w:rsidR="00523985" w:rsidRPr="00047B76" w:rsidRDefault="00523985" w:rsidP="00523985">
      <w:pPr>
        <w:rPr>
          <w:rFonts w:cs="Times New Roman"/>
          <w:sz w:val="20"/>
          <w:szCs w:val="20"/>
        </w:rPr>
      </w:pPr>
    </w:p>
    <w:p w:rsidR="00523985" w:rsidRPr="00047B76" w:rsidRDefault="00523985" w:rsidP="00523985">
      <w:pPr>
        <w:rPr>
          <w:rFonts w:cs="Times New Roman"/>
          <w:sz w:val="20"/>
          <w:szCs w:val="20"/>
        </w:rPr>
      </w:pPr>
      <w:r w:rsidRPr="00047B76">
        <w:rPr>
          <w:rFonts w:cs="Times New Roman"/>
          <w:b/>
          <w:bCs/>
          <w:sz w:val="20"/>
          <w:szCs w:val="20"/>
          <w:u w:val="single"/>
        </w:rPr>
        <w:t>THE COURT</w:t>
      </w:r>
      <w:r w:rsidRPr="00047B76">
        <w:rPr>
          <w:rFonts w:cs="Times New Roman"/>
          <w:b/>
          <w:bCs/>
          <w:sz w:val="20"/>
          <w:szCs w:val="20"/>
        </w:rPr>
        <w:t>:</w:t>
      </w:r>
    </w:p>
    <w:p w:rsidR="00523985" w:rsidRPr="00047B76" w:rsidRDefault="00523985" w:rsidP="00523985">
      <w:pPr>
        <w:rPr>
          <w:rFonts w:cs="Times New Roman"/>
          <w:sz w:val="20"/>
          <w:szCs w:val="20"/>
        </w:rPr>
      </w:pPr>
    </w:p>
    <w:p w:rsidR="00523985" w:rsidRPr="00047B76" w:rsidRDefault="00523985" w:rsidP="00523985">
      <w:pPr>
        <w:rPr>
          <w:rFonts w:cs="Times New Roman"/>
          <w:sz w:val="20"/>
          <w:szCs w:val="20"/>
        </w:rPr>
      </w:pPr>
      <w:r w:rsidRPr="00047B76">
        <w:rPr>
          <w:rFonts w:cs="Times New Roman"/>
          <w:b/>
          <w:bCs/>
          <w:sz w:val="20"/>
          <w:szCs w:val="20"/>
        </w:rPr>
        <w:t xml:space="preserve">UPON APPLICATION </w:t>
      </w:r>
      <w:r w:rsidRPr="00047B76">
        <w:rPr>
          <w:rFonts w:cs="Times New Roman"/>
          <w:sz w:val="20"/>
          <w:szCs w:val="20"/>
        </w:rPr>
        <w:t xml:space="preserve">by the respondent for an order quashing the notice of appeal filed from the judgment of the Court of Appeal for Ontario, Number C65441, 2019 ONCA 85, dated February 8, 2019; </w:t>
      </w:r>
    </w:p>
    <w:p w:rsidR="00523985" w:rsidRPr="00047B76" w:rsidRDefault="00523985" w:rsidP="00523985">
      <w:pPr>
        <w:spacing w:line="233" w:lineRule="auto"/>
        <w:rPr>
          <w:rFonts w:cs="Times New Roman"/>
          <w:sz w:val="20"/>
          <w:szCs w:val="20"/>
        </w:rPr>
      </w:pPr>
    </w:p>
    <w:p w:rsidR="00523985" w:rsidRPr="00047B76" w:rsidRDefault="00523985" w:rsidP="00523985">
      <w:pPr>
        <w:spacing w:line="233" w:lineRule="auto"/>
        <w:rPr>
          <w:rFonts w:cs="Times New Roman"/>
          <w:sz w:val="20"/>
          <w:szCs w:val="20"/>
        </w:rPr>
      </w:pPr>
      <w:r w:rsidRPr="00047B76">
        <w:rPr>
          <w:rFonts w:cs="Times New Roman"/>
          <w:b/>
          <w:bCs/>
          <w:sz w:val="20"/>
          <w:szCs w:val="20"/>
        </w:rPr>
        <w:t>AND THE MATERIAL FILED</w:t>
      </w:r>
      <w:r w:rsidRPr="00047B76">
        <w:rPr>
          <w:rFonts w:cs="Times New Roman"/>
          <w:sz w:val="20"/>
          <w:szCs w:val="20"/>
        </w:rPr>
        <w:t xml:space="preserve"> having been read;</w:t>
      </w:r>
    </w:p>
    <w:p w:rsidR="00523985" w:rsidRPr="00047B76" w:rsidRDefault="00523985" w:rsidP="00523985">
      <w:pPr>
        <w:spacing w:line="233" w:lineRule="auto"/>
        <w:rPr>
          <w:rFonts w:cs="Times New Roman"/>
          <w:sz w:val="20"/>
          <w:szCs w:val="20"/>
        </w:rPr>
      </w:pPr>
    </w:p>
    <w:p w:rsidR="00523985" w:rsidRPr="00047B76" w:rsidRDefault="00523985" w:rsidP="00523985">
      <w:pPr>
        <w:spacing w:line="233" w:lineRule="auto"/>
        <w:rPr>
          <w:rFonts w:cs="Times New Roman"/>
          <w:b/>
          <w:sz w:val="20"/>
          <w:szCs w:val="20"/>
        </w:rPr>
      </w:pPr>
      <w:r w:rsidRPr="00047B76">
        <w:rPr>
          <w:rFonts w:cs="Times New Roman"/>
          <w:b/>
          <w:sz w:val="20"/>
          <w:szCs w:val="20"/>
        </w:rPr>
        <w:t xml:space="preserve">AND NOTING THAT </w:t>
      </w:r>
      <w:r w:rsidRPr="00047B76">
        <w:rPr>
          <w:rFonts w:cs="Times New Roman"/>
          <w:sz w:val="20"/>
          <w:szCs w:val="20"/>
        </w:rPr>
        <w:t xml:space="preserve">the </w:t>
      </w:r>
      <w:r w:rsidRPr="00047B76">
        <w:rPr>
          <w:rFonts w:cs="Times New Roman"/>
          <w:i/>
          <w:sz w:val="20"/>
          <w:szCs w:val="20"/>
        </w:rPr>
        <w:t>Youth Criminal Justice Act</w:t>
      </w:r>
      <w:r w:rsidRPr="00047B76">
        <w:rPr>
          <w:rFonts w:cs="Times New Roman"/>
          <w:sz w:val="20"/>
          <w:szCs w:val="20"/>
        </w:rPr>
        <w:t>, S.C. 2002, c. 1 does not</w:t>
      </w:r>
      <w:r w:rsidRPr="00047B76">
        <w:rPr>
          <w:rFonts w:cs="Times New Roman"/>
          <w:i/>
          <w:sz w:val="20"/>
          <w:szCs w:val="20"/>
        </w:rPr>
        <w:t xml:space="preserve"> </w:t>
      </w:r>
      <w:r w:rsidRPr="00047B76">
        <w:rPr>
          <w:rFonts w:cs="Times New Roman"/>
          <w:sz w:val="20"/>
          <w:szCs w:val="20"/>
        </w:rPr>
        <w:t xml:space="preserve">provide for an appeal as of right; </w:t>
      </w:r>
    </w:p>
    <w:p w:rsidR="00523985" w:rsidRPr="00047B76" w:rsidRDefault="00523985" w:rsidP="00523985">
      <w:pPr>
        <w:spacing w:line="233" w:lineRule="auto"/>
        <w:rPr>
          <w:rFonts w:cs="Times New Roman"/>
          <w:sz w:val="20"/>
          <w:szCs w:val="20"/>
        </w:rPr>
      </w:pPr>
    </w:p>
    <w:p w:rsidR="00523985" w:rsidRPr="00047B76" w:rsidRDefault="00523985" w:rsidP="00523985">
      <w:pPr>
        <w:spacing w:line="233" w:lineRule="auto"/>
        <w:rPr>
          <w:rFonts w:cs="Times New Roman"/>
          <w:b/>
          <w:bCs/>
          <w:sz w:val="20"/>
          <w:szCs w:val="20"/>
        </w:rPr>
      </w:pPr>
      <w:r w:rsidRPr="00047B76">
        <w:rPr>
          <w:rFonts w:cs="Times New Roman"/>
          <w:b/>
          <w:bCs/>
          <w:sz w:val="20"/>
          <w:szCs w:val="20"/>
        </w:rPr>
        <w:t>IT IS HEREBY ORDERED THAT:</w:t>
      </w:r>
    </w:p>
    <w:p w:rsidR="00523985" w:rsidRPr="00047B76" w:rsidRDefault="00523985" w:rsidP="00523985">
      <w:pPr>
        <w:spacing w:line="233" w:lineRule="auto"/>
        <w:rPr>
          <w:rFonts w:cs="Times New Roman"/>
          <w:sz w:val="20"/>
          <w:szCs w:val="20"/>
        </w:rPr>
      </w:pPr>
    </w:p>
    <w:p w:rsidR="00523985" w:rsidRPr="00047B76" w:rsidRDefault="00523985" w:rsidP="00523985">
      <w:pPr>
        <w:pStyle w:val="ListParagraph"/>
        <w:numPr>
          <w:ilvl w:val="0"/>
          <w:numId w:val="8"/>
        </w:numPr>
        <w:autoSpaceDE w:val="0"/>
        <w:autoSpaceDN w:val="0"/>
        <w:spacing w:line="228" w:lineRule="auto"/>
        <w:jc w:val="both"/>
        <w:rPr>
          <w:rFonts w:cs="Times New Roman"/>
          <w:sz w:val="20"/>
          <w:szCs w:val="20"/>
        </w:rPr>
      </w:pPr>
      <w:r w:rsidRPr="00047B76">
        <w:rPr>
          <w:rFonts w:cs="Times New Roman"/>
          <w:sz w:val="20"/>
          <w:szCs w:val="20"/>
        </w:rPr>
        <w:t xml:space="preserve">The motion to quash is adjourned without prejudice to C.P.’s right to serve and file an application for leave to appeal. In the application for leave to appeal, C.P. is entitled to raise as a ground for leave to appeal any constitutional issue in respect of s. 37(10) of the </w:t>
      </w:r>
      <w:r w:rsidRPr="00047B76">
        <w:rPr>
          <w:rFonts w:cs="Times New Roman"/>
          <w:i/>
          <w:iCs/>
          <w:sz w:val="20"/>
          <w:szCs w:val="20"/>
        </w:rPr>
        <w:t>Youth Criminal Justice Act</w:t>
      </w:r>
      <w:r w:rsidRPr="00047B76">
        <w:rPr>
          <w:rFonts w:cs="Times New Roman"/>
          <w:sz w:val="20"/>
          <w:szCs w:val="20"/>
        </w:rPr>
        <w:t xml:space="preserve">;  </w:t>
      </w:r>
    </w:p>
    <w:p w:rsidR="00523985" w:rsidRPr="00047B76" w:rsidRDefault="00523985" w:rsidP="00523985">
      <w:pPr>
        <w:spacing w:line="228" w:lineRule="auto"/>
        <w:rPr>
          <w:rFonts w:cs="Times New Roman"/>
          <w:sz w:val="20"/>
          <w:szCs w:val="20"/>
        </w:rPr>
      </w:pPr>
    </w:p>
    <w:p w:rsidR="00523985" w:rsidRPr="00047B76" w:rsidRDefault="00523985" w:rsidP="00523985">
      <w:pPr>
        <w:pStyle w:val="ListParagraph"/>
        <w:numPr>
          <w:ilvl w:val="0"/>
          <w:numId w:val="8"/>
        </w:numPr>
        <w:autoSpaceDE w:val="0"/>
        <w:autoSpaceDN w:val="0"/>
        <w:spacing w:line="228" w:lineRule="auto"/>
        <w:jc w:val="both"/>
        <w:rPr>
          <w:rFonts w:cs="Times New Roman"/>
          <w:sz w:val="20"/>
          <w:szCs w:val="20"/>
        </w:rPr>
      </w:pPr>
      <w:r w:rsidRPr="00047B76">
        <w:rPr>
          <w:rFonts w:cs="Times New Roman"/>
          <w:sz w:val="20"/>
          <w:szCs w:val="20"/>
        </w:rPr>
        <w:t xml:space="preserve">The application for leave to appeal shall be served and filed no later than thirty (30) days from the date of this order; </w:t>
      </w:r>
    </w:p>
    <w:p w:rsidR="00523985" w:rsidRPr="00047B76" w:rsidRDefault="00523985" w:rsidP="00523985">
      <w:pPr>
        <w:pStyle w:val="ListParagraph"/>
        <w:spacing w:line="228" w:lineRule="auto"/>
        <w:rPr>
          <w:rFonts w:cs="Times New Roman"/>
          <w:sz w:val="20"/>
          <w:szCs w:val="20"/>
        </w:rPr>
      </w:pPr>
    </w:p>
    <w:p w:rsidR="00523985" w:rsidRPr="00047B76" w:rsidRDefault="00523985" w:rsidP="00523985">
      <w:pPr>
        <w:pStyle w:val="ListParagraph"/>
        <w:numPr>
          <w:ilvl w:val="0"/>
          <w:numId w:val="8"/>
        </w:numPr>
        <w:autoSpaceDE w:val="0"/>
        <w:autoSpaceDN w:val="0"/>
        <w:spacing w:line="228" w:lineRule="auto"/>
        <w:jc w:val="both"/>
        <w:rPr>
          <w:rFonts w:cs="Times New Roman"/>
          <w:sz w:val="20"/>
          <w:szCs w:val="20"/>
        </w:rPr>
      </w:pPr>
      <w:r w:rsidRPr="00047B76">
        <w:rPr>
          <w:rFonts w:cs="Times New Roman"/>
          <w:sz w:val="20"/>
          <w:szCs w:val="20"/>
        </w:rPr>
        <w:t>The respondent shall serve and file any response to the application for leave to appeal no later than thirty (30) days from the service date of the leave application;</w:t>
      </w:r>
    </w:p>
    <w:p w:rsidR="00523985" w:rsidRPr="00047B76" w:rsidRDefault="00523985" w:rsidP="00523985">
      <w:pPr>
        <w:pStyle w:val="ListParagraph"/>
        <w:rPr>
          <w:rFonts w:cs="Times New Roman"/>
          <w:sz w:val="20"/>
          <w:szCs w:val="20"/>
        </w:rPr>
      </w:pPr>
    </w:p>
    <w:p w:rsidR="00523985" w:rsidRPr="00047B76" w:rsidRDefault="00523985" w:rsidP="00523985">
      <w:pPr>
        <w:pStyle w:val="ListParagraph"/>
        <w:numPr>
          <w:ilvl w:val="0"/>
          <w:numId w:val="8"/>
        </w:numPr>
        <w:autoSpaceDE w:val="0"/>
        <w:autoSpaceDN w:val="0"/>
        <w:spacing w:line="228" w:lineRule="auto"/>
        <w:jc w:val="both"/>
        <w:rPr>
          <w:rFonts w:cs="Times New Roman"/>
          <w:sz w:val="20"/>
          <w:szCs w:val="20"/>
        </w:rPr>
      </w:pPr>
      <w:r w:rsidRPr="00047B76">
        <w:rPr>
          <w:rFonts w:cs="Times New Roman"/>
          <w:sz w:val="20"/>
          <w:szCs w:val="20"/>
        </w:rPr>
        <w:t>The applicant’s reply, if any, shall be served and filed no later than ten (10) days from the service date of the response;</w:t>
      </w:r>
    </w:p>
    <w:p w:rsidR="00523985" w:rsidRPr="00047B76" w:rsidRDefault="00523985" w:rsidP="00523985">
      <w:pPr>
        <w:pStyle w:val="ListParagraph"/>
        <w:rPr>
          <w:rFonts w:cs="Times New Roman"/>
          <w:sz w:val="20"/>
          <w:szCs w:val="20"/>
        </w:rPr>
      </w:pPr>
    </w:p>
    <w:p w:rsidR="00523985" w:rsidRPr="00047B76" w:rsidRDefault="00523985" w:rsidP="00523985">
      <w:pPr>
        <w:pStyle w:val="ListParagraph"/>
        <w:numPr>
          <w:ilvl w:val="0"/>
          <w:numId w:val="8"/>
        </w:numPr>
        <w:autoSpaceDE w:val="0"/>
        <w:autoSpaceDN w:val="0"/>
        <w:spacing w:line="228" w:lineRule="auto"/>
        <w:jc w:val="both"/>
        <w:rPr>
          <w:rFonts w:cs="Times New Roman"/>
          <w:sz w:val="20"/>
          <w:szCs w:val="20"/>
        </w:rPr>
      </w:pPr>
      <w:r w:rsidRPr="00047B76">
        <w:rPr>
          <w:rFonts w:cs="Times New Roman"/>
          <w:sz w:val="20"/>
          <w:szCs w:val="20"/>
        </w:rPr>
        <w:t xml:space="preserve">If no application for leave to appeal is filed within that time, the proceeding shall be dismissed as abandoned. </w:t>
      </w:r>
    </w:p>
    <w:p w:rsidR="00102792" w:rsidRPr="00047B76" w:rsidRDefault="00102792" w:rsidP="00102792">
      <w:pPr>
        <w:spacing w:line="228" w:lineRule="auto"/>
        <w:rPr>
          <w:sz w:val="20"/>
        </w:rPr>
      </w:pPr>
    </w:p>
    <w:p w:rsidR="00523985" w:rsidRPr="00047B76" w:rsidRDefault="00523985" w:rsidP="00102792">
      <w:pPr>
        <w:spacing w:line="228" w:lineRule="auto"/>
        <w:rPr>
          <w:sz w:val="20"/>
        </w:rPr>
      </w:pPr>
    </w:p>
    <w:p w:rsidR="00523985" w:rsidRPr="00047B76" w:rsidRDefault="00523985" w:rsidP="00523985">
      <w:pPr>
        <w:rPr>
          <w:rFonts w:cs="Times New Roman"/>
          <w:sz w:val="20"/>
          <w:szCs w:val="20"/>
          <w:lang w:val="fr-CA"/>
        </w:rPr>
      </w:pPr>
      <w:r w:rsidRPr="00047B76">
        <w:rPr>
          <w:rFonts w:cs="Times New Roman"/>
          <w:b/>
          <w:sz w:val="20"/>
          <w:szCs w:val="20"/>
          <w:lang w:val="fr-CA"/>
        </w:rPr>
        <w:t>À LA SUITE DE LA DEMANDE</w:t>
      </w:r>
      <w:r w:rsidRPr="00047B76">
        <w:rPr>
          <w:rFonts w:cs="Times New Roman"/>
          <w:sz w:val="20"/>
          <w:szCs w:val="20"/>
          <w:lang w:val="fr-CA"/>
        </w:rPr>
        <w:t xml:space="preserve"> de l’intimée visant à obtenir l’annulation de l’avis d’appel du jugement de la Cour d’appel de l’Ontario, numéro C65441, 2019 ONCA 85, daté du 8 février 2019;</w:t>
      </w:r>
    </w:p>
    <w:p w:rsidR="00523985" w:rsidRPr="00047B76" w:rsidRDefault="00523985" w:rsidP="00523985">
      <w:pPr>
        <w:rPr>
          <w:rFonts w:cs="Times New Roman"/>
          <w:sz w:val="20"/>
          <w:szCs w:val="20"/>
          <w:lang w:val="fr-CA"/>
        </w:rPr>
      </w:pPr>
    </w:p>
    <w:p w:rsidR="00523985" w:rsidRPr="00047B76" w:rsidRDefault="00523985" w:rsidP="00523985">
      <w:pPr>
        <w:rPr>
          <w:rFonts w:cs="Times New Roman"/>
          <w:sz w:val="20"/>
          <w:szCs w:val="20"/>
          <w:lang w:val="fr-CA"/>
        </w:rPr>
      </w:pPr>
      <w:r w:rsidRPr="00047B76">
        <w:rPr>
          <w:rFonts w:cs="Times New Roman"/>
          <w:b/>
          <w:sz w:val="20"/>
          <w:szCs w:val="20"/>
          <w:lang w:val="fr-CA"/>
        </w:rPr>
        <w:t>ET APRÈS EXAMEN</w:t>
      </w:r>
      <w:r w:rsidRPr="00047B76">
        <w:rPr>
          <w:rFonts w:cs="Times New Roman"/>
          <w:sz w:val="20"/>
          <w:szCs w:val="20"/>
          <w:lang w:val="fr-CA"/>
        </w:rPr>
        <w:t xml:space="preserve"> des documents déposés;</w:t>
      </w:r>
    </w:p>
    <w:p w:rsidR="00523985" w:rsidRPr="00047B76" w:rsidRDefault="00523985" w:rsidP="00523985">
      <w:pPr>
        <w:rPr>
          <w:rFonts w:cs="Times New Roman"/>
          <w:sz w:val="20"/>
          <w:szCs w:val="20"/>
          <w:lang w:val="fr-CA"/>
        </w:rPr>
      </w:pPr>
    </w:p>
    <w:p w:rsidR="00523985" w:rsidRPr="00047B76" w:rsidRDefault="00523985" w:rsidP="00523985">
      <w:pPr>
        <w:rPr>
          <w:rFonts w:cs="Times New Roman"/>
          <w:sz w:val="20"/>
          <w:szCs w:val="20"/>
          <w:lang w:val="fr-CA"/>
        </w:rPr>
      </w:pPr>
      <w:r w:rsidRPr="00047B76">
        <w:rPr>
          <w:rFonts w:cs="Times New Roman"/>
          <w:b/>
          <w:sz w:val="20"/>
          <w:szCs w:val="20"/>
          <w:lang w:val="fr-CA"/>
        </w:rPr>
        <w:t>ET ÉTANT DONNÉ</w:t>
      </w:r>
      <w:r w:rsidRPr="00047B76">
        <w:rPr>
          <w:rFonts w:cs="Times New Roman"/>
          <w:sz w:val="20"/>
          <w:szCs w:val="20"/>
          <w:lang w:val="fr-CA"/>
        </w:rPr>
        <w:t xml:space="preserve"> que la </w:t>
      </w:r>
      <w:r w:rsidRPr="00047B76">
        <w:rPr>
          <w:rFonts w:cs="Times New Roman"/>
          <w:i/>
          <w:sz w:val="20"/>
          <w:szCs w:val="20"/>
          <w:lang w:val="fr-CA"/>
        </w:rPr>
        <w:t>Loi sur le système de justice pénale pour les adolescents</w:t>
      </w:r>
      <w:r w:rsidRPr="00047B76">
        <w:rPr>
          <w:rFonts w:cs="Times New Roman"/>
          <w:sz w:val="20"/>
          <w:szCs w:val="20"/>
          <w:lang w:val="fr-CA"/>
        </w:rPr>
        <w:t xml:space="preserve">, L.C. 2002, c. 1, ne prévoit pas d’appel de plein droit; </w:t>
      </w:r>
    </w:p>
    <w:p w:rsidR="00523985" w:rsidRPr="00047B76" w:rsidRDefault="00523985" w:rsidP="00523985">
      <w:pPr>
        <w:rPr>
          <w:rFonts w:cs="Times New Roman"/>
          <w:sz w:val="20"/>
          <w:szCs w:val="20"/>
          <w:lang w:val="fr-CA"/>
        </w:rPr>
      </w:pPr>
    </w:p>
    <w:p w:rsidR="00523985" w:rsidRPr="00047B76" w:rsidRDefault="00523985" w:rsidP="00523985">
      <w:pPr>
        <w:rPr>
          <w:rFonts w:cs="Times New Roman"/>
          <w:b/>
          <w:sz w:val="20"/>
          <w:szCs w:val="20"/>
          <w:lang w:val="fr-CA"/>
        </w:rPr>
      </w:pPr>
      <w:r w:rsidRPr="00047B76">
        <w:rPr>
          <w:rFonts w:cs="Times New Roman"/>
          <w:b/>
          <w:sz w:val="20"/>
          <w:szCs w:val="20"/>
          <w:lang w:val="fr-CA"/>
        </w:rPr>
        <w:t xml:space="preserve">IL EST PAR LA PRÉSENTE ORDONNÉ CE QUI SUIT : </w:t>
      </w:r>
    </w:p>
    <w:p w:rsidR="00523985" w:rsidRPr="00047B76" w:rsidRDefault="00523985" w:rsidP="00523985">
      <w:pPr>
        <w:rPr>
          <w:rFonts w:cs="Times New Roman"/>
          <w:bCs/>
          <w:sz w:val="20"/>
          <w:szCs w:val="20"/>
          <w:lang w:val="fr-CA"/>
        </w:rPr>
      </w:pPr>
    </w:p>
    <w:p w:rsidR="00523985" w:rsidRPr="00047B76" w:rsidRDefault="00523985" w:rsidP="00523985">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bCs/>
          <w:sz w:val="20"/>
          <w:szCs w:val="20"/>
          <w:lang w:val="fr-CA"/>
        </w:rPr>
      </w:pPr>
      <w:r w:rsidRPr="00047B76">
        <w:rPr>
          <w:rFonts w:cs="Times New Roman"/>
          <w:bCs/>
          <w:sz w:val="20"/>
          <w:szCs w:val="20"/>
          <w:lang w:val="fr-CA"/>
        </w:rPr>
        <w:t xml:space="preserve">La requête en annulation est ajournée sans préjudice du droit de C.P. de signifier et de déposer une demande d’autorisation d’appel. Dans la demande d’autorisation d’appel, C.P. est autorisé à soulever comme motif d’autorisation d’appel toute question constitutionnelle relative au paragraphe 37(10) de la </w:t>
      </w:r>
      <w:r w:rsidRPr="00047B76">
        <w:rPr>
          <w:rFonts w:cs="Times New Roman"/>
          <w:bCs/>
          <w:i/>
          <w:sz w:val="20"/>
          <w:szCs w:val="20"/>
          <w:lang w:val="fr-CA"/>
        </w:rPr>
        <w:t>Loi sur le système de justice pénale pour les adolescents</w:t>
      </w:r>
      <w:r w:rsidRPr="00047B76">
        <w:rPr>
          <w:rFonts w:cs="Times New Roman"/>
          <w:bCs/>
          <w:sz w:val="20"/>
          <w:szCs w:val="20"/>
          <w:lang w:val="fr-CA"/>
        </w:rPr>
        <w:t xml:space="preserve">;  </w:t>
      </w:r>
    </w:p>
    <w:p w:rsidR="00523985" w:rsidRPr="00047B76" w:rsidRDefault="00523985" w:rsidP="00523985">
      <w:pPr>
        <w:rPr>
          <w:rFonts w:cs="Times New Roman"/>
          <w:bCs/>
          <w:sz w:val="20"/>
          <w:szCs w:val="20"/>
          <w:lang w:val="fr-CA"/>
        </w:rPr>
      </w:pPr>
    </w:p>
    <w:p w:rsidR="00523985" w:rsidRPr="00047B76" w:rsidRDefault="00523985" w:rsidP="00523985">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cs="Times New Roman"/>
          <w:bCs/>
          <w:sz w:val="20"/>
          <w:szCs w:val="20"/>
          <w:lang w:val="fr-CA"/>
        </w:rPr>
      </w:pPr>
      <w:r w:rsidRPr="00047B76">
        <w:rPr>
          <w:rFonts w:cs="Times New Roman"/>
          <w:bCs/>
          <w:sz w:val="20"/>
          <w:szCs w:val="20"/>
          <w:lang w:val="fr-CA"/>
        </w:rPr>
        <w:t xml:space="preserve">La demande d’autorisation d’appel devra être signifiée et déposée au plus tard trente (30) jours après la date de la présente ordonnance; </w:t>
      </w:r>
    </w:p>
    <w:p w:rsidR="00523985" w:rsidRPr="00047B76" w:rsidRDefault="00523985" w:rsidP="00523985">
      <w:pPr>
        <w:spacing w:line="233" w:lineRule="auto"/>
        <w:rPr>
          <w:rFonts w:cs="Times New Roman"/>
          <w:bCs/>
          <w:sz w:val="20"/>
          <w:szCs w:val="20"/>
          <w:lang w:val="fr-CA"/>
        </w:rPr>
      </w:pPr>
    </w:p>
    <w:p w:rsidR="00523985" w:rsidRPr="00047B76" w:rsidRDefault="00523985" w:rsidP="00523985">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cs="Times New Roman"/>
          <w:bCs/>
          <w:sz w:val="20"/>
          <w:szCs w:val="20"/>
          <w:lang w:val="fr-CA"/>
        </w:rPr>
      </w:pPr>
      <w:r w:rsidRPr="00047B76">
        <w:rPr>
          <w:rFonts w:cs="Times New Roman"/>
          <w:bCs/>
          <w:sz w:val="20"/>
          <w:szCs w:val="20"/>
          <w:lang w:val="fr-CA"/>
        </w:rPr>
        <w:t>L’intimée signifiera et déposera sa réponse à la demande d’autorisation d’appel au plus tard trente (30) jours après la date de signification de la demande d’autorisation;</w:t>
      </w:r>
    </w:p>
    <w:p w:rsidR="00523985" w:rsidRPr="00047B76" w:rsidRDefault="00523985" w:rsidP="00523985">
      <w:pPr>
        <w:spacing w:line="233" w:lineRule="auto"/>
        <w:rPr>
          <w:rFonts w:cs="Times New Roman"/>
          <w:bCs/>
          <w:sz w:val="20"/>
          <w:szCs w:val="20"/>
          <w:lang w:val="fr-CA"/>
        </w:rPr>
      </w:pPr>
    </w:p>
    <w:p w:rsidR="00523985" w:rsidRPr="00047B76" w:rsidRDefault="00523985" w:rsidP="00523985">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cs="Times New Roman"/>
          <w:bCs/>
          <w:sz w:val="20"/>
          <w:szCs w:val="20"/>
          <w:lang w:val="fr-CA"/>
        </w:rPr>
      </w:pPr>
      <w:r w:rsidRPr="00047B76">
        <w:rPr>
          <w:rFonts w:cs="Times New Roman"/>
          <w:bCs/>
          <w:sz w:val="20"/>
          <w:szCs w:val="20"/>
          <w:lang w:val="fr-CA"/>
        </w:rPr>
        <w:lastRenderedPageBreak/>
        <w:t>La réplique du demandeur, le cas échéant, devra être signifiée et déposée au plus tard dix (10) jours après la date de signification de la réponse;</w:t>
      </w:r>
    </w:p>
    <w:p w:rsidR="00523985" w:rsidRPr="00047B76" w:rsidRDefault="00523985" w:rsidP="00523985">
      <w:pPr>
        <w:spacing w:line="233" w:lineRule="auto"/>
        <w:rPr>
          <w:rFonts w:cs="Times New Roman"/>
          <w:bCs/>
          <w:sz w:val="20"/>
          <w:szCs w:val="20"/>
          <w:lang w:val="fr-CA"/>
        </w:rPr>
      </w:pPr>
    </w:p>
    <w:p w:rsidR="00523985" w:rsidRPr="00047B76" w:rsidRDefault="00523985" w:rsidP="00523985">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cs="Times New Roman"/>
          <w:bCs/>
          <w:sz w:val="20"/>
          <w:szCs w:val="20"/>
          <w:lang w:val="fr-CA"/>
        </w:rPr>
      </w:pPr>
      <w:r w:rsidRPr="00047B76">
        <w:rPr>
          <w:rFonts w:cs="Times New Roman"/>
          <w:bCs/>
          <w:sz w:val="20"/>
          <w:szCs w:val="20"/>
          <w:lang w:val="fr-CA"/>
        </w:rPr>
        <w:t>Si aucune demande d’autorisation d’interjeter appel n’est déposée dans ce délai, l’instance sera rejetée comme abandonnée.</w:t>
      </w:r>
    </w:p>
    <w:p w:rsidR="00102792" w:rsidRPr="00047B76" w:rsidRDefault="00102792" w:rsidP="00102792">
      <w:pPr>
        <w:spacing w:line="232" w:lineRule="auto"/>
        <w:rPr>
          <w:rFonts w:cs="Times New Roman"/>
          <w:sz w:val="20"/>
          <w:lang w:val="fr-CA"/>
        </w:rPr>
      </w:pPr>
    </w:p>
    <w:p w:rsidR="00102792" w:rsidRPr="00047B76" w:rsidRDefault="009A56E8"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72" style="width:2in;height:1pt" o:hrpct="0" o:hralign="center" o:hrstd="t" o:hrnoshade="t" o:hr="t" fillcolor="black [3213]" stroked="f"/>
        </w:pict>
      </w:r>
    </w:p>
    <w:p w:rsidR="0095591D" w:rsidRPr="00047B76" w:rsidRDefault="0095591D" w:rsidP="00102792">
      <w:pPr>
        <w:rPr>
          <w:rFonts w:eastAsia="Times New Roman" w:cs="Times New Roman"/>
          <w:sz w:val="20"/>
          <w:szCs w:val="20"/>
          <w:lang w:val="fr-CA" w:eastAsia="en-CA"/>
        </w:rPr>
      </w:pPr>
    </w:p>
    <w:p w:rsidR="0095591D" w:rsidRPr="00047B76" w:rsidRDefault="0095591D" w:rsidP="00102792">
      <w:pPr>
        <w:rPr>
          <w:rFonts w:eastAsia="Times New Roman" w:cs="Times New Roman"/>
          <w:sz w:val="20"/>
          <w:szCs w:val="20"/>
          <w:lang w:val="fr-CA" w:eastAsia="en-CA"/>
        </w:rPr>
      </w:pPr>
    </w:p>
    <w:p w:rsidR="00CA2DEA" w:rsidRPr="00047B76" w:rsidRDefault="00CA2DEA" w:rsidP="0010587F">
      <w:pPr>
        <w:tabs>
          <w:tab w:val="left" w:pos="-1440"/>
          <w:tab w:val="left" w:pos="-720"/>
        </w:tabs>
        <w:jc w:val="both"/>
        <w:rPr>
          <w:sz w:val="20"/>
          <w:szCs w:val="20"/>
          <w:lang w:val="fr-CA"/>
        </w:rPr>
      </w:pPr>
    </w:p>
    <w:p w:rsidR="00890FEB" w:rsidRPr="00047B76" w:rsidRDefault="00890FEB" w:rsidP="00831CA9">
      <w:pPr>
        <w:jc w:val="both"/>
        <w:rPr>
          <w:sz w:val="20"/>
          <w:szCs w:val="20"/>
          <w:lang w:val="fr-CA"/>
        </w:rPr>
      </w:pPr>
    </w:p>
    <w:p w:rsidR="00831CA9" w:rsidRPr="00047B76" w:rsidRDefault="00831CA9" w:rsidP="00831CA9">
      <w:pPr>
        <w:jc w:val="both"/>
        <w:rPr>
          <w:sz w:val="20"/>
          <w:szCs w:val="20"/>
          <w:lang w:val="fr-CA"/>
        </w:rPr>
        <w:sectPr w:rsidR="00831CA9" w:rsidRPr="00047B76" w:rsidSect="00831CA9">
          <w:headerReference w:type="even" r:id="rId101"/>
          <w:headerReference w:type="default" r:id="rId102"/>
          <w:footerReference w:type="even" r:id="rId103"/>
          <w:footerReference w:type="default" r:id="rId104"/>
          <w:headerReference w:type="first" r:id="rId105"/>
          <w:footerReference w:type="first" r:id="rId106"/>
          <w:pgSz w:w="12240" w:h="15840"/>
          <w:pgMar w:top="720" w:right="965" w:bottom="1080" w:left="1656" w:header="720" w:footer="965" w:gutter="0"/>
          <w:cols w:space="720"/>
          <w:titlePg/>
          <w:docGrid w:linePitch="326"/>
        </w:sectPr>
      </w:pPr>
    </w:p>
    <w:p w:rsidR="00567602" w:rsidRPr="00047B76" w:rsidRDefault="001434B9" w:rsidP="00567602">
      <w:pPr>
        <w:pStyle w:val="Header1StyleE"/>
        <w:pBdr>
          <w:bottom w:val="single" w:sz="12" w:space="1" w:color="auto"/>
        </w:pBdr>
        <w:rPr>
          <w:lang w:val="fr-CA"/>
        </w:rPr>
      </w:pPr>
      <w:bookmarkStart w:id="7" w:name="_Toc24615300"/>
      <w:r w:rsidRPr="00047B76">
        <w:rPr>
          <w:lang w:val="fr-CA"/>
        </w:rPr>
        <w:lastRenderedPageBreak/>
        <w:t>Appeals heard since the last issue and disposition</w:t>
      </w:r>
      <w:r w:rsidR="00271E1E" w:rsidRPr="00047B76">
        <w:rPr>
          <w:lang w:val="fr-CA"/>
        </w:rPr>
        <w:t xml:space="preserve"> / </w:t>
      </w:r>
      <w:r w:rsidR="00567602" w:rsidRPr="00047B76">
        <w:rPr>
          <w:lang w:val="fr-CA"/>
        </w:rPr>
        <w:br/>
      </w:r>
      <w:r w:rsidRPr="00047B76">
        <w:rPr>
          <w:lang w:val="fr-CA"/>
        </w:rPr>
        <w:t>Appels entendus depuis la dernière parution et résultat</w:t>
      </w:r>
      <w:bookmarkEnd w:id="7"/>
    </w:p>
    <w:p w:rsidR="00567602" w:rsidRPr="00047B76" w:rsidRDefault="00567602" w:rsidP="00567602">
      <w:pPr>
        <w:keepNext/>
        <w:keepLines/>
        <w:widowControl w:val="0"/>
        <w:jc w:val="both"/>
        <w:rPr>
          <w:szCs w:val="24"/>
          <w:lang w:val="fr-CA"/>
        </w:rPr>
      </w:pPr>
    </w:p>
    <w:p w:rsidR="00717608" w:rsidRPr="00047B76" w:rsidRDefault="00A15E6F" w:rsidP="00717608">
      <w:pPr>
        <w:rPr>
          <w:b/>
          <w:sz w:val="20"/>
          <w:szCs w:val="20"/>
          <w:lang w:val="fr-CA"/>
        </w:rPr>
      </w:pPr>
      <w:r w:rsidRPr="00047B76">
        <w:rPr>
          <w:b/>
          <w:sz w:val="20"/>
          <w:szCs w:val="20"/>
          <w:lang w:val="fr-CA"/>
        </w:rPr>
        <w:t>NOVEMBER</w:t>
      </w:r>
      <w:r w:rsidR="00717608" w:rsidRPr="00047B76">
        <w:rPr>
          <w:b/>
          <w:sz w:val="20"/>
          <w:szCs w:val="20"/>
          <w:lang w:val="fr-CA"/>
        </w:rPr>
        <w:t xml:space="preserve"> 1</w:t>
      </w:r>
      <w:r w:rsidRPr="00047B76">
        <w:rPr>
          <w:b/>
          <w:sz w:val="20"/>
          <w:szCs w:val="20"/>
          <w:lang w:val="fr-CA"/>
        </w:rPr>
        <w:t>2</w:t>
      </w:r>
      <w:r w:rsidR="00717608" w:rsidRPr="00047B76">
        <w:rPr>
          <w:b/>
          <w:sz w:val="20"/>
          <w:szCs w:val="20"/>
          <w:lang w:val="fr-CA"/>
        </w:rPr>
        <w:t>, 2019 / LE 1</w:t>
      </w:r>
      <w:r w:rsidRPr="00047B76">
        <w:rPr>
          <w:b/>
          <w:sz w:val="20"/>
          <w:szCs w:val="20"/>
          <w:lang w:val="fr-CA"/>
        </w:rPr>
        <w:t>2</w:t>
      </w:r>
      <w:r w:rsidR="00717608" w:rsidRPr="00047B76">
        <w:rPr>
          <w:b/>
          <w:sz w:val="20"/>
          <w:szCs w:val="20"/>
          <w:lang w:val="fr-CA"/>
        </w:rPr>
        <w:t xml:space="preserve"> </w:t>
      </w:r>
      <w:r w:rsidRPr="00047B76">
        <w:rPr>
          <w:b/>
          <w:sz w:val="20"/>
          <w:szCs w:val="20"/>
          <w:lang w:val="fr-CA"/>
        </w:rPr>
        <w:t>NOVEMBRE</w:t>
      </w:r>
      <w:r w:rsidR="00717608" w:rsidRPr="00047B76">
        <w:rPr>
          <w:b/>
          <w:sz w:val="20"/>
          <w:szCs w:val="20"/>
          <w:lang w:val="fr-CA"/>
        </w:rPr>
        <w:t xml:space="preserve"> 2019</w:t>
      </w:r>
    </w:p>
    <w:p w:rsidR="00A15E6F" w:rsidRPr="00047B76" w:rsidRDefault="00A15E6F" w:rsidP="00102792">
      <w:pPr>
        <w:rPr>
          <w:rStyle w:val="sccssocchar"/>
          <w:bCs/>
          <w:color w:val="000000"/>
          <w:sz w:val="20"/>
          <w:szCs w:val="27"/>
          <w:lang w:val="fr-CA"/>
        </w:rPr>
      </w:pPr>
    </w:p>
    <w:p w:rsidR="00A15E6F" w:rsidRPr="00047B76" w:rsidRDefault="00A15E6F" w:rsidP="00A15E6F">
      <w:pPr>
        <w:widowControl w:val="0"/>
        <w:rPr>
          <w:sz w:val="20"/>
          <w:szCs w:val="20"/>
        </w:rPr>
      </w:pPr>
      <w:r w:rsidRPr="00047B76">
        <w:rPr>
          <w:b/>
          <w:iCs/>
          <w:sz w:val="20"/>
          <w:szCs w:val="20"/>
          <w:lang w:val="fr-CA"/>
        </w:rPr>
        <w:t>Maia Bent, et al. v. Howard Platnick, et al.</w:t>
      </w:r>
      <w:r w:rsidRPr="00047B76">
        <w:rPr>
          <w:sz w:val="20"/>
          <w:szCs w:val="20"/>
          <w:lang w:val="fr-CA"/>
        </w:rPr>
        <w:t xml:space="preserve"> </w:t>
      </w:r>
      <w:r w:rsidRPr="00047B76">
        <w:rPr>
          <w:sz w:val="20"/>
          <w:szCs w:val="20"/>
        </w:rPr>
        <w:t>(Ont.) (Civil) (By Leave) (</w:t>
      </w:r>
      <w:hyperlink r:id="rId107" w:history="1">
        <w:r w:rsidRPr="00047B76">
          <w:rPr>
            <w:rStyle w:val="Hyperlink"/>
            <w:sz w:val="20"/>
            <w:szCs w:val="20"/>
          </w:rPr>
          <w:t>38374</w:t>
        </w:r>
      </w:hyperlink>
      <w:r w:rsidRPr="00047B76">
        <w:rPr>
          <w:sz w:val="20"/>
          <w:szCs w:val="20"/>
        </w:rPr>
        <w:t>)</w:t>
      </w:r>
    </w:p>
    <w:p w:rsidR="00A15E6F" w:rsidRPr="00047B76" w:rsidRDefault="00A15E6F" w:rsidP="00A15E6F">
      <w:pPr>
        <w:widowControl w:val="0"/>
        <w:ind w:left="1109" w:hanging="1109"/>
        <w:rPr>
          <w:sz w:val="20"/>
          <w:szCs w:val="20"/>
        </w:rPr>
      </w:pPr>
    </w:p>
    <w:p w:rsidR="00A15E6F" w:rsidRPr="00047B76" w:rsidRDefault="00A15E6F" w:rsidP="00A15E6F">
      <w:pPr>
        <w:widowControl w:val="0"/>
        <w:ind w:left="1109" w:hanging="1109"/>
        <w:rPr>
          <w:sz w:val="20"/>
          <w:szCs w:val="20"/>
        </w:rPr>
      </w:pPr>
      <w:r w:rsidRPr="00047B76">
        <w:rPr>
          <w:sz w:val="20"/>
          <w:szCs w:val="20"/>
        </w:rPr>
        <w:t xml:space="preserve">- </w:t>
      </w:r>
      <w:proofErr w:type="gramStart"/>
      <w:r w:rsidRPr="00047B76">
        <w:rPr>
          <w:sz w:val="20"/>
          <w:szCs w:val="20"/>
        </w:rPr>
        <w:t>and</w:t>
      </w:r>
      <w:proofErr w:type="gramEnd"/>
      <w:r w:rsidRPr="00047B76">
        <w:rPr>
          <w:sz w:val="20"/>
          <w:szCs w:val="20"/>
        </w:rPr>
        <w:t xml:space="preserve"> between -</w:t>
      </w:r>
    </w:p>
    <w:p w:rsidR="00A15E6F" w:rsidRPr="00047B76" w:rsidRDefault="00A15E6F" w:rsidP="00A15E6F">
      <w:pPr>
        <w:widowControl w:val="0"/>
        <w:ind w:left="1109" w:hanging="1109"/>
        <w:rPr>
          <w:sz w:val="20"/>
          <w:szCs w:val="20"/>
        </w:rPr>
      </w:pPr>
    </w:p>
    <w:p w:rsidR="00A15E6F" w:rsidRPr="00047B76" w:rsidRDefault="00A15E6F" w:rsidP="00A15E6F">
      <w:pPr>
        <w:widowControl w:val="0"/>
        <w:rPr>
          <w:sz w:val="20"/>
          <w:szCs w:val="20"/>
        </w:rPr>
      </w:pPr>
      <w:r w:rsidRPr="00047B76">
        <w:rPr>
          <w:b/>
          <w:iCs/>
          <w:sz w:val="20"/>
          <w:szCs w:val="20"/>
        </w:rPr>
        <w:t>1704604 Ontario Limited v. Pointes Protection Association, et al.</w:t>
      </w:r>
      <w:r w:rsidRPr="00047B76">
        <w:rPr>
          <w:sz w:val="20"/>
          <w:szCs w:val="20"/>
        </w:rPr>
        <w:t xml:space="preserve"> (Ont.) (Civil) (By Leave) (</w:t>
      </w:r>
      <w:hyperlink r:id="rId108" w:history="1">
        <w:r w:rsidRPr="00047B76">
          <w:rPr>
            <w:rStyle w:val="Hyperlink"/>
            <w:sz w:val="20"/>
            <w:szCs w:val="20"/>
          </w:rPr>
          <w:t>38376</w:t>
        </w:r>
      </w:hyperlink>
      <w:r w:rsidRPr="00047B76">
        <w:rPr>
          <w:sz w:val="20"/>
          <w:szCs w:val="20"/>
        </w:rPr>
        <w:t>)</w:t>
      </w:r>
    </w:p>
    <w:p w:rsidR="00A15E6F" w:rsidRPr="00047B76" w:rsidRDefault="00A15E6F" w:rsidP="00102792">
      <w:pPr>
        <w:widowControl w:val="0"/>
        <w:rPr>
          <w:sz w:val="20"/>
          <w:szCs w:val="20"/>
          <w:lang w:val="en-US"/>
        </w:rPr>
      </w:pPr>
    </w:p>
    <w:p w:rsidR="00A15E6F" w:rsidRPr="00047B76" w:rsidRDefault="00A15E6F" w:rsidP="00A15E6F">
      <w:pPr>
        <w:ind w:left="1109" w:hanging="1109"/>
        <w:rPr>
          <w:color w:val="000000"/>
          <w:sz w:val="20"/>
          <w:szCs w:val="27"/>
        </w:rPr>
      </w:pPr>
      <w:r w:rsidRPr="00047B76">
        <w:rPr>
          <w:color w:val="000000"/>
          <w:sz w:val="20"/>
          <w:szCs w:val="27"/>
        </w:rPr>
        <w:t>Coram:</w:t>
      </w:r>
      <w:r w:rsidRPr="00047B76">
        <w:rPr>
          <w:sz w:val="20"/>
        </w:rPr>
        <w:t xml:space="preserve"> </w:t>
      </w:r>
      <w:r w:rsidRPr="00047B76">
        <w:rPr>
          <w:sz w:val="20"/>
        </w:rPr>
        <w:tab/>
      </w:r>
      <w:r w:rsidRPr="00047B76">
        <w:rPr>
          <w:color w:val="000000"/>
          <w:sz w:val="20"/>
          <w:szCs w:val="27"/>
        </w:rPr>
        <w:t>Wagner C.J. and Abella, Moldaver, Karakatsanis, Côté, Brown, Rowe, Martin and Kasirer JJ.</w:t>
      </w:r>
    </w:p>
    <w:p w:rsidR="00A15E6F" w:rsidRPr="00047B76" w:rsidRDefault="00A15E6F" w:rsidP="00102792">
      <w:pPr>
        <w:widowControl w:val="0"/>
        <w:rPr>
          <w:sz w:val="20"/>
          <w:szCs w:val="20"/>
          <w:lang w:val="en-US"/>
        </w:rPr>
      </w:pPr>
    </w:p>
    <w:p w:rsidR="00A15E6F" w:rsidRPr="00047B76" w:rsidRDefault="00A15E6F" w:rsidP="00A15E6F">
      <w:pPr>
        <w:ind w:left="1109" w:hanging="1109"/>
        <w:rPr>
          <w:color w:val="000000"/>
          <w:sz w:val="20"/>
          <w:szCs w:val="27"/>
        </w:rPr>
      </w:pPr>
      <w:r w:rsidRPr="00047B76">
        <w:rPr>
          <w:b/>
          <w:bCs/>
          <w:color w:val="000000"/>
          <w:sz w:val="20"/>
          <w:szCs w:val="27"/>
        </w:rPr>
        <w:t>RESERVED / EN DÉLIBÉRÉ</w:t>
      </w:r>
    </w:p>
    <w:p w:rsidR="00A15E6F" w:rsidRPr="00047B76" w:rsidRDefault="00A15E6F" w:rsidP="00102792">
      <w:pPr>
        <w:widowControl w:val="0"/>
        <w:rPr>
          <w:sz w:val="20"/>
          <w:szCs w:val="20"/>
          <w:lang w:val="fr-CA"/>
        </w:rPr>
      </w:pPr>
    </w:p>
    <w:p w:rsidR="00102792" w:rsidRPr="00047B76" w:rsidRDefault="009A56E8" w:rsidP="00102792">
      <w:pPr>
        <w:widowControl w:val="0"/>
        <w:rPr>
          <w:sz w:val="20"/>
          <w:szCs w:val="20"/>
        </w:rPr>
      </w:pPr>
      <w:r>
        <w:rPr>
          <w:sz w:val="20"/>
          <w:szCs w:val="20"/>
          <w:lang w:val="fr-CA"/>
        </w:rPr>
        <w:pict>
          <v:rect id="_x0000_i1075" style="width:108pt;height:1pt" o:hrpct="0" o:hralign="center" o:hrstd="t" o:hrnoshade="t" o:hr="t" fillcolor="black [3213]" stroked="f"/>
        </w:pict>
      </w:r>
    </w:p>
    <w:p w:rsidR="00102792" w:rsidRPr="00047B76" w:rsidRDefault="00102792" w:rsidP="00102792">
      <w:pPr>
        <w:widowControl w:val="0"/>
        <w:rPr>
          <w:sz w:val="20"/>
          <w:szCs w:val="20"/>
        </w:rPr>
      </w:pPr>
    </w:p>
    <w:p w:rsidR="00A5167B" w:rsidRPr="00047B76" w:rsidRDefault="00A5167B" w:rsidP="00A5167B">
      <w:pPr>
        <w:rPr>
          <w:b/>
          <w:sz w:val="20"/>
          <w:szCs w:val="20"/>
          <w:lang w:val="fr-CA"/>
        </w:rPr>
      </w:pPr>
      <w:r w:rsidRPr="00047B76">
        <w:rPr>
          <w:b/>
          <w:sz w:val="20"/>
          <w:szCs w:val="20"/>
          <w:lang w:val="fr-CA"/>
        </w:rPr>
        <w:t>NOVEMBER 13, 2019 / LE 13 NOVEMBRE 2019</w:t>
      </w:r>
    </w:p>
    <w:p w:rsidR="00A234E1" w:rsidRPr="00047B76" w:rsidRDefault="00A234E1" w:rsidP="00A234E1">
      <w:pPr>
        <w:widowControl w:val="0"/>
        <w:rPr>
          <w:sz w:val="20"/>
          <w:szCs w:val="20"/>
          <w:lang w:val="fr-CA"/>
        </w:rPr>
      </w:pPr>
    </w:p>
    <w:p w:rsidR="00A5167B" w:rsidRPr="00047B76" w:rsidRDefault="00A5167B" w:rsidP="00A5167B">
      <w:pPr>
        <w:widowControl w:val="0"/>
        <w:rPr>
          <w:sz w:val="20"/>
          <w:szCs w:val="20"/>
          <w:lang w:val="fr-CA"/>
        </w:rPr>
      </w:pPr>
      <w:r w:rsidRPr="00047B76">
        <w:rPr>
          <w:b/>
          <w:iCs/>
          <w:sz w:val="20"/>
          <w:szCs w:val="20"/>
          <w:lang w:val="fr-CA"/>
        </w:rPr>
        <w:t>Volkswagen Group Canada Inc., et al. c. Association québécoise de lutte contre la pollution atmosphérique, et al.</w:t>
      </w:r>
      <w:r w:rsidRPr="00047B76">
        <w:rPr>
          <w:sz w:val="20"/>
          <w:szCs w:val="20"/>
          <w:lang w:val="fr-CA"/>
        </w:rPr>
        <w:t xml:space="preserve"> (Qc) (Civile) (Autorisation) (</w:t>
      </w:r>
      <w:hyperlink r:id="rId109" w:history="1">
        <w:r w:rsidRPr="00047B76">
          <w:rPr>
            <w:rStyle w:val="Hyperlink"/>
            <w:sz w:val="20"/>
            <w:szCs w:val="20"/>
            <w:lang w:val="fr-CA"/>
          </w:rPr>
          <w:t>38297</w:t>
        </w:r>
      </w:hyperlink>
      <w:r w:rsidRPr="00047B76">
        <w:rPr>
          <w:sz w:val="20"/>
          <w:szCs w:val="20"/>
          <w:lang w:val="fr-CA"/>
        </w:rPr>
        <w:t>)</w:t>
      </w:r>
    </w:p>
    <w:p w:rsidR="00A5167B" w:rsidRPr="00047B76" w:rsidRDefault="0039058A" w:rsidP="00A234E1">
      <w:pPr>
        <w:widowControl w:val="0"/>
        <w:rPr>
          <w:b/>
          <w:sz w:val="20"/>
          <w:szCs w:val="20"/>
          <w:lang w:val="fr-CA"/>
        </w:rPr>
      </w:pPr>
      <w:r w:rsidRPr="00047B76">
        <w:rPr>
          <w:b/>
          <w:sz w:val="20"/>
          <w:szCs w:val="20"/>
          <w:lang w:val="fr-CA"/>
        </w:rPr>
        <w:t>2019 SCC 53 / 2019 CSC 53</w:t>
      </w:r>
    </w:p>
    <w:p w:rsidR="0039058A" w:rsidRPr="00047B76" w:rsidRDefault="0039058A" w:rsidP="00A234E1">
      <w:pPr>
        <w:widowControl w:val="0"/>
        <w:rPr>
          <w:sz w:val="20"/>
          <w:szCs w:val="20"/>
          <w:lang w:val="fr-CA"/>
        </w:rPr>
      </w:pPr>
    </w:p>
    <w:p w:rsidR="00A5167B" w:rsidRPr="00047B76" w:rsidRDefault="00A5167B" w:rsidP="00A5167B">
      <w:pPr>
        <w:widowControl w:val="0"/>
        <w:ind w:left="1109" w:hanging="1109"/>
        <w:rPr>
          <w:sz w:val="20"/>
          <w:szCs w:val="20"/>
          <w:lang w:val="fr-CA"/>
        </w:rPr>
      </w:pPr>
      <w:r w:rsidRPr="00047B76">
        <w:rPr>
          <w:sz w:val="20"/>
          <w:szCs w:val="20"/>
          <w:lang w:val="fr-CA"/>
        </w:rPr>
        <w:t xml:space="preserve">Coram: </w:t>
      </w:r>
      <w:r w:rsidRPr="00047B76">
        <w:rPr>
          <w:sz w:val="20"/>
          <w:szCs w:val="20"/>
          <w:lang w:val="fr-CA"/>
        </w:rPr>
        <w:tab/>
        <w:t>Le juge en chef Wagner et les juges Abella, Moldaver, Karakatsanis, Côté, Brown, Rowe, Martin et Kasirer</w:t>
      </w:r>
    </w:p>
    <w:p w:rsidR="00A5167B" w:rsidRPr="00047B76" w:rsidRDefault="00A5167B" w:rsidP="00A5167B">
      <w:pPr>
        <w:widowControl w:val="0"/>
        <w:rPr>
          <w:sz w:val="20"/>
          <w:szCs w:val="20"/>
          <w:lang w:val="fr-CA"/>
        </w:rPr>
      </w:pPr>
    </w:p>
    <w:p w:rsidR="007E2195" w:rsidRPr="00047B76" w:rsidRDefault="007E2195" w:rsidP="007E2195">
      <w:pPr>
        <w:widowControl w:val="0"/>
        <w:tabs>
          <w:tab w:val="left" w:pos="720"/>
          <w:tab w:val="left" w:pos="1440"/>
          <w:tab w:val="left" w:pos="2851"/>
          <w:tab w:val="left" w:pos="4320"/>
          <w:tab w:val="left" w:pos="10224"/>
          <w:tab w:val="left" w:pos="11376"/>
        </w:tabs>
        <w:rPr>
          <w:sz w:val="20"/>
          <w:szCs w:val="20"/>
          <w:lang w:val="fr-CA"/>
        </w:rPr>
      </w:pPr>
      <w:r w:rsidRPr="00047B76">
        <w:rPr>
          <w:b/>
          <w:sz w:val="20"/>
          <w:szCs w:val="20"/>
          <w:lang w:val="fr-CA"/>
        </w:rPr>
        <w:t xml:space="preserve">DISMISSED WITH COSTS, Moldaver, Côté, Brown and Rowe JJ. </w:t>
      </w:r>
      <w:proofErr w:type="gramStart"/>
      <w:r w:rsidRPr="00047B76">
        <w:rPr>
          <w:b/>
          <w:sz w:val="20"/>
          <w:szCs w:val="20"/>
          <w:lang w:val="fr-CA"/>
        </w:rPr>
        <w:t>dissenting</w:t>
      </w:r>
      <w:proofErr w:type="gramEnd"/>
      <w:r w:rsidRPr="00047B76">
        <w:rPr>
          <w:b/>
          <w:sz w:val="20"/>
          <w:szCs w:val="20"/>
          <w:lang w:val="fr-CA"/>
        </w:rPr>
        <w:t xml:space="preserve"> / REJETÉ AVEC DÉPENS, les juges Moldaver, Côté, Brown et Rowe sont dissidents</w:t>
      </w:r>
    </w:p>
    <w:p w:rsidR="0039058A" w:rsidRPr="00047B76" w:rsidRDefault="0039058A" w:rsidP="0039058A">
      <w:pPr>
        <w:widowControl w:val="0"/>
        <w:tabs>
          <w:tab w:val="left" w:pos="720"/>
          <w:tab w:val="left" w:pos="1440"/>
          <w:tab w:val="left" w:pos="2851"/>
          <w:tab w:val="left" w:pos="4320"/>
          <w:tab w:val="left" w:pos="10224"/>
          <w:tab w:val="left" w:pos="11376"/>
        </w:tabs>
        <w:rPr>
          <w:sz w:val="20"/>
          <w:szCs w:val="20"/>
          <w:lang w:val="fr-CA"/>
        </w:rPr>
      </w:pPr>
    </w:p>
    <w:p w:rsidR="00A33204" w:rsidRPr="00047B76" w:rsidRDefault="00A33204" w:rsidP="00A33204">
      <w:pPr>
        <w:jc w:val="both"/>
        <w:rPr>
          <w:sz w:val="20"/>
          <w:szCs w:val="20"/>
          <w:lang w:val="fr-CA"/>
        </w:rPr>
      </w:pPr>
      <w:r w:rsidRPr="00047B76">
        <w:rPr>
          <w:sz w:val="20"/>
          <w:szCs w:val="20"/>
          <w:lang w:val="fr-CA"/>
        </w:rPr>
        <w:t>L’appel interjeté contre l’arrêt de la Cour d’appel du Québec (Québec), numéro 200-09-009717-189, 2018 QCCA 1034, daté du 18 juin 2018, a été entendu le 13 novembre 2019 et la Cour a prononcé oralement le même jour le jugement suivant :</w:t>
      </w:r>
    </w:p>
    <w:p w:rsidR="00A33204" w:rsidRPr="00047B76" w:rsidRDefault="00A33204" w:rsidP="00A33204">
      <w:pPr>
        <w:jc w:val="both"/>
        <w:rPr>
          <w:sz w:val="20"/>
          <w:szCs w:val="20"/>
          <w:lang w:val="fr-CA"/>
        </w:rPr>
      </w:pPr>
    </w:p>
    <w:p w:rsidR="00A33204" w:rsidRPr="00047B76" w:rsidRDefault="00A33204" w:rsidP="00A33204">
      <w:pPr>
        <w:jc w:val="both"/>
        <w:rPr>
          <w:sz w:val="20"/>
          <w:szCs w:val="20"/>
          <w:lang w:val="fr-CA"/>
        </w:rPr>
      </w:pPr>
      <w:r w:rsidRPr="00047B76">
        <w:rPr>
          <w:smallCaps/>
          <w:sz w:val="20"/>
          <w:szCs w:val="20"/>
          <w:lang w:val="fr-CA"/>
        </w:rPr>
        <w:t xml:space="preserve">Le juge en chef </w:t>
      </w:r>
      <w:r w:rsidRPr="00047B76">
        <w:rPr>
          <w:rFonts w:cs="Times New Roman"/>
          <w:sz w:val="20"/>
          <w:szCs w:val="20"/>
          <w:lang w:val="fr-FR"/>
        </w:rPr>
        <w:t>—</w:t>
      </w:r>
      <w:r w:rsidRPr="00047B76">
        <w:rPr>
          <w:smallCaps/>
          <w:sz w:val="20"/>
          <w:szCs w:val="20"/>
          <w:lang w:val="fr-CA"/>
        </w:rPr>
        <w:t xml:space="preserve"> </w:t>
      </w:r>
      <w:r w:rsidRPr="00047B76">
        <w:rPr>
          <w:sz w:val="20"/>
          <w:szCs w:val="20"/>
          <w:lang w:val="fr-CA"/>
        </w:rPr>
        <w:t xml:space="preserve">Une majorité des juges de la Cour est d’avis que la juge de la Cour d’appel n’a commis aucune erreur dans l’exercice de son pouvoir discrétionnaire et en conséquence le pourvoi est rejeté avec dépens. </w:t>
      </w:r>
    </w:p>
    <w:p w:rsidR="00A33204" w:rsidRPr="00047B76" w:rsidRDefault="00A33204" w:rsidP="00A33204">
      <w:pPr>
        <w:jc w:val="both"/>
        <w:rPr>
          <w:sz w:val="20"/>
          <w:szCs w:val="20"/>
          <w:lang w:val="fr-CA"/>
        </w:rPr>
      </w:pPr>
    </w:p>
    <w:p w:rsidR="00A33204" w:rsidRPr="00047B76" w:rsidRDefault="00A33204" w:rsidP="00A33204">
      <w:pPr>
        <w:jc w:val="both"/>
        <w:rPr>
          <w:sz w:val="20"/>
          <w:szCs w:val="20"/>
          <w:lang w:val="fr-CA"/>
        </w:rPr>
      </w:pPr>
      <w:r w:rsidRPr="00047B76">
        <w:rPr>
          <w:sz w:val="20"/>
          <w:szCs w:val="20"/>
          <w:lang w:val="fr-CA"/>
        </w:rPr>
        <w:t xml:space="preserve">Les juges Moldaver, Brown et Rowe auraient accueilli le pourvoi au motif que la  juge de la Cour d’appel aurait dû accorder la permission d’appeler sur la question de droit soulevée par les appelantes. Ils auraient retourné le dossier à la Cour d’appel pour décision au mérite. </w:t>
      </w:r>
    </w:p>
    <w:p w:rsidR="00A33204" w:rsidRPr="00047B76" w:rsidRDefault="00A33204" w:rsidP="00A33204">
      <w:pPr>
        <w:jc w:val="both"/>
        <w:rPr>
          <w:sz w:val="20"/>
          <w:szCs w:val="20"/>
          <w:lang w:val="fr-CA"/>
        </w:rPr>
      </w:pPr>
    </w:p>
    <w:p w:rsidR="0039058A" w:rsidRPr="00047B76" w:rsidRDefault="00A33204" w:rsidP="00A33204">
      <w:pPr>
        <w:widowControl w:val="0"/>
        <w:rPr>
          <w:sz w:val="20"/>
          <w:szCs w:val="20"/>
          <w:lang w:val="fr-CA"/>
        </w:rPr>
      </w:pPr>
      <w:r w:rsidRPr="00047B76">
        <w:rPr>
          <w:sz w:val="20"/>
          <w:szCs w:val="20"/>
          <w:lang w:val="fr-CA"/>
        </w:rPr>
        <w:t>Pour sa part, la juge Côté aurait accueilli le pourvoi avec dépens.</w:t>
      </w:r>
    </w:p>
    <w:p w:rsidR="00A33204" w:rsidRPr="00047B76" w:rsidRDefault="00A33204" w:rsidP="00A5167B">
      <w:pPr>
        <w:widowControl w:val="0"/>
        <w:rPr>
          <w:sz w:val="20"/>
          <w:szCs w:val="20"/>
          <w:lang w:val="fr-CA"/>
        </w:rPr>
      </w:pPr>
    </w:p>
    <w:p w:rsidR="00A33204" w:rsidRPr="00047B76" w:rsidRDefault="00A33204" w:rsidP="00A5167B">
      <w:pPr>
        <w:widowControl w:val="0"/>
        <w:rPr>
          <w:sz w:val="20"/>
          <w:szCs w:val="20"/>
          <w:lang w:val="fr-CA"/>
        </w:rPr>
      </w:pPr>
    </w:p>
    <w:p w:rsidR="00A33204" w:rsidRPr="00047B76" w:rsidRDefault="00A33204" w:rsidP="00A33204">
      <w:pPr>
        <w:jc w:val="both"/>
        <w:rPr>
          <w:sz w:val="20"/>
          <w:szCs w:val="20"/>
        </w:rPr>
      </w:pPr>
      <w:r w:rsidRPr="00047B76">
        <w:rPr>
          <w:sz w:val="20"/>
          <w:szCs w:val="20"/>
          <w:lang w:val="en-US"/>
        </w:rPr>
        <w:t>The appeal from the judgment of the Court of Appeal of Quebec (Québec), N</w:t>
      </w:r>
      <w:r w:rsidRPr="00047B76">
        <w:rPr>
          <w:sz w:val="20"/>
          <w:szCs w:val="20"/>
        </w:rPr>
        <w:t>umber</w:t>
      </w:r>
      <w:r w:rsidRPr="00047B76">
        <w:rPr>
          <w:sz w:val="20"/>
          <w:szCs w:val="20"/>
          <w:lang w:val="en-US"/>
        </w:rPr>
        <w:t xml:space="preserve"> 200-09-009717-189, 2018 QCCA 1034</w:t>
      </w:r>
      <w:r w:rsidRPr="00047B76">
        <w:rPr>
          <w:sz w:val="20"/>
          <w:szCs w:val="20"/>
        </w:rPr>
        <w:t>, dated</w:t>
      </w:r>
      <w:r w:rsidRPr="00047B76">
        <w:rPr>
          <w:sz w:val="20"/>
          <w:szCs w:val="20"/>
          <w:lang w:val="en-US"/>
        </w:rPr>
        <w:t xml:space="preserve"> June 18, 2018</w:t>
      </w:r>
      <w:r w:rsidRPr="00047B76">
        <w:rPr>
          <w:sz w:val="20"/>
          <w:szCs w:val="20"/>
        </w:rPr>
        <w:t xml:space="preserve">, was heard on </w:t>
      </w:r>
      <w:r w:rsidRPr="00047B76">
        <w:rPr>
          <w:sz w:val="20"/>
          <w:szCs w:val="20"/>
          <w:lang w:val="en-US"/>
        </w:rPr>
        <w:t>November 13, 2019,</w:t>
      </w:r>
      <w:r w:rsidRPr="00047B76">
        <w:rPr>
          <w:sz w:val="20"/>
          <w:szCs w:val="20"/>
        </w:rPr>
        <w:t xml:space="preserve"> and the Court on that day delivered the following judgment orally: </w:t>
      </w:r>
    </w:p>
    <w:p w:rsidR="00A33204" w:rsidRPr="00047B76" w:rsidRDefault="00A33204" w:rsidP="00A33204">
      <w:pPr>
        <w:jc w:val="both"/>
        <w:rPr>
          <w:sz w:val="20"/>
          <w:szCs w:val="20"/>
        </w:rPr>
      </w:pPr>
    </w:p>
    <w:p w:rsidR="00394CB0" w:rsidRPr="00047B76" w:rsidRDefault="00394CB0">
      <w:pPr>
        <w:rPr>
          <w:smallCaps/>
          <w:sz w:val="20"/>
          <w:szCs w:val="20"/>
        </w:rPr>
      </w:pPr>
    </w:p>
    <w:p w:rsidR="00A33204" w:rsidRPr="00047B76" w:rsidRDefault="00A33204" w:rsidP="00A33204">
      <w:pPr>
        <w:jc w:val="both"/>
        <w:rPr>
          <w:smallCaps/>
          <w:sz w:val="20"/>
          <w:szCs w:val="20"/>
        </w:rPr>
      </w:pPr>
      <w:r w:rsidRPr="00047B76">
        <w:rPr>
          <w:smallCaps/>
          <w:sz w:val="20"/>
          <w:szCs w:val="20"/>
        </w:rPr>
        <w:t>[translation]</w:t>
      </w:r>
    </w:p>
    <w:p w:rsidR="00A33204" w:rsidRPr="00047B76" w:rsidRDefault="00A33204" w:rsidP="00A33204">
      <w:pPr>
        <w:jc w:val="both"/>
        <w:rPr>
          <w:rFonts w:cs="Times New Roman"/>
          <w:sz w:val="20"/>
          <w:szCs w:val="20"/>
        </w:rPr>
      </w:pPr>
      <w:r w:rsidRPr="00047B76">
        <w:rPr>
          <w:smallCaps/>
          <w:sz w:val="20"/>
          <w:szCs w:val="20"/>
        </w:rPr>
        <w:t>The Chief Justice</w:t>
      </w:r>
      <w:r w:rsidRPr="00047B76">
        <w:rPr>
          <w:rFonts w:cs="Times New Roman"/>
          <w:sz w:val="20"/>
          <w:szCs w:val="20"/>
        </w:rPr>
        <w:t xml:space="preserve"> — </w:t>
      </w:r>
      <w:proofErr w:type="gramStart"/>
      <w:r w:rsidRPr="00047B76">
        <w:rPr>
          <w:rFonts w:cs="Times New Roman"/>
          <w:sz w:val="20"/>
          <w:szCs w:val="20"/>
        </w:rPr>
        <w:t>A</w:t>
      </w:r>
      <w:proofErr w:type="gramEnd"/>
      <w:r w:rsidRPr="00047B76">
        <w:rPr>
          <w:rFonts w:cs="Times New Roman"/>
          <w:sz w:val="20"/>
          <w:szCs w:val="20"/>
        </w:rPr>
        <w:t xml:space="preserve"> majority of the Court finds that the Court of Appeal judge did not err in exercising her discretion, and the appeal is therefore dismissed with costs.</w:t>
      </w:r>
    </w:p>
    <w:p w:rsidR="00A33204" w:rsidRPr="00047B76" w:rsidRDefault="00A33204" w:rsidP="00A33204">
      <w:pPr>
        <w:jc w:val="both"/>
        <w:rPr>
          <w:rFonts w:cs="Times New Roman"/>
          <w:sz w:val="20"/>
          <w:szCs w:val="20"/>
        </w:rPr>
      </w:pPr>
    </w:p>
    <w:p w:rsidR="00A33204" w:rsidRPr="00047B76" w:rsidRDefault="00A33204" w:rsidP="00A33204">
      <w:pPr>
        <w:jc w:val="both"/>
        <w:rPr>
          <w:rFonts w:cs="Times New Roman"/>
          <w:sz w:val="20"/>
          <w:szCs w:val="20"/>
        </w:rPr>
      </w:pPr>
      <w:r w:rsidRPr="00047B76">
        <w:rPr>
          <w:rFonts w:cs="Times New Roman"/>
          <w:sz w:val="20"/>
          <w:szCs w:val="20"/>
        </w:rPr>
        <w:t>Justices Moldaver, Brown and Rowe would have allowed the appeal on the basis that the Court of Appeal judge should have granted leave to appeal on the question of law raised by the appellants. They would have remanded the case to the Court of Appeal for a decision on the merits.</w:t>
      </w:r>
    </w:p>
    <w:p w:rsidR="00A33204" w:rsidRPr="00047B76" w:rsidRDefault="00A33204" w:rsidP="00A33204">
      <w:pPr>
        <w:jc w:val="both"/>
        <w:rPr>
          <w:rFonts w:cs="Times New Roman"/>
          <w:sz w:val="20"/>
          <w:szCs w:val="20"/>
        </w:rPr>
      </w:pPr>
    </w:p>
    <w:p w:rsidR="00A33204" w:rsidRPr="00047B76" w:rsidRDefault="00A33204" w:rsidP="00A33204">
      <w:pPr>
        <w:jc w:val="both"/>
        <w:rPr>
          <w:sz w:val="20"/>
          <w:szCs w:val="20"/>
        </w:rPr>
      </w:pPr>
      <w:r w:rsidRPr="00047B76">
        <w:rPr>
          <w:rFonts w:cs="Times New Roman"/>
          <w:sz w:val="20"/>
          <w:szCs w:val="20"/>
        </w:rPr>
        <w:t>Justice Côté would have allowed the appeal with costs.</w:t>
      </w:r>
    </w:p>
    <w:p w:rsidR="00A33204" w:rsidRPr="00047B76" w:rsidRDefault="00A33204" w:rsidP="00A5167B">
      <w:pPr>
        <w:widowControl w:val="0"/>
        <w:rPr>
          <w:sz w:val="20"/>
          <w:szCs w:val="20"/>
          <w:lang w:val="en-US"/>
        </w:rPr>
      </w:pPr>
    </w:p>
    <w:p w:rsidR="00A5167B" w:rsidRPr="00047B76" w:rsidRDefault="009A56E8" w:rsidP="00A5167B">
      <w:pPr>
        <w:widowControl w:val="0"/>
        <w:rPr>
          <w:b/>
          <w:sz w:val="20"/>
          <w:szCs w:val="24"/>
          <w:lang w:val="fr-CA"/>
        </w:rPr>
      </w:pPr>
      <w:r>
        <w:rPr>
          <w:sz w:val="20"/>
          <w:szCs w:val="20"/>
          <w:lang w:val="fr-CA"/>
        </w:rPr>
        <w:pict>
          <v:rect id="_x0000_i1076" style="width:108pt;height:1pt" o:hrpct="0" o:hralign="center" o:hrstd="t" o:hrnoshade="t" o:hr="t" fillcolor="black [3213]" stroked="f"/>
        </w:pict>
      </w:r>
    </w:p>
    <w:p w:rsidR="00A5167B" w:rsidRPr="00047B76" w:rsidRDefault="00A5167B" w:rsidP="00102792">
      <w:pPr>
        <w:rPr>
          <w:sz w:val="20"/>
          <w:szCs w:val="20"/>
          <w:lang w:val="fr-CA"/>
        </w:rPr>
      </w:pPr>
    </w:p>
    <w:p w:rsidR="00A5167B" w:rsidRPr="00047B76" w:rsidRDefault="00A5167B" w:rsidP="00A5167B">
      <w:pPr>
        <w:rPr>
          <w:b/>
          <w:sz w:val="20"/>
          <w:szCs w:val="20"/>
          <w:lang w:val="fr-CA"/>
        </w:rPr>
      </w:pPr>
      <w:r w:rsidRPr="00047B76">
        <w:rPr>
          <w:b/>
          <w:sz w:val="20"/>
          <w:szCs w:val="20"/>
          <w:lang w:val="fr-CA"/>
        </w:rPr>
        <w:t>NOVEMBER 14, 2019 / LE 14 NOVEMBRE 2019</w:t>
      </w:r>
    </w:p>
    <w:p w:rsidR="00A5167B" w:rsidRPr="00047B76" w:rsidRDefault="00A5167B" w:rsidP="00A5167B">
      <w:pPr>
        <w:widowControl w:val="0"/>
        <w:rPr>
          <w:sz w:val="20"/>
          <w:szCs w:val="20"/>
          <w:lang w:val="fr-CA"/>
        </w:rPr>
      </w:pPr>
    </w:p>
    <w:p w:rsidR="00A5167B" w:rsidRPr="00047B76" w:rsidRDefault="00A5167B" w:rsidP="00A5167B">
      <w:pPr>
        <w:widowControl w:val="0"/>
        <w:rPr>
          <w:sz w:val="20"/>
          <w:szCs w:val="20"/>
          <w:lang w:val="en-US"/>
        </w:rPr>
      </w:pPr>
      <w:r w:rsidRPr="00047B76">
        <w:rPr>
          <w:b/>
          <w:iCs/>
          <w:sz w:val="20"/>
          <w:szCs w:val="20"/>
          <w:lang w:val="fr-CA"/>
        </w:rPr>
        <w:t>Danelle Michel v. Sean Graydon</w:t>
      </w:r>
      <w:r w:rsidRPr="00047B76">
        <w:rPr>
          <w:sz w:val="20"/>
          <w:szCs w:val="20"/>
          <w:lang w:val="fr-CA"/>
        </w:rPr>
        <w:t xml:space="preserve"> (B.C.) </w:t>
      </w:r>
      <w:r w:rsidRPr="00047B76">
        <w:rPr>
          <w:sz w:val="20"/>
          <w:szCs w:val="20"/>
        </w:rPr>
        <w:t>(Civil) (By Leave) (</w:t>
      </w:r>
      <w:hyperlink r:id="rId110" w:history="1">
        <w:r w:rsidRPr="00047B76">
          <w:rPr>
            <w:rStyle w:val="Hyperlink"/>
            <w:sz w:val="20"/>
            <w:szCs w:val="20"/>
          </w:rPr>
          <w:t>38498</w:t>
        </w:r>
      </w:hyperlink>
      <w:r w:rsidRPr="00047B76">
        <w:rPr>
          <w:sz w:val="20"/>
          <w:szCs w:val="20"/>
        </w:rPr>
        <w:t>)</w:t>
      </w:r>
    </w:p>
    <w:p w:rsidR="00A5167B" w:rsidRPr="00047B76" w:rsidRDefault="00A5167B" w:rsidP="00A5167B">
      <w:pPr>
        <w:widowControl w:val="0"/>
        <w:rPr>
          <w:sz w:val="20"/>
          <w:szCs w:val="20"/>
          <w:lang w:val="en-US"/>
        </w:rPr>
      </w:pPr>
    </w:p>
    <w:p w:rsidR="00A5167B" w:rsidRPr="00047B76" w:rsidRDefault="00A5167B" w:rsidP="00A5167B">
      <w:pPr>
        <w:widowControl w:val="0"/>
        <w:ind w:left="1109" w:hanging="1109"/>
        <w:rPr>
          <w:sz w:val="20"/>
          <w:szCs w:val="20"/>
          <w:lang w:val="en-US"/>
        </w:rPr>
      </w:pPr>
      <w:r w:rsidRPr="00047B76">
        <w:rPr>
          <w:sz w:val="20"/>
          <w:szCs w:val="20"/>
          <w:lang w:val="en-US"/>
        </w:rPr>
        <w:t xml:space="preserve">Coram: </w:t>
      </w:r>
      <w:r w:rsidRPr="00047B76">
        <w:rPr>
          <w:sz w:val="20"/>
          <w:szCs w:val="20"/>
          <w:lang w:val="en-US"/>
        </w:rPr>
        <w:tab/>
        <w:t>Wagner C.J. and Abella, Moldaver, Karakatsanis, Côté, Brown, Rowe, Martin and Kasirer JJ.</w:t>
      </w:r>
    </w:p>
    <w:p w:rsidR="00A5167B" w:rsidRPr="00047B76" w:rsidRDefault="00A5167B" w:rsidP="00A5167B">
      <w:pPr>
        <w:widowControl w:val="0"/>
        <w:rPr>
          <w:sz w:val="20"/>
          <w:szCs w:val="20"/>
          <w:lang w:val="en-US"/>
        </w:rPr>
      </w:pPr>
    </w:p>
    <w:p w:rsidR="00A5167B" w:rsidRPr="00047B76" w:rsidRDefault="00EC258B" w:rsidP="00102792">
      <w:pPr>
        <w:rPr>
          <w:b/>
          <w:bCs/>
          <w:color w:val="000000"/>
          <w:sz w:val="20"/>
          <w:szCs w:val="27"/>
        </w:rPr>
      </w:pPr>
      <w:r w:rsidRPr="00047B76">
        <w:rPr>
          <w:b/>
          <w:bCs/>
          <w:color w:val="000000"/>
          <w:sz w:val="20"/>
          <w:szCs w:val="27"/>
        </w:rPr>
        <w:t>ALLOWED WITH COSTS, REASONS TO FOLLOW / ACCUEILLI AVEC DÉPENS, MOTIFS À SUIVRE</w:t>
      </w:r>
    </w:p>
    <w:p w:rsidR="00394CB0" w:rsidRPr="00957F6E" w:rsidRDefault="00394CB0" w:rsidP="00102792">
      <w:pPr>
        <w:rPr>
          <w:sz w:val="20"/>
          <w:szCs w:val="20"/>
          <w:lang w:val="en-US"/>
        </w:rPr>
      </w:pPr>
    </w:p>
    <w:p w:rsidR="00957F6E" w:rsidRPr="00957F6E" w:rsidRDefault="00957F6E" w:rsidP="00957F6E">
      <w:pPr>
        <w:jc w:val="both"/>
        <w:rPr>
          <w:sz w:val="20"/>
          <w:szCs w:val="20"/>
        </w:rPr>
      </w:pPr>
      <w:r w:rsidRPr="00957F6E">
        <w:rPr>
          <w:sz w:val="20"/>
          <w:szCs w:val="20"/>
        </w:rPr>
        <w:t xml:space="preserve">The appeal from the judgment of the Court of Appeal for British Columbia (Vancouver), Number CA44543, 2018 BCCA 449, dated November 30, 2018, was heard on November 14, 2019, and the Court on that day delivered the following judgment orally: </w:t>
      </w:r>
    </w:p>
    <w:p w:rsidR="00957F6E" w:rsidRPr="00957F6E" w:rsidRDefault="00957F6E" w:rsidP="00957F6E">
      <w:pPr>
        <w:jc w:val="both"/>
        <w:rPr>
          <w:sz w:val="20"/>
          <w:szCs w:val="20"/>
        </w:rPr>
      </w:pPr>
    </w:p>
    <w:p w:rsidR="00957F6E" w:rsidRPr="00957F6E" w:rsidRDefault="00957F6E" w:rsidP="00957F6E">
      <w:pPr>
        <w:jc w:val="both"/>
        <w:rPr>
          <w:sz w:val="20"/>
          <w:szCs w:val="20"/>
          <w:lang w:val="en-US"/>
        </w:rPr>
      </w:pPr>
      <w:r w:rsidRPr="00957F6E">
        <w:rPr>
          <w:smallCaps/>
          <w:sz w:val="20"/>
          <w:szCs w:val="20"/>
        </w:rPr>
        <w:t>The Chief Justice</w:t>
      </w:r>
      <w:r w:rsidRPr="00957F6E">
        <w:rPr>
          <w:rFonts w:cs="Times New Roman"/>
          <w:sz w:val="20"/>
          <w:szCs w:val="20"/>
        </w:rPr>
        <w:t xml:space="preserve"> —</w:t>
      </w:r>
      <w:r w:rsidRPr="00957F6E">
        <w:rPr>
          <w:sz w:val="20"/>
          <w:szCs w:val="20"/>
        </w:rPr>
        <w:t xml:space="preserve"> </w:t>
      </w:r>
      <w:proofErr w:type="gramStart"/>
      <w:r w:rsidRPr="00957F6E">
        <w:rPr>
          <w:sz w:val="20"/>
          <w:szCs w:val="20"/>
          <w:lang w:val="en-US"/>
        </w:rPr>
        <w:t>We</w:t>
      </w:r>
      <w:proofErr w:type="gramEnd"/>
      <w:r w:rsidRPr="00957F6E">
        <w:rPr>
          <w:sz w:val="20"/>
          <w:szCs w:val="20"/>
          <w:lang w:val="en-US"/>
        </w:rPr>
        <w:t xml:space="preserve"> are unanimous to reinstate the order of Judge G. Smith of the Provincial Court of British Columbia dated September 26, 2016. </w:t>
      </w:r>
    </w:p>
    <w:p w:rsidR="00957F6E" w:rsidRPr="00957F6E" w:rsidRDefault="00957F6E" w:rsidP="00957F6E">
      <w:pPr>
        <w:jc w:val="both"/>
        <w:rPr>
          <w:sz w:val="20"/>
          <w:szCs w:val="20"/>
          <w:lang w:val="en-US"/>
        </w:rPr>
      </w:pPr>
    </w:p>
    <w:p w:rsidR="00957F6E" w:rsidRPr="00957F6E" w:rsidRDefault="00957F6E" w:rsidP="00957F6E">
      <w:pPr>
        <w:rPr>
          <w:sz w:val="20"/>
          <w:szCs w:val="20"/>
          <w:lang w:val="en-US"/>
        </w:rPr>
      </w:pPr>
      <w:r w:rsidRPr="00957F6E">
        <w:rPr>
          <w:sz w:val="20"/>
          <w:szCs w:val="20"/>
          <w:lang w:val="en-US"/>
        </w:rPr>
        <w:t>Therefore, the appeal is allowed with costs throughout. Reasons to follow.</w:t>
      </w:r>
    </w:p>
    <w:p w:rsidR="00957F6E" w:rsidRPr="00957F6E" w:rsidRDefault="00957F6E" w:rsidP="00102792">
      <w:pPr>
        <w:rPr>
          <w:sz w:val="20"/>
          <w:szCs w:val="20"/>
          <w:lang w:val="en-US"/>
        </w:rPr>
      </w:pPr>
    </w:p>
    <w:p w:rsidR="00957F6E" w:rsidRPr="00957F6E" w:rsidRDefault="00957F6E" w:rsidP="00957F6E">
      <w:pPr>
        <w:jc w:val="both"/>
        <w:rPr>
          <w:sz w:val="20"/>
          <w:szCs w:val="20"/>
          <w:lang w:val="fr-CA"/>
        </w:rPr>
      </w:pPr>
      <w:r w:rsidRPr="00957F6E">
        <w:rPr>
          <w:sz w:val="20"/>
          <w:szCs w:val="20"/>
          <w:lang w:val="fr-CA"/>
        </w:rPr>
        <w:t>L’appel interjeté contre l’arrêt de la Cour d’appel de la Colombie-Britannique (Vancouver), numéro CA44543, 2018 BCCA 449, daté du 30 novembre 2018, a été entendu le 14 novembre 2019 et la Cour a prononcé oralement le même jour le jugement suivant :</w:t>
      </w:r>
    </w:p>
    <w:p w:rsidR="00957F6E" w:rsidRPr="00957F6E" w:rsidRDefault="00957F6E" w:rsidP="00957F6E">
      <w:pPr>
        <w:jc w:val="both"/>
        <w:rPr>
          <w:sz w:val="20"/>
          <w:szCs w:val="20"/>
          <w:lang w:val="fr-CA"/>
        </w:rPr>
      </w:pPr>
    </w:p>
    <w:p w:rsidR="00957F6E" w:rsidRPr="00957F6E" w:rsidRDefault="00957F6E" w:rsidP="00957F6E">
      <w:pPr>
        <w:jc w:val="both"/>
        <w:rPr>
          <w:sz w:val="20"/>
          <w:szCs w:val="20"/>
          <w:lang w:val="fr-CA"/>
        </w:rPr>
      </w:pPr>
      <w:r w:rsidRPr="00957F6E">
        <w:rPr>
          <w:sz w:val="20"/>
          <w:szCs w:val="20"/>
          <w:lang w:val="fr-CA"/>
        </w:rPr>
        <w:t>[</w:t>
      </w:r>
      <w:r w:rsidRPr="00957F6E">
        <w:rPr>
          <w:smallCaps/>
          <w:sz w:val="20"/>
          <w:szCs w:val="20"/>
          <w:lang w:val="fr-CA"/>
        </w:rPr>
        <w:t>traduction</w:t>
      </w:r>
      <w:r w:rsidRPr="00957F6E">
        <w:rPr>
          <w:sz w:val="20"/>
          <w:szCs w:val="20"/>
          <w:lang w:val="fr-CA"/>
        </w:rPr>
        <w:t>]</w:t>
      </w:r>
    </w:p>
    <w:p w:rsidR="00957F6E" w:rsidRPr="00957F6E" w:rsidRDefault="00957F6E" w:rsidP="00957F6E">
      <w:pPr>
        <w:jc w:val="both"/>
        <w:rPr>
          <w:sz w:val="20"/>
          <w:szCs w:val="20"/>
          <w:lang w:val="fr-CA"/>
        </w:rPr>
      </w:pPr>
      <w:r w:rsidRPr="00957F6E">
        <w:rPr>
          <w:smallCaps/>
          <w:sz w:val="20"/>
          <w:szCs w:val="20"/>
          <w:lang w:val="fr-CA"/>
        </w:rPr>
        <w:t>Le juge en chef</w:t>
      </w:r>
      <w:r w:rsidRPr="00957F6E">
        <w:rPr>
          <w:sz w:val="20"/>
          <w:szCs w:val="20"/>
          <w:lang w:val="fr-CA"/>
        </w:rPr>
        <w:t xml:space="preserve"> — Nous sommes unanimement d’avis de rétablir l’ordonnance du juge G. Smith de la Cour provinciale de la Colombie-Britannique datée du 26 septembre 2016.</w:t>
      </w:r>
    </w:p>
    <w:p w:rsidR="00957F6E" w:rsidRPr="00957F6E" w:rsidRDefault="00957F6E" w:rsidP="00957F6E">
      <w:pPr>
        <w:jc w:val="both"/>
        <w:rPr>
          <w:sz w:val="20"/>
          <w:szCs w:val="20"/>
          <w:lang w:val="fr-CA"/>
        </w:rPr>
      </w:pPr>
    </w:p>
    <w:p w:rsidR="00957F6E" w:rsidRPr="00957F6E" w:rsidRDefault="00957F6E" w:rsidP="00957F6E">
      <w:pPr>
        <w:rPr>
          <w:sz w:val="20"/>
          <w:szCs w:val="20"/>
          <w:lang w:val="en-US"/>
        </w:rPr>
      </w:pPr>
      <w:r w:rsidRPr="00957F6E">
        <w:rPr>
          <w:sz w:val="20"/>
          <w:szCs w:val="20"/>
          <w:lang w:val="fr-CA"/>
        </w:rPr>
        <w:t>En conséquence, l’appel est accueilli, avec dépens devant toutes les cours. Des motifs suivront.</w:t>
      </w:r>
    </w:p>
    <w:p w:rsidR="00957F6E" w:rsidRPr="00957F6E" w:rsidRDefault="00957F6E" w:rsidP="00102792">
      <w:pPr>
        <w:rPr>
          <w:sz w:val="20"/>
          <w:szCs w:val="20"/>
          <w:lang w:val="en-US"/>
        </w:rPr>
      </w:pPr>
    </w:p>
    <w:p w:rsidR="00D004FC" w:rsidRPr="00047B76" w:rsidRDefault="009A56E8" w:rsidP="00102792">
      <w:pPr>
        <w:rPr>
          <w:sz w:val="20"/>
          <w:szCs w:val="20"/>
          <w:lang w:val="fr-CA"/>
        </w:rPr>
      </w:pPr>
      <w:r>
        <w:rPr>
          <w:sz w:val="20"/>
          <w:szCs w:val="20"/>
          <w:lang w:val="fr-CA"/>
        </w:rPr>
        <w:pict>
          <v:rect id="_x0000_i1077" style="width:108pt;height:1pt" o:hrpct="0" o:hralign="center" o:hrstd="t" o:hrnoshade="t" o:hr="t" fillcolor="black [3213]" stroked="f"/>
        </w:pict>
      </w:r>
    </w:p>
    <w:p w:rsidR="0056248C" w:rsidRPr="00047B76" w:rsidRDefault="0056248C" w:rsidP="00732DB7">
      <w:pPr>
        <w:widowControl w:val="0"/>
        <w:rPr>
          <w:sz w:val="20"/>
          <w:szCs w:val="20"/>
          <w:lang w:val="fr-CA"/>
        </w:rPr>
      </w:pPr>
    </w:p>
    <w:p w:rsidR="00103968" w:rsidRPr="00047B76" w:rsidRDefault="00103968" w:rsidP="00103968">
      <w:pPr>
        <w:rPr>
          <w:b/>
          <w:sz w:val="20"/>
          <w:szCs w:val="20"/>
          <w:lang w:val="en-US"/>
        </w:rPr>
      </w:pPr>
      <w:r w:rsidRPr="00047B76">
        <w:rPr>
          <w:b/>
          <w:sz w:val="20"/>
          <w:szCs w:val="20"/>
          <w:lang w:val="en-US"/>
        </w:rPr>
        <w:t>NOVEMBER 15, 2019 / LE 15 NOVEMBRE 2019</w:t>
      </w:r>
    </w:p>
    <w:p w:rsidR="00103968" w:rsidRPr="00047B76" w:rsidRDefault="00103968" w:rsidP="00732DB7">
      <w:pPr>
        <w:widowControl w:val="0"/>
        <w:rPr>
          <w:sz w:val="20"/>
          <w:szCs w:val="20"/>
          <w:lang w:val="en-US"/>
        </w:rPr>
      </w:pPr>
    </w:p>
    <w:p w:rsidR="00EC6908" w:rsidRPr="00047B76" w:rsidRDefault="00EC6908" w:rsidP="00EC6908">
      <w:pPr>
        <w:widowControl w:val="0"/>
        <w:rPr>
          <w:sz w:val="20"/>
          <w:szCs w:val="20"/>
          <w:lang w:val="en-US"/>
        </w:rPr>
      </w:pPr>
      <w:r w:rsidRPr="00047B76">
        <w:rPr>
          <w:b/>
          <w:iCs/>
          <w:sz w:val="20"/>
          <w:szCs w:val="20"/>
        </w:rPr>
        <w:t>Assmar Ryiad Shlah v. Her Majesty the Queen</w:t>
      </w:r>
      <w:r w:rsidRPr="00047B76">
        <w:rPr>
          <w:sz w:val="20"/>
          <w:szCs w:val="20"/>
        </w:rPr>
        <w:t xml:space="preserve"> (Alta.) (Criminal) (As of Right) (</w:t>
      </w:r>
      <w:hyperlink r:id="rId111" w:history="1">
        <w:r w:rsidRPr="00047B76">
          <w:rPr>
            <w:rStyle w:val="Hyperlink"/>
            <w:sz w:val="20"/>
            <w:szCs w:val="20"/>
          </w:rPr>
          <w:t>38661</w:t>
        </w:r>
      </w:hyperlink>
      <w:r w:rsidRPr="00047B76">
        <w:rPr>
          <w:sz w:val="20"/>
          <w:szCs w:val="20"/>
        </w:rPr>
        <w:t>)</w:t>
      </w:r>
    </w:p>
    <w:p w:rsidR="00EC6908" w:rsidRPr="00047B76" w:rsidRDefault="00EC6908" w:rsidP="00EC6908">
      <w:pPr>
        <w:widowControl w:val="0"/>
        <w:ind w:left="1109" w:hanging="1109"/>
        <w:rPr>
          <w:sz w:val="20"/>
          <w:szCs w:val="20"/>
        </w:rPr>
      </w:pPr>
    </w:p>
    <w:p w:rsidR="00EC6908" w:rsidRPr="00047B76" w:rsidRDefault="00EC6908" w:rsidP="00EC6908">
      <w:pPr>
        <w:widowControl w:val="0"/>
        <w:ind w:left="1109" w:hanging="1109"/>
        <w:rPr>
          <w:sz w:val="20"/>
          <w:szCs w:val="20"/>
        </w:rPr>
      </w:pPr>
      <w:r w:rsidRPr="00047B76">
        <w:rPr>
          <w:sz w:val="20"/>
          <w:szCs w:val="20"/>
        </w:rPr>
        <w:t xml:space="preserve">- </w:t>
      </w:r>
      <w:proofErr w:type="gramStart"/>
      <w:r w:rsidRPr="00047B76">
        <w:rPr>
          <w:sz w:val="20"/>
          <w:szCs w:val="20"/>
        </w:rPr>
        <w:t>and</w:t>
      </w:r>
      <w:proofErr w:type="gramEnd"/>
      <w:r w:rsidRPr="00047B76">
        <w:rPr>
          <w:sz w:val="20"/>
          <w:szCs w:val="20"/>
        </w:rPr>
        <w:t xml:space="preserve"> between -</w:t>
      </w:r>
    </w:p>
    <w:p w:rsidR="00EC6908" w:rsidRPr="00047B76" w:rsidRDefault="00EC6908" w:rsidP="00EC6908">
      <w:pPr>
        <w:widowControl w:val="0"/>
        <w:ind w:left="1109" w:hanging="1109"/>
        <w:rPr>
          <w:sz w:val="20"/>
          <w:szCs w:val="20"/>
        </w:rPr>
      </w:pPr>
    </w:p>
    <w:p w:rsidR="00EC6908" w:rsidRPr="00047B76" w:rsidRDefault="00EC6908" w:rsidP="00EC6908">
      <w:pPr>
        <w:widowControl w:val="0"/>
        <w:ind w:left="1109" w:hanging="1109"/>
        <w:rPr>
          <w:sz w:val="20"/>
          <w:szCs w:val="20"/>
        </w:rPr>
      </w:pPr>
      <w:r w:rsidRPr="00047B76">
        <w:rPr>
          <w:b/>
          <w:iCs/>
          <w:sz w:val="20"/>
          <w:szCs w:val="20"/>
        </w:rPr>
        <w:t>Franz Emir Cabrera v. Her Majesty the Queen</w:t>
      </w:r>
      <w:r w:rsidRPr="00047B76">
        <w:rPr>
          <w:b/>
          <w:sz w:val="20"/>
          <w:szCs w:val="20"/>
        </w:rPr>
        <w:t xml:space="preserve"> </w:t>
      </w:r>
      <w:r w:rsidRPr="00047B76">
        <w:rPr>
          <w:sz w:val="20"/>
          <w:szCs w:val="20"/>
        </w:rPr>
        <w:t>(Alta.) (Criminal) (As of Right) (</w:t>
      </w:r>
      <w:hyperlink r:id="rId112" w:history="1">
        <w:r w:rsidRPr="00047B76">
          <w:rPr>
            <w:rStyle w:val="Hyperlink"/>
            <w:sz w:val="20"/>
            <w:szCs w:val="20"/>
          </w:rPr>
          <w:t>38677</w:t>
        </w:r>
      </w:hyperlink>
      <w:r w:rsidRPr="00047B76">
        <w:rPr>
          <w:sz w:val="20"/>
          <w:szCs w:val="20"/>
        </w:rPr>
        <w:t>)</w:t>
      </w:r>
    </w:p>
    <w:p w:rsidR="00EC6908" w:rsidRPr="00047B76" w:rsidRDefault="00EC6908" w:rsidP="00EC6908">
      <w:pPr>
        <w:widowControl w:val="0"/>
        <w:ind w:left="1109" w:hanging="1109"/>
        <w:rPr>
          <w:sz w:val="20"/>
          <w:szCs w:val="20"/>
        </w:rPr>
      </w:pPr>
      <w:r w:rsidRPr="00047B76">
        <w:rPr>
          <w:b/>
          <w:sz w:val="20"/>
          <w:szCs w:val="20"/>
        </w:rPr>
        <w:t xml:space="preserve">2019 SCC </w:t>
      </w:r>
      <w:r w:rsidR="00A60C63" w:rsidRPr="00047B76">
        <w:rPr>
          <w:b/>
          <w:sz w:val="20"/>
          <w:szCs w:val="20"/>
        </w:rPr>
        <w:t>56</w:t>
      </w:r>
      <w:r w:rsidRPr="00047B76">
        <w:rPr>
          <w:b/>
          <w:sz w:val="20"/>
          <w:szCs w:val="20"/>
        </w:rPr>
        <w:t xml:space="preserve"> / 2019 CSC </w:t>
      </w:r>
      <w:r w:rsidR="00A60C63" w:rsidRPr="00047B76">
        <w:rPr>
          <w:b/>
          <w:sz w:val="20"/>
          <w:szCs w:val="20"/>
        </w:rPr>
        <w:t>56</w:t>
      </w:r>
    </w:p>
    <w:p w:rsidR="00103968" w:rsidRPr="00047B76" w:rsidRDefault="00103968" w:rsidP="00732DB7">
      <w:pPr>
        <w:widowControl w:val="0"/>
        <w:rPr>
          <w:sz w:val="20"/>
          <w:szCs w:val="20"/>
          <w:lang w:val="en-US"/>
        </w:rPr>
      </w:pPr>
    </w:p>
    <w:p w:rsidR="00EC6908" w:rsidRPr="00047B76" w:rsidRDefault="00EC6908" w:rsidP="00EC6908">
      <w:pPr>
        <w:widowControl w:val="0"/>
        <w:ind w:left="1109" w:hanging="1109"/>
        <w:rPr>
          <w:sz w:val="20"/>
          <w:szCs w:val="20"/>
          <w:lang w:val="en-US"/>
        </w:rPr>
      </w:pPr>
      <w:r w:rsidRPr="00047B76">
        <w:rPr>
          <w:sz w:val="20"/>
          <w:szCs w:val="20"/>
          <w:lang w:val="en-US"/>
        </w:rPr>
        <w:t xml:space="preserve">Coram: </w:t>
      </w:r>
      <w:r w:rsidRPr="00047B76">
        <w:rPr>
          <w:sz w:val="20"/>
          <w:szCs w:val="20"/>
          <w:lang w:val="en-US"/>
        </w:rPr>
        <w:tab/>
      </w:r>
      <w:r w:rsidR="008B4408" w:rsidRPr="00047B76">
        <w:rPr>
          <w:sz w:val="20"/>
          <w:szCs w:val="20"/>
          <w:lang w:val="en-US"/>
        </w:rPr>
        <w:t>Abella, Moldaver, Karakatsanis, Côté, Brown, Rowe and Kasirer JJ.</w:t>
      </w:r>
    </w:p>
    <w:p w:rsidR="00EC6908" w:rsidRPr="00047B76" w:rsidRDefault="00EC6908" w:rsidP="00732DB7">
      <w:pPr>
        <w:widowControl w:val="0"/>
        <w:rPr>
          <w:sz w:val="20"/>
          <w:szCs w:val="20"/>
          <w:lang w:val="en-US"/>
        </w:rPr>
      </w:pPr>
    </w:p>
    <w:p w:rsidR="00EC6908" w:rsidRPr="00047B76" w:rsidRDefault="00EC6908" w:rsidP="00EC6908">
      <w:pPr>
        <w:widowControl w:val="0"/>
        <w:tabs>
          <w:tab w:val="left" w:pos="720"/>
          <w:tab w:val="left" w:pos="1440"/>
          <w:tab w:val="left" w:pos="2851"/>
          <w:tab w:val="left" w:pos="4320"/>
          <w:tab w:val="left" w:pos="10224"/>
          <w:tab w:val="left" w:pos="11376"/>
        </w:tabs>
        <w:rPr>
          <w:sz w:val="20"/>
          <w:szCs w:val="20"/>
          <w:lang w:val="fr-CA"/>
        </w:rPr>
      </w:pPr>
      <w:r w:rsidRPr="00047B76">
        <w:rPr>
          <w:b/>
          <w:sz w:val="20"/>
          <w:szCs w:val="20"/>
          <w:lang w:val="fr-CA"/>
        </w:rPr>
        <w:t>DISMISSED / REJETÉ</w:t>
      </w:r>
      <w:r w:rsidR="00162A54" w:rsidRPr="00047B76">
        <w:rPr>
          <w:b/>
          <w:sz w:val="20"/>
          <w:szCs w:val="20"/>
          <w:lang w:val="fr-CA"/>
        </w:rPr>
        <w:t>S</w:t>
      </w:r>
    </w:p>
    <w:p w:rsidR="00103968" w:rsidRDefault="00103968" w:rsidP="00732DB7">
      <w:pPr>
        <w:widowControl w:val="0"/>
        <w:rPr>
          <w:sz w:val="20"/>
          <w:szCs w:val="20"/>
          <w:lang w:val="fr-CA"/>
        </w:rPr>
      </w:pPr>
    </w:p>
    <w:p w:rsidR="00122663" w:rsidRPr="00122663" w:rsidRDefault="00122663" w:rsidP="00122663">
      <w:pPr>
        <w:jc w:val="both"/>
        <w:rPr>
          <w:sz w:val="20"/>
          <w:szCs w:val="20"/>
        </w:rPr>
      </w:pPr>
      <w:r w:rsidRPr="00122663">
        <w:rPr>
          <w:sz w:val="20"/>
          <w:szCs w:val="20"/>
        </w:rPr>
        <w:t xml:space="preserve">The appeal from the judgment of the Court of Appeal of Alberta (Calgary), Number 1601-0157-A, 2019 ABCA 184, dated May 14, 2019, was heard on November 15, 2019, and the Court on that day delivered the following judgment orally: </w:t>
      </w:r>
    </w:p>
    <w:p w:rsidR="00122663" w:rsidRPr="00122663" w:rsidRDefault="00122663" w:rsidP="00122663">
      <w:pPr>
        <w:jc w:val="both"/>
        <w:rPr>
          <w:sz w:val="20"/>
          <w:szCs w:val="20"/>
        </w:rPr>
      </w:pPr>
    </w:p>
    <w:p w:rsidR="00122663" w:rsidRPr="00122663" w:rsidRDefault="00122663" w:rsidP="00122663">
      <w:pPr>
        <w:jc w:val="both"/>
        <w:rPr>
          <w:sz w:val="20"/>
          <w:szCs w:val="20"/>
        </w:rPr>
      </w:pPr>
      <w:r w:rsidRPr="00122663">
        <w:rPr>
          <w:smallCaps/>
          <w:sz w:val="20"/>
          <w:szCs w:val="20"/>
        </w:rPr>
        <w:t>Moldaver</w:t>
      </w:r>
      <w:r w:rsidRPr="00122663">
        <w:rPr>
          <w:sz w:val="20"/>
          <w:szCs w:val="20"/>
        </w:rPr>
        <w:t xml:space="preserve"> J. </w:t>
      </w:r>
      <w:r w:rsidRPr="00122663">
        <w:rPr>
          <w:rFonts w:cs="Times New Roman"/>
          <w:sz w:val="20"/>
          <w:szCs w:val="20"/>
        </w:rPr>
        <w:t>—</w:t>
      </w:r>
      <w:r w:rsidRPr="00122663">
        <w:rPr>
          <w:sz w:val="20"/>
          <w:szCs w:val="20"/>
        </w:rPr>
        <w:t xml:space="preserve"> </w:t>
      </w:r>
      <w:proofErr w:type="gramStart"/>
      <w:r w:rsidRPr="00122663">
        <w:rPr>
          <w:sz w:val="20"/>
          <w:szCs w:val="20"/>
        </w:rPr>
        <w:t>The</w:t>
      </w:r>
      <w:proofErr w:type="gramEnd"/>
      <w:r w:rsidRPr="00122663">
        <w:rPr>
          <w:sz w:val="20"/>
          <w:szCs w:val="20"/>
        </w:rPr>
        <w:t xml:space="preserve"> appeal is dismissed substantially for the reasons of Chief Justice Fraser. We agree with the majority of the Court of Appeal that the charge to the jury does not disclose reviewable error, and the jury’s verdict was not unreasonable.</w:t>
      </w:r>
    </w:p>
    <w:p w:rsidR="00122663" w:rsidRPr="00122663" w:rsidRDefault="00122663" w:rsidP="00122663">
      <w:pPr>
        <w:jc w:val="both"/>
        <w:rPr>
          <w:sz w:val="20"/>
          <w:szCs w:val="20"/>
        </w:rPr>
      </w:pPr>
    </w:p>
    <w:p w:rsidR="00151D2F" w:rsidRDefault="00151D2F">
      <w:pPr>
        <w:rPr>
          <w:sz w:val="20"/>
          <w:szCs w:val="20"/>
        </w:rPr>
      </w:pPr>
      <w:r>
        <w:rPr>
          <w:sz w:val="20"/>
          <w:szCs w:val="20"/>
        </w:rPr>
        <w:br w:type="page"/>
      </w:r>
    </w:p>
    <w:p w:rsidR="00122663" w:rsidRPr="00122663" w:rsidRDefault="00122663" w:rsidP="00122663">
      <w:pPr>
        <w:widowControl w:val="0"/>
        <w:rPr>
          <w:sz w:val="20"/>
          <w:szCs w:val="20"/>
          <w:lang w:val="en-US"/>
        </w:rPr>
      </w:pPr>
      <w:r w:rsidRPr="00122663">
        <w:rPr>
          <w:sz w:val="20"/>
          <w:szCs w:val="20"/>
        </w:rPr>
        <w:lastRenderedPageBreak/>
        <w:t>However, we do not endorse para. 27 of the majority’s reasons to the extent it may be taken as suggesting that the reviewing court must identify an extricable error as a precondition to concluding that the jury’s verdict was unreasonable. A determination that the jury’s verdict was unreasonable is itself an error of law warranting appellate intervention.</w:t>
      </w:r>
    </w:p>
    <w:p w:rsidR="00122663" w:rsidRPr="00122663" w:rsidRDefault="00122663" w:rsidP="00732DB7">
      <w:pPr>
        <w:widowControl w:val="0"/>
        <w:rPr>
          <w:sz w:val="20"/>
          <w:szCs w:val="20"/>
          <w:lang w:val="en-US"/>
        </w:rPr>
      </w:pPr>
    </w:p>
    <w:p w:rsidR="00122663" w:rsidRPr="00122663" w:rsidRDefault="00122663" w:rsidP="00122663">
      <w:pPr>
        <w:jc w:val="both"/>
        <w:rPr>
          <w:sz w:val="20"/>
          <w:szCs w:val="20"/>
          <w:lang w:val="fr-CA"/>
        </w:rPr>
      </w:pPr>
      <w:r w:rsidRPr="00122663">
        <w:rPr>
          <w:sz w:val="20"/>
          <w:szCs w:val="20"/>
          <w:lang w:val="fr-CA"/>
        </w:rPr>
        <w:t>L’appel interjeté contre l’arrêt de la Cour d’appel de l’Alberta (Calgary), numéro  1601-0157-A, 2019 ABCA 184, daté du 14 mai 2019, a été entendu le 15 novembre 2019 et la Cour a prononcé oralement le même jour le jugement suivant :</w:t>
      </w:r>
    </w:p>
    <w:p w:rsidR="00122663" w:rsidRPr="00122663" w:rsidRDefault="00122663" w:rsidP="00122663">
      <w:pPr>
        <w:jc w:val="both"/>
        <w:rPr>
          <w:sz w:val="20"/>
          <w:szCs w:val="20"/>
          <w:lang w:val="fr-CA"/>
        </w:rPr>
      </w:pPr>
    </w:p>
    <w:p w:rsidR="00122663" w:rsidRPr="00122663" w:rsidRDefault="00122663" w:rsidP="00122663">
      <w:pPr>
        <w:jc w:val="both"/>
        <w:rPr>
          <w:smallCaps/>
          <w:sz w:val="20"/>
          <w:szCs w:val="20"/>
          <w:lang w:val="fr-CA"/>
        </w:rPr>
      </w:pPr>
      <w:r w:rsidRPr="00122663">
        <w:rPr>
          <w:smallCaps/>
          <w:sz w:val="20"/>
          <w:szCs w:val="20"/>
          <w:lang w:val="fr-CA"/>
        </w:rPr>
        <w:t>[traduction]</w:t>
      </w:r>
    </w:p>
    <w:p w:rsidR="00122663" w:rsidRPr="00122663" w:rsidRDefault="00122663" w:rsidP="00122663">
      <w:pPr>
        <w:jc w:val="both"/>
        <w:rPr>
          <w:sz w:val="20"/>
          <w:szCs w:val="20"/>
          <w:lang w:val="fr-CA"/>
        </w:rPr>
      </w:pPr>
      <w:r w:rsidRPr="00122663">
        <w:rPr>
          <w:smallCaps/>
          <w:sz w:val="20"/>
          <w:szCs w:val="20"/>
          <w:lang w:val="fr-CA"/>
        </w:rPr>
        <w:t>Le juge Moldaver</w:t>
      </w:r>
      <w:r w:rsidRPr="00122663">
        <w:rPr>
          <w:sz w:val="20"/>
          <w:szCs w:val="20"/>
          <w:lang w:val="fr-CA"/>
        </w:rPr>
        <w:t xml:space="preserve"> </w:t>
      </w:r>
      <w:r w:rsidRPr="00122663">
        <w:rPr>
          <w:rFonts w:cs="Times New Roman"/>
          <w:sz w:val="20"/>
          <w:szCs w:val="20"/>
          <w:lang w:val="fr-CA"/>
        </w:rPr>
        <w:t>—</w:t>
      </w:r>
      <w:r w:rsidRPr="00122663">
        <w:rPr>
          <w:sz w:val="20"/>
          <w:szCs w:val="20"/>
          <w:lang w:val="fr-CA"/>
        </w:rPr>
        <w:t xml:space="preserve"> Le pourvoi est rejeté, essentiellement pour les motifs de la juge en chef Fraser. À l’instar des juges majoritaires de la Cour d’appel, nous sommes d’avis que l’exposé au jury n’est entaché d’aucune erreur donnant ouverture à révision, et que le verdict du jury n’est pas déraisonnable.</w:t>
      </w:r>
    </w:p>
    <w:p w:rsidR="00122663" w:rsidRPr="00122663" w:rsidRDefault="00122663" w:rsidP="00122663">
      <w:pPr>
        <w:jc w:val="both"/>
        <w:rPr>
          <w:sz w:val="20"/>
          <w:szCs w:val="20"/>
          <w:lang w:val="fr-CA"/>
        </w:rPr>
      </w:pPr>
    </w:p>
    <w:p w:rsidR="00122663" w:rsidRPr="00122663" w:rsidRDefault="00122663" w:rsidP="00122663">
      <w:pPr>
        <w:widowControl w:val="0"/>
        <w:rPr>
          <w:sz w:val="20"/>
          <w:szCs w:val="20"/>
          <w:lang w:val="fr-CA"/>
        </w:rPr>
      </w:pPr>
      <w:r w:rsidRPr="00122663">
        <w:rPr>
          <w:sz w:val="20"/>
          <w:szCs w:val="20"/>
          <w:lang w:val="fr-CA"/>
        </w:rPr>
        <w:t xml:space="preserve">Toutefois, nous ne pouvons souscrire aux motifs exposés au </w:t>
      </w:r>
      <w:proofErr w:type="spellStart"/>
      <w:r w:rsidRPr="00122663">
        <w:rPr>
          <w:sz w:val="20"/>
          <w:szCs w:val="20"/>
          <w:lang w:val="fr-CA"/>
        </w:rPr>
        <w:t>par</w:t>
      </w:r>
      <w:proofErr w:type="spellEnd"/>
      <w:r w:rsidRPr="00122663">
        <w:rPr>
          <w:sz w:val="20"/>
          <w:szCs w:val="20"/>
          <w:lang w:val="fr-CA"/>
        </w:rPr>
        <w:t>. 27 de l’opinion de la majorité, dans la mesure où ils peuvent être considérés comme ayant pour effet d’exiger que, pour être autorisé à conclure au caractère déraisonnable du verdict prononcé par un jury, le tribunal de révision doit au préalable déceler une erreur isolable. Le fait que le verdict du jury est déraisonnable constitue en soi une erreur de droit justifiant une cour d’appel d’intervenir.</w:t>
      </w:r>
    </w:p>
    <w:p w:rsidR="00122663" w:rsidRPr="00122663" w:rsidRDefault="00122663" w:rsidP="00732DB7">
      <w:pPr>
        <w:widowControl w:val="0"/>
        <w:rPr>
          <w:sz w:val="20"/>
          <w:szCs w:val="20"/>
          <w:lang w:val="fr-CA"/>
        </w:rPr>
      </w:pPr>
    </w:p>
    <w:p w:rsidR="00103968" w:rsidRPr="00047B76" w:rsidRDefault="009A56E8" w:rsidP="00732DB7">
      <w:pPr>
        <w:widowControl w:val="0"/>
        <w:rPr>
          <w:sz w:val="20"/>
          <w:szCs w:val="20"/>
          <w:lang w:val="fr-CA"/>
        </w:rPr>
      </w:pPr>
      <w:r>
        <w:rPr>
          <w:sz w:val="20"/>
          <w:szCs w:val="20"/>
          <w:lang w:val="fr-CA"/>
        </w:rPr>
        <w:pict>
          <v:rect id="_x0000_i1078" style="width:108pt;height:1pt" o:hrpct="0" o:hralign="center" o:hrstd="t" o:hrnoshade="t" o:hr="t" fillcolor="black [3213]" stroked="f"/>
        </w:pict>
      </w:r>
    </w:p>
    <w:p w:rsidR="00732DB7" w:rsidRPr="00734E2B" w:rsidRDefault="00732DB7" w:rsidP="00732DB7">
      <w:pPr>
        <w:widowControl w:val="0"/>
        <w:rPr>
          <w:sz w:val="20"/>
          <w:szCs w:val="20"/>
          <w:lang w:val="fr-CA"/>
        </w:rPr>
      </w:pPr>
    </w:p>
    <w:p w:rsidR="00734E2B" w:rsidRPr="00734E2B" w:rsidRDefault="00734E2B" w:rsidP="00734E2B">
      <w:pPr>
        <w:jc w:val="both"/>
        <w:rPr>
          <w:sz w:val="20"/>
          <w:szCs w:val="20"/>
        </w:rPr>
      </w:pPr>
      <w:r w:rsidRPr="00734E2B">
        <w:rPr>
          <w:sz w:val="20"/>
          <w:szCs w:val="20"/>
        </w:rPr>
        <w:t xml:space="preserve">The appeal from the judgment of the Court of Appeal of Alberta (Calgary), Number 1701-0040-A, 2019 ABCA 184, dated May 14, 2019, was heard on November 15, 2019, and the Court on that day delivered the following judgment orally: </w:t>
      </w:r>
    </w:p>
    <w:p w:rsidR="00734E2B" w:rsidRPr="00734E2B" w:rsidRDefault="00734E2B" w:rsidP="00734E2B">
      <w:pPr>
        <w:jc w:val="both"/>
        <w:rPr>
          <w:sz w:val="20"/>
          <w:szCs w:val="20"/>
        </w:rPr>
      </w:pPr>
    </w:p>
    <w:p w:rsidR="00734E2B" w:rsidRPr="00734E2B" w:rsidRDefault="00734E2B" w:rsidP="00734E2B">
      <w:pPr>
        <w:jc w:val="both"/>
        <w:rPr>
          <w:sz w:val="20"/>
          <w:szCs w:val="20"/>
        </w:rPr>
      </w:pPr>
      <w:r w:rsidRPr="00734E2B">
        <w:rPr>
          <w:smallCaps/>
          <w:sz w:val="20"/>
          <w:szCs w:val="20"/>
        </w:rPr>
        <w:t>Moldaver</w:t>
      </w:r>
      <w:r w:rsidRPr="00734E2B">
        <w:rPr>
          <w:sz w:val="20"/>
          <w:szCs w:val="20"/>
        </w:rPr>
        <w:t xml:space="preserve"> J. </w:t>
      </w:r>
      <w:r w:rsidRPr="00734E2B">
        <w:rPr>
          <w:rFonts w:cs="Times New Roman"/>
          <w:sz w:val="20"/>
          <w:szCs w:val="20"/>
        </w:rPr>
        <w:t>—</w:t>
      </w:r>
      <w:r w:rsidRPr="00734E2B">
        <w:rPr>
          <w:sz w:val="20"/>
          <w:szCs w:val="20"/>
        </w:rPr>
        <w:t xml:space="preserve"> </w:t>
      </w:r>
      <w:proofErr w:type="gramStart"/>
      <w:r w:rsidRPr="00734E2B">
        <w:rPr>
          <w:sz w:val="20"/>
          <w:szCs w:val="20"/>
        </w:rPr>
        <w:t>The</w:t>
      </w:r>
      <w:proofErr w:type="gramEnd"/>
      <w:r w:rsidRPr="00734E2B">
        <w:rPr>
          <w:sz w:val="20"/>
          <w:szCs w:val="20"/>
        </w:rPr>
        <w:t xml:space="preserve"> appeal is dismissed substantially for the reasons of Chief Justice Fraser. We agree with the majority of the Court of Appeal that the charge to the jury does not disclose reviewable error, and the jury’s verdict was not unreasonable.</w:t>
      </w:r>
    </w:p>
    <w:p w:rsidR="00734E2B" w:rsidRPr="00734E2B" w:rsidRDefault="00734E2B" w:rsidP="00734E2B">
      <w:pPr>
        <w:jc w:val="both"/>
        <w:rPr>
          <w:sz w:val="20"/>
          <w:szCs w:val="20"/>
        </w:rPr>
      </w:pPr>
    </w:p>
    <w:p w:rsidR="00FC36F8" w:rsidRPr="00734E2B" w:rsidRDefault="00734E2B" w:rsidP="00734E2B">
      <w:pPr>
        <w:widowControl w:val="0"/>
        <w:rPr>
          <w:sz w:val="20"/>
          <w:szCs w:val="20"/>
          <w:lang w:val="en-US"/>
        </w:rPr>
      </w:pPr>
      <w:r w:rsidRPr="00734E2B">
        <w:rPr>
          <w:sz w:val="20"/>
          <w:szCs w:val="20"/>
        </w:rPr>
        <w:t>However, we do not endorse para. 27 of the majority’s reasons to the extent it may be taken as suggesting that the reviewing court must identify an extricable error as a precondition to concluding that the jury’s verdict was unreasonable. A determination that the jury’s verdict was unreasonable is itself an error of law warranting appellate intervention.</w:t>
      </w:r>
    </w:p>
    <w:p w:rsidR="009A56E8" w:rsidRPr="00734E2B" w:rsidRDefault="009A56E8" w:rsidP="00732DB7">
      <w:pPr>
        <w:widowControl w:val="0"/>
        <w:rPr>
          <w:sz w:val="20"/>
          <w:szCs w:val="20"/>
          <w:lang w:val="en-US"/>
        </w:rPr>
      </w:pPr>
    </w:p>
    <w:p w:rsidR="00734E2B" w:rsidRPr="00734E2B" w:rsidRDefault="00734E2B" w:rsidP="00734E2B">
      <w:pPr>
        <w:jc w:val="both"/>
        <w:rPr>
          <w:sz w:val="20"/>
          <w:szCs w:val="20"/>
          <w:lang w:val="fr-CA"/>
        </w:rPr>
      </w:pPr>
      <w:r w:rsidRPr="00734E2B">
        <w:rPr>
          <w:sz w:val="20"/>
          <w:szCs w:val="20"/>
          <w:lang w:val="fr-CA"/>
        </w:rPr>
        <w:t>L’appel interjeté contre l’arrêt de la Cour d’appel de l’Alberta (Calgary), numéro  1601-0157-A, 2019 ABCA 184, daté du 14 mai 2019, a été entendu le 15 novembre 2019 et la Cour a prononcé oralement le même jour le jugement suivant :</w:t>
      </w:r>
    </w:p>
    <w:p w:rsidR="00734E2B" w:rsidRPr="00734E2B" w:rsidRDefault="00734E2B" w:rsidP="00734E2B">
      <w:pPr>
        <w:jc w:val="both"/>
        <w:rPr>
          <w:sz w:val="20"/>
          <w:szCs w:val="20"/>
          <w:lang w:val="fr-CA"/>
        </w:rPr>
      </w:pPr>
    </w:p>
    <w:p w:rsidR="00734E2B" w:rsidRPr="00734E2B" w:rsidRDefault="00734E2B" w:rsidP="00734E2B">
      <w:pPr>
        <w:jc w:val="both"/>
        <w:rPr>
          <w:smallCaps/>
          <w:sz w:val="20"/>
          <w:szCs w:val="20"/>
          <w:lang w:val="fr-CA"/>
        </w:rPr>
      </w:pPr>
      <w:r w:rsidRPr="00734E2B">
        <w:rPr>
          <w:smallCaps/>
          <w:sz w:val="20"/>
          <w:szCs w:val="20"/>
          <w:lang w:val="fr-CA"/>
        </w:rPr>
        <w:t>[traduction]</w:t>
      </w:r>
    </w:p>
    <w:p w:rsidR="00734E2B" w:rsidRPr="00734E2B" w:rsidRDefault="00734E2B" w:rsidP="00734E2B">
      <w:pPr>
        <w:jc w:val="both"/>
        <w:rPr>
          <w:sz w:val="20"/>
          <w:szCs w:val="20"/>
          <w:lang w:val="fr-CA"/>
        </w:rPr>
      </w:pPr>
      <w:r w:rsidRPr="00734E2B">
        <w:rPr>
          <w:smallCaps/>
          <w:sz w:val="20"/>
          <w:szCs w:val="20"/>
          <w:lang w:val="fr-CA"/>
        </w:rPr>
        <w:t>Le juge Moldaver</w:t>
      </w:r>
      <w:r w:rsidRPr="00734E2B">
        <w:rPr>
          <w:sz w:val="20"/>
          <w:szCs w:val="20"/>
          <w:lang w:val="fr-CA"/>
        </w:rPr>
        <w:t xml:space="preserve"> </w:t>
      </w:r>
      <w:r w:rsidRPr="00734E2B">
        <w:rPr>
          <w:rFonts w:cs="Times New Roman"/>
          <w:sz w:val="20"/>
          <w:szCs w:val="20"/>
          <w:lang w:val="fr-CA"/>
        </w:rPr>
        <w:t>—</w:t>
      </w:r>
      <w:r w:rsidRPr="00734E2B">
        <w:rPr>
          <w:sz w:val="20"/>
          <w:szCs w:val="20"/>
          <w:lang w:val="fr-CA"/>
        </w:rPr>
        <w:t xml:space="preserve"> Le pourvoi est rejeté, essentiellement pour les motifs de la juge en chef Fraser. À l’instar des juges majoritaires de la Cour d’appel, nous sommes d’avis que l’exposé au jury n’est entaché d’aucune erreur donnant ouverture à révision, et que le verdict du jury n’est pas déraisonnable.</w:t>
      </w:r>
    </w:p>
    <w:p w:rsidR="00734E2B" w:rsidRPr="00734E2B" w:rsidRDefault="00734E2B" w:rsidP="00734E2B">
      <w:pPr>
        <w:jc w:val="both"/>
        <w:rPr>
          <w:sz w:val="20"/>
          <w:szCs w:val="20"/>
          <w:lang w:val="fr-CA"/>
        </w:rPr>
      </w:pPr>
    </w:p>
    <w:p w:rsidR="009A56E8" w:rsidRPr="00734E2B" w:rsidRDefault="00734E2B" w:rsidP="00734E2B">
      <w:pPr>
        <w:widowControl w:val="0"/>
        <w:rPr>
          <w:sz w:val="20"/>
          <w:szCs w:val="20"/>
          <w:lang w:val="fr-CA"/>
        </w:rPr>
      </w:pPr>
      <w:r w:rsidRPr="00734E2B">
        <w:rPr>
          <w:sz w:val="20"/>
          <w:szCs w:val="20"/>
          <w:lang w:val="fr-CA"/>
        </w:rPr>
        <w:t xml:space="preserve">Toutefois, nous ne pouvons souscrire aux motifs exposés au </w:t>
      </w:r>
      <w:proofErr w:type="spellStart"/>
      <w:r w:rsidRPr="00734E2B">
        <w:rPr>
          <w:sz w:val="20"/>
          <w:szCs w:val="20"/>
          <w:lang w:val="fr-CA"/>
        </w:rPr>
        <w:t>par</w:t>
      </w:r>
      <w:proofErr w:type="spellEnd"/>
      <w:r w:rsidRPr="00734E2B">
        <w:rPr>
          <w:sz w:val="20"/>
          <w:szCs w:val="20"/>
          <w:lang w:val="fr-CA"/>
        </w:rPr>
        <w:t>. 27 de l’opinion de la majorité, dans la mesure où ils peuvent être considérés comme ayant pour effet d’exiger que, pour être autorisé à conclure au caractère déraisonnable du verdict prononcé par un jury, le tribunal de révision doit au préalable déceler une erreur isolable. Le fait que le verdict du jury est déraisonnable constitue en soi une erreur de droit justifiant une cour d’appel d’intervenir.</w:t>
      </w:r>
    </w:p>
    <w:p w:rsidR="009A56E8" w:rsidRPr="00734E2B" w:rsidRDefault="009A56E8" w:rsidP="00732DB7">
      <w:pPr>
        <w:widowControl w:val="0"/>
        <w:rPr>
          <w:sz w:val="20"/>
          <w:szCs w:val="20"/>
          <w:lang w:val="fr-CA"/>
        </w:rPr>
      </w:pPr>
    </w:p>
    <w:p w:rsidR="009A56E8" w:rsidRPr="00734E2B" w:rsidRDefault="00734E2B" w:rsidP="00732DB7">
      <w:pPr>
        <w:widowControl w:val="0"/>
        <w:rPr>
          <w:sz w:val="20"/>
          <w:szCs w:val="20"/>
          <w:lang w:val="fr-CA"/>
        </w:rPr>
      </w:pPr>
      <w:r>
        <w:rPr>
          <w:sz w:val="20"/>
          <w:szCs w:val="20"/>
          <w:lang w:val="fr-CA"/>
        </w:rPr>
        <w:pict>
          <v:rect id="_x0000_i1085" style="width:108pt;height:1pt" o:hrpct="0" o:hralign="center" o:hrstd="t" o:hrnoshade="t" o:hr="t" fillcolor="black [3213]" stroked="f"/>
        </w:pict>
      </w:r>
    </w:p>
    <w:p w:rsidR="009A56E8" w:rsidRDefault="009A56E8" w:rsidP="00732DB7">
      <w:pPr>
        <w:widowControl w:val="0"/>
        <w:rPr>
          <w:sz w:val="20"/>
          <w:szCs w:val="20"/>
          <w:lang w:val="fr-CA"/>
        </w:rPr>
      </w:pPr>
    </w:p>
    <w:p w:rsidR="00734E2B" w:rsidRPr="00734E2B" w:rsidRDefault="00734E2B" w:rsidP="00732DB7">
      <w:pPr>
        <w:widowControl w:val="0"/>
        <w:rPr>
          <w:sz w:val="20"/>
          <w:szCs w:val="20"/>
          <w:lang w:val="fr-CA"/>
        </w:rPr>
      </w:pPr>
    </w:p>
    <w:p w:rsidR="009C04AB" w:rsidRPr="00734E2B" w:rsidRDefault="009C04AB" w:rsidP="00732DB7">
      <w:pPr>
        <w:widowControl w:val="0"/>
        <w:rPr>
          <w:sz w:val="20"/>
          <w:szCs w:val="20"/>
          <w:lang w:val="fr-CA"/>
        </w:rPr>
      </w:pPr>
    </w:p>
    <w:p w:rsidR="00732DB7" w:rsidRPr="00734E2B" w:rsidRDefault="00732DB7" w:rsidP="00732DB7">
      <w:pPr>
        <w:widowControl w:val="0"/>
        <w:rPr>
          <w:sz w:val="20"/>
          <w:szCs w:val="20"/>
          <w:lang w:val="fr-CA"/>
        </w:rPr>
        <w:sectPr w:rsidR="00732DB7" w:rsidRPr="00734E2B" w:rsidSect="00732DB7">
          <w:headerReference w:type="even" r:id="rId113"/>
          <w:headerReference w:type="default" r:id="rId114"/>
          <w:footerReference w:type="even" r:id="rId115"/>
          <w:footerReference w:type="default" r:id="rId116"/>
          <w:headerReference w:type="first" r:id="rId117"/>
          <w:footerReference w:type="first" r:id="rId118"/>
          <w:pgSz w:w="12240" w:h="15840"/>
          <w:pgMar w:top="720" w:right="965" w:bottom="1080" w:left="1656" w:header="720" w:footer="960" w:gutter="0"/>
          <w:cols w:space="720"/>
          <w:titlePg/>
          <w:docGrid w:linePitch="326"/>
        </w:sectPr>
      </w:pPr>
    </w:p>
    <w:p w:rsidR="00567602" w:rsidRPr="00047B76" w:rsidRDefault="001434B9" w:rsidP="00567602">
      <w:pPr>
        <w:pStyle w:val="Header1StyleE"/>
        <w:pBdr>
          <w:bottom w:val="single" w:sz="12" w:space="1" w:color="auto"/>
        </w:pBdr>
        <w:rPr>
          <w:lang w:val="fr-CA"/>
        </w:rPr>
      </w:pPr>
      <w:bookmarkStart w:id="8" w:name="_Toc24615301"/>
      <w:r w:rsidRPr="00047B76">
        <w:rPr>
          <w:lang w:val="fr-CA"/>
        </w:rPr>
        <w:lastRenderedPageBreak/>
        <w:t>Pronouncements of reserved</w:t>
      </w:r>
      <w:r w:rsidR="00271E1E" w:rsidRPr="00047B76">
        <w:rPr>
          <w:lang w:val="fr-CA"/>
        </w:rPr>
        <w:t xml:space="preserve"> appeals / </w:t>
      </w:r>
      <w:r w:rsidR="00567602" w:rsidRPr="00047B76">
        <w:rPr>
          <w:lang w:val="fr-CA"/>
        </w:rPr>
        <w:br/>
      </w:r>
      <w:r w:rsidRPr="00047B76">
        <w:rPr>
          <w:lang w:val="fr-CA"/>
        </w:rPr>
        <w:t>Jugements rendus sur les appels en délibéré</w:t>
      </w:r>
      <w:bookmarkEnd w:id="8"/>
    </w:p>
    <w:p w:rsidR="00567602" w:rsidRPr="00047B76" w:rsidRDefault="00567602" w:rsidP="00FF6EEC">
      <w:pPr>
        <w:rPr>
          <w:sz w:val="20"/>
          <w:szCs w:val="20"/>
          <w:lang w:val="fr-CA"/>
        </w:rPr>
      </w:pPr>
    </w:p>
    <w:p w:rsidR="00102792" w:rsidRPr="00047B76" w:rsidRDefault="00102792" w:rsidP="00102792">
      <w:pPr>
        <w:rPr>
          <w:b/>
          <w:sz w:val="20"/>
          <w:szCs w:val="20"/>
          <w:lang w:val="fr-CA"/>
        </w:rPr>
      </w:pPr>
      <w:r w:rsidRPr="00047B76">
        <w:rPr>
          <w:b/>
          <w:sz w:val="20"/>
          <w:szCs w:val="20"/>
          <w:lang w:val="fr-CA"/>
        </w:rPr>
        <w:t>NOVEMBER 1</w:t>
      </w:r>
      <w:r w:rsidR="0040012E" w:rsidRPr="00047B76">
        <w:rPr>
          <w:b/>
          <w:sz w:val="20"/>
          <w:szCs w:val="20"/>
          <w:lang w:val="fr-CA"/>
        </w:rPr>
        <w:t>4</w:t>
      </w:r>
      <w:r w:rsidRPr="00047B76">
        <w:rPr>
          <w:b/>
          <w:sz w:val="20"/>
          <w:szCs w:val="20"/>
          <w:lang w:val="fr-CA"/>
        </w:rPr>
        <w:t xml:space="preserve">, </w:t>
      </w:r>
      <w:r w:rsidR="0034657E" w:rsidRPr="00047B76">
        <w:rPr>
          <w:b/>
          <w:sz w:val="20"/>
          <w:szCs w:val="20"/>
          <w:lang w:val="fr-CA"/>
        </w:rPr>
        <w:t>2019</w:t>
      </w:r>
      <w:r w:rsidRPr="00047B76">
        <w:rPr>
          <w:b/>
          <w:sz w:val="20"/>
          <w:szCs w:val="20"/>
          <w:lang w:val="fr-CA"/>
        </w:rPr>
        <w:t xml:space="preserve"> / LE 1</w:t>
      </w:r>
      <w:r w:rsidR="0040012E" w:rsidRPr="00047B76">
        <w:rPr>
          <w:b/>
          <w:sz w:val="20"/>
          <w:szCs w:val="20"/>
          <w:lang w:val="fr-CA"/>
        </w:rPr>
        <w:t>4</w:t>
      </w:r>
      <w:r w:rsidRPr="00047B76">
        <w:rPr>
          <w:b/>
          <w:sz w:val="20"/>
          <w:szCs w:val="20"/>
          <w:lang w:val="fr-CA"/>
        </w:rPr>
        <w:t xml:space="preserve"> NOVEMBRE </w:t>
      </w:r>
      <w:r w:rsidR="0034657E" w:rsidRPr="00047B76">
        <w:rPr>
          <w:b/>
          <w:sz w:val="20"/>
          <w:szCs w:val="20"/>
          <w:lang w:val="fr-CA"/>
        </w:rPr>
        <w:t>2019</w:t>
      </w:r>
    </w:p>
    <w:p w:rsidR="00102792" w:rsidRPr="00047B76" w:rsidRDefault="00102792" w:rsidP="00102792">
      <w:pPr>
        <w:rPr>
          <w:sz w:val="20"/>
          <w:szCs w:val="20"/>
          <w:lang w:val="fr-CA"/>
        </w:rPr>
      </w:pPr>
    </w:p>
    <w:p w:rsidR="00102792" w:rsidRPr="00047B76" w:rsidRDefault="00102792" w:rsidP="00102792">
      <w:pPr>
        <w:ind w:left="1440" w:hanging="1440"/>
        <w:jc w:val="both"/>
        <w:rPr>
          <w:rFonts w:eastAsia="Times New Roman" w:cs="Times New Roman"/>
          <w:color w:val="000000"/>
          <w:sz w:val="20"/>
          <w:szCs w:val="20"/>
          <w:lang w:val="fr-CA"/>
        </w:rPr>
      </w:pPr>
      <w:r w:rsidRPr="00047B76">
        <w:rPr>
          <w:rFonts w:eastAsia="Times New Roman" w:cs="Times New Roman"/>
          <w:b/>
          <w:bCs/>
          <w:color w:val="000000"/>
          <w:sz w:val="20"/>
          <w:szCs w:val="20"/>
          <w:lang w:val="fr-CA"/>
        </w:rPr>
        <w:t>3</w:t>
      </w:r>
      <w:r w:rsidR="001A210D" w:rsidRPr="00047B76">
        <w:rPr>
          <w:rFonts w:eastAsia="Times New Roman" w:cs="Times New Roman"/>
          <w:b/>
          <w:bCs/>
          <w:color w:val="000000"/>
          <w:sz w:val="20"/>
          <w:szCs w:val="20"/>
          <w:lang w:val="fr-CA"/>
        </w:rPr>
        <w:t>8188</w:t>
      </w:r>
      <w:r w:rsidRPr="00047B76">
        <w:rPr>
          <w:rFonts w:eastAsia="Times New Roman" w:cs="Times New Roman"/>
          <w:b/>
          <w:bCs/>
          <w:color w:val="000000"/>
          <w:sz w:val="20"/>
          <w:szCs w:val="20"/>
          <w:lang w:val="fr-CA"/>
        </w:rPr>
        <w:t>                   </w:t>
      </w:r>
      <w:r w:rsidR="001A210D" w:rsidRPr="00047B76">
        <w:rPr>
          <w:rFonts w:eastAsia="Times New Roman" w:cs="Times New Roman"/>
          <w:b/>
          <w:bCs/>
          <w:color w:val="000000"/>
          <w:sz w:val="20"/>
          <w:szCs w:val="20"/>
          <w:lang w:val="fr-CA"/>
        </w:rPr>
        <w:t xml:space="preserve">Mitra Javanmardi v. Her Majesty The Queen and Attorney General of Quebec - and - </w:t>
      </w:r>
      <w:r w:rsidR="00D96A99" w:rsidRPr="00047B76">
        <w:rPr>
          <w:rFonts w:eastAsia="Times New Roman" w:cs="Times New Roman"/>
          <w:b/>
          <w:bCs/>
          <w:color w:val="000000"/>
          <w:sz w:val="20"/>
          <w:szCs w:val="20"/>
          <w:lang w:val="fr-CA"/>
        </w:rPr>
        <w:t>Association des avocats de la défense de Montréal, Québec Association of Naturopathic Medicine, Association des naturopathes agréés du Québec, Canadian Association of Naturopathic Doctors and Criminal Lawyers’ Association</w:t>
      </w:r>
      <w:r w:rsidR="001A210D" w:rsidRPr="00047B76">
        <w:rPr>
          <w:rFonts w:eastAsia="Times New Roman" w:cs="Times New Roman"/>
          <w:b/>
          <w:bCs/>
          <w:color w:val="000000"/>
          <w:sz w:val="20"/>
          <w:szCs w:val="20"/>
          <w:lang w:val="fr-CA"/>
        </w:rPr>
        <w:t xml:space="preserve"> (Que.)</w:t>
      </w:r>
    </w:p>
    <w:p w:rsidR="00102792" w:rsidRPr="00047B76" w:rsidRDefault="00102792" w:rsidP="00102792">
      <w:pPr>
        <w:ind w:left="1440"/>
        <w:jc w:val="both"/>
        <w:rPr>
          <w:rFonts w:eastAsia="Times New Roman" w:cs="Times New Roman"/>
          <w:color w:val="000000"/>
          <w:sz w:val="20"/>
          <w:szCs w:val="20"/>
          <w:lang w:val="en-US"/>
        </w:rPr>
      </w:pPr>
      <w:r w:rsidRPr="00047B76">
        <w:rPr>
          <w:rFonts w:eastAsia="Times New Roman" w:cs="Times New Roman"/>
          <w:b/>
          <w:bCs/>
          <w:color w:val="000000"/>
          <w:sz w:val="20"/>
          <w:szCs w:val="20"/>
          <w:lang w:val="en-US"/>
        </w:rPr>
        <w:t>2018 SCC 5</w:t>
      </w:r>
      <w:r w:rsidR="0039058A" w:rsidRPr="00047B76">
        <w:rPr>
          <w:rFonts w:eastAsia="Times New Roman" w:cs="Times New Roman"/>
          <w:b/>
          <w:bCs/>
          <w:color w:val="000000"/>
          <w:sz w:val="20"/>
          <w:szCs w:val="20"/>
          <w:lang w:val="en-US"/>
        </w:rPr>
        <w:t>4</w:t>
      </w:r>
      <w:r w:rsidRPr="00047B76">
        <w:rPr>
          <w:rFonts w:eastAsia="Times New Roman" w:cs="Times New Roman"/>
          <w:b/>
          <w:bCs/>
          <w:color w:val="000000"/>
          <w:sz w:val="20"/>
          <w:szCs w:val="20"/>
          <w:lang w:val="en-US"/>
        </w:rPr>
        <w:t xml:space="preserve"> / 2018 CSC 5</w:t>
      </w:r>
      <w:r w:rsidR="0039058A" w:rsidRPr="00047B76">
        <w:rPr>
          <w:rFonts w:eastAsia="Times New Roman" w:cs="Times New Roman"/>
          <w:b/>
          <w:bCs/>
          <w:color w:val="000000"/>
          <w:sz w:val="20"/>
          <w:szCs w:val="20"/>
          <w:lang w:val="en-US"/>
        </w:rPr>
        <w:t>4</w:t>
      </w:r>
    </w:p>
    <w:p w:rsidR="00102792" w:rsidRPr="00047B76" w:rsidRDefault="00102792" w:rsidP="00102792">
      <w:pPr>
        <w:jc w:val="both"/>
        <w:rPr>
          <w:rFonts w:eastAsia="Times New Roman" w:cs="Times New Roman"/>
          <w:color w:val="000000"/>
          <w:sz w:val="20"/>
          <w:szCs w:val="20"/>
          <w:lang w:val="en-US"/>
        </w:rPr>
      </w:pPr>
    </w:p>
    <w:p w:rsidR="00102792" w:rsidRPr="00047B76" w:rsidRDefault="00102792" w:rsidP="00102792">
      <w:pPr>
        <w:ind w:left="1440" w:hanging="1440"/>
        <w:rPr>
          <w:rFonts w:eastAsia="Times New Roman" w:cs="Times New Roman"/>
          <w:color w:val="000000"/>
          <w:sz w:val="20"/>
          <w:szCs w:val="20"/>
        </w:rPr>
      </w:pPr>
      <w:r w:rsidRPr="00047B76">
        <w:rPr>
          <w:rFonts w:eastAsia="Times New Roman" w:cs="Times New Roman"/>
          <w:color w:val="000000"/>
          <w:sz w:val="20"/>
          <w:szCs w:val="20"/>
          <w:lang w:val="en-US"/>
        </w:rPr>
        <w:t>Coram:                 </w:t>
      </w:r>
      <w:r w:rsidR="001A210D" w:rsidRPr="00047B76">
        <w:rPr>
          <w:rFonts w:eastAsia="Times New Roman" w:cs="Times New Roman"/>
          <w:color w:val="000000"/>
          <w:sz w:val="20"/>
          <w:szCs w:val="20"/>
          <w:lang w:val="en-US"/>
        </w:rPr>
        <w:t>Wagner C.J. and Abella, Moldaver, Karakatsanis, Côté, Brown and Rowe JJ.</w:t>
      </w:r>
    </w:p>
    <w:p w:rsidR="00102792" w:rsidRPr="00047B76" w:rsidRDefault="00102792" w:rsidP="00102792">
      <w:pPr>
        <w:ind w:left="1440" w:hanging="1440"/>
        <w:rPr>
          <w:rFonts w:eastAsia="Times New Roman" w:cs="Times New Roman"/>
          <w:color w:val="000000"/>
          <w:sz w:val="20"/>
          <w:szCs w:val="20"/>
          <w:lang w:val="en-US"/>
        </w:rPr>
      </w:pPr>
    </w:p>
    <w:p w:rsidR="00102792" w:rsidRPr="00047B76" w:rsidRDefault="00C77F27" w:rsidP="00102792">
      <w:pPr>
        <w:jc w:val="both"/>
        <w:rPr>
          <w:rFonts w:eastAsia="Times New Roman" w:cs="Times New Roman"/>
          <w:color w:val="000000"/>
          <w:sz w:val="20"/>
          <w:szCs w:val="20"/>
          <w:lang w:val="fr-CA"/>
        </w:rPr>
      </w:pPr>
      <w:r w:rsidRPr="00047B76">
        <w:rPr>
          <w:sz w:val="20"/>
          <w:szCs w:val="20"/>
        </w:rPr>
        <w:t xml:space="preserve">The appeal from the judgment of the Court of Appeal of Quebec (Montréal), Number 500-10-005886-153, </w:t>
      </w:r>
      <w:proofErr w:type="gramStart"/>
      <w:r w:rsidRPr="00047B76">
        <w:rPr>
          <w:sz w:val="20"/>
          <w:szCs w:val="20"/>
        </w:rPr>
        <w:t>2018</w:t>
      </w:r>
      <w:proofErr w:type="gramEnd"/>
      <w:r w:rsidRPr="00047B76">
        <w:rPr>
          <w:sz w:val="20"/>
          <w:szCs w:val="20"/>
        </w:rPr>
        <w:t xml:space="preserve"> QCCA 856, dated May 31, 2018, heard on May 15, 2019, is </w:t>
      </w:r>
      <w:r w:rsidRPr="00047B76">
        <w:rPr>
          <w:rFonts w:cs="Times New Roman"/>
          <w:sz w:val="20"/>
          <w:szCs w:val="20"/>
        </w:rPr>
        <w:t xml:space="preserve">allowed and the acquittals are restored. </w:t>
      </w:r>
      <w:r w:rsidRPr="00047B76">
        <w:rPr>
          <w:rFonts w:cs="Times New Roman"/>
          <w:sz w:val="20"/>
          <w:szCs w:val="20"/>
          <w:lang w:val="fr-CA"/>
        </w:rPr>
        <w:t>Wagner C.J. and Rowe J. dissent</w:t>
      </w:r>
    </w:p>
    <w:p w:rsidR="00102792" w:rsidRPr="00047B76" w:rsidRDefault="00102792" w:rsidP="00102792">
      <w:pPr>
        <w:tabs>
          <w:tab w:val="left" w:pos="1440"/>
        </w:tabs>
        <w:jc w:val="both"/>
        <w:rPr>
          <w:rFonts w:eastAsia="Times New Roman" w:cs="Times New Roman"/>
          <w:color w:val="000000"/>
          <w:sz w:val="20"/>
          <w:szCs w:val="20"/>
          <w:lang w:val="fr-CA"/>
        </w:rPr>
      </w:pPr>
    </w:p>
    <w:p w:rsidR="00102792" w:rsidRPr="00047B76" w:rsidRDefault="00C77F27" w:rsidP="00102792">
      <w:pPr>
        <w:jc w:val="both"/>
        <w:rPr>
          <w:rFonts w:eastAsia="Times New Roman" w:cs="Times New Roman"/>
          <w:color w:val="000000"/>
          <w:sz w:val="20"/>
          <w:szCs w:val="20"/>
          <w:lang w:val="fr-CA"/>
        </w:rPr>
      </w:pPr>
      <w:r w:rsidRPr="00047B76">
        <w:rPr>
          <w:sz w:val="20"/>
          <w:szCs w:val="20"/>
          <w:lang w:val="fr-CA"/>
        </w:rPr>
        <w:t>L’appel interjeté contre l’arrêt de la Cour d’appel du Québec (Montréal), numéro 500-10-005886-153, 2018 QCCA 856, daté du 31 mai 2018, entendu le 15 mai 2019, est accueilli et les acquittements sont rétablis. Le juge en chef Wagner et le juge Rowe sont dissidents.</w:t>
      </w:r>
    </w:p>
    <w:p w:rsidR="00102792" w:rsidRPr="00047B76" w:rsidRDefault="00102792" w:rsidP="00102792">
      <w:pPr>
        <w:rPr>
          <w:sz w:val="20"/>
          <w:szCs w:val="20"/>
          <w:lang w:val="fr-CA"/>
        </w:rPr>
      </w:pPr>
    </w:p>
    <w:p w:rsidR="00102792" w:rsidRPr="00047B76" w:rsidRDefault="009A56E8" w:rsidP="00102792">
      <w:pPr>
        <w:rPr>
          <w:sz w:val="20"/>
          <w:szCs w:val="20"/>
          <w:lang w:val="fr-CA"/>
        </w:rPr>
      </w:pPr>
      <w:hyperlink r:id="rId119" w:history="1">
        <w:r w:rsidR="00506BE1" w:rsidRPr="00047B76">
          <w:rPr>
            <w:rStyle w:val="Hyperlink"/>
            <w:sz w:val="20"/>
            <w:szCs w:val="20"/>
            <w:lang w:val="fr-CA"/>
          </w:rPr>
          <w:t xml:space="preserve">LINK TO </w:t>
        </w:r>
        <w:r w:rsidR="00D82BFF" w:rsidRPr="00047B76">
          <w:rPr>
            <w:rStyle w:val="Hyperlink"/>
            <w:sz w:val="20"/>
            <w:szCs w:val="20"/>
            <w:lang w:val="fr-CA"/>
          </w:rPr>
          <w:t>REASONS</w:t>
        </w:r>
      </w:hyperlink>
      <w:r w:rsidR="00102792" w:rsidRPr="00047B76">
        <w:rPr>
          <w:sz w:val="20"/>
          <w:szCs w:val="20"/>
          <w:lang w:val="fr-CA"/>
        </w:rPr>
        <w:t xml:space="preserve"> / </w:t>
      </w:r>
      <w:hyperlink r:id="rId120" w:history="1">
        <w:r w:rsidR="00D82BFF" w:rsidRPr="00047B76">
          <w:rPr>
            <w:rStyle w:val="Hyperlink"/>
            <w:sz w:val="20"/>
            <w:szCs w:val="20"/>
            <w:lang w:val="fr-CA"/>
          </w:rPr>
          <w:t>LIEN VERS LES MOTIFS</w:t>
        </w:r>
      </w:hyperlink>
    </w:p>
    <w:p w:rsidR="00102792" w:rsidRPr="00047B76" w:rsidRDefault="00102792" w:rsidP="00102792">
      <w:pPr>
        <w:rPr>
          <w:sz w:val="20"/>
          <w:szCs w:val="20"/>
          <w:lang w:val="fr-CA"/>
        </w:rPr>
      </w:pPr>
    </w:p>
    <w:p w:rsidR="00D004FC" w:rsidRPr="00047B76" w:rsidRDefault="009A56E8" w:rsidP="00102792">
      <w:pPr>
        <w:jc w:val="both"/>
        <w:rPr>
          <w:rFonts w:cs="Times New Roman"/>
          <w:b/>
          <w:sz w:val="20"/>
          <w:szCs w:val="20"/>
        </w:rPr>
      </w:pPr>
      <w:r>
        <w:rPr>
          <w:b/>
          <w:sz w:val="20"/>
          <w:szCs w:val="20"/>
        </w:rPr>
        <w:pict>
          <v:rect id="_x0000_i1081" style="width:144.3pt;height:1pt" o:hrpct="300" o:hralign="center" o:hrstd="t" o:hrnoshade="t" o:hr="t" fillcolor="black [3213]" stroked="f"/>
        </w:pict>
      </w:r>
    </w:p>
    <w:p w:rsidR="00D004FC" w:rsidRPr="00047B76" w:rsidRDefault="00D004FC" w:rsidP="00D004FC">
      <w:pPr>
        <w:jc w:val="both"/>
        <w:rPr>
          <w:rFonts w:cs="Times New Roman"/>
          <w:sz w:val="20"/>
          <w:szCs w:val="20"/>
        </w:rPr>
      </w:pPr>
    </w:p>
    <w:p w:rsidR="0040012E" w:rsidRPr="00047B76" w:rsidRDefault="0040012E" w:rsidP="0040012E">
      <w:pPr>
        <w:rPr>
          <w:b/>
          <w:sz w:val="20"/>
          <w:szCs w:val="20"/>
        </w:rPr>
      </w:pPr>
      <w:r w:rsidRPr="00047B76">
        <w:rPr>
          <w:b/>
          <w:sz w:val="20"/>
          <w:szCs w:val="20"/>
        </w:rPr>
        <w:t>NOVEMBER 15, 2019 / LE 15 NOVEMBRE 2019</w:t>
      </w:r>
    </w:p>
    <w:p w:rsidR="0040012E" w:rsidRPr="00047B76" w:rsidRDefault="0040012E" w:rsidP="0040012E">
      <w:pPr>
        <w:rPr>
          <w:sz w:val="20"/>
          <w:szCs w:val="20"/>
        </w:rPr>
      </w:pPr>
    </w:p>
    <w:p w:rsidR="0040012E" w:rsidRPr="00047B76" w:rsidRDefault="0040012E" w:rsidP="0040012E">
      <w:pPr>
        <w:ind w:left="1440" w:hanging="1440"/>
        <w:jc w:val="both"/>
        <w:rPr>
          <w:rFonts w:eastAsia="Times New Roman" w:cs="Times New Roman"/>
          <w:color w:val="000000"/>
          <w:sz w:val="20"/>
          <w:szCs w:val="20"/>
        </w:rPr>
      </w:pPr>
      <w:r w:rsidRPr="00047B76">
        <w:rPr>
          <w:rFonts w:eastAsia="Times New Roman" w:cs="Times New Roman"/>
          <w:b/>
          <w:bCs/>
          <w:color w:val="000000"/>
          <w:sz w:val="20"/>
          <w:szCs w:val="20"/>
        </w:rPr>
        <w:t>3</w:t>
      </w:r>
      <w:r w:rsidR="001A210D" w:rsidRPr="00047B76">
        <w:rPr>
          <w:rFonts w:eastAsia="Times New Roman" w:cs="Times New Roman"/>
          <w:b/>
          <w:bCs/>
          <w:color w:val="000000"/>
          <w:sz w:val="20"/>
          <w:szCs w:val="20"/>
        </w:rPr>
        <w:t>8292</w:t>
      </w:r>
      <w:r w:rsidRPr="00047B76">
        <w:rPr>
          <w:rFonts w:eastAsia="Times New Roman" w:cs="Times New Roman"/>
          <w:b/>
          <w:bCs/>
          <w:color w:val="000000"/>
          <w:sz w:val="20"/>
          <w:szCs w:val="20"/>
        </w:rPr>
        <w:t>                   </w:t>
      </w:r>
      <w:r w:rsidR="001A210D" w:rsidRPr="00047B76">
        <w:rPr>
          <w:rFonts w:eastAsia="Times New Roman" w:cs="Times New Roman"/>
          <w:b/>
          <w:bCs/>
          <w:color w:val="000000"/>
          <w:sz w:val="20"/>
          <w:szCs w:val="20"/>
        </w:rPr>
        <w:t>K.J.M. v. Her Majesty The Queen - and - Attorney General of Ontario, Director of Criminal and Penal Prosecutions, Criminal Lawyers’ Association (Ontario), Legal Aid Society of Alberta and Justice for Children and Youth (Alta.)</w:t>
      </w:r>
    </w:p>
    <w:p w:rsidR="0040012E" w:rsidRPr="00047B76" w:rsidRDefault="0040012E" w:rsidP="0040012E">
      <w:pPr>
        <w:ind w:left="1440"/>
        <w:jc w:val="both"/>
        <w:rPr>
          <w:rFonts w:eastAsia="Times New Roman" w:cs="Times New Roman"/>
          <w:color w:val="000000"/>
          <w:sz w:val="20"/>
          <w:szCs w:val="20"/>
          <w:lang w:val="en-US"/>
        </w:rPr>
      </w:pPr>
      <w:r w:rsidRPr="00047B76">
        <w:rPr>
          <w:rFonts w:eastAsia="Times New Roman" w:cs="Times New Roman"/>
          <w:b/>
          <w:bCs/>
          <w:color w:val="000000"/>
          <w:sz w:val="20"/>
          <w:szCs w:val="20"/>
          <w:lang w:val="en-US"/>
        </w:rPr>
        <w:t>2018 SCC 5</w:t>
      </w:r>
      <w:r w:rsidR="00E71504" w:rsidRPr="00047B76">
        <w:rPr>
          <w:rFonts w:eastAsia="Times New Roman" w:cs="Times New Roman"/>
          <w:b/>
          <w:bCs/>
          <w:color w:val="000000"/>
          <w:sz w:val="20"/>
          <w:szCs w:val="20"/>
          <w:lang w:val="en-US"/>
        </w:rPr>
        <w:t>5</w:t>
      </w:r>
      <w:r w:rsidRPr="00047B76">
        <w:rPr>
          <w:rFonts w:eastAsia="Times New Roman" w:cs="Times New Roman"/>
          <w:b/>
          <w:bCs/>
          <w:color w:val="000000"/>
          <w:sz w:val="20"/>
          <w:szCs w:val="20"/>
          <w:lang w:val="en-US"/>
        </w:rPr>
        <w:t xml:space="preserve"> / 2018 CSC 5</w:t>
      </w:r>
      <w:r w:rsidR="00E71504" w:rsidRPr="00047B76">
        <w:rPr>
          <w:rFonts w:eastAsia="Times New Roman" w:cs="Times New Roman"/>
          <w:b/>
          <w:bCs/>
          <w:color w:val="000000"/>
          <w:sz w:val="20"/>
          <w:szCs w:val="20"/>
          <w:lang w:val="en-US"/>
        </w:rPr>
        <w:t>5</w:t>
      </w:r>
    </w:p>
    <w:p w:rsidR="0040012E" w:rsidRPr="00047B76" w:rsidRDefault="0040012E" w:rsidP="0040012E">
      <w:pPr>
        <w:jc w:val="both"/>
        <w:rPr>
          <w:rFonts w:eastAsia="Times New Roman" w:cs="Times New Roman"/>
          <w:color w:val="000000"/>
          <w:sz w:val="20"/>
          <w:szCs w:val="20"/>
          <w:lang w:val="en-US"/>
        </w:rPr>
      </w:pPr>
    </w:p>
    <w:p w:rsidR="0040012E" w:rsidRPr="00047B76" w:rsidRDefault="0040012E" w:rsidP="0040012E">
      <w:pPr>
        <w:ind w:left="1440" w:hanging="1440"/>
        <w:rPr>
          <w:rFonts w:eastAsia="Times New Roman" w:cs="Times New Roman"/>
          <w:color w:val="000000"/>
          <w:sz w:val="20"/>
          <w:szCs w:val="20"/>
        </w:rPr>
      </w:pPr>
      <w:r w:rsidRPr="00047B76">
        <w:rPr>
          <w:rFonts w:eastAsia="Times New Roman" w:cs="Times New Roman"/>
          <w:color w:val="000000"/>
          <w:sz w:val="20"/>
          <w:szCs w:val="20"/>
          <w:lang w:val="en-US"/>
        </w:rPr>
        <w:t>Coram:                 </w:t>
      </w:r>
      <w:r w:rsidR="001A210D" w:rsidRPr="00047B76">
        <w:rPr>
          <w:rFonts w:eastAsia="Times New Roman" w:cs="Times New Roman"/>
          <w:color w:val="000000"/>
          <w:sz w:val="20"/>
          <w:szCs w:val="20"/>
          <w:lang w:val="en-US"/>
        </w:rPr>
        <w:t>Wagner C.J. and Abella, Moldaver, Karakatsanis, Gascon, Côté, Brown, Rowe and Martin JJ.</w:t>
      </w:r>
    </w:p>
    <w:p w:rsidR="0040012E" w:rsidRPr="00047B76" w:rsidRDefault="0040012E" w:rsidP="0040012E">
      <w:pPr>
        <w:ind w:left="1440" w:hanging="1440"/>
        <w:rPr>
          <w:rFonts w:eastAsia="Times New Roman" w:cs="Times New Roman"/>
          <w:color w:val="000000"/>
          <w:sz w:val="20"/>
          <w:szCs w:val="20"/>
          <w:lang w:val="en-US"/>
        </w:rPr>
      </w:pPr>
    </w:p>
    <w:p w:rsidR="0040012E" w:rsidRPr="00047B76" w:rsidRDefault="000711A2" w:rsidP="0040012E">
      <w:pPr>
        <w:jc w:val="both"/>
        <w:rPr>
          <w:rFonts w:eastAsia="Times New Roman" w:cs="Times New Roman"/>
          <w:color w:val="000000"/>
          <w:sz w:val="20"/>
          <w:szCs w:val="20"/>
          <w:lang w:val="fr-CA"/>
        </w:rPr>
      </w:pPr>
      <w:r w:rsidRPr="00047B76">
        <w:rPr>
          <w:sz w:val="20"/>
          <w:szCs w:val="20"/>
        </w:rPr>
        <w:t xml:space="preserve">The appeal from the judgment of the Court of Appeal of Alberta (Edmonton), Number 1703-0037-A, 2018 ABCA 278, dated August 28, 2018, heard on February 19, 2019, is dismissed. </w:t>
      </w:r>
      <w:r w:rsidRPr="00047B76">
        <w:rPr>
          <w:sz w:val="20"/>
          <w:szCs w:val="20"/>
          <w:lang w:val="fr-CA"/>
        </w:rPr>
        <w:t xml:space="preserve">Abella, Karakatsanis, Brown and Martin JJ. </w:t>
      </w:r>
      <w:proofErr w:type="gramStart"/>
      <w:r w:rsidRPr="00047B76">
        <w:rPr>
          <w:sz w:val="20"/>
          <w:szCs w:val="20"/>
          <w:lang w:val="fr-CA"/>
        </w:rPr>
        <w:t>dissent</w:t>
      </w:r>
      <w:proofErr w:type="gramEnd"/>
      <w:r w:rsidRPr="00047B76">
        <w:rPr>
          <w:sz w:val="20"/>
          <w:szCs w:val="20"/>
          <w:lang w:val="fr-CA"/>
        </w:rPr>
        <w:t>.</w:t>
      </w:r>
    </w:p>
    <w:p w:rsidR="0040012E" w:rsidRPr="00047B76" w:rsidRDefault="0040012E" w:rsidP="0040012E">
      <w:pPr>
        <w:tabs>
          <w:tab w:val="left" w:pos="1440"/>
        </w:tabs>
        <w:jc w:val="both"/>
        <w:rPr>
          <w:rFonts w:eastAsia="Times New Roman" w:cs="Times New Roman"/>
          <w:color w:val="000000"/>
          <w:sz w:val="20"/>
          <w:szCs w:val="20"/>
          <w:lang w:val="fr-CA"/>
        </w:rPr>
      </w:pPr>
    </w:p>
    <w:p w:rsidR="0040012E" w:rsidRPr="00047B76" w:rsidRDefault="000711A2" w:rsidP="0040012E">
      <w:pPr>
        <w:jc w:val="both"/>
        <w:rPr>
          <w:rFonts w:eastAsia="Times New Roman" w:cs="Times New Roman"/>
          <w:color w:val="000000"/>
          <w:sz w:val="20"/>
          <w:szCs w:val="20"/>
          <w:lang w:val="fr-CA"/>
        </w:rPr>
      </w:pPr>
      <w:r w:rsidRPr="00047B76">
        <w:rPr>
          <w:sz w:val="20"/>
          <w:szCs w:val="20"/>
          <w:lang w:val="fr-CA"/>
        </w:rPr>
        <w:t>L’appel interjeté contre l’arrêt de la Cour d’appel de l’Alberta (Edmonton), numéro 1703-0037-A, 2018 ABCA 278, daté du 28 août 2018, entendu le 19 février 2019, est rejeté.</w:t>
      </w:r>
      <w:r w:rsidRPr="00047B76">
        <w:rPr>
          <w:rFonts w:cs="Times New Roman"/>
          <w:sz w:val="20"/>
          <w:szCs w:val="20"/>
          <w:lang w:val="fr-CA"/>
        </w:rPr>
        <w:t xml:space="preserve"> </w:t>
      </w:r>
      <w:r w:rsidRPr="00047B76">
        <w:rPr>
          <w:sz w:val="20"/>
          <w:szCs w:val="20"/>
          <w:lang w:val="fr-CA"/>
        </w:rPr>
        <w:t>Les juges Abella, Karakatsanis, Brown et Martin sont dissidents.</w:t>
      </w:r>
    </w:p>
    <w:p w:rsidR="0040012E" w:rsidRPr="00047B76" w:rsidRDefault="0040012E" w:rsidP="0040012E">
      <w:pPr>
        <w:rPr>
          <w:sz w:val="20"/>
          <w:szCs w:val="20"/>
          <w:lang w:val="fr-CA"/>
        </w:rPr>
      </w:pPr>
    </w:p>
    <w:p w:rsidR="0040012E" w:rsidRPr="00047B76" w:rsidRDefault="009A56E8" w:rsidP="0040012E">
      <w:pPr>
        <w:rPr>
          <w:sz w:val="20"/>
          <w:szCs w:val="20"/>
          <w:lang w:val="fr-CA"/>
        </w:rPr>
      </w:pPr>
      <w:hyperlink r:id="rId121" w:history="1">
        <w:r w:rsidR="0040012E" w:rsidRPr="00047B76">
          <w:rPr>
            <w:rStyle w:val="Hyperlink"/>
            <w:sz w:val="20"/>
            <w:szCs w:val="20"/>
            <w:lang w:val="fr-CA"/>
          </w:rPr>
          <w:t>LINK TO REASONS</w:t>
        </w:r>
      </w:hyperlink>
      <w:r w:rsidR="0040012E" w:rsidRPr="00047B76">
        <w:rPr>
          <w:sz w:val="20"/>
          <w:szCs w:val="20"/>
          <w:lang w:val="fr-CA"/>
        </w:rPr>
        <w:t xml:space="preserve"> / </w:t>
      </w:r>
      <w:hyperlink r:id="rId122" w:history="1">
        <w:r w:rsidR="0040012E" w:rsidRPr="00047B76">
          <w:rPr>
            <w:rStyle w:val="Hyperlink"/>
            <w:sz w:val="20"/>
            <w:szCs w:val="20"/>
            <w:lang w:val="fr-CA"/>
          </w:rPr>
          <w:t>LIEN VERS LES MOTIFS</w:t>
        </w:r>
      </w:hyperlink>
    </w:p>
    <w:p w:rsidR="0040012E" w:rsidRPr="00047B76" w:rsidRDefault="0040012E" w:rsidP="0040012E">
      <w:pPr>
        <w:rPr>
          <w:sz w:val="20"/>
          <w:szCs w:val="20"/>
          <w:lang w:val="fr-CA"/>
        </w:rPr>
      </w:pPr>
    </w:p>
    <w:p w:rsidR="00D004FC" w:rsidRPr="00047B76" w:rsidRDefault="009A56E8" w:rsidP="0040012E">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r>
        <w:rPr>
          <w:b/>
          <w:sz w:val="20"/>
          <w:szCs w:val="20"/>
        </w:rPr>
        <w:pict>
          <v:rect id="_x0000_i1082" style="width:144.3pt;height:1pt" o:hrpct="300" o:hralign="center" o:hrstd="t" o:hrnoshade="t" o:hr="t" fillcolor="black [3213]" stroked="f"/>
        </w:pict>
      </w:r>
    </w:p>
    <w:p w:rsidR="0040012E" w:rsidRPr="00047B76" w:rsidRDefault="0040012E"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40012E" w:rsidRPr="00047B76" w:rsidRDefault="0040012E"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56248C" w:rsidRPr="00047B76" w:rsidRDefault="0056248C" w:rsidP="00091BA6">
      <w:pPr>
        <w:rPr>
          <w:lang w:val="fr-CA"/>
        </w:rPr>
      </w:pPr>
    </w:p>
    <w:p w:rsidR="00102926" w:rsidRPr="00047B76" w:rsidRDefault="00102926" w:rsidP="00782AE4">
      <w:pPr>
        <w:jc w:val="both"/>
        <w:rPr>
          <w:sz w:val="20"/>
          <w:szCs w:val="20"/>
        </w:rPr>
        <w:sectPr w:rsidR="00102926" w:rsidRPr="00047B76" w:rsidSect="00782AE4">
          <w:headerReference w:type="even" r:id="rId123"/>
          <w:headerReference w:type="default" r:id="rId124"/>
          <w:footerReference w:type="even" r:id="rId125"/>
          <w:footerReference w:type="default" r:id="rId126"/>
          <w:headerReference w:type="first" r:id="rId127"/>
          <w:footerReference w:type="first" r:id="rId128"/>
          <w:pgSz w:w="12240" w:h="15840"/>
          <w:pgMar w:top="720" w:right="965" w:bottom="1080" w:left="1656" w:header="576" w:footer="960" w:gutter="0"/>
          <w:cols w:space="720"/>
          <w:titlePg/>
          <w:docGrid w:linePitch="272"/>
        </w:sectPr>
      </w:pPr>
    </w:p>
    <w:p w:rsidR="00961C83" w:rsidRPr="00047B76" w:rsidRDefault="00961C83" w:rsidP="001A210D">
      <w:pPr>
        <w:tabs>
          <w:tab w:val="center" w:pos="5220"/>
          <w:tab w:val="right" w:pos="10800"/>
        </w:tabs>
        <w:jc w:val="center"/>
        <w:rPr>
          <w:rFonts w:ascii="Arial" w:hAnsi="Arial" w:cs="Arial"/>
          <w:sz w:val="16"/>
          <w:szCs w:val="18"/>
          <w:lang w:val="fr-CA"/>
        </w:rPr>
      </w:pPr>
      <w:bookmarkStart w:id="9" w:name="1"/>
      <w:bookmarkStart w:id="10" w:name="QuickMark"/>
      <w:bookmarkEnd w:id="9"/>
      <w:bookmarkEnd w:id="10"/>
      <w:r w:rsidRPr="00047B76">
        <w:rPr>
          <w:rFonts w:ascii="Arial" w:hAnsi="Arial" w:cs="Arial"/>
          <w:b/>
          <w:i/>
          <w:szCs w:val="28"/>
          <w:lang w:val="fr-FR"/>
        </w:rPr>
        <w:lastRenderedPageBreak/>
        <w:t>- 2019 -</w:t>
      </w:r>
    </w:p>
    <w:tbl>
      <w:tblPr>
        <w:tblStyle w:val="TableGrid"/>
        <w:tblW w:w="5050" w:type="pct"/>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71"/>
        <w:gridCol w:w="471"/>
        <w:gridCol w:w="471"/>
        <w:gridCol w:w="471"/>
        <w:gridCol w:w="473"/>
        <w:gridCol w:w="473"/>
        <w:gridCol w:w="473"/>
        <w:gridCol w:w="293"/>
        <w:gridCol w:w="472"/>
        <w:gridCol w:w="472"/>
        <w:gridCol w:w="472"/>
        <w:gridCol w:w="472"/>
        <w:gridCol w:w="472"/>
        <w:gridCol w:w="472"/>
        <w:gridCol w:w="472"/>
        <w:gridCol w:w="296"/>
        <w:gridCol w:w="472"/>
        <w:gridCol w:w="472"/>
        <w:gridCol w:w="472"/>
        <w:gridCol w:w="472"/>
        <w:gridCol w:w="472"/>
        <w:gridCol w:w="472"/>
        <w:gridCol w:w="470"/>
      </w:tblGrid>
      <w:tr w:rsidR="00961C83" w:rsidRPr="00047B76" w:rsidTr="00961C83">
        <w:trPr>
          <w:trHeight w:val="176"/>
        </w:trPr>
        <w:tc>
          <w:tcPr>
            <w:tcW w:w="157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lang w:val="fr-FR"/>
              </w:rPr>
            </w:pPr>
            <w:r w:rsidRPr="00047B76">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Pr="00047B76" w:rsidRDefault="00961C83">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lang w:val="fr-FR"/>
              </w:rPr>
            </w:pPr>
            <w:r w:rsidRPr="00047B76">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Pr="00047B76" w:rsidRDefault="00961C83">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lang w:val="fr-FR"/>
              </w:rPr>
            </w:pPr>
            <w:r w:rsidRPr="00047B76">
              <w:rPr>
                <w:rFonts w:ascii="Arial" w:hAnsi="Arial" w:cs="Arial"/>
                <w:b/>
                <w:sz w:val="13"/>
                <w:szCs w:val="13"/>
                <w:lang w:val="fr-FR"/>
              </w:rPr>
              <w:t>DECEMBER – DÉCEMBRE</w:t>
            </w:r>
          </w:p>
        </w:tc>
      </w:tr>
      <w:tr w:rsidR="00961C83" w:rsidRPr="00047B76" w:rsidTr="00961C83">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4"/>
                <w:szCs w:val="14"/>
                <w:lang w:val="fr-FR"/>
              </w:rPr>
            </w:pPr>
            <w:r w:rsidRPr="00047B76">
              <w:rPr>
                <w:rFonts w:ascii="Arial" w:hAnsi="Arial" w:cs="Arial"/>
                <w:b/>
                <w:sz w:val="14"/>
                <w:szCs w:val="14"/>
                <w:lang w:val="fr-FR"/>
              </w:rPr>
              <w:t>S</w:t>
            </w:r>
          </w:p>
          <w:p w:rsidR="00961C83" w:rsidRPr="00047B76" w:rsidRDefault="00961C83">
            <w:pPr>
              <w:tabs>
                <w:tab w:val="center" w:pos="5220"/>
                <w:tab w:val="right" w:pos="10440"/>
              </w:tabs>
              <w:jc w:val="center"/>
              <w:rPr>
                <w:rFonts w:ascii="Arial" w:hAnsi="Arial" w:cs="Arial"/>
                <w:b/>
                <w:sz w:val="14"/>
                <w:szCs w:val="14"/>
                <w:lang w:val="fr-FR"/>
              </w:rPr>
            </w:pPr>
            <w:r w:rsidRPr="00047B76">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lang w:val="fr-FR"/>
              </w:rPr>
            </w:pPr>
            <w:r w:rsidRPr="00047B76">
              <w:rPr>
                <w:rFonts w:ascii="Arial" w:hAnsi="Arial" w:cs="Arial"/>
                <w:b/>
                <w:sz w:val="13"/>
                <w:szCs w:val="13"/>
                <w:lang w:val="fr-FR"/>
              </w:rPr>
              <w:t>M</w:t>
            </w:r>
          </w:p>
          <w:p w:rsidR="00961C83" w:rsidRPr="00047B76" w:rsidRDefault="00961C83">
            <w:pPr>
              <w:tabs>
                <w:tab w:val="center" w:pos="5220"/>
                <w:tab w:val="right" w:pos="10440"/>
              </w:tabs>
              <w:jc w:val="center"/>
              <w:rPr>
                <w:rFonts w:ascii="Arial" w:hAnsi="Arial" w:cs="Arial"/>
                <w:b/>
                <w:sz w:val="13"/>
                <w:szCs w:val="13"/>
                <w:lang w:val="fr-FR"/>
              </w:rPr>
            </w:pPr>
            <w:r w:rsidRPr="00047B76">
              <w:rPr>
                <w:rFonts w:ascii="Arial" w:hAnsi="Arial" w:cs="Arial"/>
                <w:b/>
                <w:sz w:val="13"/>
                <w:szCs w:val="13"/>
                <w:lang w:val="fr-FR"/>
              </w:rPr>
              <w:t>L</w:t>
            </w:r>
          </w:p>
        </w:tc>
        <w:tc>
          <w:tcPr>
            <w:tcW w:w="224" w:type="pct"/>
            <w:tcBorders>
              <w:top w:val="double" w:sz="6" w:space="0" w:color="auto"/>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lang w:val="fr-FR"/>
              </w:rPr>
            </w:pPr>
            <w:r w:rsidRPr="00047B76">
              <w:rPr>
                <w:rFonts w:ascii="Arial" w:hAnsi="Arial" w:cs="Arial"/>
                <w:b/>
                <w:sz w:val="13"/>
                <w:szCs w:val="13"/>
                <w:lang w:val="fr-FR"/>
              </w:rPr>
              <w:t>T</w:t>
            </w:r>
          </w:p>
          <w:p w:rsidR="00961C83" w:rsidRPr="00047B76" w:rsidRDefault="00961C83">
            <w:pPr>
              <w:tabs>
                <w:tab w:val="center" w:pos="5220"/>
                <w:tab w:val="right" w:pos="10440"/>
              </w:tabs>
              <w:jc w:val="center"/>
              <w:rPr>
                <w:rFonts w:ascii="Arial" w:hAnsi="Arial" w:cs="Arial"/>
                <w:b/>
                <w:sz w:val="13"/>
                <w:szCs w:val="13"/>
                <w:lang w:val="fr-FR"/>
              </w:rPr>
            </w:pPr>
            <w:r w:rsidRPr="00047B76">
              <w:rPr>
                <w:rFonts w:ascii="Arial" w:hAnsi="Arial" w:cs="Arial"/>
                <w:b/>
                <w:sz w:val="13"/>
                <w:szCs w:val="13"/>
                <w:lang w:val="fr-FR"/>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lang w:val="fr-FR"/>
              </w:rPr>
            </w:pPr>
            <w:r w:rsidRPr="00047B76">
              <w:rPr>
                <w:rFonts w:ascii="Arial" w:hAnsi="Arial" w:cs="Arial"/>
                <w:b/>
                <w:sz w:val="13"/>
                <w:szCs w:val="13"/>
                <w:lang w:val="fr-FR"/>
              </w:rPr>
              <w:t>W</w:t>
            </w:r>
          </w:p>
          <w:p w:rsidR="00961C83" w:rsidRPr="00047B76" w:rsidRDefault="00961C83">
            <w:pPr>
              <w:tabs>
                <w:tab w:val="center" w:pos="5220"/>
                <w:tab w:val="right" w:pos="10440"/>
              </w:tabs>
              <w:jc w:val="center"/>
              <w:rPr>
                <w:rFonts w:ascii="Arial" w:hAnsi="Arial" w:cs="Arial"/>
                <w:b/>
                <w:sz w:val="13"/>
                <w:szCs w:val="13"/>
                <w:lang w:val="fr-FR"/>
              </w:rPr>
            </w:pPr>
            <w:r w:rsidRPr="00047B76">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lang w:val="fr-FR"/>
              </w:rPr>
            </w:pPr>
            <w:r w:rsidRPr="00047B76">
              <w:rPr>
                <w:rFonts w:ascii="Arial" w:hAnsi="Arial" w:cs="Arial"/>
                <w:b/>
                <w:sz w:val="13"/>
                <w:szCs w:val="13"/>
                <w:lang w:val="fr-FR"/>
              </w:rPr>
              <w:t>T</w:t>
            </w:r>
          </w:p>
          <w:p w:rsidR="00961C83" w:rsidRPr="00047B76" w:rsidRDefault="00961C83">
            <w:pPr>
              <w:tabs>
                <w:tab w:val="center" w:pos="5220"/>
                <w:tab w:val="right" w:pos="10440"/>
              </w:tabs>
              <w:jc w:val="center"/>
              <w:rPr>
                <w:rFonts w:ascii="Arial" w:hAnsi="Arial" w:cs="Arial"/>
                <w:b/>
                <w:sz w:val="13"/>
                <w:szCs w:val="13"/>
                <w:lang w:val="fr-FR"/>
              </w:rPr>
            </w:pPr>
            <w:r w:rsidRPr="00047B76">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lang w:val="fr-FR"/>
              </w:rPr>
            </w:pPr>
            <w:r w:rsidRPr="00047B76">
              <w:rPr>
                <w:rFonts w:ascii="Arial" w:hAnsi="Arial" w:cs="Arial"/>
                <w:b/>
                <w:sz w:val="13"/>
                <w:szCs w:val="13"/>
                <w:lang w:val="fr-FR"/>
              </w:rPr>
              <w:t>F</w:t>
            </w:r>
          </w:p>
          <w:p w:rsidR="00961C83" w:rsidRPr="00047B76" w:rsidRDefault="00961C83">
            <w:pPr>
              <w:tabs>
                <w:tab w:val="center" w:pos="5220"/>
                <w:tab w:val="right" w:pos="10440"/>
              </w:tabs>
              <w:jc w:val="center"/>
              <w:rPr>
                <w:rFonts w:ascii="Arial" w:hAnsi="Arial" w:cs="Arial"/>
                <w:b/>
                <w:sz w:val="13"/>
                <w:szCs w:val="13"/>
                <w:lang w:val="fr-FR"/>
              </w:rPr>
            </w:pPr>
            <w:r w:rsidRPr="00047B76">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lang w:val="fr-FR"/>
              </w:rPr>
            </w:pPr>
            <w:r w:rsidRPr="00047B76">
              <w:rPr>
                <w:rFonts w:ascii="Arial" w:hAnsi="Arial" w:cs="Arial"/>
                <w:b/>
                <w:sz w:val="13"/>
                <w:szCs w:val="13"/>
                <w:lang w:val="fr-FR"/>
              </w:rPr>
              <w:t>S</w:t>
            </w:r>
          </w:p>
          <w:p w:rsidR="00961C83" w:rsidRPr="00047B76" w:rsidRDefault="00961C83">
            <w:pPr>
              <w:tabs>
                <w:tab w:val="center" w:pos="5220"/>
                <w:tab w:val="right" w:pos="10440"/>
              </w:tabs>
              <w:jc w:val="center"/>
              <w:rPr>
                <w:rFonts w:ascii="Arial" w:hAnsi="Arial" w:cs="Arial"/>
                <w:b/>
                <w:sz w:val="13"/>
                <w:szCs w:val="13"/>
                <w:lang w:val="fr-FR"/>
              </w:rPr>
            </w:pPr>
            <w:r w:rsidRPr="00047B76">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Pr="00047B76" w:rsidRDefault="00961C83">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lang w:val="fr-FR"/>
              </w:rPr>
            </w:pPr>
            <w:r w:rsidRPr="00047B76">
              <w:rPr>
                <w:rFonts w:ascii="Arial" w:hAnsi="Arial" w:cs="Arial"/>
                <w:b/>
                <w:sz w:val="13"/>
                <w:szCs w:val="13"/>
                <w:lang w:val="fr-FR"/>
              </w:rPr>
              <w:t>S</w:t>
            </w:r>
          </w:p>
          <w:p w:rsidR="00961C83" w:rsidRPr="00047B76" w:rsidRDefault="00961C83">
            <w:pPr>
              <w:tabs>
                <w:tab w:val="center" w:pos="5220"/>
                <w:tab w:val="right" w:pos="10440"/>
              </w:tabs>
              <w:jc w:val="center"/>
              <w:rPr>
                <w:rFonts w:ascii="Arial" w:hAnsi="Arial" w:cs="Arial"/>
                <w:b/>
                <w:sz w:val="13"/>
                <w:szCs w:val="13"/>
                <w:lang w:val="fr-FR"/>
              </w:rPr>
            </w:pPr>
            <w:r w:rsidRPr="00047B76">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lang w:val="fr-FR"/>
              </w:rPr>
            </w:pPr>
            <w:r w:rsidRPr="00047B76">
              <w:rPr>
                <w:rFonts w:ascii="Arial" w:hAnsi="Arial" w:cs="Arial"/>
                <w:b/>
                <w:sz w:val="13"/>
                <w:szCs w:val="13"/>
                <w:lang w:val="fr-FR"/>
              </w:rPr>
              <w:t>M</w:t>
            </w:r>
          </w:p>
          <w:p w:rsidR="00961C83" w:rsidRPr="00047B76" w:rsidRDefault="00961C83">
            <w:pPr>
              <w:tabs>
                <w:tab w:val="center" w:pos="5220"/>
                <w:tab w:val="right" w:pos="10440"/>
              </w:tabs>
              <w:jc w:val="center"/>
              <w:rPr>
                <w:rFonts w:ascii="Arial" w:hAnsi="Arial" w:cs="Arial"/>
                <w:b/>
                <w:sz w:val="13"/>
                <w:szCs w:val="13"/>
                <w:lang w:val="fr-FR"/>
              </w:rPr>
            </w:pPr>
            <w:r w:rsidRPr="00047B76">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lang w:val="fr-FR"/>
              </w:rPr>
            </w:pPr>
            <w:r w:rsidRPr="00047B76">
              <w:rPr>
                <w:rFonts w:ascii="Arial" w:hAnsi="Arial" w:cs="Arial"/>
                <w:b/>
                <w:sz w:val="13"/>
                <w:szCs w:val="13"/>
                <w:lang w:val="fr-FR"/>
              </w:rPr>
              <w:t>T</w:t>
            </w:r>
          </w:p>
          <w:p w:rsidR="00961C83" w:rsidRPr="00047B76" w:rsidRDefault="00961C83">
            <w:pPr>
              <w:tabs>
                <w:tab w:val="center" w:pos="5220"/>
                <w:tab w:val="right" w:pos="10440"/>
              </w:tabs>
              <w:jc w:val="center"/>
              <w:rPr>
                <w:rFonts w:ascii="Arial" w:hAnsi="Arial" w:cs="Arial"/>
                <w:b/>
                <w:sz w:val="13"/>
                <w:szCs w:val="13"/>
                <w:lang w:val="fr-FR"/>
              </w:rPr>
            </w:pPr>
            <w:r w:rsidRPr="00047B76">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lang w:val="fr-FR"/>
              </w:rPr>
            </w:pPr>
            <w:r w:rsidRPr="00047B76">
              <w:rPr>
                <w:rFonts w:ascii="Arial" w:hAnsi="Arial" w:cs="Arial"/>
                <w:b/>
                <w:sz w:val="13"/>
                <w:szCs w:val="13"/>
                <w:lang w:val="fr-FR"/>
              </w:rPr>
              <w:t>W</w:t>
            </w:r>
          </w:p>
          <w:p w:rsidR="00961C83" w:rsidRPr="00047B76" w:rsidRDefault="00961C83">
            <w:pPr>
              <w:tabs>
                <w:tab w:val="center" w:pos="5220"/>
                <w:tab w:val="right" w:pos="10440"/>
              </w:tabs>
              <w:jc w:val="center"/>
              <w:rPr>
                <w:rFonts w:ascii="Arial" w:hAnsi="Arial" w:cs="Arial"/>
                <w:b/>
                <w:sz w:val="13"/>
                <w:szCs w:val="13"/>
                <w:lang w:val="fr-FR"/>
              </w:rPr>
            </w:pPr>
            <w:r w:rsidRPr="00047B76">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lang w:val="fr-FR"/>
              </w:rPr>
            </w:pPr>
            <w:r w:rsidRPr="00047B76">
              <w:rPr>
                <w:rFonts w:ascii="Arial" w:hAnsi="Arial" w:cs="Arial"/>
                <w:b/>
                <w:sz w:val="13"/>
                <w:szCs w:val="13"/>
                <w:lang w:val="fr-FR"/>
              </w:rPr>
              <w:t>T</w:t>
            </w:r>
          </w:p>
          <w:p w:rsidR="00961C83" w:rsidRPr="00047B76" w:rsidRDefault="00961C83">
            <w:pPr>
              <w:tabs>
                <w:tab w:val="center" w:pos="5220"/>
                <w:tab w:val="right" w:pos="10440"/>
              </w:tabs>
              <w:jc w:val="center"/>
              <w:rPr>
                <w:rFonts w:ascii="Arial" w:hAnsi="Arial" w:cs="Arial"/>
                <w:b/>
                <w:sz w:val="13"/>
                <w:szCs w:val="13"/>
                <w:lang w:val="fr-FR"/>
              </w:rPr>
            </w:pPr>
            <w:r w:rsidRPr="00047B76">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lang w:val="fr-FR"/>
              </w:rPr>
            </w:pPr>
            <w:r w:rsidRPr="00047B76">
              <w:rPr>
                <w:rFonts w:ascii="Arial" w:hAnsi="Arial" w:cs="Arial"/>
                <w:b/>
                <w:sz w:val="13"/>
                <w:szCs w:val="13"/>
                <w:lang w:val="fr-FR"/>
              </w:rPr>
              <w:t>F</w:t>
            </w:r>
          </w:p>
          <w:p w:rsidR="00961C83" w:rsidRPr="00047B76" w:rsidRDefault="00961C83">
            <w:pPr>
              <w:tabs>
                <w:tab w:val="center" w:pos="5220"/>
                <w:tab w:val="right" w:pos="10440"/>
              </w:tabs>
              <w:jc w:val="center"/>
              <w:rPr>
                <w:rFonts w:ascii="Arial" w:hAnsi="Arial" w:cs="Arial"/>
                <w:b/>
                <w:sz w:val="13"/>
                <w:szCs w:val="13"/>
                <w:lang w:val="fr-FR"/>
              </w:rPr>
            </w:pPr>
            <w:r w:rsidRPr="00047B76">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lang w:val="fr-FR"/>
              </w:rPr>
            </w:pPr>
            <w:r w:rsidRPr="00047B76">
              <w:rPr>
                <w:rFonts w:ascii="Arial" w:hAnsi="Arial" w:cs="Arial"/>
                <w:b/>
                <w:sz w:val="13"/>
                <w:szCs w:val="13"/>
                <w:lang w:val="fr-FR"/>
              </w:rPr>
              <w:t>S</w:t>
            </w:r>
          </w:p>
          <w:p w:rsidR="00961C83" w:rsidRPr="00047B76" w:rsidRDefault="00961C83">
            <w:pPr>
              <w:tabs>
                <w:tab w:val="center" w:pos="5220"/>
                <w:tab w:val="right" w:pos="10440"/>
              </w:tabs>
              <w:jc w:val="center"/>
              <w:rPr>
                <w:rFonts w:ascii="Arial" w:hAnsi="Arial" w:cs="Arial"/>
                <w:b/>
                <w:sz w:val="13"/>
                <w:szCs w:val="13"/>
                <w:lang w:val="fr-FR"/>
              </w:rPr>
            </w:pPr>
            <w:r w:rsidRPr="00047B76">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Pr="00047B76" w:rsidRDefault="00961C83">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lang w:val="fr-FR"/>
              </w:rPr>
            </w:pPr>
            <w:r w:rsidRPr="00047B76">
              <w:rPr>
                <w:rFonts w:ascii="Arial" w:hAnsi="Arial" w:cs="Arial"/>
                <w:b/>
                <w:sz w:val="13"/>
                <w:szCs w:val="13"/>
                <w:lang w:val="fr-FR"/>
              </w:rPr>
              <w:t>S</w:t>
            </w:r>
          </w:p>
          <w:p w:rsidR="00961C83" w:rsidRPr="00047B76" w:rsidRDefault="00961C83">
            <w:pPr>
              <w:tabs>
                <w:tab w:val="center" w:pos="5220"/>
                <w:tab w:val="right" w:pos="10440"/>
              </w:tabs>
              <w:jc w:val="center"/>
              <w:rPr>
                <w:rFonts w:ascii="Arial" w:hAnsi="Arial" w:cs="Arial"/>
                <w:b/>
                <w:sz w:val="13"/>
                <w:szCs w:val="13"/>
                <w:lang w:val="fr-FR"/>
              </w:rPr>
            </w:pPr>
            <w:r w:rsidRPr="00047B76">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lang w:val="fr-FR"/>
              </w:rPr>
            </w:pPr>
            <w:r w:rsidRPr="00047B76">
              <w:rPr>
                <w:rFonts w:ascii="Arial" w:hAnsi="Arial" w:cs="Arial"/>
                <w:b/>
                <w:sz w:val="13"/>
                <w:szCs w:val="13"/>
                <w:lang w:val="fr-FR"/>
              </w:rPr>
              <w:t>M</w:t>
            </w:r>
          </w:p>
          <w:p w:rsidR="00961C83" w:rsidRPr="00047B76" w:rsidRDefault="00961C83">
            <w:pPr>
              <w:tabs>
                <w:tab w:val="center" w:pos="5220"/>
                <w:tab w:val="right" w:pos="10440"/>
              </w:tabs>
              <w:jc w:val="center"/>
              <w:rPr>
                <w:rFonts w:ascii="Arial" w:hAnsi="Arial" w:cs="Arial"/>
                <w:b/>
                <w:sz w:val="13"/>
                <w:szCs w:val="13"/>
                <w:lang w:val="fr-FR"/>
              </w:rPr>
            </w:pPr>
            <w:r w:rsidRPr="00047B76">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lang w:val="fr-FR"/>
              </w:rPr>
            </w:pPr>
            <w:r w:rsidRPr="00047B76">
              <w:rPr>
                <w:rFonts w:ascii="Arial" w:hAnsi="Arial" w:cs="Arial"/>
                <w:b/>
                <w:sz w:val="13"/>
                <w:szCs w:val="13"/>
                <w:lang w:val="fr-FR"/>
              </w:rPr>
              <w:t>T</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W</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T</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F</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S</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S</w:t>
            </w:r>
          </w:p>
        </w:tc>
      </w:tr>
      <w:tr w:rsidR="00961C83" w:rsidRPr="00047B76" w:rsidTr="00961C83">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Pr="00047B76"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double" w:sz="4" w:space="0" w:color="000000" w:themeColor="text1"/>
            </w:tcBorders>
            <w:shd w:val="clear" w:color="auto" w:fill="auto"/>
            <w:tcMar>
              <w:top w:w="29" w:type="dxa"/>
              <w:left w:w="29" w:type="dxa"/>
              <w:bottom w:w="43" w:type="dxa"/>
              <w:right w:w="29" w:type="dxa"/>
            </w:tcMar>
            <w:vAlign w:val="bottom"/>
          </w:tcPr>
          <w:p w:rsidR="00961C83" w:rsidRPr="00047B76" w:rsidRDefault="00961C83">
            <w:pPr>
              <w:jc w:val="center"/>
              <w:rPr>
                <w:rFonts w:ascii="Arial" w:hAnsi="Arial" w:cs="Arial"/>
                <w:sz w:val="13"/>
                <w:szCs w:val="13"/>
              </w:rPr>
            </w:pP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hideMark/>
          </w:tcPr>
          <w:p w:rsidR="00961C83" w:rsidRPr="00047B76" w:rsidRDefault="00961C83">
            <w:pPr>
              <w:jc w:val="center"/>
              <w:rPr>
                <w:rFonts w:ascii="Arial" w:hAnsi="Arial" w:cs="Arial"/>
                <w:b/>
                <w:sz w:val="13"/>
                <w:szCs w:val="13"/>
              </w:rPr>
            </w:pPr>
            <w:r w:rsidRPr="00047B76">
              <w:rPr>
                <w:rFonts w:ascii="Arial" w:hAnsi="Arial" w:cs="Arial"/>
                <w:b/>
                <w:sz w:val="13"/>
                <w:szCs w:val="13"/>
              </w:rPr>
              <w:t>RH</w:t>
            </w:r>
          </w:p>
          <w:p w:rsidR="00961C83" w:rsidRPr="00047B76" w:rsidRDefault="00961C83">
            <w:pPr>
              <w:jc w:val="center"/>
              <w:rPr>
                <w:rFonts w:ascii="Arial" w:hAnsi="Arial" w:cs="Arial"/>
                <w:sz w:val="13"/>
                <w:szCs w:val="13"/>
              </w:rPr>
            </w:pPr>
            <w:r w:rsidRPr="00047B76">
              <w:rPr>
                <w:rFonts w:ascii="Arial" w:hAnsi="Arial" w:cs="Arial"/>
                <w:sz w:val="13"/>
                <w:szCs w:val="13"/>
              </w:rPr>
              <w:t>1</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5</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047B76"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Pr="00047B76"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Pr="00047B76"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Pr="00047B76"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Pr="00047B76"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Pr="00047B76"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047B76"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b/>
                <w:sz w:val="13"/>
                <w:szCs w:val="13"/>
              </w:rPr>
            </w:pPr>
            <w:r w:rsidRPr="00047B76">
              <w:rPr>
                <w:rFonts w:ascii="Arial" w:hAnsi="Arial" w:cs="Arial"/>
                <w:b/>
                <w:sz w:val="13"/>
                <w:szCs w:val="13"/>
              </w:rPr>
              <w:t>CC</w:t>
            </w:r>
          </w:p>
          <w:p w:rsidR="00961C83" w:rsidRPr="00047B76" w:rsidRDefault="00961C83">
            <w:pPr>
              <w:jc w:val="center"/>
              <w:rPr>
                <w:rFonts w:ascii="Arial" w:hAnsi="Arial" w:cs="Arial"/>
                <w:sz w:val="13"/>
                <w:szCs w:val="13"/>
              </w:rPr>
            </w:pPr>
            <w:r w:rsidRPr="00047B76">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7</w:t>
            </w:r>
          </w:p>
        </w:tc>
      </w:tr>
      <w:tr w:rsidR="00961C83" w:rsidRPr="00047B76" w:rsidTr="00961C83">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6</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b/>
                <w:sz w:val="13"/>
                <w:szCs w:val="13"/>
              </w:rPr>
            </w:pPr>
            <w:r w:rsidRPr="00047B76">
              <w:rPr>
                <w:rFonts w:ascii="Arial" w:hAnsi="Arial" w:cs="Arial"/>
                <w:b/>
                <w:sz w:val="13"/>
                <w:szCs w:val="13"/>
              </w:rPr>
              <w:t>CC</w:t>
            </w:r>
          </w:p>
          <w:p w:rsidR="00961C83" w:rsidRPr="00047B76" w:rsidRDefault="00961C83">
            <w:pPr>
              <w:jc w:val="center"/>
              <w:rPr>
                <w:rFonts w:ascii="Arial" w:hAnsi="Arial" w:cs="Arial"/>
                <w:sz w:val="13"/>
                <w:szCs w:val="13"/>
              </w:rPr>
            </w:pPr>
            <w:r w:rsidRPr="00047B76">
              <w:rPr>
                <w:rFonts w:ascii="Arial" w:hAnsi="Arial" w:cs="Arial"/>
                <w:sz w:val="13"/>
                <w:szCs w:val="13"/>
              </w:rPr>
              <w:t>7</w:t>
            </w:r>
          </w:p>
        </w:tc>
        <w:tc>
          <w:tcPr>
            <w:tcW w:w="224" w:type="pct"/>
            <w:tcBorders>
              <w:top w:val="double" w:sz="4" w:space="0" w:color="000000" w:themeColor="text1"/>
              <w:left w:val="single" w:sz="4" w:space="0" w:color="auto"/>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8</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b/>
                <w:sz w:val="13"/>
                <w:szCs w:val="13"/>
              </w:rPr>
            </w:pPr>
            <w:r w:rsidRPr="00047B76">
              <w:rPr>
                <w:rFonts w:ascii="Arial" w:hAnsi="Arial" w:cs="Arial"/>
                <w:b/>
                <w:sz w:val="13"/>
                <w:szCs w:val="13"/>
              </w:rPr>
              <w:t>YK</w:t>
            </w:r>
          </w:p>
          <w:p w:rsidR="00961C83" w:rsidRPr="00047B76" w:rsidRDefault="00961C83">
            <w:pPr>
              <w:jc w:val="center"/>
              <w:rPr>
                <w:rFonts w:ascii="Arial" w:hAnsi="Arial" w:cs="Arial"/>
                <w:sz w:val="13"/>
                <w:szCs w:val="13"/>
              </w:rPr>
            </w:pPr>
            <w:r w:rsidRPr="00047B76">
              <w:rPr>
                <w:rFonts w:ascii="Arial" w:hAnsi="Arial" w:cs="Arial"/>
                <w:sz w:val="13"/>
                <w:szCs w:val="13"/>
              </w:rPr>
              <w:t>9</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12</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047B76"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b/>
                <w:sz w:val="13"/>
                <w:szCs w:val="13"/>
              </w:rPr>
            </w:pPr>
            <w:r w:rsidRPr="00047B76">
              <w:rPr>
                <w:rFonts w:ascii="Arial" w:hAnsi="Arial" w:cs="Arial"/>
                <w:b/>
                <w:sz w:val="13"/>
                <w:szCs w:val="13"/>
              </w:rPr>
              <w:t>CC</w:t>
            </w:r>
          </w:p>
          <w:p w:rsidR="00961C83" w:rsidRPr="00047B76" w:rsidRDefault="00961C83">
            <w:pPr>
              <w:jc w:val="center"/>
              <w:rPr>
                <w:rFonts w:ascii="Arial" w:hAnsi="Arial" w:cs="Arial"/>
                <w:sz w:val="13"/>
                <w:szCs w:val="13"/>
              </w:rPr>
            </w:pPr>
            <w:r w:rsidRPr="00047B76">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047B76"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8</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14</w:t>
            </w:r>
          </w:p>
        </w:tc>
      </w:tr>
      <w:tr w:rsidR="00961C83" w:rsidRPr="00047B76" w:rsidTr="00961C83">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13</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961C83" w:rsidRPr="00047B76" w:rsidRDefault="00961C83">
            <w:pPr>
              <w:jc w:val="center"/>
              <w:rPr>
                <w:rFonts w:ascii="Arial" w:hAnsi="Arial" w:cs="Arial"/>
                <w:b/>
                <w:sz w:val="13"/>
                <w:szCs w:val="13"/>
              </w:rPr>
            </w:pPr>
            <w:r w:rsidRPr="00047B76">
              <w:rPr>
                <w:rFonts w:ascii="Arial" w:hAnsi="Arial" w:cs="Arial"/>
                <w:b/>
                <w:sz w:val="13"/>
                <w:szCs w:val="13"/>
              </w:rPr>
              <w:t>H</w:t>
            </w:r>
          </w:p>
          <w:p w:rsidR="00961C83" w:rsidRPr="00047B76" w:rsidRDefault="00961C83">
            <w:pPr>
              <w:jc w:val="center"/>
              <w:rPr>
                <w:rFonts w:ascii="Arial" w:hAnsi="Arial" w:cs="Arial"/>
                <w:sz w:val="13"/>
                <w:szCs w:val="13"/>
              </w:rPr>
            </w:pPr>
            <w:r w:rsidRPr="00047B76">
              <w:rPr>
                <w:rFonts w:ascii="Arial" w:hAnsi="Arial" w:cs="Arial"/>
                <w:sz w:val="13"/>
                <w:szCs w:val="13"/>
              </w:rPr>
              <w:t>14</w:t>
            </w: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15</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19</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047B76" w:rsidRDefault="00961C8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10</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961C83" w:rsidRPr="00047B76" w:rsidRDefault="00961C83">
            <w:pPr>
              <w:jc w:val="center"/>
              <w:rPr>
                <w:rFonts w:ascii="Arial" w:hAnsi="Arial" w:cs="Arial"/>
                <w:b/>
                <w:sz w:val="13"/>
                <w:szCs w:val="13"/>
              </w:rPr>
            </w:pPr>
            <w:r w:rsidRPr="00047B76">
              <w:rPr>
                <w:rFonts w:ascii="Arial" w:hAnsi="Arial" w:cs="Arial"/>
                <w:b/>
                <w:sz w:val="13"/>
                <w:szCs w:val="13"/>
              </w:rPr>
              <w:t>H</w:t>
            </w:r>
          </w:p>
          <w:p w:rsidR="00961C83" w:rsidRPr="00047B76" w:rsidRDefault="00961C83">
            <w:pPr>
              <w:jc w:val="center"/>
              <w:rPr>
                <w:rFonts w:ascii="Arial" w:hAnsi="Arial" w:cs="Arial"/>
                <w:sz w:val="13"/>
                <w:szCs w:val="13"/>
              </w:rPr>
            </w:pPr>
            <w:r w:rsidRPr="00047B76">
              <w:rPr>
                <w:rFonts w:ascii="Arial" w:hAnsi="Arial" w:cs="Arial"/>
                <w:sz w:val="13"/>
                <w:szCs w:val="13"/>
              </w:rPr>
              <w:t>11</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15</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047B76"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21</w:t>
            </w:r>
          </w:p>
        </w:tc>
      </w:tr>
      <w:tr w:rsidR="00961C83" w:rsidRPr="00047B76" w:rsidTr="00961C83">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20</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26</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047B76" w:rsidRDefault="00961C8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17</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047B76"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FFFFFF" w:themeFill="background1"/>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24</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961C83" w:rsidRPr="00047B76" w:rsidRDefault="00961C83">
            <w:pPr>
              <w:jc w:val="center"/>
              <w:rPr>
                <w:rFonts w:ascii="Arial" w:hAnsi="Arial" w:cs="Arial"/>
                <w:b/>
                <w:sz w:val="13"/>
                <w:szCs w:val="13"/>
              </w:rPr>
            </w:pPr>
            <w:r w:rsidRPr="00047B76">
              <w:rPr>
                <w:rFonts w:ascii="Arial" w:hAnsi="Arial" w:cs="Arial"/>
                <w:b/>
                <w:sz w:val="13"/>
                <w:szCs w:val="13"/>
              </w:rPr>
              <w:t>H</w:t>
            </w:r>
          </w:p>
          <w:p w:rsidR="00961C83" w:rsidRPr="00047B76" w:rsidRDefault="00961C83">
            <w:pPr>
              <w:jc w:val="center"/>
              <w:rPr>
                <w:rFonts w:ascii="Arial" w:hAnsi="Arial" w:cs="Arial"/>
                <w:sz w:val="13"/>
                <w:szCs w:val="13"/>
              </w:rPr>
            </w:pPr>
            <w:r w:rsidRPr="00047B76">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961C83" w:rsidRPr="00047B76" w:rsidRDefault="00961C83">
            <w:pPr>
              <w:jc w:val="center"/>
              <w:rPr>
                <w:rFonts w:ascii="Arial" w:hAnsi="Arial" w:cs="Arial"/>
                <w:b/>
                <w:sz w:val="13"/>
                <w:szCs w:val="13"/>
              </w:rPr>
            </w:pPr>
            <w:r w:rsidRPr="00047B76">
              <w:rPr>
                <w:rFonts w:ascii="Arial" w:hAnsi="Arial" w:cs="Arial"/>
                <w:b/>
                <w:sz w:val="13"/>
                <w:szCs w:val="13"/>
              </w:rPr>
              <w:t>H</w:t>
            </w:r>
          </w:p>
          <w:p w:rsidR="00961C83" w:rsidRPr="00047B76" w:rsidRDefault="00961C83">
            <w:pPr>
              <w:jc w:val="center"/>
              <w:rPr>
                <w:rFonts w:ascii="Arial" w:hAnsi="Arial" w:cs="Arial"/>
                <w:sz w:val="13"/>
                <w:szCs w:val="13"/>
              </w:rPr>
            </w:pPr>
            <w:r w:rsidRPr="00047B76">
              <w:rPr>
                <w:rFonts w:ascii="Arial" w:hAnsi="Arial" w:cs="Arial"/>
                <w:sz w:val="13"/>
                <w:szCs w:val="13"/>
              </w:rPr>
              <w:t>26</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28</w:t>
            </w:r>
          </w:p>
        </w:tc>
      </w:tr>
      <w:tr w:rsidR="00961C83" w:rsidRPr="00047B76" w:rsidTr="00961C83">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31</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961C83" w:rsidRPr="00047B76"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961C83" w:rsidRPr="00047B76" w:rsidRDefault="00961C83">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047B76"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24</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30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047B76" w:rsidRDefault="00961C8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29</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31</w:t>
            </w:r>
          </w:p>
        </w:tc>
        <w:tc>
          <w:tcPr>
            <w:tcW w:w="225" w:type="pct"/>
            <w:tcBorders>
              <w:top w:val="double" w:sz="6"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961C83" w:rsidRPr="00047B76" w:rsidRDefault="00961C83">
            <w:pPr>
              <w:jc w:val="center"/>
              <w:rPr>
                <w:rFonts w:ascii="Arial" w:hAnsi="Arial" w:cs="Arial"/>
                <w:sz w:val="13"/>
                <w:szCs w:val="13"/>
              </w:rPr>
            </w:pPr>
          </w:p>
        </w:tc>
        <w:tc>
          <w:tcPr>
            <w:tcW w:w="225" w:type="pct"/>
            <w:tcBorders>
              <w:top w:val="double" w:sz="6" w:space="0" w:color="auto"/>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961C83" w:rsidRPr="00047B76"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61C83" w:rsidRPr="00047B76"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961C83" w:rsidRPr="00047B76" w:rsidRDefault="00961C83">
            <w:pPr>
              <w:jc w:val="center"/>
              <w:rPr>
                <w:rFonts w:ascii="Arial" w:hAnsi="Arial" w:cs="Arial"/>
                <w:sz w:val="13"/>
                <w:szCs w:val="13"/>
              </w:rPr>
            </w:pPr>
          </w:p>
        </w:tc>
      </w:tr>
    </w:tbl>
    <w:p w:rsidR="00961C83" w:rsidRPr="00047B76" w:rsidRDefault="00961C83" w:rsidP="00961C83">
      <w:pPr>
        <w:tabs>
          <w:tab w:val="center" w:pos="5220"/>
          <w:tab w:val="right" w:pos="10440"/>
        </w:tabs>
        <w:jc w:val="center"/>
        <w:rPr>
          <w:rFonts w:ascii="Arial" w:hAnsi="Arial" w:cs="Arial"/>
          <w:szCs w:val="28"/>
        </w:rPr>
      </w:pPr>
      <w:r w:rsidRPr="00047B76">
        <w:rPr>
          <w:rFonts w:ascii="Arial" w:hAnsi="Arial" w:cs="Arial"/>
          <w:b/>
          <w:i/>
          <w:szCs w:val="28"/>
        </w:rPr>
        <w:t>- 2020 -</w:t>
      </w:r>
    </w:p>
    <w:tbl>
      <w:tblPr>
        <w:tblStyle w:val="TableGrid"/>
        <w:tblW w:w="5050" w:type="pct"/>
        <w:tblCellMar>
          <w:top w:w="29" w:type="dxa"/>
          <w:left w:w="29" w:type="dxa"/>
          <w:bottom w:w="29" w:type="dxa"/>
          <w:right w:w="29" w:type="dxa"/>
        </w:tblCellMar>
        <w:tblLook w:val="04A0" w:firstRow="1" w:lastRow="0" w:firstColumn="1" w:lastColumn="0" w:noHBand="0" w:noVBand="1"/>
      </w:tblPr>
      <w:tblGrid>
        <w:gridCol w:w="466"/>
        <w:gridCol w:w="466"/>
        <w:gridCol w:w="466"/>
        <w:gridCol w:w="466"/>
        <w:gridCol w:w="466"/>
        <w:gridCol w:w="466"/>
        <w:gridCol w:w="477"/>
        <w:gridCol w:w="286"/>
        <w:gridCol w:w="479"/>
        <w:gridCol w:w="479"/>
        <w:gridCol w:w="479"/>
        <w:gridCol w:w="479"/>
        <w:gridCol w:w="479"/>
        <w:gridCol w:w="479"/>
        <w:gridCol w:w="481"/>
        <w:gridCol w:w="296"/>
        <w:gridCol w:w="470"/>
        <w:gridCol w:w="470"/>
        <w:gridCol w:w="470"/>
        <w:gridCol w:w="470"/>
        <w:gridCol w:w="470"/>
        <w:gridCol w:w="470"/>
        <w:gridCol w:w="468"/>
      </w:tblGrid>
      <w:tr w:rsidR="00961C83" w:rsidRPr="00047B76" w:rsidTr="00961C8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Pr="00047B76" w:rsidRDefault="00961C83">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Pr="00047B76" w:rsidRDefault="00961C83">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MARCH – MARS</w:t>
            </w:r>
          </w:p>
        </w:tc>
      </w:tr>
      <w:tr w:rsidR="00961C83" w:rsidRPr="00047B76" w:rsidTr="00961C83">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S</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M</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T</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W</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T</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F</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S</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Pr="00047B76" w:rsidRDefault="00961C8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S</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M</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T</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W</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T</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F</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S</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Pr="00047B76" w:rsidRDefault="00961C8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S</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M</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T</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W</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T</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F</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S</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S</w:t>
            </w:r>
          </w:p>
        </w:tc>
      </w:tr>
      <w:tr w:rsidR="00961C83" w:rsidRPr="00047B76"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61C83" w:rsidRPr="00047B76" w:rsidRDefault="00961C8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961C83" w:rsidRPr="00047B76" w:rsidRDefault="00961C8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961C83" w:rsidRPr="00047B76" w:rsidRDefault="00961C83">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Pr="00047B76" w:rsidRDefault="00961C83">
            <w:pPr>
              <w:jc w:val="center"/>
              <w:rPr>
                <w:rFonts w:ascii="Arial" w:hAnsi="Arial" w:cs="Arial"/>
                <w:b/>
                <w:sz w:val="13"/>
                <w:szCs w:val="13"/>
              </w:rPr>
            </w:pPr>
            <w:r w:rsidRPr="00047B76">
              <w:rPr>
                <w:rFonts w:ascii="Arial" w:hAnsi="Arial" w:cs="Arial"/>
                <w:b/>
                <w:sz w:val="13"/>
                <w:szCs w:val="13"/>
              </w:rPr>
              <w:t>H</w:t>
            </w:r>
          </w:p>
          <w:p w:rsidR="00961C83" w:rsidRPr="00047B76" w:rsidRDefault="00961C83">
            <w:pPr>
              <w:jc w:val="center"/>
              <w:rPr>
                <w:rFonts w:ascii="Arial" w:hAnsi="Arial" w:cs="Arial"/>
                <w:sz w:val="13"/>
                <w:szCs w:val="13"/>
              </w:rPr>
            </w:pPr>
            <w:r w:rsidRPr="00047B76">
              <w:rPr>
                <w:rFonts w:ascii="Arial" w:hAnsi="Arial" w:cs="Arial"/>
                <w:sz w:val="13"/>
                <w:szCs w:val="13"/>
              </w:rPr>
              <w:t>1</w:t>
            </w:r>
          </w:p>
        </w:tc>
        <w:tc>
          <w:tcPr>
            <w:tcW w:w="222" w:type="pct"/>
            <w:tcBorders>
              <w:top w:val="single" w:sz="4" w:space="0" w:color="auto"/>
              <w:left w:val="doub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047B76"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047B76"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047B76"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047B76"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047B76"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047B76"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047B76" w:rsidRDefault="00961C83">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047B76"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7</w:t>
            </w:r>
          </w:p>
        </w:tc>
      </w:tr>
      <w:tr w:rsidR="00961C83" w:rsidRPr="00047B76"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047B76"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047B76"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14</w:t>
            </w:r>
          </w:p>
        </w:tc>
      </w:tr>
      <w:tr w:rsidR="00961C83" w:rsidRPr="00047B76"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b/>
                <w:sz w:val="13"/>
                <w:szCs w:val="13"/>
              </w:rPr>
            </w:pPr>
            <w:r w:rsidRPr="00047B76">
              <w:rPr>
                <w:rFonts w:ascii="Arial" w:hAnsi="Arial" w:cs="Arial"/>
                <w:b/>
                <w:sz w:val="13"/>
                <w:szCs w:val="13"/>
              </w:rPr>
              <w:t>CC</w:t>
            </w:r>
          </w:p>
          <w:p w:rsidR="00961C83" w:rsidRPr="00047B76" w:rsidRDefault="00961C83">
            <w:pPr>
              <w:jc w:val="center"/>
              <w:rPr>
                <w:rFonts w:ascii="Arial" w:hAnsi="Arial" w:cs="Arial"/>
                <w:sz w:val="13"/>
                <w:szCs w:val="13"/>
              </w:rPr>
            </w:pPr>
            <w:r w:rsidRPr="00047B76">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047B76"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b/>
                <w:sz w:val="13"/>
                <w:szCs w:val="13"/>
              </w:rPr>
            </w:pPr>
            <w:r w:rsidRPr="00047B76">
              <w:rPr>
                <w:rFonts w:ascii="Arial" w:hAnsi="Arial" w:cs="Arial"/>
                <w:b/>
                <w:sz w:val="13"/>
                <w:szCs w:val="13"/>
              </w:rPr>
              <w:t>CC</w:t>
            </w:r>
          </w:p>
          <w:p w:rsidR="00961C83" w:rsidRPr="00047B76" w:rsidRDefault="00961C83">
            <w:pPr>
              <w:jc w:val="center"/>
              <w:rPr>
                <w:rFonts w:ascii="Arial" w:hAnsi="Arial" w:cs="Arial"/>
                <w:sz w:val="13"/>
                <w:szCs w:val="13"/>
              </w:rPr>
            </w:pPr>
            <w:r w:rsidRPr="00047B76">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047B76"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b/>
                <w:sz w:val="13"/>
                <w:szCs w:val="13"/>
              </w:rPr>
            </w:pPr>
            <w:r w:rsidRPr="00047B76">
              <w:rPr>
                <w:rFonts w:ascii="Arial" w:hAnsi="Arial" w:cs="Arial"/>
                <w:b/>
                <w:sz w:val="13"/>
                <w:szCs w:val="13"/>
              </w:rPr>
              <w:t>CC</w:t>
            </w:r>
          </w:p>
          <w:p w:rsidR="00961C83" w:rsidRPr="00047B76" w:rsidRDefault="00961C83">
            <w:pPr>
              <w:jc w:val="center"/>
              <w:rPr>
                <w:rFonts w:ascii="Arial" w:hAnsi="Arial" w:cs="Arial"/>
                <w:sz w:val="13"/>
                <w:szCs w:val="13"/>
              </w:rPr>
            </w:pPr>
            <w:r w:rsidRPr="00047B76">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21</w:t>
            </w:r>
          </w:p>
        </w:tc>
      </w:tr>
      <w:tr w:rsidR="00961C83" w:rsidRPr="00047B76"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047B76"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047B76"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28</w:t>
            </w:r>
          </w:p>
        </w:tc>
      </w:tr>
      <w:tr w:rsidR="00961C83" w:rsidRPr="00047B76" w:rsidTr="00961C83">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31</w:t>
            </w: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Pr="00047B76" w:rsidRDefault="00961C8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047B76"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23</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28</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047B76"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047B76"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961C83" w:rsidRPr="00047B76" w:rsidRDefault="00961C83">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961C83" w:rsidRPr="00047B76" w:rsidRDefault="00961C83">
            <w:pPr>
              <w:jc w:val="center"/>
              <w:rPr>
                <w:rFonts w:ascii="Arial" w:hAnsi="Arial" w:cs="Arial"/>
                <w:sz w:val="13"/>
                <w:szCs w:val="13"/>
              </w:rPr>
            </w:pPr>
          </w:p>
        </w:tc>
        <w:tc>
          <w:tcPr>
            <w:tcW w:w="224"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961C83" w:rsidRPr="00047B76" w:rsidRDefault="00961C83">
            <w:pPr>
              <w:jc w:val="center"/>
              <w:rPr>
                <w:rFonts w:ascii="Arial" w:hAnsi="Arial" w:cs="Arial"/>
                <w:sz w:val="13"/>
                <w:szCs w:val="13"/>
              </w:rPr>
            </w:pPr>
          </w:p>
        </w:tc>
      </w:tr>
      <w:tr w:rsidR="00961C83" w:rsidRPr="00047B76" w:rsidTr="00961C8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Pr="00047B76" w:rsidRDefault="00961C83">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Pr="00047B76" w:rsidRDefault="00961C83">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JUNE – JUIN</w:t>
            </w:r>
          </w:p>
        </w:tc>
      </w:tr>
      <w:tr w:rsidR="00961C83" w:rsidRPr="00047B76" w:rsidTr="00961C83">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S</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M</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T</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W</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T</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F</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S</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Pr="00047B76" w:rsidRDefault="00961C8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S</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M</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T</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W</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T</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F</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S</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Pr="00047B76" w:rsidRDefault="00961C8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S</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M</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T</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W</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T</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F</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S</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S</w:t>
            </w:r>
          </w:p>
        </w:tc>
      </w:tr>
      <w:tr w:rsidR="00961C83" w:rsidRPr="00047B76"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61C83" w:rsidRPr="00047B76" w:rsidRDefault="00961C8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61C83" w:rsidRPr="00047B76" w:rsidRDefault="00961C8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047B76" w:rsidRDefault="00961C8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3</w:t>
            </w:r>
          </w:p>
        </w:tc>
        <w:tc>
          <w:tcPr>
            <w:tcW w:w="226"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047B76"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047B76"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047B76"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047B76"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047B76"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047B76"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047B76"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047B76"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6</w:t>
            </w:r>
          </w:p>
        </w:tc>
      </w:tr>
      <w:tr w:rsidR="00961C83" w:rsidRPr="00047B76"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5</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9</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hideMark/>
          </w:tcPr>
          <w:p w:rsidR="00961C83" w:rsidRPr="00047B76" w:rsidRDefault="00961C83">
            <w:pPr>
              <w:jc w:val="center"/>
              <w:rPr>
                <w:rFonts w:ascii="Arial" w:hAnsi="Arial" w:cs="Arial"/>
                <w:b/>
                <w:sz w:val="13"/>
                <w:szCs w:val="13"/>
              </w:rPr>
            </w:pPr>
            <w:r w:rsidRPr="00047B76">
              <w:rPr>
                <w:rFonts w:ascii="Arial" w:hAnsi="Arial" w:cs="Arial"/>
                <w:b/>
                <w:sz w:val="13"/>
                <w:szCs w:val="13"/>
              </w:rPr>
              <w:t>H</w:t>
            </w:r>
          </w:p>
          <w:p w:rsidR="00961C83" w:rsidRPr="00047B76" w:rsidRDefault="00961C83">
            <w:pPr>
              <w:jc w:val="center"/>
              <w:rPr>
                <w:rFonts w:ascii="Arial" w:hAnsi="Arial" w:cs="Arial"/>
                <w:sz w:val="13"/>
                <w:szCs w:val="13"/>
              </w:rPr>
            </w:pPr>
            <w:r w:rsidRPr="00047B76">
              <w:rPr>
                <w:rFonts w:ascii="Arial" w:hAnsi="Arial" w:cs="Arial"/>
                <w:sz w:val="13"/>
                <w:szCs w:val="13"/>
              </w:rPr>
              <w:t>10</w:t>
            </w:r>
          </w:p>
        </w:tc>
        <w:tc>
          <w:tcPr>
            <w:tcW w:w="226"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047B76"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8</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047B76"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7</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b/>
                <w:sz w:val="13"/>
                <w:szCs w:val="13"/>
              </w:rPr>
            </w:pPr>
            <w:r w:rsidRPr="00047B76">
              <w:rPr>
                <w:rFonts w:ascii="Arial" w:hAnsi="Arial" w:cs="Arial"/>
                <w:b/>
                <w:sz w:val="13"/>
                <w:szCs w:val="13"/>
              </w:rPr>
              <w:t>CC</w:t>
            </w:r>
          </w:p>
          <w:p w:rsidR="00961C83" w:rsidRPr="00047B76" w:rsidRDefault="00961C83">
            <w:pPr>
              <w:jc w:val="center"/>
              <w:rPr>
                <w:rFonts w:ascii="Arial" w:hAnsi="Arial" w:cs="Arial"/>
                <w:sz w:val="13"/>
                <w:szCs w:val="13"/>
              </w:rPr>
            </w:pPr>
            <w:r w:rsidRPr="00047B76">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13</w:t>
            </w:r>
          </w:p>
        </w:tc>
      </w:tr>
      <w:tr w:rsidR="00961C83" w:rsidRPr="00047B76" w:rsidTr="00961C83">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12</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Pr="00047B76" w:rsidRDefault="00961C83">
            <w:pPr>
              <w:jc w:val="center"/>
              <w:rPr>
                <w:rFonts w:ascii="Arial" w:hAnsi="Arial" w:cs="Arial"/>
                <w:b/>
                <w:sz w:val="13"/>
                <w:szCs w:val="13"/>
              </w:rPr>
            </w:pPr>
            <w:r w:rsidRPr="00047B76">
              <w:rPr>
                <w:rFonts w:ascii="Arial" w:hAnsi="Arial" w:cs="Arial"/>
                <w:b/>
                <w:sz w:val="13"/>
                <w:szCs w:val="13"/>
              </w:rPr>
              <w:t>H</w:t>
            </w:r>
          </w:p>
          <w:p w:rsidR="00961C83" w:rsidRPr="00047B76" w:rsidRDefault="00961C83">
            <w:pPr>
              <w:jc w:val="center"/>
              <w:rPr>
                <w:rFonts w:ascii="Arial" w:hAnsi="Arial" w:cs="Arial"/>
                <w:sz w:val="13"/>
                <w:szCs w:val="13"/>
              </w:rPr>
            </w:pPr>
            <w:r w:rsidRPr="00047B76">
              <w:rPr>
                <w:rFonts w:ascii="Arial" w:hAnsi="Arial" w:cs="Arial"/>
                <w:sz w:val="13"/>
                <w:szCs w:val="13"/>
              </w:rPr>
              <w:t>13</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b/>
                <w:sz w:val="13"/>
                <w:szCs w:val="13"/>
              </w:rPr>
            </w:pPr>
            <w:r w:rsidRPr="00047B76">
              <w:rPr>
                <w:rFonts w:ascii="Arial" w:hAnsi="Arial" w:cs="Arial"/>
                <w:b/>
                <w:sz w:val="13"/>
                <w:szCs w:val="13"/>
              </w:rPr>
              <w:t>CC</w:t>
            </w:r>
          </w:p>
          <w:p w:rsidR="00961C83" w:rsidRPr="00047B76" w:rsidRDefault="00961C83">
            <w:pPr>
              <w:jc w:val="center"/>
              <w:rPr>
                <w:rFonts w:ascii="Arial" w:hAnsi="Arial" w:cs="Arial"/>
                <w:sz w:val="13"/>
                <w:szCs w:val="13"/>
              </w:rPr>
            </w:pPr>
            <w:r w:rsidRPr="00047B76">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16</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b/>
                <w:sz w:val="13"/>
                <w:szCs w:val="13"/>
              </w:rPr>
            </w:pPr>
            <w:r w:rsidRPr="00047B76">
              <w:rPr>
                <w:rFonts w:ascii="Arial" w:hAnsi="Arial" w:cs="Arial"/>
                <w:b/>
                <w:sz w:val="13"/>
                <w:szCs w:val="13"/>
              </w:rPr>
              <w:t>GO</w:t>
            </w:r>
          </w:p>
          <w:p w:rsidR="00961C83" w:rsidRPr="00047B76" w:rsidRDefault="00961C83">
            <w:pPr>
              <w:jc w:val="center"/>
              <w:rPr>
                <w:rFonts w:ascii="Arial" w:hAnsi="Arial" w:cs="Arial"/>
                <w:sz w:val="13"/>
                <w:szCs w:val="13"/>
              </w:rPr>
            </w:pPr>
            <w:r w:rsidRPr="00047B76">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b/>
                <w:sz w:val="13"/>
                <w:szCs w:val="13"/>
              </w:rPr>
            </w:pPr>
            <w:r w:rsidRPr="00047B76">
              <w:rPr>
                <w:rFonts w:ascii="Arial" w:hAnsi="Arial" w:cs="Arial"/>
                <w:b/>
                <w:sz w:val="13"/>
                <w:szCs w:val="13"/>
              </w:rPr>
              <w:t>GO</w:t>
            </w:r>
          </w:p>
          <w:p w:rsidR="00961C83" w:rsidRPr="00047B76" w:rsidRDefault="00961C83">
            <w:pPr>
              <w:jc w:val="center"/>
              <w:rPr>
                <w:rFonts w:ascii="Arial" w:hAnsi="Arial" w:cs="Arial"/>
                <w:sz w:val="13"/>
                <w:szCs w:val="13"/>
              </w:rPr>
            </w:pPr>
            <w:r w:rsidRPr="00047B76">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047B76"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10</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b/>
                <w:sz w:val="13"/>
                <w:szCs w:val="13"/>
              </w:rPr>
            </w:pPr>
            <w:r w:rsidRPr="00047B76">
              <w:rPr>
                <w:rFonts w:ascii="Arial" w:hAnsi="Arial" w:cs="Arial"/>
                <w:b/>
                <w:sz w:val="13"/>
                <w:szCs w:val="13"/>
              </w:rPr>
              <w:t>CC</w:t>
            </w:r>
          </w:p>
          <w:p w:rsidR="00961C83" w:rsidRPr="00047B76" w:rsidRDefault="00961C83">
            <w:pPr>
              <w:jc w:val="center"/>
              <w:rPr>
                <w:rFonts w:ascii="Arial" w:hAnsi="Arial" w:cs="Arial"/>
                <w:sz w:val="13"/>
                <w:szCs w:val="13"/>
              </w:rPr>
            </w:pPr>
            <w:r w:rsidRPr="00047B76">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15</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047B76"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20</w:t>
            </w:r>
          </w:p>
        </w:tc>
      </w:tr>
      <w:tr w:rsidR="00961C83" w:rsidRPr="00047B76"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b/>
                <w:sz w:val="13"/>
                <w:szCs w:val="13"/>
              </w:rPr>
            </w:pPr>
            <w:r w:rsidRPr="00047B76">
              <w:rPr>
                <w:rFonts w:ascii="Arial" w:hAnsi="Arial" w:cs="Arial"/>
                <w:b/>
                <w:sz w:val="13"/>
                <w:szCs w:val="13"/>
              </w:rPr>
              <w:t>GO</w:t>
            </w:r>
          </w:p>
          <w:p w:rsidR="00961C83" w:rsidRPr="00047B76" w:rsidRDefault="00961C83">
            <w:pPr>
              <w:jc w:val="center"/>
              <w:rPr>
                <w:rFonts w:ascii="Arial" w:hAnsi="Arial" w:cs="Arial"/>
                <w:sz w:val="13"/>
                <w:szCs w:val="13"/>
              </w:rPr>
            </w:pPr>
            <w:r w:rsidRPr="00047B76">
              <w:rPr>
                <w:rFonts w:ascii="Arial" w:hAnsi="Arial" w:cs="Arial"/>
                <w:sz w:val="13"/>
                <w:szCs w:val="13"/>
              </w:rPr>
              <w:t>19</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b/>
                <w:sz w:val="13"/>
                <w:szCs w:val="13"/>
              </w:rPr>
            </w:pPr>
            <w:r w:rsidRPr="00047B76">
              <w:rPr>
                <w:rFonts w:ascii="Arial" w:hAnsi="Arial" w:cs="Arial"/>
                <w:b/>
                <w:sz w:val="13"/>
                <w:szCs w:val="13"/>
              </w:rPr>
              <w:t>GO</w:t>
            </w:r>
          </w:p>
          <w:p w:rsidR="00961C83" w:rsidRPr="00047B76" w:rsidRDefault="00961C83">
            <w:pPr>
              <w:jc w:val="center"/>
              <w:rPr>
                <w:rFonts w:ascii="Arial" w:hAnsi="Arial" w:cs="Arial"/>
                <w:sz w:val="13"/>
                <w:szCs w:val="13"/>
              </w:rPr>
            </w:pPr>
            <w:r w:rsidRPr="00047B76">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047B76"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17</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Pr="00047B76" w:rsidRDefault="00961C83">
            <w:pPr>
              <w:jc w:val="center"/>
              <w:rPr>
                <w:rFonts w:ascii="Arial" w:hAnsi="Arial" w:cs="Arial"/>
                <w:b/>
                <w:sz w:val="13"/>
                <w:szCs w:val="13"/>
              </w:rPr>
            </w:pPr>
            <w:r w:rsidRPr="00047B76">
              <w:rPr>
                <w:rFonts w:ascii="Arial" w:hAnsi="Arial" w:cs="Arial"/>
                <w:b/>
                <w:sz w:val="13"/>
                <w:szCs w:val="13"/>
              </w:rPr>
              <w:t>H</w:t>
            </w:r>
          </w:p>
          <w:p w:rsidR="00961C83" w:rsidRPr="00047B76" w:rsidRDefault="00961C83">
            <w:pPr>
              <w:jc w:val="center"/>
              <w:rPr>
                <w:rFonts w:ascii="Arial" w:hAnsi="Arial" w:cs="Arial"/>
                <w:sz w:val="13"/>
                <w:szCs w:val="13"/>
              </w:rPr>
            </w:pPr>
            <w:r w:rsidRPr="00047B76">
              <w:rPr>
                <w:rFonts w:ascii="Arial" w:hAnsi="Arial" w:cs="Arial"/>
                <w:sz w:val="13"/>
                <w:szCs w:val="13"/>
              </w:rPr>
              <w:t>18</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047B76"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27</w:t>
            </w:r>
          </w:p>
        </w:tc>
      </w:tr>
      <w:tr w:rsidR="00961C83" w:rsidRPr="00047B76" w:rsidTr="00961C83">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047B76" w:rsidRDefault="00961C83">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Pr="00047B76" w:rsidRDefault="00961C8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047B76"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047B76" w:rsidRDefault="00961C83">
            <w:pPr>
              <w:rPr>
                <w:rFonts w:ascii="Arial" w:hAnsi="Arial" w:cs="Arial"/>
                <w:sz w:val="13"/>
                <w:szCs w:val="13"/>
              </w:rPr>
            </w:pPr>
            <w:r w:rsidRPr="00047B76">
              <w:rPr>
                <w:rFonts w:ascii="Arial" w:hAnsi="Arial" w:cs="Arial"/>
                <w:sz w:val="13"/>
                <w:szCs w:val="13"/>
              </w:rPr>
              <w:t xml:space="preserve"> 24 </w:t>
            </w:r>
            <w:r w:rsidRPr="00047B76">
              <w:rPr>
                <w:rFonts w:ascii="Arial" w:hAnsi="Arial" w:cs="Arial"/>
                <w:sz w:val="13"/>
                <w:szCs w:val="13"/>
                <w:lang w:val="en-US"/>
              </w:rPr>
              <w:t>/</w:t>
            </w:r>
          </w:p>
          <w:p w:rsidR="00961C83" w:rsidRPr="00047B76" w:rsidRDefault="00961C83">
            <w:pPr>
              <w:jc w:val="right"/>
              <w:rPr>
                <w:rFonts w:ascii="Arial" w:hAnsi="Arial" w:cs="Arial"/>
                <w:sz w:val="13"/>
                <w:szCs w:val="13"/>
              </w:rPr>
            </w:pPr>
            <w:r w:rsidRPr="00047B76">
              <w:rPr>
                <w:rFonts w:ascii="Arial" w:hAnsi="Arial" w:cs="Arial"/>
                <w:sz w:val="13"/>
                <w:szCs w:val="13"/>
              </w:rPr>
              <w:t>31 </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29</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30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047B76"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047B76"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047B76"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047B76"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Pr="00047B76" w:rsidRDefault="00961C83">
            <w:pPr>
              <w:jc w:val="center"/>
              <w:rPr>
                <w:rFonts w:ascii="Arial" w:hAnsi="Arial" w:cs="Arial"/>
                <w:sz w:val="13"/>
                <w:szCs w:val="13"/>
              </w:rPr>
            </w:pPr>
          </w:p>
        </w:tc>
      </w:tr>
      <w:tr w:rsidR="00961C83" w:rsidRPr="00047B76" w:rsidTr="00961C8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Pr="00047B76" w:rsidRDefault="00961C83">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Pr="00047B76" w:rsidRDefault="00961C83">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SEPTEMBER – SEPTEMBRE</w:t>
            </w:r>
          </w:p>
        </w:tc>
      </w:tr>
      <w:tr w:rsidR="00961C83" w:rsidRPr="00047B76" w:rsidTr="00961C83">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S</w:t>
            </w:r>
          </w:p>
          <w:p w:rsidR="00961C83" w:rsidRPr="00047B76" w:rsidRDefault="00961C83">
            <w:pPr>
              <w:tabs>
                <w:tab w:val="center" w:pos="5220"/>
                <w:tab w:val="right" w:pos="10440"/>
              </w:tabs>
              <w:jc w:val="center"/>
              <w:rPr>
                <w:rFonts w:ascii="Arial" w:hAnsi="Arial" w:cs="Arial"/>
                <w:b/>
                <w:sz w:val="16"/>
                <w:szCs w:val="16"/>
              </w:rPr>
            </w:pPr>
            <w:r w:rsidRPr="00047B76">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M</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T</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W</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T</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F</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V</w:t>
            </w:r>
          </w:p>
        </w:tc>
        <w:tc>
          <w:tcPr>
            <w:tcW w:w="226"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S</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Pr="00047B76" w:rsidRDefault="00961C8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S</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M</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T</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W</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T</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F</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S</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Pr="00047B76" w:rsidRDefault="00961C8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S</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M</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T</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W</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T</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F</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S</w:t>
            </w:r>
          </w:p>
          <w:p w:rsidR="00961C83" w:rsidRPr="00047B76" w:rsidRDefault="00961C83">
            <w:pPr>
              <w:tabs>
                <w:tab w:val="center" w:pos="5220"/>
                <w:tab w:val="right" w:pos="10440"/>
              </w:tabs>
              <w:jc w:val="center"/>
              <w:rPr>
                <w:rFonts w:ascii="Arial" w:hAnsi="Arial" w:cs="Arial"/>
                <w:b/>
                <w:sz w:val="13"/>
                <w:szCs w:val="13"/>
              </w:rPr>
            </w:pPr>
            <w:r w:rsidRPr="00047B76">
              <w:rPr>
                <w:rFonts w:ascii="Arial" w:hAnsi="Arial" w:cs="Arial"/>
                <w:b/>
                <w:sz w:val="13"/>
                <w:szCs w:val="13"/>
              </w:rPr>
              <w:t>S</w:t>
            </w:r>
          </w:p>
        </w:tc>
      </w:tr>
      <w:tr w:rsidR="00961C83" w:rsidRPr="00047B76"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61C83" w:rsidRPr="00047B76" w:rsidRDefault="00961C8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61C83" w:rsidRPr="00047B76" w:rsidRDefault="00961C83">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double" w:sz="4" w:space="0" w:color="auto"/>
            </w:tcBorders>
            <w:tcMar>
              <w:top w:w="29" w:type="dxa"/>
              <w:left w:w="29" w:type="dxa"/>
              <w:bottom w:w="43" w:type="dxa"/>
              <w:right w:w="29" w:type="dxa"/>
            </w:tcMar>
            <w:vAlign w:val="bottom"/>
          </w:tcPr>
          <w:p w:rsidR="00961C83" w:rsidRPr="00047B76" w:rsidRDefault="00961C83">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Pr="00047B76" w:rsidRDefault="00961C83">
            <w:pPr>
              <w:jc w:val="center"/>
              <w:rPr>
                <w:rFonts w:ascii="Arial" w:hAnsi="Arial" w:cs="Arial"/>
                <w:b/>
                <w:sz w:val="13"/>
                <w:szCs w:val="13"/>
              </w:rPr>
            </w:pPr>
            <w:r w:rsidRPr="00047B76">
              <w:rPr>
                <w:rFonts w:ascii="Arial" w:hAnsi="Arial" w:cs="Arial"/>
                <w:b/>
                <w:sz w:val="13"/>
                <w:szCs w:val="13"/>
              </w:rPr>
              <w:t>H</w:t>
            </w:r>
          </w:p>
          <w:p w:rsidR="00961C83" w:rsidRPr="00047B76" w:rsidRDefault="00961C83">
            <w:pPr>
              <w:jc w:val="center"/>
              <w:rPr>
                <w:rFonts w:ascii="Arial" w:hAnsi="Arial" w:cs="Arial"/>
                <w:sz w:val="13"/>
                <w:szCs w:val="13"/>
              </w:rPr>
            </w:pPr>
            <w:r w:rsidRPr="00047B76">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3</w:t>
            </w:r>
          </w:p>
        </w:tc>
        <w:tc>
          <w:tcPr>
            <w:tcW w:w="226"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047B76"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047B76"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61C83" w:rsidRPr="00047B76"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047B76"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047B76"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047B76"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047B76" w:rsidRDefault="00961C83">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047B76"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047B76"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61C83" w:rsidRPr="00047B76" w:rsidRDefault="00961C83">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5</w:t>
            </w:r>
          </w:p>
        </w:tc>
      </w:tr>
      <w:tr w:rsidR="00961C83" w:rsidRPr="00047B76"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5</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10</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047B76"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Pr="00047B76" w:rsidRDefault="00961C83">
            <w:pPr>
              <w:jc w:val="center"/>
              <w:rPr>
                <w:rFonts w:ascii="Arial" w:hAnsi="Arial" w:cs="Arial"/>
                <w:b/>
                <w:sz w:val="13"/>
                <w:szCs w:val="13"/>
              </w:rPr>
            </w:pPr>
            <w:r w:rsidRPr="00047B76">
              <w:rPr>
                <w:rFonts w:ascii="Arial" w:hAnsi="Arial" w:cs="Arial"/>
                <w:b/>
                <w:sz w:val="13"/>
                <w:szCs w:val="13"/>
              </w:rPr>
              <w:t>H</w:t>
            </w:r>
          </w:p>
          <w:p w:rsidR="00961C83" w:rsidRPr="00047B76" w:rsidRDefault="00961C83">
            <w:pPr>
              <w:jc w:val="center"/>
              <w:rPr>
                <w:rFonts w:ascii="Arial" w:hAnsi="Arial" w:cs="Arial"/>
                <w:sz w:val="13"/>
                <w:szCs w:val="13"/>
              </w:rPr>
            </w:pPr>
            <w:r w:rsidRPr="00047B76">
              <w:rPr>
                <w:rFonts w:ascii="Arial" w:hAnsi="Arial" w:cs="Arial"/>
                <w:sz w:val="13"/>
                <w:szCs w:val="13"/>
              </w:rPr>
              <w:t>3</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047B76"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6</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Pr="00047B76" w:rsidRDefault="00961C83">
            <w:pPr>
              <w:jc w:val="center"/>
              <w:rPr>
                <w:rFonts w:ascii="Arial" w:hAnsi="Arial" w:cs="Arial"/>
                <w:b/>
                <w:sz w:val="13"/>
                <w:szCs w:val="13"/>
              </w:rPr>
            </w:pPr>
            <w:r w:rsidRPr="00047B76">
              <w:rPr>
                <w:rFonts w:ascii="Arial" w:hAnsi="Arial" w:cs="Arial"/>
                <w:b/>
                <w:sz w:val="13"/>
                <w:szCs w:val="13"/>
              </w:rPr>
              <w:t>H</w:t>
            </w:r>
          </w:p>
          <w:p w:rsidR="00961C83" w:rsidRPr="00047B76" w:rsidRDefault="00961C83">
            <w:pPr>
              <w:jc w:val="center"/>
              <w:rPr>
                <w:rFonts w:ascii="Arial" w:hAnsi="Arial" w:cs="Arial"/>
                <w:sz w:val="13"/>
                <w:szCs w:val="13"/>
              </w:rPr>
            </w:pPr>
            <w:r w:rsidRPr="00047B76">
              <w:rPr>
                <w:rFonts w:ascii="Arial" w:hAnsi="Arial" w:cs="Arial"/>
                <w:sz w:val="13"/>
                <w:szCs w:val="13"/>
              </w:rPr>
              <w:t>7</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11</w:t>
            </w:r>
          </w:p>
        </w:tc>
        <w:tc>
          <w:tcPr>
            <w:tcW w:w="224" w:type="pct"/>
            <w:tcBorders>
              <w:top w:val="single" w:sz="4" w:space="0" w:color="000000" w:themeColor="text1"/>
              <w:left w:val="sing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12</w:t>
            </w:r>
          </w:p>
        </w:tc>
      </w:tr>
      <w:tr w:rsidR="00961C83" w:rsidRPr="00047B76"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047B76"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9</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047B76"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13</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18</w:t>
            </w:r>
          </w:p>
        </w:tc>
        <w:tc>
          <w:tcPr>
            <w:tcW w:w="224" w:type="pct"/>
            <w:tcBorders>
              <w:top w:val="doub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961C83" w:rsidRPr="00047B76" w:rsidRDefault="00961C83">
            <w:pPr>
              <w:jc w:val="center"/>
              <w:rPr>
                <w:rFonts w:ascii="Arial" w:hAnsi="Arial" w:cs="Arial"/>
                <w:b/>
                <w:sz w:val="13"/>
                <w:szCs w:val="13"/>
              </w:rPr>
            </w:pPr>
            <w:r w:rsidRPr="00047B76">
              <w:rPr>
                <w:rFonts w:ascii="Arial" w:hAnsi="Arial" w:cs="Arial"/>
                <w:b/>
                <w:sz w:val="13"/>
                <w:szCs w:val="13"/>
              </w:rPr>
              <w:t>RH</w:t>
            </w:r>
          </w:p>
          <w:p w:rsidR="00961C83" w:rsidRPr="00047B76" w:rsidRDefault="00961C83">
            <w:pPr>
              <w:jc w:val="center"/>
              <w:rPr>
                <w:rFonts w:ascii="Arial" w:hAnsi="Arial" w:cs="Arial"/>
                <w:sz w:val="13"/>
                <w:szCs w:val="13"/>
              </w:rPr>
            </w:pPr>
            <w:r w:rsidRPr="00047B76">
              <w:rPr>
                <w:rFonts w:ascii="Arial" w:hAnsi="Arial" w:cs="Arial"/>
                <w:sz w:val="13"/>
                <w:szCs w:val="13"/>
              </w:rPr>
              <w:t>19</w:t>
            </w:r>
          </w:p>
        </w:tc>
      </w:tr>
      <w:tr w:rsidR="00961C83" w:rsidRPr="00047B76"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047B76"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047B76" w:rsidRDefault="00961C83">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4" w:space="0" w:color="000000" w:themeColor="text1"/>
              <w:right w:val="double" w:sz="4" w:space="0" w:color="auto"/>
            </w:tcBorders>
            <w:tcMar>
              <w:top w:w="29" w:type="dxa"/>
              <w:left w:w="29" w:type="dxa"/>
              <w:bottom w:w="43" w:type="dxa"/>
              <w:right w:w="29" w:type="dxa"/>
            </w:tcMar>
            <w:vAlign w:val="bottom"/>
            <w:hideMark/>
          </w:tcPr>
          <w:p w:rsidR="00961C83" w:rsidRPr="00047B76" w:rsidRDefault="00961C83">
            <w:pPr>
              <w:jc w:val="center"/>
              <w:rPr>
                <w:rFonts w:ascii="Arial" w:hAnsi="Arial" w:cs="Arial"/>
                <w:b/>
                <w:sz w:val="13"/>
                <w:szCs w:val="13"/>
              </w:rPr>
            </w:pPr>
            <w:r w:rsidRPr="00047B76">
              <w:rPr>
                <w:rFonts w:ascii="Arial" w:hAnsi="Arial" w:cs="Arial"/>
                <w:b/>
                <w:sz w:val="13"/>
                <w:szCs w:val="13"/>
              </w:rPr>
              <w:t>RH</w:t>
            </w:r>
          </w:p>
          <w:p w:rsidR="00961C83" w:rsidRPr="00047B76" w:rsidRDefault="00961C83">
            <w:pPr>
              <w:jc w:val="center"/>
              <w:rPr>
                <w:rFonts w:ascii="Arial" w:hAnsi="Arial" w:cs="Arial"/>
                <w:sz w:val="13"/>
                <w:szCs w:val="13"/>
              </w:rPr>
            </w:pPr>
            <w:r w:rsidRPr="00047B76">
              <w:rPr>
                <w:rFonts w:ascii="Arial" w:hAnsi="Arial" w:cs="Arial"/>
                <w:sz w:val="13"/>
                <w:szCs w:val="13"/>
              </w:rPr>
              <w:t>20</w:t>
            </w:r>
          </w:p>
        </w:tc>
        <w:tc>
          <w:tcPr>
            <w:tcW w:w="224" w:type="pct"/>
            <w:tcBorders>
              <w:top w:val="single" w:sz="4" w:space="0" w:color="auto"/>
              <w:left w:val="double" w:sz="4" w:space="0" w:color="auto"/>
              <w:bottom w:val="double" w:sz="4" w:space="0" w:color="auto"/>
              <w:right w:val="single" w:sz="4" w:space="0" w:color="auto"/>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25</w:t>
            </w:r>
          </w:p>
        </w:tc>
        <w:tc>
          <w:tcPr>
            <w:tcW w:w="224" w:type="pct"/>
            <w:tcBorders>
              <w:top w:val="doub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26</w:t>
            </w:r>
          </w:p>
        </w:tc>
      </w:tr>
      <w:tr w:rsidR="00961C83" w:rsidRPr="00047B76" w:rsidTr="00961C83">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31</w:t>
            </w: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Pr="00047B76" w:rsidRDefault="00961C8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047B76"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047B76" w:rsidRDefault="00961C83">
            <w:pPr>
              <w:rPr>
                <w:rFonts w:ascii="Arial" w:hAnsi="Arial" w:cs="Arial"/>
                <w:sz w:val="13"/>
                <w:szCs w:val="13"/>
              </w:rPr>
            </w:pPr>
            <w:r w:rsidRPr="00047B76">
              <w:rPr>
                <w:rFonts w:ascii="Arial" w:hAnsi="Arial" w:cs="Arial"/>
                <w:sz w:val="13"/>
                <w:szCs w:val="13"/>
              </w:rPr>
              <w:t> 23 /</w:t>
            </w:r>
          </w:p>
          <w:p w:rsidR="00961C83" w:rsidRPr="00047B76" w:rsidRDefault="00961C83">
            <w:pPr>
              <w:jc w:val="right"/>
              <w:rPr>
                <w:rFonts w:ascii="Arial" w:hAnsi="Arial" w:cs="Arial"/>
                <w:sz w:val="13"/>
                <w:szCs w:val="13"/>
              </w:rPr>
            </w:pPr>
            <w:r w:rsidRPr="00047B76">
              <w:rPr>
                <w:rFonts w:ascii="Arial" w:hAnsi="Arial" w:cs="Arial"/>
                <w:sz w:val="13"/>
                <w:szCs w:val="13"/>
              </w:rPr>
              <w:t>30 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rPr>
                <w:rFonts w:ascii="Arial" w:hAnsi="Arial" w:cs="Arial"/>
                <w:sz w:val="13"/>
                <w:szCs w:val="13"/>
              </w:rPr>
            </w:pPr>
            <w:r w:rsidRPr="00047B76">
              <w:rPr>
                <w:rFonts w:ascii="Arial" w:hAnsi="Arial" w:cs="Arial"/>
                <w:sz w:val="13"/>
                <w:szCs w:val="13"/>
              </w:rPr>
              <w:t> 24 /</w:t>
            </w:r>
          </w:p>
          <w:p w:rsidR="00961C83" w:rsidRPr="00047B76" w:rsidRDefault="00961C83">
            <w:pPr>
              <w:jc w:val="right"/>
              <w:rPr>
                <w:rFonts w:ascii="Arial" w:hAnsi="Arial" w:cs="Arial"/>
                <w:sz w:val="13"/>
                <w:szCs w:val="13"/>
              </w:rPr>
            </w:pPr>
            <w:r w:rsidRPr="00047B76">
              <w:rPr>
                <w:rFonts w:ascii="Arial" w:hAnsi="Arial" w:cs="Arial"/>
                <w:sz w:val="13"/>
                <w:szCs w:val="13"/>
              </w:rPr>
              <w:t>31 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28</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047B76" w:rsidRDefault="00961C83">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27</w:t>
            </w:r>
          </w:p>
        </w:tc>
        <w:tc>
          <w:tcPr>
            <w:tcW w:w="224" w:type="pct"/>
            <w:tcBorders>
              <w:top w:val="double" w:sz="4"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961C83" w:rsidRPr="00047B76" w:rsidRDefault="00961C83">
            <w:pPr>
              <w:jc w:val="center"/>
              <w:rPr>
                <w:rFonts w:ascii="Arial" w:hAnsi="Arial" w:cs="Arial"/>
                <w:b/>
                <w:sz w:val="13"/>
                <w:szCs w:val="13"/>
              </w:rPr>
            </w:pPr>
            <w:r w:rsidRPr="00047B76">
              <w:rPr>
                <w:rFonts w:ascii="Arial" w:hAnsi="Arial" w:cs="Arial"/>
                <w:b/>
                <w:sz w:val="13"/>
                <w:szCs w:val="13"/>
              </w:rPr>
              <w:t>YK</w:t>
            </w:r>
          </w:p>
          <w:p w:rsidR="00961C83" w:rsidRPr="00047B76" w:rsidRDefault="00961C83">
            <w:pPr>
              <w:jc w:val="center"/>
              <w:rPr>
                <w:rFonts w:ascii="Arial" w:hAnsi="Arial" w:cs="Arial"/>
                <w:sz w:val="13"/>
                <w:szCs w:val="13"/>
              </w:rPr>
            </w:pPr>
            <w:r w:rsidRPr="00047B76">
              <w:rPr>
                <w:rFonts w:ascii="Arial" w:hAnsi="Arial" w:cs="Arial"/>
                <w:sz w:val="13"/>
                <w:szCs w:val="13"/>
              </w:rPr>
              <w:t>28</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047B76" w:rsidRDefault="00961C83">
            <w:pPr>
              <w:jc w:val="center"/>
              <w:rPr>
                <w:rFonts w:ascii="Arial" w:hAnsi="Arial" w:cs="Arial"/>
                <w:sz w:val="13"/>
                <w:szCs w:val="13"/>
              </w:rPr>
            </w:pPr>
            <w:r w:rsidRPr="00047B76">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047B76"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047B76"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Pr="00047B76" w:rsidRDefault="00961C83">
            <w:pPr>
              <w:jc w:val="center"/>
              <w:rPr>
                <w:rFonts w:ascii="Arial" w:hAnsi="Arial" w:cs="Arial"/>
                <w:sz w:val="13"/>
                <w:szCs w:val="13"/>
              </w:rPr>
            </w:pPr>
          </w:p>
        </w:tc>
      </w:tr>
    </w:tbl>
    <w:p w:rsidR="00961C83" w:rsidRPr="00047B76" w:rsidRDefault="00961C83" w:rsidP="00961C83">
      <w:pPr>
        <w:tabs>
          <w:tab w:val="center" w:pos="5220"/>
          <w:tab w:val="right" w:pos="10440"/>
        </w:tabs>
        <w:rPr>
          <w:rFonts w:ascii="Arial" w:hAnsi="Arial" w:cs="Arial"/>
          <w:sz w:val="14"/>
          <w:szCs w:val="14"/>
          <w:lang w:val="fr-CA"/>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666"/>
        <w:gridCol w:w="3984"/>
        <w:gridCol w:w="450"/>
      </w:tblGrid>
      <w:tr w:rsidR="00961C83" w:rsidRPr="00047B76" w:rsidTr="00961C83">
        <w:tc>
          <w:tcPr>
            <w:tcW w:w="1890" w:type="dxa"/>
            <w:tcBorders>
              <w:top w:val="nil"/>
              <w:left w:val="nil"/>
              <w:bottom w:val="nil"/>
              <w:right w:val="single" w:sz="4" w:space="0" w:color="000000" w:themeColor="text1"/>
            </w:tcBorders>
            <w:vAlign w:val="center"/>
            <w:hideMark/>
          </w:tcPr>
          <w:p w:rsidR="00961C83" w:rsidRPr="00047B76" w:rsidRDefault="00961C83">
            <w:pPr>
              <w:rPr>
                <w:rFonts w:ascii="Arial" w:hAnsi="Arial" w:cs="Arial"/>
                <w:b/>
                <w:sz w:val="14"/>
                <w:szCs w:val="14"/>
              </w:rPr>
            </w:pPr>
            <w:r w:rsidRPr="00047B76">
              <w:rPr>
                <w:rFonts w:ascii="Arial" w:hAnsi="Arial" w:cs="Arial"/>
                <w:b/>
                <w:sz w:val="14"/>
                <w:szCs w:val="14"/>
              </w:rPr>
              <w:t>Sitting of the Court /</w:t>
            </w:r>
          </w:p>
          <w:p w:rsidR="00961C83" w:rsidRPr="00047B76" w:rsidRDefault="00961C83">
            <w:pPr>
              <w:rPr>
                <w:rFonts w:ascii="Arial" w:hAnsi="Arial" w:cs="Arial"/>
                <w:b/>
                <w:sz w:val="14"/>
                <w:szCs w:val="14"/>
              </w:rPr>
            </w:pPr>
            <w:r w:rsidRPr="00047B76">
              <w:rPr>
                <w:rFonts w:ascii="Arial" w:hAnsi="Arial" w:cs="Arial"/>
                <w:b/>
                <w:sz w:val="14"/>
                <w:szCs w:val="14"/>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961C83" w:rsidRPr="00047B76" w:rsidRDefault="00961C83">
            <w:pPr>
              <w:jc w:val="center"/>
              <w:rPr>
                <w:rFonts w:ascii="Arial" w:hAnsi="Arial" w:cs="Arial"/>
                <w:b/>
                <w:sz w:val="14"/>
                <w:szCs w:val="14"/>
              </w:rPr>
            </w:pPr>
          </w:p>
        </w:tc>
        <w:tc>
          <w:tcPr>
            <w:tcW w:w="3666" w:type="dxa"/>
            <w:tcBorders>
              <w:top w:val="nil"/>
              <w:left w:val="single" w:sz="4" w:space="0" w:color="000000" w:themeColor="text1"/>
              <w:bottom w:val="nil"/>
              <w:right w:val="nil"/>
            </w:tcBorders>
            <w:hideMark/>
          </w:tcPr>
          <w:p w:rsidR="00961C83" w:rsidRPr="00047B76" w:rsidRDefault="00961C83">
            <w:pPr>
              <w:tabs>
                <w:tab w:val="left" w:pos="203"/>
              </w:tabs>
              <w:spacing w:after="120"/>
              <w:rPr>
                <w:rFonts w:ascii="Arial" w:hAnsi="Arial" w:cs="Arial"/>
                <w:b/>
                <w:sz w:val="14"/>
                <w:szCs w:val="14"/>
                <w:lang w:val="fr-CA"/>
              </w:rPr>
            </w:pPr>
            <w:r w:rsidRPr="00047B76">
              <w:rPr>
                <w:rFonts w:ascii="Arial" w:hAnsi="Arial" w:cs="Arial"/>
                <w:b/>
                <w:sz w:val="14"/>
                <w:szCs w:val="14"/>
                <w:lang w:val="fr-CA"/>
              </w:rPr>
              <w:t>18</w:t>
            </w:r>
            <w:r w:rsidRPr="00047B76">
              <w:rPr>
                <w:rFonts w:ascii="Arial" w:hAnsi="Arial" w:cs="Arial"/>
                <w:b/>
                <w:sz w:val="14"/>
                <w:szCs w:val="14"/>
                <w:lang w:val="fr-CA"/>
              </w:rPr>
              <w:tab/>
              <w:t xml:space="preserve"> </w:t>
            </w:r>
            <w:proofErr w:type="spellStart"/>
            <w:r w:rsidRPr="00047B76">
              <w:rPr>
                <w:rFonts w:ascii="Arial" w:hAnsi="Arial" w:cs="Arial"/>
                <w:b/>
                <w:sz w:val="14"/>
                <w:szCs w:val="14"/>
                <w:lang w:val="fr-CA"/>
              </w:rPr>
              <w:t>sitting</w:t>
            </w:r>
            <w:proofErr w:type="spellEnd"/>
            <w:r w:rsidRPr="00047B76">
              <w:rPr>
                <w:rFonts w:ascii="Arial" w:hAnsi="Arial" w:cs="Arial"/>
                <w:b/>
                <w:sz w:val="14"/>
                <w:szCs w:val="14"/>
                <w:lang w:val="fr-CA"/>
              </w:rPr>
              <w:t xml:space="preserve"> </w:t>
            </w:r>
            <w:proofErr w:type="spellStart"/>
            <w:r w:rsidRPr="00047B76">
              <w:rPr>
                <w:rFonts w:ascii="Arial" w:hAnsi="Arial" w:cs="Arial"/>
                <w:b/>
                <w:sz w:val="14"/>
                <w:szCs w:val="14"/>
                <w:lang w:val="fr-CA"/>
              </w:rPr>
              <w:t>weeks</w:t>
            </w:r>
            <w:proofErr w:type="spellEnd"/>
            <w:r w:rsidRPr="00047B76">
              <w:rPr>
                <w:rFonts w:ascii="Arial" w:hAnsi="Arial" w:cs="Arial"/>
                <w:b/>
                <w:sz w:val="14"/>
                <w:szCs w:val="14"/>
                <w:lang w:val="fr-CA"/>
              </w:rPr>
              <w:t xml:space="preserve"> / semaines séances de la Cour</w:t>
            </w:r>
          </w:p>
          <w:p w:rsidR="00961C83" w:rsidRPr="00047B76" w:rsidRDefault="00961C83">
            <w:pPr>
              <w:tabs>
                <w:tab w:val="left" w:pos="203"/>
              </w:tabs>
              <w:rPr>
                <w:rFonts w:ascii="Arial" w:hAnsi="Arial" w:cs="Arial"/>
                <w:b/>
                <w:sz w:val="14"/>
                <w:szCs w:val="14"/>
                <w:lang w:val="fr-CA"/>
              </w:rPr>
            </w:pPr>
            <w:r w:rsidRPr="00047B76">
              <w:rPr>
                <w:rFonts w:ascii="Arial" w:hAnsi="Arial" w:cs="Arial"/>
                <w:b/>
                <w:sz w:val="14"/>
                <w:szCs w:val="14"/>
                <w:lang w:val="fr-CA"/>
              </w:rPr>
              <w:t>86</w:t>
            </w:r>
            <w:r w:rsidRPr="00047B76">
              <w:rPr>
                <w:rFonts w:ascii="Arial" w:hAnsi="Arial" w:cs="Arial"/>
                <w:b/>
                <w:sz w:val="14"/>
                <w:szCs w:val="14"/>
                <w:lang w:val="fr-CA"/>
              </w:rPr>
              <w:tab/>
              <w:t xml:space="preserve"> </w:t>
            </w:r>
            <w:proofErr w:type="spellStart"/>
            <w:r w:rsidRPr="00047B76">
              <w:rPr>
                <w:rFonts w:ascii="Arial" w:hAnsi="Arial" w:cs="Arial"/>
                <w:b/>
                <w:sz w:val="14"/>
                <w:szCs w:val="14"/>
                <w:lang w:val="fr-CA"/>
              </w:rPr>
              <w:t>sitting</w:t>
            </w:r>
            <w:proofErr w:type="spellEnd"/>
            <w:r w:rsidRPr="00047B76">
              <w:rPr>
                <w:rFonts w:ascii="Arial" w:hAnsi="Arial" w:cs="Arial"/>
                <w:b/>
                <w:sz w:val="14"/>
                <w:szCs w:val="14"/>
                <w:lang w:val="fr-CA"/>
              </w:rPr>
              <w:t xml:space="preserve"> </w:t>
            </w:r>
            <w:proofErr w:type="spellStart"/>
            <w:r w:rsidRPr="00047B76">
              <w:rPr>
                <w:rFonts w:ascii="Arial" w:hAnsi="Arial" w:cs="Arial"/>
                <w:b/>
                <w:sz w:val="14"/>
                <w:szCs w:val="14"/>
                <w:lang w:val="fr-CA"/>
              </w:rPr>
              <w:t>days</w:t>
            </w:r>
            <w:proofErr w:type="spellEnd"/>
            <w:r w:rsidRPr="00047B76">
              <w:rPr>
                <w:rFonts w:ascii="Arial" w:hAnsi="Arial" w:cs="Arial"/>
                <w:b/>
                <w:sz w:val="14"/>
                <w:szCs w:val="14"/>
                <w:lang w:val="fr-CA"/>
              </w:rPr>
              <w:t xml:space="preserve"> / journées séances de la Cour</w:t>
            </w:r>
          </w:p>
        </w:tc>
        <w:tc>
          <w:tcPr>
            <w:tcW w:w="3984" w:type="dxa"/>
            <w:tcMar>
              <w:top w:w="0" w:type="dxa"/>
              <w:left w:w="58" w:type="dxa"/>
              <w:bottom w:w="0" w:type="dxa"/>
              <w:right w:w="58" w:type="dxa"/>
            </w:tcMar>
            <w:hideMark/>
          </w:tcPr>
          <w:p w:rsidR="00961C83" w:rsidRPr="00047B76" w:rsidRDefault="00961C83">
            <w:pPr>
              <w:spacing w:after="120"/>
              <w:rPr>
                <w:rFonts w:ascii="Arial" w:hAnsi="Arial" w:cs="Arial"/>
                <w:b/>
                <w:sz w:val="14"/>
                <w:szCs w:val="14"/>
                <w:lang w:val="fr-FR"/>
              </w:rPr>
            </w:pPr>
            <w:r w:rsidRPr="00047B76">
              <w:rPr>
                <w:rFonts w:ascii="Arial" w:hAnsi="Arial" w:cs="Arial"/>
                <w:b/>
                <w:sz w:val="14"/>
                <w:szCs w:val="14"/>
                <w:lang w:val="fr-FR"/>
              </w:rPr>
              <w:t xml:space="preserve">Rosh </w:t>
            </w:r>
            <w:proofErr w:type="spellStart"/>
            <w:r w:rsidRPr="00047B76">
              <w:rPr>
                <w:rFonts w:ascii="Arial" w:hAnsi="Arial" w:cs="Arial"/>
                <w:b/>
                <w:sz w:val="14"/>
                <w:szCs w:val="14"/>
                <w:lang w:val="fr-FR"/>
              </w:rPr>
              <w:t>Hashanah</w:t>
            </w:r>
            <w:proofErr w:type="spellEnd"/>
            <w:r w:rsidRPr="00047B76">
              <w:rPr>
                <w:rFonts w:ascii="Arial" w:hAnsi="Arial" w:cs="Arial"/>
                <w:b/>
                <w:sz w:val="14"/>
                <w:szCs w:val="14"/>
                <w:lang w:val="fr-FR"/>
              </w:rPr>
              <w:t xml:space="preserve"> / Nouvel An juif</w:t>
            </w:r>
          </w:p>
          <w:p w:rsidR="00961C83" w:rsidRPr="00047B76" w:rsidRDefault="00961C83">
            <w:pPr>
              <w:spacing w:after="120"/>
              <w:rPr>
                <w:rFonts w:ascii="Arial" w:hAnsi="Arial" w:cs="Arial"/>
                <w:b/>
                <w:sz w:val="14"/>
                <w:szCs w:val="14"/>
                <w:lang w:val="fr-CA"/>
              </w:rPr>
            </w:pPr>
            <w:r w:rsidRPr="00047B76">
              <w:rPr>
                <w:rFonts w:ascii="Arial" w:hAnsi="Arial" w:cs="Arial"/>
                <w:b/>
                <w:sz w:val="14"/>
                <w:szCs w:val="14"/>
                <w:lang w:val="fr-FR"/>
              </w:rPr>
              <w:t xml:space="preserve">Yom </w:t>
            </w:r>
            <w:proofErr w:type="spellStart"/>
            <w:r w:rsidRPr="00047B76">
              <w:rPr>
                <w:rFonts w:ascii="Arial" w:hAnsi="Arial" w:cs="Arial"/>
                <w:b/>
                <w:sz w:val="14"/>
                <w:szCs w:val="14"/>
                <w:lang w:val="fr-FR"/>
              </w:rPr>
              <w:t>Kippur</w:t>
            </w:r>
            <w:proofErr w:type="spellEnd"/>
            <w:r w:rsidRPr="00047B76">
              <w:rPr>
                <w:rFonts w:ascii="Arial" w:hAnsi="Arial" w:cs="Arial"/>
                <w:b/>
                <w:sz w:val="14"/>
                <w:szCs w:val="14"/>
                <w:lang w:val="fr-FR"/>
              </w:rPr>
              <w:t xml:space="preserve"> / Yom Kippour</w:t>
            </w:r>
          </w:p>
        </w:tc>
        <w:tc>
          <w:tcPr>
            <w:tcW w:w="450" w:type="dxa"/>
            <w:hideMark/>
          </w:tcPr>
          <w:p w:rsidR="00961C83" w:rsidRPr="00047B76" w:rsidRDefault="00961C83">
            <w:pPr>
              <w:spacing w:after="120"/>
              <w:jc w:val="center"/>
              <w:rPr>
                <w:rFonts w:ascii="Arial" w:hAnsi="Arial" w:cs="Arial"/>
                <w:b/>
                <w:sz w:val="14"/>
                <w:szCs w:val="14"/>
                <w:lang w:val="fr-CA"/>
              </w:rPr>
            </w:pPr>
            <w:r w:rsidRPr="00047B76">
              <w:rPr>
                <w:rFonts w:ascii="Arial" w:hAnsi="Arial" w:cs="Arial"/>
                <w:b/>
                <w:sz w:val="14"/>
                <w:szCs w:val="14"/>
                <w:lang w:val="fr-CA"/>
              </w:rPr>
              <w:t>RH</w:t>
            </w:r>
          </w:p>
          <w:p w:rsidR="00961C83" w:rsidRPr="00047B76" w:rsidRDefault="00961C83">
            <w:pPr>
              <w:jc w:val="center"/>
              <w:rPr>
                <w:rFonts w:ascii="Arial" w:hAnsi="Arial" w:cs="Arial"/>
                <w:b/>
                <w:sz w:val="14"/>
                <w:szCs w:val="14"/>
                <w:lang w:val="fr-CA"/>
              </w:rPr>
            </w:pPr>
            <w:r w:rsidRPr="00047B76">
              <w:rPr>
                <w:rFonts w:ascii="Arial" w:hAnsi="Arial" w:cs="Arial"/>
                <w:b/>
                <w:sz w:val="14"/>
                <w:szCs w:val="14"/>
                <w:lang w:val="fr-CA"/>
              </w:rPr>
              <w:t>YK</w:t>
            </w:r>
          </w:p>
        </w:tc>
      </w:tr>
      <w:tr w:rsidR="00961C83" w:rsidRPr="00047B76" w:rsidTr="00961C83">
        <w:tc>
          <w:tcPr>
            <w:tcW w:w="1890" w:type="dxa"/>
            <w:tcBorders>
              <w:top w:val="nil"/>
              <w:left w:val="nil"/>
              <w:bottom w:val="nil"/>
              <w:right w:val="double" w:sz="4" w:space="0" w:color="auto"/>
            </w:tcBorders>
            <w:vAlign w:val="center"/>
            <w:hideMark/>
          </w:tcPr>
          <w:p w:rsidR="00961C83" w:rsidRPr="00047B76" w:rsidRDefault="00961C83">
            <w:pPr>
              <w:spacing w:before="60"/>
              <w:rPr>
                <w:rFonts w:ascii="Arial" w:hAnsi="Arial" w:cs="Arial"/>
                <w:b/>
                <w:sz w:val="14"/>
                <w:szCs w:val="14"/>
                <w:lang w:val="fr-CA"/>
              </w:rPr>
            </w:pPr>
            <w:r w:rsidRPr="00047B76">
              <w:rPr>
                <w:rFonts w:ascii="Arial" w:hAnsi="Arial" w:cs="Arial"/>
                <w:b/>
                <w:sz w:val="14"/>
                <w:szCs w:val="14"/>
                <w:lang w:val="fr-CA"/>
              </w:rPr>
              <w:t xml:space="preserve">Court </w:t>
            </w:r>
            <w:proofErr w:type="spellStart"/>
            <w:r w:rsidRPr="00047B76">
              <w:rPr>
                <w:rFonts w:ascii="Arial" w:hAnsi="Arial" w:cs="Arial"/>
                <w:b/>
                <w:sz w:val="14"/>
                <w:szCs w:val="14"/>
                <w:lang w:val="fr-CA"/>
              </w:rPr>
              <w:t>conference</w:t>
            </w:r>
            <w:proofErr w:type="spellEnd"/>
            <w:r w:rsidRPr="00047B76">
              <w:rPr>
                <w:rFonts w:ascii="Arial" w:hAnsi="Arial" w:cs="Arial"/>
                <w:b/>
                <w:sz w:val="14"/>
                <w:szCs w:val="14"/>
                <w:lang w:val="fr-CA"/>
              </w:rPr>
              <w:t xml:space="preserve"> /</w:t>
            </w:r>
          </w:p>
          <w:p w:rsidR="00961C83" w:rsidRPr="00047B76" w:rsidRDefault="00961C83">
            <w:pPr>
              <w:rPr>
                <w:rFonts w:ascii="Arial" w:hAnsi="Arial" w:cs="Arial"/>
                <w:b/>
                <w:sz w:val="14"/>
                <w:szCs w:val="14"/>
                <w:lang w:val="fr-CA"/>
              </w:rPr>
            </w:pPr>
            <w:r w:rsidRPr="00047B76">
              <w:rPr>
                <w:rFonts w:ascii="Arial" w:hAnsi="Arial" w:cs="Arial"/>
                <w:b/>
                <w:sz w:val="14"/>
                <w:szCs w:val="14"/>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961C83" w:rsidRPr="00047B76" w:rsidRDefault="00961C83">
            <w:pPr>
              <w:jc w:val="center"/>
              <w:rPr>
                <w:rFonts w:ascii="Arial" w:hAnsi="Arial" w:cs="Arial"/>
                <w:b/>
                <w:sz w:val="14"/>
                <w:szCs w:val="14"/>
                <w:lang w:val="fr-FR"/>
              </w:rPr>
            </w:pPr>
            <w:r w:rsidRPr="00047B76">
              <w:rPr>
                <w:rFonts w:ascii="Arial" w:hAnsi="Arial" w:cs="Arial"/>
                <w:b/>
                <w:sz w:val="14"/>
                <w:szCs w:val="14"/>
                <w:lang w:val="fr-FR"/>
              </w:rPr>
              <w:t>CC</w:t>
            </w:r>
          </w:p>
        </w:tc>
        <w:tc>
          <w:tcPr>
            <w:tcW w:w="3666" w:type="dxa"/>
            <w:tcBorders>
              <w:top w:val="nil"/>
              <w:left w:val="double" w:sz="4" w:space="0" w:color="auto"/>
              <w:bottom w:val="nil"/>
              <w:right w:val="nil"/>
            </w:tcBorders>
            <w:hideMark/>
          </w:tcPr>
          <w:p w:rsidR="00961C83" w:rsidRPr="00047B76" w:rsidRDefault="00961C83">
            <w:pPr>
              <w:tabs>
                <w:tab w:val="left" w:pos="203"/>
              </w:tabs>
              <w:spacing w:before="120"/>
              <w:rPr>
                <w:rFonts w:ascii="Arial" w:hAnsi="Arial" w:cs="Arial"/>
                <w:b/>
                <w:sz w:val="14"/>
                <w:szCs w:val="14"/>
                <w:lang w:val="fr-CA"/>
              </w:rPr>
            </w:pPr>
            <w:r w:rsidRPr="00047B76">
              <w:rPr>
                <w:rFonts w:ascii="Arial" w:hAnsi="Arial" w:cs="Arial"/>
                <w:b/>
                <w:sz w:val="14"/>
                <w:szCs w:val="14"/>
                <w:lang w:val="fr-CA"/>
              </w:rPr>
              <w:t>9</w:t>
            </w:r>
            <w:r w:rsidRPr="00047B76">
              <w:rPr>
                <w:rFonts w:ascii="Arial" w:hAnsi="Arial" w:cs="Arial"/>
                <w:b/>
                <w:sz w:val="14"/>
                <w:szCs w:val="14"/>
                <w:lang w:val="fr-CA"/>
              </w:rPr>
              <w:tab/>
              <w:t xml:space="preserve">Court </w:t>
            </w:r>
            <w:proofErr w:type="spellStart"/>
            <w:r w:rsidRPr="00047B76">
              <w:rPr>
                <w:rFonts w:ascii="Arial" w:hAnsi="Arial" w:cs="Arial"/>
                <w:b/>
                <w:sz w:val="14"/>
                <w:szCs w:val="14"/>
                <w:lang w:val="fr-CA"/>
              </w:rPr>
              <w:t>conference</w:t>
            </w:r>
            <w:proofErr w:type="spellEnd"/>
            <w:r w:rsidRPr="00047B76">
              <w:rPr>
                <w:rFonts w:ascii="Arial" w:hAnsi="Arial" w:cs="Arial"/>
                <w:b/>
                <w:sz w:val="14"/>
                <w:szCs w:val="14"/>
                <w:lang w:val="fr-CA"/>
              </w:rPr>
              <w:t xml:space="preserve"> </w:t>
            </w:r>
            <w:proofErr w:type="spellStart"/>
            <w:r w:rsidRPr="00047B76">
              <w:rPr>
                <w:rFonts w:ascii="Arial" w:hAnsi="Arial" w:cs="Arial"/>
                <w:b/>
                <w:sz w:val="14"/>
                <w:szCs w:val="14"/>
                <w:lang w:val="fr-CA"/>
              </w:rPr>
              <w:t>days</w:t>
            </w:r>
            <w:proofErr w:type="spellEnd"/>
            <w:r w:rsidRPr="00047B76">
              <w:rPr>
                <w:rFonts w:ascii="Arial" w:hAnsi="Arial" w:cs="Arial"/>
                <w:b/>
                <w:sz w:val="14"/>
                <w:szCs w:val="14"/>
                <w:lang w:val="fr-CA"/>
              </w:rPr>
              <w:t xml:space="preserve"> /</w:t>
            </w:r>
          </w:p>
          <w:p w:rsidR="00961C83" w:rsidRPr="00047B76" w:rsidRDefault="00961C83">
            <w:pPr>
              <w:tabs>
                <w:tab w:val="left" w:pos="203"/>
              </w:tabs>
              <w:rPr>
                <w:rFonts w:ascii="Arial" w:hAnsi="Arial" w:cs="Arial"/>
                <w:b/>
                <w:sz w:val="14"/>
                <w:szCs w:val="14"/>
                <w:lang w:val="fr-CA"/>
              </w:rPr>
            </w:pPr>
            <w:r w:rsidRPr="00047B76">
              <w:rPr>
                <w:rFonts w:ascii="Arial" w:hAnsi="Arial" w:cs="Arial"/>
                <w:b/>
                <w:sz w:val="14"/>
                <w:szCs w:val="14"/>
                <w:lang w:val="fr-CA"/>
              </w:rPr>
              <w:tab/>
              <w:t>jours de conférence de la Cour</w:t>
            </w:r>
          </w:p>
        </w:tc>
        <w:tc>
          <w:tcPr>
            <w:tcW w:w="3984" w:type="dxa"/>
            <w:tcMar>
              <w:top w:w="0" w:type="dxa"/>
              <w:left w:w="58" w:type="dxa"/>
              <w:bottom w:w="0" w:type="dxa"/>
              <w:right w:w="58" w:type="dxa"/>
            </w:tcMar>
            <w:hideMark/>
          </w:tcPr>
          <w:p w:rsidR="00961C83" w:rsidRPr="00047B76" w:rsidRDefault="00961C83">
            <w:pPr>
              <w:rPr>
                <w:rFonts w:ascii="Arial" w:hAnsi="Arial" w:cs="Arial"/>
                <w:b/>
                <w:sz w:val="14"/>
                <w:szCs w:val="14"/>
                <w:lang w:val="en-US"/>
              </w:rPr>
            </w:pPr>
            <w:r w:rsidRPr="00047B76">
              <w:rPr>
                <w:rFonts w:ascii="Arial" w:hAnsi="Arial" w:cs="Arial"/>
                <w:b/>
                <w:sz w:val="14"/>
                <w:szCs w:val="14"/>
                <w:lang w:val="en-US"/>
              </w:rPr>
              <w:t xml:space="preserve">Greek Orthodox Easter / </w:t>
            </w:r>
            <w:proofErr w:type="spellStart"/>
            <w:r w:rsidRPr="00047B76">
              <w:rPr>
                <w:rFonts w:ascii="Arial" w:hAnsi="Arial" w:cs="Arial"/>
                <w:b/>
                <w:sz w:val="14"/>
                <w:szCs w:val="14"/>
                <w:lang w:val="en-US"/>
              </w:rPr>
              <w:t>Pâques</w:t>
            </w:r>
            <w:proofErr w:type="spellEnd"/>
            <w:r w:rsidRPr="00047B76">
              <w:rPr>
                <w:rFonts w:ascii="Arial" w:hAnsi="Arial" w:cs="Arial"/>
                <w:b/>
                <w:sz w:val="14"/>
                <w:szCs w:val="14"/>
                <w:lang w:val="en-US"/>
              </w:rPr>
              <w:t xml:space="preserve"> </w:t>
            </w:r>
            <w:proofErr w:type="spellStart"/>
            <w:r w:rsidRPr="00047B76">
              <w:rPr>
                <w:rFonts w:ascii="Arial" w:hAnsi="Arial" w:cs="Arial"/>
                <w:b/>
                <w:sz w:val="14"/>
                <w:szCs w:val="14"/>
                <w:lang w:val="en-US"/>
              </w:rPr>
              <w:t>orthodoxe</w:t>
            </w:r>
            <w:proofErr w:type="spellEnd"/>
            <w:r w:rsidRPr="00047B76">
              <w:rPr>
                <w:rFonts w:ascii="Arial" w:hAnsi="Arial" w:cs="Arial"/>
                <w:b/>
                <w:sz w:val="14"/>
                <w:szCs w:val="14"/>
                <w:lang w:val="en-US"/>
              </w:rPr>
              <w:t xml:space="preserve"> </w:t>
            </w:r>
            <w:proofErr w:type="spellStart"/>
            <w:r w:rsidRPr="00047B76">
              <w:rPr>
                <w:rFonts w:ascii="Arial" w:hAnsi="Arial" w:cs="Arial"/>
                <w:b/>
                <w:sz w:val="14"/>
                <w:szCs w:val="14"/>
                <w:lang w:val="en-US"/>
              </w:rPr>
              <w:t>grecque</w:t>
            </w:r>
            <w:proofErr w:type="spellEnd"/>
          </w:p>
        </w:tc>
        <w:tc>
          <w:tcPr>
            <w:tcW w:w="450" w:type="dxa"/>
            <w:hideMark/>
          </w:tcPr>
          <w:p w:rsidR="00961C83" w:rsidRPr="00047B76" w:rsidRDefault="00961C83">
            <w:pPr>
              <w:jc w:val="center"/>
              <w:rPr>
                <w:rFonts w:ascii="Arial" w:hAnsi="Arial" w:cs="Arial"/>
                <w:b/>
                <w:sz w:val="14"/>
                <w:szCs w:val="14"/>
                <w:lang w:val="en-US"/>
              </w:rPr>
            </w:pPr>
            <w:r w:rsidRPr="00047B76">
              <w:rPr>
                <w:rFonts w:ascii="Arial" w:hAnsi="Arial" w:cs="Arial"/>
                <w:b/>
                <w:sz w:val="14"/>
                <w:szCs w:val="14"/>
                <w:lang w:val="en-US"/>
              </w:rPr>
              <w:t>GO</w:t>
            </w:r>
          </w:p>
        </w:tc>
      </w:tr>
      <w:tr w:rsidR="00961C83" w:rsidTr="00961C83">
        <w:trPr>
          <w:trHeight w:val="420"/>
        </w:trPr>
        <w:tc>
          <w:tcPr>
            <w:tcW w:w="1890" w:type="dxa"/>
            <w:tcBorders>
              <w:top w:val="nil"/>
              <w:left w:val="nil"/>
              <w:bottom w:val="nil"/>
              <w:right w:val="double" w:sz="4" w:space="0" w:color="auto"/>
            </w:tcBorders>
            <w:vAlign w:val="center"/>
            <w:hideMark/>
          </w:tcPr>
          <w:p w:rsidR="00961C83" w:rsidRPr="00047B76" w:rsidRDefault="00961C83">
            <w:pPr>
              <w:rPr>
                <w:rFonts w:ascii="Arial" w:hAnsi="Arial" w:cs="Arial"/>
                <w:b/>
                <w:sz w:val="14"/>
                <w:szCs w:val="14"/>
              </w:rPr>
            </w:pPr>
            <w:r w:rsidRPr="00047B76">
              <w:rPr>
                <w:rFonts w:ascii="Arial" w:hAnsi="Arial" w:cs="Arial"/>
                <w:b/>
                <w:sz w:val="14"/>
                <w:szCs w:val="14"/>
              </w:rPr>
              <w:t xml:space="preserve">Holiday / </w:t>
            </w:r>
            <w:r w:rsidRPr="00047B76">
              <w:rPr>
                <w:rFonts w:ascii="Arial" w:hAnsi="Arial" w:cs="Arial"/>
                <w:b/>
                <w:sz w:val="14"/>
                <w:szCs w:val="14"/>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961C83" w:rsidRPr="00047B76" w:rsidRDefault="00961C83">
            <w:pPr>
              <w:jc w:val="center"/>
              <w:rPr>
                <w:rFonts w:ascii="Arial" w:hAnsi="Arial" w:cs="Arial"/>
                <w:b/>
                <w:sz w:val="14"/>
                <w:szCs w:val="14"/>
              </w:rPr>
            </w:pPr>
            <w:r w:rsidRPr="00047B76">
              <w:rPr>
                <w:rFonts w:ascii="Arial" w:hAnsi="Arial" w:cs="Arial"/>
                <w:b/>
                <w:sz w:val="14"/>
                <w:szCs w:val="14"/>
              </w:rPr>
              <w:t>H</w:t>
            </w:r>
          </w:p>
        </w:tc>
        <w:tc>
          <w:tcPr>
            <w:tcW w:w="3666" w:type="dxa"/>
            <w:tcBorders>
              <w:top w:val="nil"/>
              <w:left w:val="double" w:sz="4" w:space="0" w:color="auto"/>
              <w:bottom w:val="nil"/>
              <w:right w:val="nil"/>
            </w:tcBorders>
            <w:hideMark/>
          </w:tcPr>
          <w:p w:rsidR="00961C83" w:rsidRPr="00047B76" w:rsidRDefault="00961C83">
            <w:pPr>
              <w:tabs>
                <w:tab w:val="left" w:pos="203"/>
              </w:tabs>
              <w:spacing w:before="120"/>
              <w:rPr>
                <w:rFonts w:ascii="Arial" w:hAnsi="Arial" w:cs="Arial"/>
                <w:b/>
                <w:sz w:val="14"/>
                <w:szCs w:val="14"/>
              </w:rPr>
            </w:pPr>
            <w:r w:rsidRPr="00047B76">
              <w:rPr>
                <w:rFonts w:ascii="Arial" w:hAnsi="Arial" w:cs="Arial"/>
                <w:b/>
                <w:sz w:val="14"/>
                <w:szCs w:val="14"/>
              </w:rPr>
              <w:t>4</w:t>
            </w:r>
            <w:r w:rsidRPr="00047B76">
              <w:rPr>
                <w:rFonts w:ascii="Arial" w:hAnsi="Arial" w:cs="Arial"/>
                <w:b/>
                <w:sz w:val="14"/>
                <w:szCs w:val="14"/>
              </w:rPr>
              <w:tab/>
              <w:t xml:space="preserve">holidays during sitting days / </w:t>
            </w:r>
          </w:p>
          <w:p w:rsidR="00961C83" w:rsidRDefault="00961C83">
            <w:pPr>
              <w:tabs>
                <w:tab w:val="left" w:pos="203"/>
              </w:tabs>
              <w:rPr>
                <w:rFonts w:ascii="Arial" w:hAnsi="Arial" w:cs="Arial"/>
                <w:b/>
                <w:sz w:val="14"/>
                <w:szCs w:val="14"/>
                <w:lang w:val="fr-CA"/>
              </w:rPr>
            </w:pPr>
            <w:r w:rsidRPr="00047B76">
              <w:rPr>
                <w:rFonts w:ascii="Arial" w:hAnsi="Arial" w:cs="Arial"/>
                <w:b/>
                <w:sz w:val="14"/>
                <w:szCs w:val="14"/>
              </w:rPr>
              <w:tab/>
            </w:r>
            <w:r w:rsidRPr="00047B76">
              <w:rPr>
                <w:rFonts w:ascii="Arial" w:hAnsi="Arial" w:cs="Arial"/>
                <w:b/>
                <w:sz w:val="14"/>
                <w:szCs w:val="14"/>
                <w:lang w:val="fr-CA"/>
              </w:rPr>
              <w:t>jours fériés durant les séances</w:t>
            </w:r>
          </w:p>
        </w:tc>
        <w:tc>
          <w:tcPr>
            <w:tcW w:w="3984" w:type="dxa"/>
            <w:tcMar>
              <w:top w:w="0" w:type="dxa"/>
              <w:left w:w="58" w:type="dxa"/>
              <w:bottom w:w="0" w:type="dxa"/>
              <w:right w:w="58" w:type="dxa"/>
            </w:tcMar>
          </w:tcPr>
          <w:p w:rsidR="00961C83" w:rsidRDefault="00961C83">
            <w:pPr>
              <w:rPr>
                <w:rFonts w:ascii="Arial" w:hAnsi="Arial" w:cs="Arial"/>
                <w:b/>
                <w:sz w:val="14"/>
                <w:szCs w:val="14"/>
                <w:lang w:val="fr-FR"/>
              </w:rPr>
            </w:pPr>
          </w:p>
        </w:tc>
        <w:tc>
          <w:tcPr>
            <w:tcW w:w="450" w:type="dxa"/>
          </w:tcPr>
          <w:p w:rsidR="00961C83" w:rsidRDefault="00961C83">
            <w:pPr>
              <w:jc w:val="center"/>
              <w:rPr>
                <w:rFonts w:ascii="Arial" w:hAnsi="Arial" w:cs="Arial"/>
                <w:b/>
                <w:sz w:val="14"/>
                <w:szCs w:val="14"/>
                <w:lang w:val="fr-FR"/>
              </w:rPr>
            </w:pPr>
          </w:p>
        </w:tc>
      </w:tr>
    </w:tbl>
    <w:p w:rsidR="002410B8" w:rsidRPr="0022323B" w:rsidRDefault="002410B8" w:rsidP="00961C83">
      <w:pPr>
        <w:tabs>
          <w:tab w:val="center" w:pos="5220"/>
          <w:tab w:val="right" w:pos="10800"/>
        </w:tabs>
        <w:rPr>
          <w:lang w:val="fr-CA"/>
        </w:rPr>
      </w:pPr>
    </w:p>
    <w:sectPr w:rsidR="002410B8" w:rsidRPr="0022323B" w:rsidSect="003008F5">
      <w:headerReference w:type="default" r:id="rId129"/>
      <w:footerReference w:type="default" r:id="rId130"/>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6E8" w:rsidRDefault="009A56E8" w:rsidP="00A87207">
      <w:r>
        <w:separator/>
      </w:r>
    </w:p>
  </w:endnote>
  <w:endnote w:type="continuationSeparator" w:id="0">
    <w:p w:rsidR="009A56E8" w:rsidRDefault="009A56E8"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E8" w:rsidRDefault="009A56E8" w:rsidP="00A87207">
    <w:pPr>
      <w:pStyle w:val="Footer"/>
    </w:pPr>
    <w:r>
      <w:pict>
        <v:rect id="_x0000_i1031" style="width:480.95pt;height:1pt" o:hralign="center" o:hrstd="t" o:hrnoshade="t" o:hr="t" fillcolor="black [3213]" stroked="f"/>
      </w:pict>
    </w:r>
  </w:p>
  <w:p w:rsidR="009A56E8" w:rsidRPr="00B7374B" w:rsidRDefault="009A56E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501</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E8" w:rsidRDefault="009A56E8" w:rsidP="00EB2B90">
    <w:pPr>
      <w:tabs>
        <w:tab w:val="center" w:pos="4680"/>
      </w:tabs>
    </w:pPr>
    <w:r>
      <w:pict>
        <v:rect id="_x0000_i1074" style="width:480.95pt;height:1pt" o:hralign="center" o:hrstd="t" o:hrnoshade="t" o:hr="t" fillcolor="black [3213]" stroked="f"/>
      </w:pict>
    </w:r>
  </w:p>
  <w:p w:rsidR="009A56E8" w:rsidRPr="0031432F" w:rsidRDefault="009A56E8" w:rsidP="00EB2B90">
    <w:pPr>
      <w:tabs>
        <w:tab w:val="center" w:pos="4680"/>
      </w:tabs>
    </w:pPr>
    <w:r>
      <w:tab/>
      <w:t xml:space="preserve">- </w:t>
    </w:r>
    <w:r>
      <w:fldChar w:fldCharType="begin"/>
    </w:r>
    <w:r>
      <w:instrText xml:space="preserve"> PAGE   \* MERGEFORMAT </w:instrText>
    </w:r>
    <w:r>
      <w:fldChar w:fldCharType="separate"/>
    </w:r>
    <w:r w:rsidR="00453A3F">
      <w:rPr>
        <w:noProof/>
      </w:rPr>
      <w:t>34</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E8" w:rsidRDefault="009A5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A56E8" w:rsidRDefault="009A5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A56E8" w:rsidRDefault="009A56E8">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E8" w:rsidRDefault="009A56E8" w:rsidP="00732DB7">
    <w:r>
      <w:pict>
        <v:rect id="_x0000_i1079" style="width:480.95pt;height:1pt" o:hralign="center" o:hrstd="t" o:hrnoshade="t" o:hr="t" fillcolor="black" stroked="f"/>
      </w:pict>
    </w:r>
  </w:p>
  <w:p w:rsidR="009A56E8" w:rsidRDefault="009A56E8">
    <w:pPr>
      <w:tabs>
        <w:tab w:val="center" w:pos="4740"/>
      </w:tabs>
      <w:spacing w:line="0" w:lineRule="atLeast"/>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E8" w:rsidRDefault="009A56E8">
    <w:pPr>
      <w:pStyle w:val="Footer"/>
    </w:pPr>
    <w:r>
      <w:pict>
        <v:rect id="_x0000_i1080" style="width:480.95pt;height:1pt" o:hralign="center" o:hrstd="t" o:hrnoshade="t" o:hr="t" fillcolor="black" stroked="f"/>
      </w:pict>
    </w:r>
  </w:p>
  <w:p w:rsidR="009A56E8" w:rsidRPr="00283C52" w:rsidRDefault="009A56E8">
    <w:pPr>
      <w:pStyle w:val="Footer"/>
    </w:pPr>
    <w:r>
      <w:tab/>
    </w:r>
    <w:r w:rsidRPr="00283C52">
      <w:t xml:space="preserve">- </w:t>
    </w:r>
    <w:r w:rsidRPr="00283C52">
      <w:pgNum/>
    </w:r>
    <w:r w:rsidRPr="00283C52">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E8" w:rsidRDefault="009A5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A56E8" w:rsidRDefault="009A5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A56E8" w:rsidRDefault="009A56E8">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E8" w:rsidRDefault="009A5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A56E8" w:rsidRDefault="009A5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3" style="width:480.95pt;height:1pt" o:hralign="center" o:hrstd="t" o:hrnoshade="t" o:hr="t" fillcolor="black [3213]" stroked="f"/>
      </w:pict>
    </w:r>
  </w:p>
  <w:p w:rsidR="009A56E8" w:rsidRDefault="009A56E8"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523</w:t>
    </w:r>
    <w:r w:rsidRPr="001775C1">
      <w:rPr>
        <w:szCs w:val="24"/>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E8" w:rsidRDefault="009A56E8" w:rsidP="00782AE4">
    <w:pPr>
      <w:tabs>
        <w:tab w:val="center" w:pos="4680"/>
      </w:tabs>
    </w:pPr>
    <w:r>
      <w:pict>
        <v:rect id="_x0000_i1084" style="width:480.95pt;height:1pt" o:hralign="center" o:hrstd="t" o:hrnoshade="t" o:hr="t" fillcolor="black [3213]" stroked="f"/>
      </w:pict>
    </w:r>
  </w:p>
  <w:p w:rsidR="009A56E8" w:rsidRDefault="009A56E8"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453A3F">
      <w:rPr>
        <w:noProof/>
        <w:szCs w:val="24"/>
      </w:rPr>
      <w:t>39</w:t>
    </w:r>
    <w:r w:rsidRPr="001775C1">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E8" w:rsidRPr="00924065" w:rsidRDefault="009A56E8"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E8" w:rsidRDefault="009A56E8" w:rsidP="00755F22">
    <w:pPr>
      <w:tabs>
        <w:tab w:val="left" w:pos="-1440"/>
        <w:tab w:val="left" w:pos="-720"/>
      </w:tabs>
    </w:pPr>
    <w:r>
      <w:pict>
        <v:rect id="_x0000_i1032" style="width:480.95pt;height:1pt" o:hralign="center" o:hrstd="t" o:hrnoshade="t" o:hr="t" fillcolor="black [3213]" stroked="f"/>
      </w:pict>
    </w:r>
  </w:p>
  <w:p w:rsidR="009A56E8" w:rsidRPr="00954D22" w:rsidRDefault="009A56E8"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453A3F">
      <w:rPr>
        <w:noProof/>
        <w:szCs w:val="24"/>
      </w:rPr>
      <w:t>1</w:t>
    </w:r>
    <w:r>
      <w:rPr>
        <w:szCs w:val="24"/>
      </w:rPr>
      <w:fldChar w:fldCharType="end"/>
    </w:r>
    <w:r w:rsidRPr="00954D22">
      <w:rPr>
        <w:szCs w:val="24"/>
      </w:rPr>
      <w:t xml:space="preserve"> -</w:t>
    </w:r>
  </w:p>
  <w:p w:rsidR="009A56E8" w:rsidRDefault="009A56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E8" w:rsidRDefault="009A56E8" w:rsidP="00A87207">
    <w:pPr>
      <w:pStyle w:val="Footer"/>
    </w:pPr>
    <w:r>
      <w:pict>
        <v:rect id="_x0000_i1034" style="width:480.95pt;height:1pt" o:hralign="center" o:hrstd="t" o:hrnoshade="t" o:hr="t" fillcolor="black [3213]" stroked="f"/>
      </w:pict>
    </w:r>
  </w:p>
  <w:p w:rsidR="009A56E8" w:rsidRPr="00B7374B" w:rsidRDefault="009A56E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E8" w:rsidRDefault="009A56E8"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5" style="width:480.95pt;height:1pt" o:hralign="center" o:hrstd="t" o:hrnoshade="t" o:hr="t" fillcolor="black [3213]" stroked="f"/>
      </w:pict>
    </w:r>
  </w:p>
  <w:p w:rsidR="009A56E8" w:rsidRPr="00954D22" w:rsidRDefault="009A56E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453A3F">
      <w:rPr>
        <w:noProof/>
        <w:szCs w:val="24"/>
      </w:rPr>
      <w:t>2</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E8" w:rsidRDefault="009A5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9A56E8" w:rsidRDefault="009A5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A56E8" w:rsidRDefault="009A56E8">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E8" w:rsidRDefault="009A5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0" style="width:480.95pt;height:1pt" o:hralign="center" o:hrstd="t" o:hrnoshade="t" o:hr="t" fillcolor="black [3213]" stroked="f"/>
      </w:pict>
    </w:r>
  </w:p>
  <w:p w:rsidR="009A56E8" w:rsidRPr="0009648D" w:rsidRDefault="009A56E8" w:rsidP="00ED7E83">
    <w:pPr>
      <w:tabs>
        <w:tab w:val="center" w:pos="4680"/>
      </w:tabs>
    </w:pPr>
    <w:r>
      <w:tab/>
    </w:r>
    <w:r w:rsidRPr="0009648D">
      <w:t xml:space="preserve">- </w:t>
    </w:r>
    <w:r>
      <w:fldChar w:fldCharType="begin"/>
    </w:r>
    <w:r>
      <w:instrText xml:space="preserve"> PAGE   \* MERGEFORMAT </w:instrText>
    </w:r>
    <w:r>
      <w:fldChar w:fldCharType="separate"/>
    </w:r>
    <w:r w:rsidR="00453A3F">
      <w:rPr>
        <w:noProof/>
      </w:rPr>
      <w:t>18</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E8" w:rsidRDefault="009A56E8">
    <w:pPr>
      <w:pStyle w:val="Footer"/>
      <w:rPr>
        <w:lang w:val="fr-CA"/>
      </w:rPr>
    </w:pPr>
    <w:r>
      <w:rPr>
        <w:lang w:val="fr-CA"/>
      </w:rPr>
      <w:pict>
        <v:rect id="_x0000_i1071" style="width:480.95pt;height:1pt" o:hralign="center" o:hrstd="t" o:hrnoshade="t" o:hr="t" fillcolor="black [3213]" stroked="f"/>
      </w:pict>
    </w:r>
  </w:p>
  <w:p w:rsidR="009A56E8" w:rsidRDefault="009A56E8" w:rsidP="00245129">
    <w:pPr>
      <w:tabs>
        <w:tab w:val="center" w:pos="4680"/>
      </w:tabs>
    </w:pPr>
    <w:r>
      <w:tab/>
    </w:r>
    <w:r w:rsidRPr="0009648D">
      <w:t xml:space="preserve">- </w:t>
    </w:r>
    <w:r>
      <w:fldChar w:fldCharType="begin"/>
    </w:r>
    <w:r>
      <w:instrText xml:space="preserve"> PAGE   \* MERGEFORMAT </w:instrText>
    </w:r>
    <w:r>
      <w:fldChar w:fldCharType="separate"/>
    </w:r>
    <w:r w:rsidR="00453A3F">
      <w:rPr>
        <w:noProof/>
      </w:rPr>
      <w:t>3</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E8" w:rsidRDefault="009A5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A56E8" w:rsidRDefault="009A5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A56E8" w:rsidRDefault="009A56E8">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E8" w:rsidRDefault="009A56E8" w:rsidP="00755F22">
    <w:pPr>
      <w:tabs>
        <w:tab w:val="left" w:pos="-1440"/>
        <w:tab w:val="left" w:pos="-720"/>
      </w:tabs>
    </w:pPr>
    <w:r>
      <w:pict>
        <v:rect id="_x0000_i1073" style="width:480.95pt;height:1pt" o:hralign="center" o:hrstd="t" o:hrnoshade="t" o:hr="t" fillcolor="black [3213]" stroked="f"/>
      </w:pict>
    </w:r>
  </w:p>
  <w:p w:rsidR="009A56E8" w:rsidRDefault="009A56E8" w:rsidP="00EB2B90">
    <w:pPr>
      <w:tabs>
        <w:tab w:val="center" w:pos="4680"/>
      </w:tabs>
    </w:pPr>
    <w:r>
      <w:tab/>
      <w:t xml:space="preserve">- </w:t>
    </w:r>
    <w:r>
      <w:fldChar w:fldCharType="begin"/>
    </w:r>
    <w:r>
      <w:instrText xml:space="preserve"> PAGE   \* MERGEFORMAT </w:instrText>
    </w:r>
    <w:r>
      <w:fldChar w:fldCharType="separate"/>
    </w:r>
    <w:r w:rsidR="00453A3F">
      <w:rPr>
        <w:noProof/>
      </w:rPr>
      <w:t>35</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6E8" w:rsidRDefault="009A56E8" w:rsidP="00A87207">
      <w:r>
        <w:separator/>
      </w:r>
    </w:p>
  </w:footnote>
  <w:footnote w:type="continuationSeparator" w:id="0">
    <w:p w:rsidR="009A56E8" w:rsidRDefault="009A56E8"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9A56E8" w:rsidRPr="0044776A" w:rsidTr="00245129">
      <w:tc>
        <w:tcPr>
          <w:tcW w:w="4290" w:type="dxa"/>
          <w:tcMar>
            <w:left w:w="0" w:type="dxa"/>
            <w:right w:w="0" w:type="dxa"/>
          </w:tcMar>
        </w:tcPr>
        <w:p w:rsidR="009A56E8" w:rsidRPr="0044776A" w:rsidRDefault="009A56E8"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9A56E8" w:rsidRPr="0044776A" w:rsidRDefault="009A56E8" w:rsidP="002E2327">
          <w:pPr>
            <w:keepNext/>
            <w:keepLines/>
            <w:tabs>
              <w:tab w:val="left" w:pos="-1440"/>
              <w:tab w:val="left" w:pos="-720"/>
            </w:tabs>
            <w:jc w:val="center"/>
            <w:rPr>
              <w:sz w:val="20"/>
              <w:szCs w:val="20"/>
            </w:rPr>
          </w:pPr>
        </w:p>
        <w:p w:rsidR="009A56E8" w:rsidRPr="0044776A" w:rsidRDefault="009A56E8" w:rsidP="002E2327">
          <w:pPr>
            <w:keepNext/>
            <w:keepLines/>
            <w:tabs>
              <w:tab w:val="left" w:pos="-1440"/>
              <w:tab w:val="left" w:pos="-720"/>
            </w:tabs>
            <w:jc w:val="center"/>
            <w:rPr>
              <w:sz w:val="20"/>
              <w:szCs w:val="20"/>
            </w:rPr>
          </w:pPr>
        </w:p>
        <w:p w:rsidR="009A56E8" w:rsidRPr="0044776A" w:rsidRDefault="009A56E8" w:rsidP="002E2327">
          <w:pPr>
            <w:keepNext/>
            <w:keepLines/>
            <w:tabs>
              <w:tab w:val="left" w:pos="-1440"/>
              <w:tab w:val="left" w:pos="-720"/>
            </w:tabs>
            <w:jc w:val="center"/>
            <w:rPr>
              <w:sz w:val="20"/>
              <w:szCs w:val="20"/>
            </w:rPr>
          </w:pPr>
        </w:p>
      </w:tc>
      <w:tc>
        <w:tcPr>
          <w:tcW w:w="4320" w:type="dxa"/>
          <w:tcMar>
            <w:left w:w="0" w:type="dxa"/>
            <w:right w:w="0" w:type="dxa"/>
          </w:tcMar>
        </w:tcPr>
        <w:p w:rsidR="009A56E8" w:rsidRPr="0044776A" w:rsidRDefault="009A56E8" w:rsidP="002E2327">
          <w:pPr>
            <w:keepLines/>
            <w:rPr>
              <w:sz w:val="20"/>
              <w:szCs w:val="20"/>
              <w:lang w:val="fr-CA"/>
            </w:rPr>
          </w:pPr>
          <w:r w:rsidRPr="0044776A">
            <w:rPr>
              <w:sz w:val="20"/>
              <w:szCs w:val="20"/>
              <w:lang w:val="fr-CA"/>
            </w:rPr>
            <w:t>DEMANDES D'AUTORISATION D'APPEL DÉPOSÉES</w:t>
          </w:r>
        </w:p>
      </w:tc>
    </w:tr>
  </w:tbl>
  <w:p w:rsidR="009A56E8" w:rsidRDefault="009A56E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E8" w:rsidRDefault="009A56E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A56E8" w:rsidRPr="00957F6E">
      <w:tc>
        <w:tcPr>
          <w:tcW w:w="4200" w:type="dxa"/>
          <w:tcMar>
            <w:left w:w="0" w:type="dxa"/>
            <w:right w:w="0" w:type="dxa"/>
          </w:tcMar>
        </w:tcPr>
        <w:p w:rsidR="009A56E8" w:rsidRDefault="009A56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9A56E8" w:rsidRDefault="009A56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A56E8" w:rsidRPr="00283C52" w:rsidRDefault="009A56E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9A56E8" w:rsidRPr="00283C52" w:rsidRDefault="009A5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9A56E8" w:rsidRPr="00283C52" w:rsidRDefault="009A5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A56E8" w:rsidRPr="00957F6E" w:rsidTr="00245129">
      <w:tc>
        <w:tcPr>
          <w:tcW w:w="4200" w:type="dxa"/>
          <w:tcMar>
            <w:left w:w="0" w:type="dxa"/>
            <w:right w:w="0" w:type="dxa"/>
          </w:tcMar>
        </w:tcPr>
        <w:p w:rsidR="009A56E8" w:rsidRPr="00732DB7" w:rsidRDefault="009A56E8" w:rsidP="005D6EED">
          <w:pPr>
            <w:keepNext/>
            <w:keepLines/>
            <w:tabs>
              <w:tab w:val="left" w:pos="-1440"/>
              <w:tab w:val="left" w:pos="-720"/>
            </w:tabs>
            <w:rPr>
              <w:sz w:val="20"/>
              <w:szCs w:val="20"/>
            </w:rPr>
          </w:pPr>
          <w:r w:rsidRPr="00732DB7">
            <w:rPr>
              <w:sz w:val="20"/>
              <w:szCs w:val="20"/>
            </w:rPr>
            <w:t xml:space="preserve">Appeals </w:t>
          </w:r>
          <w:r>
            <w:rPr>
              <w:sz w:val="20"/>
              <w:szCs w:val="20"/>
            </w:rPr>
            <w:t>h</w:t>
          </w:r>
          <w:r w:rsidRPr="00732DB7">
            <w:rPr>
              <w:sz w:val="20"/>
              <w:szCs w:val="20"/>
            </w:rPr>
            <w:t xml:space="preserve">eard </w:t>
          </w:r>
          <w:r>
            <w:rPr>
              <w:sz w:val="20"/>
              <w:szCs w:val="20"/>
            </w:rPr>
            <w:t>s</w:t>
          </w:r>
          <w:r w:rsidRPr="00732DB7">
            <w:rPr>
              <w:sz w:val="20"/>
              <w:szCs w:val="20"/>
            </w:rPr>
            <w:t>ince</w:t>
          </w:r>
          <w:r>
            <w:rPr>
              <w:sz w:val="20"/>
              <w:szCs w:val="20"/>
            </w:rPr>
            <w:t xml:space="preserve"> the</w:t>
          </w:r>
          <w:r w:rsidRPr="00732DB7">
            <w:rPr>
              <w:sz w:val="20"/>
              <w:szCs w:val="20"/>
            </w:rPr>
            <w:t xml:space="preserve"> </w:t>
          </w:r>
          <w:r>
            <w:rPr>
              <w:sz w:val="20"/>
              <w:szCs w:val="20"/>
            </w:rPr>
            <w:t>l</w:t>
          </w:r>
          <w:r w:rsidRPr="00732DB7">
            <w:rPr>
              <w:sz w:val="20"/>
              <w:szCs w:val="20"/>
            </w:rPr>
            <w:t xml:space="preserve">ast </w:t>
          </w:r>
          <w:r>
            <w:rPr>
              <w:sz w:val="20"/>
              <w:szCs w:val="20"/>
            </w:rPr>
            <w:t>i</w:t>
          </w:r>
          <w:r w:rsidRPr="00732DB7">
            <w:rPr>
              <w:sz w:val="20"/>
              <w:szCs w:val="20"/>
            </w:rPr>
            <w:t xml:space="preserve">ssue </w:t>
          </w:r>
          <w:r>
            <w:rPr>
              <w:sz w:val="20"/>
              <w:szCs w:val="20"/>
            </w:rPr>
            <w:t>a</w:t>
          </w:r>
          <w:r w:rsidRPr="00732DB7">
            <w:rPr>
              <w:sz w:val="20"/>
              <w:szCs w:val="20"/>
            </w:rPr>
            <w:t xml:space="preserve">nd </w:t>
          </w:r>
          <w:r>
            <w:rPr>
              <w:sz w:val="20"/>
              <w:szCs w:val="20"/>
            </w:rPr>
            <w:t>d</w:t>
          </w:r>
          <w:r w:rsidRPr="00732DB7">
            <w:rPr>
              <w:sz w:val="20"/>
              <w:szCs w:val="20"/>
            </w:rPr>
            <w:t>isposition</w:t>
          </w:r>
        </w:p>
      </w:tc>
      <w:tc>
        <w:tcPr>
          <w:tcW w:w="1200" w:type="dxa"/>
          <w:tcMar>
            <w:left w:w="0" w:type="dxa"/>
            <w:right w:w="0" w:type="dxa"/>
          </w:tcMar>
        </w:tcPr>
        <w:p w:rsidR="009A56E8" w:rsidRPr="00732DB7" w:rsidRDefault="009A56E8" w:rsidP="00732DB7">
          <w:pPr>
            <w:keepNext/>
            <w:keepLines/>
            <w:tabs>
              <w:tab w:val="left" w:pos="-1440"/>
              <w:tab w:val="left" w:pos="-720"/>
            </w:tabs>
            <w:jc w:val="center"/>
            <w:rPr>
              <w:sz w:val="20"/>
              <w:szCs w:val="20"/>
            </w:rPr>
          </w:pPr>
        </w:p>
        <w:p w:rsidR="009A56E8" w:rsidRPr="00732DB7" w:rsidRDefault="009A56E8" w:rsidP="00732DB7">
          <w:pPr>
            <w:keepNext/>
            <w:keepLines/>
            <w:tabs>
              <w:tab w:val="left" w:pos="-1440"/>
              <w:tab w:val="left" w:pos="-720"/>
            </w:tabs>
            <w:jc w:val="center"/>
            <w:rPr>
              <w:sz w:val="20"/>
              <w:szCs w:val="20"/>
            </w:rPr>
          </w:pPr>
        </w:p>
        <w:p w:rsidR="009A56E8" w:rsidRPr="00732DB7" w:rsidRDefault="009A56E8" w:rsidP="00732DB7">
          <w:pPr>
            <w:keepNext/>
            <w:keepLines/>
            <w:tabs>
              <w:tab w:val="left" w:pos="-1440"/>
              <w:tab w:val="left" w:pos="-720"/>
            </w:tabs>
            <w:jc w:val="center"/>
            <w:rPr>
              <w:sz w:val="20"/>
              <w:szCs w:val="20"/>
            </w:rPr>
          </w:pPr>
        </w:p>
      </w:tc>
      <w:tc>
        <w:tcPr>
          <w:tcW w:w="4080" w:type="dxa"/>
          <w:tcMar>
            <w:left w:w="0" w:type="dxa"/>
            <w:right w:w="0" w:type="dxa"/>
          </w:tcMar>
        </w:tcPr>
        <w:p w:rsidR="009A56E8" w:rsidRPr="00732DB7" w:rsidRDefault="009A56E8" w:rsidP="005D6EED">
          <w:pPr>
            <w:keepLines/>
            <w:tabs>
              <w:tab w:val="left" w:pos="-1440"/>
              <w:tab w:val="left" w:pos="-720"/>
            </w:tabs>
            <w:rPr>
              <w:sz w:val="20"/>
              <w:szCs w:val="20"/>
              <w:lang w:val="fr-CA"/>
            </w:rPr>
          </w:pPr>
          <w:r w:rsidRPr="00732DB7">
            <w:rPr>
              <w:sz w:val="20"/>
              <w:szCs w:val="20"/>
              <w:lang w:val="fr-CA"/>
            </w:rPr>
            <w:t xml:space="preserve">Appels </w:t>
          </w:r>
          <w:r>
            <w:rPr>
              <w:sz w:val="20"/>
              <w:szCs w:val="20"/>
              <w:lang w:val="fr-CA"/>
            </w:rPr>
            <w:t>e</w:t>
          </w:r>
          <w:r w:rsidRPr="00732DB7">
            <w:rPr>
              <w:sz w:val="20"/>
              <w:szCs w:val="20"/>
              <w:lang w:val="fr-CA"/>
            </w:rPr>
            <w:t xml:space="preserve">ntendus </w:t>
          </w:r>
          <w:r>
            <w:rPr>
              <w:sz w:val="20"/>
              <w:szCs w:val="20"/>
              <w:lang w:val="fr-CA"/>
            </w:rPr>
            <w:t>d</w:t>
          </w:r>
          <w:r w:rsidRPr="00732DB7">
            <w:rPr>
              <w:sz w:val="20"/>
              <w:szCs w:val="20"/>
              <w:lang w:val="fr-CA"/>
            </w:rPr>
            <w:t xml:space="preserve">epuis </w:t>
          </w:r>
          <w:r>
            <w:rPr>
              <w:sz w:val="20"/>
              <w:szCs w:val="20"/>
              <w:lang w:val="fr-CA"/>
            </w:rPr>
            <w:t>l</w:t>
          </w:r>
          <w:r w:rsidRPr="00732DB7">
            <w:rPr>
              <w:sz w:val="20"/>
              <w:szCs w:val="20"/>
              <w:lang w:val="fr-CA"/>
            </w:rPr>
            <w:t xml:space="preserve">a </w:t>
          </w:r>
          <w:r>
            <w:rPr>
              <w:sz w:val="20"/>
              <w:szCs w:val="20"/>
              <w:lang w:val="fr-CA"/>
            </w:rPr>
            <w:t>d</w:t>
          </w:r>
          <w:r w:rsidRPr="00732DB7">
            <w:rPr>
              <w:sz w:val="20"/>
              <w:szCs w:val="20"/>
              <w:lang w:val="fr-CA"/>
            </w:rPr>
            <w:t xml:space="preserve">ernière </w:t>
          </w:r>
          <w:r>
            <w:rPr>
              <w:sz w:val="20"/>
              <w:szCs w:val="20"/>
              <w:lang w:val="fr-CA"/>
            </w:rPr>
            <w:t>p</w:t>
          </w:r>
          <w:r w:rsidRPr="00732DB7">
            <w:rPr>
              <w:sz w:val="20"/>
              <w:szCs w:val="20"/>
              <w:lang w:val="fr-CA"/>
            </w:rPr>
            <w:t xml:space="preserve">arution </w:t>
          </w:r>
          <w:r>
            <w:rPr>
              <w:sz w:val="20"/>
              <w:szCs w:val="20"/>
              <w:lang w:val="fr-CA"/>
            </w:rPr>
            <w:t>e</w:t>
          </w:r>
          <w:r w:rsidRPr="00732DB7">
            <w:rPr>
              <w:sz w:val="20"/>
              <w:szCs w:val="20"/>
              <w:lang w:val="fr-CA"/>
            </w:rPr>
            <w:t xml:space="preserve">t </w:t>
          </w:r>
          <w:r>
            <w:rPr>
              <w:sz w:val="20"/>
              <w:szCs w:val="20"/>
              <w:lang w:val="fr-CA"/>
            </w:rPr>
            <w:t>r</w:t>
          </w:r>
          <w:r w:rsidRPr="00732DB7">
            <w:rPr>
              <w:sz w:val="20"/>
              <w:szCs w:val="20"/>
              <w:lang w:val="fr-CA"/>
            </w:rPr>
            <w:t>ésultat</w:t>
          </w:r>
        </w:p>
      </w:tc>
    </w:tr>
  </w:tbl>
  <w:p w:rsidR="009A56E8" w:rsidRPr="00283C52" w:rsidRDefault="009A56E8"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E8" w:rsidRDefault="009A56E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9A56E8">
      <w:tc>
        <w:tcPr>
          <w:tcW w:w="4230" w:type="dxa"/>
          <w:tcMar>
            <w:left w:w="0" w:type="dxa"/>
            <w:right w:w="0" w:type="dxa"/>
          </w:tcMar>
        </w:tcPr>
        <w:p w:rsidR="009A56E8" w:rsidRDefault="009A56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9A56E8" w:rsidRDefault="009A56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9A56E8" w:rsidRDefault="009A56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9A56E8" w:rsidRDefault="009A56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A56E8" w:rsidRDefault="009A56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9A56E8" w:rsidRDefault="009A56E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9A56E8" w:rsidRDefault="009A5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A56E8" w:rsidRDefault="009A5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9A56E8" w:rsidRPr="00782AE4" w:rsidTr="00245129">
      <w:tc>
        <w:tcPr>
          <w:tcW w:w="4230" w:type="dxa"/>
          <w:tcMar>
            <w:left w:w="0" w:type="dxa"/>
            <w:right w:w="0" w:type="dxa"/>
          </w:tcMar>
        </w:tcPr>
        <w:p w:rsidR="009A56E8" w:rsidRPr="00782AE4" w:rsidRDefault="009A56E8" w:rsidP="00102926">
          <w:pPr>
            <w:keepNext/>
            <w:keepLines/>
            <w:tabs>
              <w:tab w:val="left" w:pos="-1440"/>
              <w:tab w:val="left" w:pos="-720"/>
            </w:tabs>
            <w:rPr>
              <w:sz w:val="20"/>
              <w:szCs w:val="20"/>
            </w:rPr>
          </w:pPr>
          <w:r w:rsidRPr="00782AE4">
            <w:rPr>
              <w:sz w:val="20"/>
              <w:szCs w:val="20"/>
            </w:rPr>
            <w:t xml:space="preserve">HEADNOTES OF RECENT </w:t>
          </w:r>
        </w:p>
        <w:p w:rsidR="009A56E8" w:rsidRPr="00782AE4" w:rsidRDefault="009A56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9A56E8" w:rsidRDefault="009A56E8" w:rsidP="00102926">
          <w:pPr>
            <w:keepNext/>
            <w:keepLines/>
            <w:tabs>
              <w:tab w:val="left" w:pos="-1440"/>
              <w:tab w:val="left" w:pos="-720"/>
            </w:tabs>
            <w:jc w:val="center"/>
            <w:rPr>
              <w:sz w:val="20"/>
              <w:szCs w:val="20"/>
            </w:rPr>
          </w:pPr>
        </w:p>
        <w:p w:rsidR="009A56E8" w:rsidRDefault="009A56E8" w:rsidP="00102926">
          <w:pPr>
            <w:keepNext/>
            <w:keepLines/>
            <w:tabs>
              <w:tab w:val="left" w:pos="-1440"/>
              <w:tab w:val="left" w:pos="-720"/>
            </w:tabs>
            <w:jc w:val="center"/>
            <w:rPr>
              <w:sz w:val="20"/>
              <w:szCs w:val="20"/>
            </w:rPr>
          </w:pPr>
        </w:p>
        <w:p w:rsidR="009A56E8" w:rsidRPr="00782AE4" w:rsidRDefault="009A56E8" w:rsidP="00102926">
          <w:pPr>
            <w:keepNext/>
            <w:keepLines/>
            <w:tabs>
              <w:tab w:val="left" w:pos="-1440"/>
              <w:tab w:val="left" w:pos="-720"/>
            </w:tabs>
            <w:jc w:val="center"/>
            <w:rPr>
              <w:sz w:val="20"/>
              <w:szCs w:val="20"/>
            </w:rPr>
          </w:pPr>
        </w:p>
      </w:tc>
      <w:tc>
        <w:tcPr>
          <w:tcW w:w="4080" w:type="dxa"/>
          <w:tcMar>
            <w:left w:w="0" w:type="dxa"/>
            <w:right w:w="0" w:type="dxa"/>
          </w:tcMar>
        </w:tcPr>
        <w:p w:rsidR="009A56E8" w:rsidRPr="00102926" w:rsidRDefault="009A56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9A56E8" w:rsidRPr="00782AE4" w:rsidRDefault="009A56E8" w:rsidP="00102926">
          <w:pPr>
            <w:keepLines/>
            <w:tabs>
              <w:tab w:val="left" w:pos="-1440"/>
              <w:tab w:val="left" w:pos="-720"/>
            </w:tabs>
            <w:rPr>
              <w:sz w:val="20"/>
              <w:szCs w:val="20"/>
            </w:rPr>
          </w:pPr>
          <w:r w:rsidRPr="00102926">
            <w:rPr>
              <w:sz w:val="20"/>
              <w:szCs w:val="20"/>
              <w:lang w:val="fr-CA"/>
            </w:rPr>
            <w:t>RÉCENTS</w:t>
          </w:r>
        </w:p>
      </w:tc>
    </w:tr>
  </w:tbl>
  <w:p w:rsidR="009A56E8" w:rsidRDefault="009A56E8"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E8" w:rsidRDefault="009A56E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E8" w:rsidRDefault="009A56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E8" w:rsidRDefault="009A56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A56E8" w:rsidRPr="00957F6E" w:rsidTr="00245129">
      <w:tc>
        <w:tcPr>
          <w:tcW w:w="4200" w:type="dxa"/>
          <w:tcMar>
            <w:left w:w="0" w:type="dxa"/>
            <w:right w:w="0" w:type="dxa"/>
          </w:tcMar>
        </w:tcPr>
        <w:p w:rsidR="009A56E8" w:rsidRPr="00A81DCF" w:rsidRDefault="009A56E8" w:rsidP="0044776A">
          <w:pPr>
            <w:keepNext/>
            <w:keepLines/>
            <w:widowControl w:val="0"/>
            <w:rPr>
              <w:sz w:val="20"/>
              <w:szCs w:val="20"/>
              <w:lang w:val="en-US"/>
            </w:rPr>
          </w:pPr>
          <w:r w:rsidRPr="00A81DCF">
            <w:rPr>
              <w:sz w:val="20"/>
              <w:lang w:val="en-US"/>
            </w:rPr>
            <w:t>Applications for leave submitted to the Court since the last issue</w:t>
          </w:r>
        </w:p>
      </w:tc>
      <w:tc>
        <w:tcPr>
          <w:tcW w:w="1200" w:type="dxa"/>
          <w:tcMar>
            <w:left w:w="0" w:type="dxa"/>
            <w:right w:w="0" w:type="dxa"/>
          </w:tcMar>
        </w:tcPr>
        <w:p w:rsidR="009A56E8" w:rsidRPr="0044776A" w:rsidRDefault="009A56E8" w:rsidP="0044776A">
          <w:pPr>
            <w:keepNext/>
            <w:keepLines/>
            <w:widowControl w:val="0"/>
            <w:jc w:val="center"/>
            <w:rPr>
              <w:sz w:val="20"/>
              <w:szCs w:val="20"/>
            </w:rPr>
          </w:pPr>
        </w:p>
        <w:p w:rsidR="009A56E8" w:rsidRPr="0044776A" w:rsidRDefault="009A56E8" w:rsidP="0044776A">
          <w:pPr>
            <w:keepNext/>
            <w:keepLines/>
            <w:widowControl w:val="0"/>
            <w:jc w:val="center"/>
            <w:rPr>
              <w:sz w:val="20"/>
              <w:szCs w:val="20"/>
            </w:rPr>
          </w:pPr>
        </w:p>
        <w:p w:rsidR="009A56E8" w:rsidRPr="0044776A" w:rsidRDefault="009A56E8" w:rsidP="0044776A">
          <w:pPr>
            <w:keepNext/>
            <w:keepLines/>
            <w:widowControl w:val="0"/>
            <w:jc w:val="center"/>
            <w:rPr>
              <w:sz w:val="20"/>
              <w:szCs w:val="20"/>
            </w:rPr>
          </w:pPr>
        </w:p>
      </w:tc>
      <w:tc>
        <w:tcPr>
          <w:tcW w:w="4080" w:type="dxa"/>
          <w:tcMar>
            <w:left w:w="0" w:type="dxa"/>
            <w:right w:w="0" w:type="dxa"/>
          </w:tcMar>
        </w:tcPr>
        <w:p w:rsidR="009A56E8" w:rsidRPr="0044776A" w:rsidRDefault="009A56E8" w:rsidP="00A81DCF">
          <w:pPr>
            <w:widowControl w:val="0"/>
            <w:rPr>
              <w:sz w:val="20"/>
              <w:szCs w:val="20"/>
              <w:lang w:val="fr-CA"/>
            </w:rPr>
          </w:pPr>
          <w:r w:rsidRPr="00A81DCF">
            <w:rPr>
              <w:sz w:val="20"/>
              <w:lang w:val="fr-CA"/>
            </w:rPr>
            <w:t>Demandes soumises à la Cour depuis la dernière parution</w:t>
          </w:r>
          <w:r w:rsidRPr="00A81DCF">
            <w:rPr>
              <w:sz w:val="16"/>
              <w:szCs w:val="20"/>
              <w:lang w:val="fr-CA"/>
            </w:rPr>
            <w:t xml:space="preserve"> </w:t>
          </w:r>
        </w:p>
      </w:tc>
    </w:tr>
  </w:tbl>
  <w:p w:rsidR="009A56E8" w:rsidRPr="002E2327" w:rsidRDefault="009A56E8">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E8" w:rsidRDefault="009A56E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A56E8" w:rsidRPr="00957F6E">
      <w:tc>
        <w:tcPr>
          <w:tcW w:w="4200" w:type="dxa"/>
          <w:tcMar>
            <w:left w:w="0" w:type="dxa"/>
            <w:right w:w="0" w:type="dxa"/>
          </w:tcMar>
        </w:tcPr>
        <w:p w:rsidR="009A56E8" w:rsidRDefault="009A56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9A56E8" w:rsidRDefault="009A56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9A56E8" w:rsidRDefault="009A56E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A56E8" w:rsidRPr="00FF6BA5" w:rsidRDefault="009A56E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9A56E8" w:rsidRPr="00FF6BA5" w:rsidRDefault="009A5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9A56E8" w:rsidRPr="00FF6BA5" w:rsidRDefault="009A5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9A56E8" w:rsidRPr="00FF6BA5" w:rsidRDefault="009A5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A56E8" w:rsidRPr="00957F6E" w:rsidTr="00245129">
      <w:tc>
        <w:tcPr>
          <w:tcW w:w="4200" w:type="dxa"/>
          <w:tcMar>
            <w:left w:w="0" w:type="dxa"/>
            <w:right w:w="0" w:type="dxa"/>
          </w:tcMar>
        </w:tcPr>
        <w:p w:rsidR="009A56E8" w:rsidRPr="00634F42" w:rsidRDefault="009A56E8"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9A56E8" w:rsidRPr="00755F22" w:rsidRDefault="009A56E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A56E8" w:rsidRPr="00755F22" w:rsidRDefault="009A56E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9A56E8" w:rsidRPr="00755F22" w:rsidRDefault="009A56E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9A56E8" w:rsidRPr="00FF6BA5" w:rsidRDefault="009A56E8"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E8" w:rsidRDefault="009A56E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9A56E8">
      <w:tc>
        <w:tcPr>
          <w:tcW w:w="4230" w:type="dxa"/>
          <w:tcMar>
            <w:left w:w="0" w:type="dxa"/>
            <w:right w:w="0" w:type="dxa"/>
          </w:tcMar>
        </w:tcPr>
        <w:p w:rsidR="009A56E8" w:rsidRDefault="009A56E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9A56E8" w:rsidRDefault="009A56E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A56E8" w:rsidRDefault="009A56E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9A56E8">
      <w:trPr>
        <w:gridAfter w:val="2"/>
        <w:wAfter w:w="5250" w:type="dxa"/>
      </w:trPr>
      <w:tc>
        <w:tcPr>
          <w:tcW w:w="4230" w:type="dxa"/>
          <w:tcMar>
            <w:left w:w="0" w:type="dxa"/>
            <w:right w:w="0" w:type="dxa"/>
          </w:tcMar>
        </w:tcPr>
        <w:p w:rsidR="009A56E8" w:rsidRDefault="009A5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A56E8" w:rsidRDefault="009A56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9A56E8" w:rsidRPr="00755F22" w:rsidTr="00245129">
      <w:tc>
        <w:tcPr>
          <w:tcW w:w="4230" w:type="dxa"/>
          <w:tcMar>
            <w:left w:w="0" w:type="dxa"/>
            <w:right w:w="0" w:type="dxa"/>
          </w:tcMar>
        </w:tcPr>
        <w:p w:rsidR="009A56E8" w:rsidRPr="00755F22" w:rsidRDefault="009A56E8" w:rsidP="00831CA9">
          <w:pPr>
            <w:keepNext/>
            <w:keepLines/>
            <w:rPr>
              <w:sz w:val="20"/>
              <w:szCs w:val="20"/>
            </w:rPr>
          </w:pPr>
          <w:r w:rsidRPr="00755F22">
            <w:rPr>
              <w:sz w:val="20"/>
              <w:szCs w:val="20"/>
            </w:rPr>
            <w:t>Motions</w:t>
          </w:r>
        </w:p>
      </w:tc>
      <w:tc>
        <w:tcPr>
          <w:tcW w:w="1170" w:type="dxa"/>
          <w:tcMar>
            <w:left w:w="0" w:type="dxa"/>
            <w:right w:w="0" w:type="dxa"/>
          </w:tcMar>
        </w:tcPr>
        <w:p w:rsidR="009A56E8" w:rsidRPr="00755F22" w:rsidRDefault="009A56E8" w:rsidP="00831CA9">
          <w:pPr>
            <w:keepLines/>
            <w:jc w:val="center"/>
            <w:rPr>
              <w:sz w:val="20"/>
              <w:szCs w:val="20"/>
            </w:rPr>
          </w:pPr>
        </w:p>
        <w:p w:rsidR="009A56E8" w:rsidRPr="00755F22" w:rsidRDefault="009A56E8" w:rsidP="00831CA9">
          <w:pPr>
            <w:keepLines/>
            <w:tabs>
              <w:tab w:val="left" w:pos="-1440"/>
              <w:tab w:val="left" w:pos="-720"/>
            </w:tabs>
            <w:jc w:val="center"/>
            <w:rPr>
              <w:sz w:val="20"/>
              <w:szCs w:val="20"/>
            </w:rPr>
          </w:pPr>
        </w:p>
      </w:tc>
      <w:tc>
        <w:tcPr>
          <w:tcW w:w="4080" w:type="dxa"/>
          <w:tcMar>
            <w:left w:w="0" w:type="dxa"/>
            <w:right w:w="0" w:type="dxa"/>
          </w:tcMar>
        </w:tcPr>
        <w:p w:rsidR="009A56E8" w:rsidRPr="00BA6468" w:rsidRDefault="009A56E8" w:rsidP="00BA6468">
          <w:pPr>
            <w:keepLines/>
            <w:rPr>
              <w:sz w:val="20"/>
              <w:szCs w:val="20"/>
              <w:lang w:val="fr-CA"/>
            </w:rPr>
          </w:pPr>
          <w:r w:rsidRPr="00BA6468">
            <w:rPr>
              <w:sz w:val="20"/>
              <w:szCs w:val="20"/>
              <w:lang w:val="fr-CA"/>
            </w:rPr>
            <w:t>Requêtes</w:t>
          </w:r>
        </w:p>
      </w:tc>
    </w:tr>
  </w:tbl>
  <w:p w:rsidR="009A56E8" w:rsidRDefault="009A56E8"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A94"/>
    <w:multiLevelType w:val="hybridMultilevel"/>
    <w:tmpl w:val="126AD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7FE3"/>
    <w:multiLevelType w:val="hybridMultilevel"/>
    <w:tmpl w:val="F79A780A"/>
    <w:lvl w:ilvl="0" w:tplc="AAFE659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21070"/>
    <w:multiLevelType w:val="hybridMultilevel"/>
    <w:tmpl w:val="2AF08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907E1"/>
    <w:multiLevelType w:val="hybridMultilevel"/>
    <w:tmpl w:val="0234B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84DFB"/>
    <w:multiLevelType w:val="hybridMultilevel"/>
    <w:tmpl w:val="D4927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A74F4A"/>
    <w:multiLevelType w:val="hybridMultilevel"/>
    <w:tmpl w:val="476A2BBC"/>
    <w:lvl w:ilvl="0" w:tplc="E6EC6BD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16CCA"/>
    <w:multiLevelType w:val="hybridMultilevel"/>
    <w:tmpl w:val="74AA3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5411AD"/>
    <w:multiLevelType w:val="hybridMultilevel"/>
    <w:tmpl w:val="CED2EAE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81ACA"/>
    <w:multiLevelType w:val="hybridMultilevel"/>
    <w:tmpl w:val="9FA29F82"/>
    <w:lvl w:ilvl="0" w:tplc="BCB8550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4B1887"/>
    <w:multiLevelType w:val="hybridMultilevel"/>
    <w:tmpl w:val="45D0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C5AA8"/>
    <w:multiLevelType w:val="hybridMultilevel"/>
    <w:tmpl w:val="B78E4B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366E23"/>
    <w:multiLevelType w:val="hybridMultilevel"/>
    <w:tmpl w:val="780A9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7316CE"/>
    <w:multiLevelType w:val="hybridMultilevel"/>
    <w:tmpl w:val="4BD461FA"/>
    <w:lvl w:ilvl="0" w:tplc="0409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19D117E2"/>
    <w:multiLevelType w:val="hybridMultilevel"/>
    <w:tmpl w:val="B78E4B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EC7FEE"/>
    <w:multiLevelType w:val="hybridMultilevel"/>
    <w:tmpl w:val="43429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3A0809"/>
    <w:multiLevelType w:val="hybridMultilevel"/>
    <w:tmpl w:val="E6304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5C19B0"/>
    <w:multiLevelType w:val="hybridMultilevel"/>
    <w:tmpl w:val="5BEA8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4E4911"/>
    <w:multiLevelType w:val="hybridMultilevel"/>
    <w:tmpl w:val="38045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59F4FAD"/>
    <w:multiLevelType w:val="hybridMultilevel"/>
    <w:tmpl w:val="84B496E0"/>
    <w:lvl w:ilvl="0" w:tplc="88DE1C0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BF49B0"/>
    <w:multiLevelType w:val="hybridMultilevel"/>
    <w:tmpl w:val="F332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57794"/>
    <w:multiLevelType w:val="hybridMultilevel"/>
    <w:tmpl w:val="1AE2C2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EC5CD2"/>
    <w:multiLevelType w:val="hybridMultilevel"/>
    <w:tmpl w:val="B2202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3F327B"/>
    <w:multiLevelType w:val="hybridMultilevel"/>
    <w:tmpl w:val="A6244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AD7DF2"/>
    <w:multiLevelType w:val="hybridMultilevel"/>
    <w:tmpl w:val="0B589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050396"/>
    <w:multiLevelType w:val="hybridMultilevel"/>
    <w:tmpl w:val="70FA9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EF5595"/>
    <w:multiLevelType w:val="hybridMultilevel"/>
    <w:tmpl w:val="7FFC437A"/>
    <w:lvl w:ilvl="0" w:tplc="2A7071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C24394"/>
    <w:multiLevelType w:val="hybridMultilevel"/>
    <w:tmpl w:val="9808D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D356E0"/>
    <w:multiLevelType w:val="hybridMultilevel"/>
    <w:tmpl w:val="253A7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6A5765"/>
    <w:multiLevelType w:val="hybridMultilevel"/>
    <w:tmpl w:val="5554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84940F1"/>
    <w:multiLevelType w:val="hybridMultilevel"/>
    <w:tmpl w:val="226AA150"/>
    <w:lvl w:ilvl="0" w:tplc="FC5E43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A3356C"/>
    <w:multiLevelType w:val="hybridMultilevel"/>
    <w:tmpl w:val="9482CD98"/>
    <w:lvl w:ilvl="0" w:tplc="DA826E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134B1D"/>
    <w:multiLevelType w:val="hybridMultilevel"/>
    <w:tmpl w:val="CE16C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556AEF"/>
    <w:multiLevelType w:val="hybridMultilevel"/>
    <w:tmpl w:val="5A723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4C5197"/>
    <w:multiLevelType w:val="hybridMultilevel"/>
    <w:tmpl w:val="587AA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0C59E8"/>
    <w:multiLevelType w:val="hybridMultilevel"/>
    <w:tmpl w:val="14822E96"/>
    <w:lvl w:ilvl="0" w:tplc="B8FE966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1D5092"/>
    <w:multiLevelType w:val="hybridMultilevel"/>
    <w:tmpl w:val="6A3AC9BE"/>
    <w:lvl w:ilvl="0" w:tplc="380CA69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F11F3E"/>
    <w:multiLevelType w:val="hybridMultilevel"/>
    <w:tmpl w:val="A79483EC"/>
    <w:lvl w:ilvl="0" w:tplc="8F34420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301E81"/>
    <w:multiLevelType w:val="hybridMultilevel"/>
    <w:tmpl w:val="E772B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4A478D"/>
    <w:multiLevelType w:val="hybridMultilevel"/>
    <w:tmpl w:val="6B6EF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F3683B"/>
    <w:multiLevelType w:val="hybridMultilevel"/>
    <w:tmpl w:val="6F92C16A"/>
    <w:lvl w:ilvl="0" w:tplc="80CA61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61786A"/>
    <w:multiLevelType w:val="hybridMultilevel"/>
    <w:tmpl w:val="A1A252EA"/>
    <w:lvl w:ilvl="0" w:tplc="61B02A9C">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1"/>
  </w:num>
  <w:num w:numId="3">
    <w:abstractNumId w:val="31"/>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5"/>
  </w:num>
  <w:num w:numId="11">
    <w:abstractNumId w:val="23"/>
  </w:num>
  <w:num w:numId="12">
    <w:abstractNumId w:val="41"/>
  </w:num>
  <w:num w:numId="13">
    <w:abstractNumId w:val="8"/>
  </w:num>
  <w:num w:numId="14">
    <w:abstractNumId w:val="9"/>
  </w:num>
  <w:num w:numId="15">
    <w:abstractNumId w:val="22"/>
  </w:num>
  <w:num w:numId="16">
    <w:abstractNumId w:val="0"/>
  </w:num>
  <w:num w:numId="17">
    <w:abstractNumId w:val="14"/>
  </w:num>
  <w:num w:numId="18">
    <w:abstractNumId w:val="3"/>
  </w:num>
  <w:num w:numId="19">
    <w:abstractNumId w:val="5"/>
  </w:num>
  <w:num w:numId="20">
    <w:abstractNumId w:val="4"/>
  </w:num>
  <w:num w:numId="21">
    <w:abstractNumId w:val="3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13"/>
  </w:num>
  <w:num w:numId="25">
    <w:abstractNumId w:val="1"/>
  </w:num>
  <w:num w:numId="26">
    <w:abstractNumId w:val="28"/>
  </w:num>
  <w:num w:numId="27">
    <w:abstractNumId w:val="16"/>
  </w:num>
  <w:num w:numId="28">
    <w:abstractNumId w:val="38"/>
  </w:num>
  <w:num w:numId="29">
    <w:abstractNumId w:val="36"/>
  </w:num>
  <w:num w:numId="30">
    <w:abstractNumId w:val="7"/>
  </w:num>
  <w:num w:numId="31">
    <w:abstractNumId w:val="37"/>
  </w:num>
  <w:num w:numId="32">
    <w:abstractNumId w:val="20"/>
  </w:num>
  <w:num w:numId="33">
    <w:abstractNumId w:val="39"/>
  </w:num>
  <w:num w:numId="34">
    <w:abstractNumId w:val="27"/>
  </w:num>
  <w:num w:numId="35">
    <w:abstractNumId w:val="2"/>
  </w:num>
  <w:num w:numId="36">
    <w:abstractNumId w:val="40"/>
  </w:num>
  <w:num w:numId="37">
    <w:abstractNumId w:val="34"/>
  </w:num>
  <w:num w:numId="38">
    <w:abstractNumId w:val="21"/>
  </w:num>
  <w:num w:numId="39">
    <w:abstractNumId w:val="30"/>
  </w:num>
  <w:num w:numId="40">
    <w:abstractNumId w:val="26"/>
  </w:num>
  <w:num w:numId="41">
    <w:abstractNumId w:val="33"/>
  </w:num>
  <w:num w:numId="42">
    <w:abstractNumId w:val="17"/>
  </w:num>
  <w:num w:numId="43">
    <w:abstractNumId w:val="25"/>
  </w:num>
  <w:num w:numId="44">
    <w:abstractNumId w:val="6"/>
  </w:num>
  <w:num w:numId="45">
    <w:abstractNumId w:val="29"/>
  </w:num>
  <w:num w:numId="46">
    <w:abstractNumId w:val="42"/>
  </w:num>
  <w:num w:numId="47">
    <w:abstractNumId w:val="32"/>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84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AD"/>
    <w:rsid w:val="00002704"/>
    <w:rsid w:val="00020DC3"/>
    <w:rsid w:val="0003223B"/>
    <w:rsid w:val="000327B2"/>
    <w:rsid w:val="00033A57"/>
    <w:rsid w:val="0004528B"/>
    <w:rsid w:val="00047B76"/>
    <w:rsid w:val="00064FBA"/>
    <w:rsid w:val="000711A2"/>
    <w:rsid w:val="00091BA6"/>
    <w:rsid w:val="00091FA6"/>
    <w:rsid w:val="0009686C"/>
    <w:rsid w:val="00096BD9"/>
    <w:rsid w:val="000B3C9A"/>
    <w:rsid w:val="000B40A2"/>
    <w:rsid w:val="000B4624"/>
    <w:rsid w:val="000C0ACD"/>
    <w:rsid w:val="000C0D2A"/>
    <w:rsid w:val="000C1D9D"/>
    <w:rsid w:val="000C5CE8"/>
    <w:rsid w:val="000D77EE"/>
    <w:rsid w:val="000E27A5"/>
    <w:rsid w:val="000E2959"/>
    <w:rsid w:val="000F0B60"/>
    <w:rsid w:val="000F2CA3"/>
    <w:rsid w:val="00102792"/>
    <w:rsid w:val="00102926"/>
    <w:rsid w:val="00103968"/>
    <w:rsid w:val="0010587F"/>
    <w:rsid w:val="00111C6B"/>
    <w:rsid w:val="0012102B"/>
    <w:rsid w:val="00122663"/>
    <w:rsid w:val="00124D41"/>
    <w:rsid w:val="0013369E"/>
    <w:rsid w:val="0013595D"/>
    <w:rsid w:val="001434B9"/>
    <w:rsid w:val="00143EF6"/>
    <w:rsid w:val="00151D2F"/>
    <w:rsid w:val="00152E76"/>
    <w:rsid w:val="0015427B"/>
    <w:rsid w:val="00162A54"/>
    <w:rsid w:val="00164E6D"/>
    <w:rsid w:val="0016538E"/>
    <w:rsid w:val="00183154"/>
    <w:rsid w:val="00183454"/>
    <w:rsid w:val="0018545D"/>
    <w:rsid w:val="0019203D"/>
    <w:rsid w:val="00195F99"/>
    <w:rsid w:val="001A210D"/>
    <w:rsid w:val="001B0B2D"/>
    <w:rsid w:val="001B157C"/>
    <w:rsid w:val="001B1994"/>
    <w:rsid w:val="001B4006"/>
    <w:rsid w:val="001B5C23"/>
    <w:rsid w:val="001D0D5F"/>
    <w:rsid w:val="001D6B8C"/>
    <w:rsid w:val="001D78D8"/>
    <w:rsid w:val="001F1F83"/>
    <w:rsid w:val="001F40DF"/>
    <w:rsid w:val="001F43F8"/>
    <w:rsid w:val="001F6B2D"/>
    <w:rsid w:val="002021A9"/>
    <w:rsid w:val="002139A7"/>
    <w:rsid w:val="00215574"/>
    <w:rsid w:val="00215F7C"/>
    <w:rsid w:val="00221DEF"/>
    <w:rsid w:val="00222EB9"/>
    <w:rsid w:val="0022323B"/>
    <w:rsid w:val="0023484E"/>
    <w:rsid w:val="002410B8"/>
    <w:rsid w:val="00242AEE"/>
    <w:rsid w:val="00245129"/>
    <w:rsid w:val="00245879"/>
    <w:rsid w:val="00253236"/>
    <w:rsid w:val="002534CE"/>
    <w:rsid w:val="00267FD5"/>
    <w:rsid w:val="00271E1E"/>
    <w:rsid w:val="00274D34"/>
    <w:rsid w:val="00283AFF"/>
    <w:rsid w:val="00283ED8"/>
    <w:rsid w:val="002868D0"/>
    <w:rsid w:val="0028760B"/>
    <w:rsid w:val="002A008C"/>
    <w:rsid w:val="002A1412"/>
    <w:rsid w:val="002A1BA5"/>
    <w:rsid w:val="002A27D1"/>
    <w:rsid w:val="002A4AFA"/>
    <w:rsid w:val="002B2610"/>
    <w:rsid w:val="002B516C"/>
    <w:rsid w:val="002B5D82"/>
    <w:rsid w:val="002C4FA4"/>
    <w:rsid w:val="002D26BB"/>
    <w:rsid w:val="002D72EB"/>
    <w:rsid w:val="002E2327"/>
    <w:rsid w:val="002E3583"/>
    <w:rsid w:val="002E5576"/>
    <w:rsid w:val="002F3932"/>
    <w:rsid w:val="0030050B"/>
    <w:rsid w:val="003008F5"/>
    <w:rsid w:val="00304081"/>
    <w:rsid w:val="003308AA"/>
    <w:rsid w:val="00331B52"/>
    <w:rsid w:val="00333403"/>
    <w:rsid w:val="003359D3"/>
    <w:rsid w:val="00340FD8"/>
    <w:rsid w:val="0034657E"/>
    <w:rsid w:val="00351475"/>
    <w:rsid w:val="00355967"/>
    <w:rsid w:val="00382C47"/>
    <w:rsid w:val="00384384"/>
    <w:rsid w:val="003866AE"/>
    <w:rsid w:val="0039058A"/>
    <w:rsid w:val="00394CB0"/>
    <w:rsid w:val="003A5D96"/>
    <w:rsid w:val="003B3977"/>
    <w:rsid w:val="003D49B1"/>
    <w:rsid w:val="003D67A1"/>
    <w:rsid w:val="003E1D4C"/>
    <w:rsid w:val="003E5F3E"/>
    <w:rsid w:val="0040012E"/>
    <w:rsid w:val="004009B3"/>
    <w:rsid w:val="00407C5D"/>
    <w:rsid w:val="0041245B"/>
    <w:rsid w:val="004137A0"/>
    <w:rsid w:val="004220AC"/>
    <w:rsid w:val="00422D9A"/>
    <w:rsid w:val="004317DE"/>
    <w:rsid w:val="00432989"/>
    <w:rsid w:val="004342A0"/>
    <w:rsid w:val="00440E24"/>
    <w:rsid w:val="0044776A"/>
    <w:rsid w:val="00453A3F"/>
    <w:rsid w:val="00460AFC"/>
    <w:rsid w:val="00464615"/>
    <w:rsid w:val="004728AF"/>
    <w:rsid w:val="0047471F"/>
    <w:rsid w:val="004B195E"/>
    <w:rsid w:val="004B66B4"/>
    <w:rsid w:val="004B7F60"/>
    <w:rsid w:val="004C1AAC"/>
    <w:rsid w:val="004C1C35"/>
    <w:rsid w:val="004C4DA6"/>
    <w:rsid w:val="004E1E0A"/>
    <w:rsid w:val="004E44A7"/>
    <w:rsid w:val="004E5524"/>
    <w:rsid w:val="004F090E"/>
    <w:rsid w:val="004F5214"/>
    <w:rsid w:val="00501F3C"/>
    <w:rsid w:val="00506BE1"/>
    <w:rsid w:val="00506EB3"/>
    <w:rsid w:val="0051774C"/>
    <w:rsid w:val="00520F9E"/>
    <w:rsid w:val="0052229C"/>
    <w:rsid w:val="00523985"/>
    <w:rsid w:val="00527CC7"/>
    <w:rsid w:val="00530796"/>
    <w:rsid w:val="00546DBF"/>
    <w:rsid w:val="00560DF1"/>
    <w:rsid w:val="0056248C"/>
    <w:rsid w:val="00564B09"/>
    <w:rsid w:val="00567602"/>
    <w:rsid w:val="00567680"/>
    <w:rsid w:val="00571CA4"/>
    <w:rsid w:val="00573AF2"/>
    <w:rsid w:val="00582136"/>
    <w:rsid w:val="00583EED"/>
    <w:rsid w:val="005B72AD"/>
    <w:rsid w:val="005C3583"/>
    <w:rsid w:val="005C6840"/>
    <w:rsid w:val="005D6EED"/>
    <w:rsid w:val="005F1ED8"/>
    <w:rsid w:val="005F263E"/>
    <w:rsid w:val="00600252"/>
    <w:rsid w:val="0061118C"/>
    <w:rsid w:val="00612A40"/>
    <w:rsid w:val="0062714A"/>
    <w:rsid w:val="00634F42"/>
    <w:rsid w:val="00643999"/>
    <w:rsid w:val="006615F4"/>
    <w:rsid w:val="00675479"/>
    <w:rsid w:val="00680709"/>
    <w:rsid w:val="00681F61"/>
    <w:rsid w:val="00684F23"/>
    <w:rsid w:val="00693C38"/>
    <w:rsid w:val="00696BF9"/>
    <w:rsid w:val="00697C62"/>
    <w:rsid w:val="006A329B"/>
    <w:rsid w:val="006A7EB8"/>
    <w:rsid w:val="006B6926"/>
    <w:rsid w:val="006C3F47"/>
    <w:rsid w:val="006C5F7A"/>
    <w:rsid w:val="006C7EF1"/>
    <w:rsid w:val="006E06AF"/>
    <w:rsid w:val="006E1CB0"/>
    <w:rsid w:val="006F0637"/>
    <w:rsid w:val="006F350F"/>
    <w:rsid w:val="0071029D"/>
    <w:rsid w:val="00717608"/>
    <w:rsid w:val="00727571"/>
    <w:rsid w:val="00732DB7"/>
    <w:rsid w:val="00734E2B"/>
    <w:rsid w:val="0074238B"/>
    <w:rsid w:val="00745EF7"/>
    <w:rsid w:val="00755F22"/>
    <w:rsid w:val="00766E4A"/>
    <w:rsid w:val="007820CE"/>
    <w:rsid w:val="00782AE4"/>
    <w:rsid w:val="0079724F"/>
    <w:rsid w:val="007A3EAE"/>
    <w:rsid w:val="007A7FF9"/>
    <w:rsid w:val="007B4DFF"/>
    <w:rsid w:val="007C04FC"/>
    <w:rsid w:val="007C3D5F"/>
    <w:rsid w:val="007C3DB0"/>
    <w:rsid w:val="007C47C2"/>
    <w:rsid w:val="007D3E0F"/>
    <w:rsid w:val="007E2195"/>
    <w:rsid w:val="007E4282"/>
    <w:rsid w:val="007F387B"/>
    <w:rsid w:val="00802863"/>
    <w:rsid w:val="008112A9"/>
    <w:rsid w:val="0081473A"/>
    <w:rsid w:val="00815B3C"/>
    <w:rsid w:val="0081610A"/>
    <w:rsid w:val="00817EC9"/>
    <w:rsid w:val="008264B6"/>
    <w:rsid w:val="008277C4"/>
    <w:rsid w:val="0082783A"/>
    <w:rsid w:val="00831CA9"/>
    <w:rsid w:val="008413EA"/>
    <w:rsid w:val="00842B6B"/>
    <w:rsid w:val="00844E40"/>
    <w:rsid w:val="00845C2A"/>
    <w:rsid w:val="00850E1F"/>
    <w:rsid w:val="0085476B"/>
    <w:rsid w:val="0086340B"/>
    <w:rsid w:val="008711D0"/>
    <w:rsid w:val="008859F1"/>
    <w:rsid w:val="008902B1"/>
    <w:rsid w:val="00890FEB"/>
    <w:rsid w:val="00893449"/>
    <w:rsid w:val="00895E7E"/>
    <w:rsid w:val="008961FD"/>
    <w:rsid w:val="008A5C1A"/>
    <w:rsid w:val="008B4408"/>
    <w:rsid w:val="008C2318"/>
    <w:rsid w:val="008D085E"/>
    <w:rsid w:val="008D292F"/>
    <w:rsid w:val="008D3D4B"/>
    <w:rsid w:val="008E03DC"/>
    <w:rsid w:val="00900ECD"/>
    <w:rsid w:val="00902E51"/>
    <w:rsid w:val="00924065"/>
    <w:rsid w:val="009251B8"/>
    <w:rsid w:val="00930B8A"/>
    <w:rsid w:val="00930D68"/>
    <w:rsid w:val="00932DB4"/>
    <w:rsid w:val="00941A4B"/>
    <w:rsid w:val="00946242"/>
    <w:rsid w:val="0095096B"/>
    <w:rsid w:val="00955827"/>
    <w:rsid w:val="0095591D"/>
    <w:rsid w:val="00957556"/>
    <w:rsid w:val="00957F6E"/>
    <w:rsid w:val="00961C83"/>
    <w:rsid w:val="00970CD3"/>
    <w:rsid w:val="009723FA"/>
    <w:rsid w:val="00984546"/>
    <w:rsid w:val="00996510"/>
    <w:rsid w:val="009A56E8"/>
    <w:rsid w:val="009A75CF"/>
    <w:rsid w:val="009C04AB"/>
    <w:rsid w:val="009C4E23"/>
    <w:rsid w:val="009D1F15"/>
    <w:rsid w:val="009D555E"/>
    <w:rsid w:val="009F3024"/>
    <w:rsid w:val="009F39BA"/>
    <w:rsid w:val="00A0355E"/>
    <w:rsid w:val="00A15E6F"/>
    <w:rsid w:val="00A234E1"/>
    <w:rsid w:val="00A242F4"/>
    <w:rsid w:val="00A33204"/>
    <w:rsid w:val="00A35FB9"/>
    <w:rsid w:val="00A375D1"/>
    <w:rsid w:val="00A41D2B"/>
    <w:rsid w:val="00A5167B"/>
    <w:rsid w:val="00A51D10"/>
    <w:rsid w:val="00A52A83"/>
    <w:rsid w:val="00A60C63"/>
    <w:rsid w:val="00A61252"/>
    <w:rsid w:val="00A6552C"/>
    <w:rsid w:val="00A744AF"/>
    <w:rsid w:val="00A760C7"/>
    <w:rsid w:val="00A7741A"/>
    <w:rsid w:val="00A81DCF"/>
    <w:rsid w:val="00A87207"/>
    <w:rsid w:val="00A935AA"/>
    <w:rsid w:val="00A956D3"/>
    <w:rsid w:val="00AA115D"/>
    <w:rsid w:val="00AB2201"/>
    <w:rsid w:val="00AC3CBD"/>
    <w:rsid w:val="00AD1D34"/>
    <w:rsid w:val="00AD3259"/>
    <w:rsid w:val="00AE043C"/>
    <w:rsid w:val="00AF1715"/>
    <w:rsid w:val="00AF3904"/>
    <w:rsid w:val="00AF4710"/>
    <w:rsid w:val="00B010C0"/>
    <w:rsid w:val="00B138B4"/>
    <w:rsid w:val="00B15CBE"/>
    <w:rsid w:val="00B3311A"/>
    <w:rsid w:val="00B40FD9"/>
    <w:rsid w:val="00B4740D"/>
    <w:rsid w:val="00B61629"/>
    <w:rsid w:val="00B635E0"/>
    <w:rsid w:val="00B7374B"/>
    <w:rsid w:val="00B84D81"/>
    <w:rsid w:val="00B90DC0"/>
    <w:rsid w:val="00B94A32"/>
    <w:rsid w:val="00BA116A"/>
    <w:rsid w:val="00BA130B"/>
    <w:rsid w:val="00BA5582"/>
    <w:rsid w:val="00BA6468"/>
    <w:rsid w:val="00BB15A8"/>
    <w:rsid w:val="00BB1D44"/>
    <w:rsid w:val="00BC680C"/>
    <w:rsid w:val="00BD06DA"/>
    <w:rsid w:val="00BD264E"/>
    <w:rsid w:val="00BD4217"/>
    <w:rsid w:val="00BE34F7"/>
    <w:rsid w:val="00BF25F3"/>
    <w:rsid w:val="00C001F6"/>
    <w:rsid w:val="00C01FCB"/>
    <w:rsid w:val="00C12392"/>
    <w:rsid w:val="00C1697B"/>
    <w:rsid w:val="00C21644"/>
    <w:rsid w:val="00C21CB5"/>
    <w:rsid w:val="00C257CD"/>
    <w:rsid w:val="00C27015"/>
    <w:rsid w:val="00C406CA"/>
    <w:rsid w:val="00C46376"/>
    <w:rsid w:val="00C50A5C"/>
    <w:rsid w:val="00C50FDF"/>
    <w:rsid w:val="00C559E6"/>
    <w:rsid w:val="00C63381"/>
    <w:rsid w:val="00C73D06"/>
    <w:rsid w:val="00C73E1B"/>
    <w:rsid w:val="00C73EE8"/>
    <w:rsid w:val="00C74798"/>
    <w:rsid w:val="00C7556C"/>
    <w:rsid w:val="00C759B4"/>
    <w:rsid w:val="00C77713"/>
    <w:rsid w:val="00C77F27"/>
    <w:rsid w:val="00C8528C"/>
    <w:rsid w:val="00C85BB7"/>
    <w:rsid w:val="00C86E0F"/>
    <w:rsid w:val="00C97FD5"/>
    <w:rsid w:val="00CA2DEA"/>
    <w:rsid w:val="00CB3520"/>
    <w:rsid w:val="00CB43D5"/>
    <w:rsid w:val="00CC4D84"/>
    <w:rsid w:val="00CD302A"/>
    <w:rsid w:val="00CE198A"/>
    <w:rsid w:val="00CF08C8"/>
    <w:rsid w:val="00D004FC"/>
    <w:rsid w:val="00D0287C"/>
    <w:rsid w:val="00D04982"/>
    <w:rsid w:val="00D1363D"/>
    <w:rsid w:val="00D14C64"/>
    <w:rsid w:val="00D218D2"/>
    <w:rsid w:val="00D22BC0"/>
    <w:rsid w:val="00D42629"/>
    <w:rsid w:val="00D6331A"/>
    <w:rsid w:val="00D64901"/>
    <w:rsid w:val="00D76BDF"/>
    <w:rsid w:val="00D818B6"/>
    <w:rsid w:val="00D82A57"/>
    <w:rsid w:val="00D82BFF"/>
    <w:rsid w:val="00D8443D"/>
    <w:rsid w:val="00D862C1"/>
    <w:rsid w:val="00D93B50"/>
    <w:rsid w:val="00D94028"/>
    <w:rsid w:val="00D94670"/>
    <w:rsid w:val="00D96A99"/>
    <w:rsid w:val="00DA46F6"/>
    <w:rsid w:val="00DA756F"/>
    <w:rsid w:val="00DC0577"/>
    <w:rsid w:val="00DC38E4"/>
    <w:rsid w:val="00DC6B2E"/>
    <w:rsid w:val="00DD0B49"/>
    <w:rsid w:val="00DD0BDC"/>
    <w:rsid w:val="00DE0502"/>
    <w:rsid w:val="00DE349D"/>
    <w:rsid w:val="00E0270C"/>
    <w:rsid w:val="00E06D9F"/>
    <w:rsid w:val="00E06DFA"/>
    <w:rsid w:val="00E20A0A"/>
    <w:rsid w:val="00E240C2"/>
    <w:rsid w:val="00E356C7"/>
    <w:rsid w:val="00E414CA"/>
    <w:rsid w:val="00E41A5A"/>
    <w:rsid w:val="00E45FE4"/>
    <w:rsid w:val="00E6361D"/>
    <w:rsid w:val="00E64FA7"/>
    <w:rsid w:val="00E65960"/>
    <w:rsid w:val="00E664DA"/>
    <w:rsid w:val="00E670F7"/>
    <w:rsid w:val="00E71254"/>
    <w:rsid w:val="00E71504"/>
    <w:rsid w:val="00E75CFD"/>
    <w:rsid w:val="00E770CB"/>
    <w:rsid w:val="00E80644"/>
    <w:rsid w:val="00E8544A"/>
    <w:rsid w:val="00E903A1"/>
    <w:rsid w:val="00E92A37"/>
    <w:rsid w:val="00E940EB"/>
    <w:rsid w:val="00E942C2"/>
    <w:rsid w:val="00E9703F"/>
    <w:rsid w:val="00E97984"/>
    <w:rsid w:val="00EB2B90"/>
    <w:rsid w:val="00EB7AB9"/>
    <w:rsid w:val="00EC258B"/>
    <w:rsid w:val="00EC6908"/>
    <w:rsid w:val="00ED078F"/>
    <w:rsid w:val="00ED6318"/>
    <w:rsid w:val="00ED7E83"/>
    <w:rsid w:val="00EE091F"/>
    <w:rsid w:val="00EF4B63"/>
    <w:rsid w:val="00F0068D"/>
    <w:rsid w:val="00F0576D"/>
    <w:rsid w:val="00F14E6D"/>
    <w:rsid w:val="00F15EA8"/>
    <w:rsid w:val="00F16063"/>
    <w:rsid w:val="00F16C8D"/>
    <w:rsid w:val="00F253CC"/>
    <w:rsid w:val="00F26C61"/>
    <w:rsid w:val="00F33CCE"/>
    <w:rsid w:val="00F40249"/>
    <w:rsid w:val="00F449E7"/>
    <w:rsid w:val="00F526C8"/>
    <w:rsid w:val="00F5539D"/>
    <w:rsid w:val="00F554B5"/>
    <w:rsid w:val="00F663FF"/>
    <w:rsid w:val="00F75954"/>
    <w:rsid w:val="00F761A3"/>
    <w:rsid w:val="00F9272D"/>
    <w:rsid w:val="00F9518C"/>
    <w:rsid w:val="00FA316E"/>
    <w:rsid w:val="00FA3373"/>
    <w:rsid w:val="00FA59EF"/>
    <w:rsid w:val="00FB19A2"/>
    <w:rsid w:val="00FB1DB6"/>
    <w:rsid w:val="00FB4A2E"/>
    <w:rsid w:val="00FC36F8"/>
    <w:rsid w:val="00FD053D"/>
    <w:rsid w:val="00FD348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BanSummary0">
    <w:name w:val="SCC.BanSummary"/>
    <w:basedOn w:val="Normal"/>
    <w:next w:val="Normal"/>
    <w:link w:val="SCCBanSummaryChar"/>
    <w:rsid w:val="0071029D"/>
    <w:pPr>
      <w:jc w:val="both"/>
    </w:pPr>
    <w:rPr>
      <w:rFonts w:eastAsia="Calibri" w:cs="Times New Roman"/>
      <w:smallCaps/>
    </w:rPr>
  </w:style>
  <w:style w:type="character" w:customStyle="1" w:styleId="SCCBanSummaryChar">
    <w:name w:val="SCC.BanSummary Char"/>
    <w:basedOn w:val="DefaultParagraphFont"/>
    <w:link w:val="SCCBanSummary0"/>
    <w:rsid w:val="0071029D"/>
    <w:rPr>
      <w:rFonts w:eastAsia="Calibri" w:cs="Times New Roman"/>
      <w:smallCaps/>
      <w:lang w:val="en-CA"/>
    </w:rPr>
  </w:style>
  <w:style w:type="paragraph" w:styleId="NoSpacing">
    <w:name w:val="No Spacing"/>
    <w:uiPriority w:val="1"/>
    <w:qFormat/>
    <w:rsid w:val="0071029D"/>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71029D"/>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71029D"/>
    <w:rPr>
      <w:rFonts w:eastAsia="Calibri" w:cs="Times New Roman"/>
      <w:szCs w:val="24"/>
      <w:lang w:val="en-CA"/>
    </w:rPr>
  </w:style>
  <w:style w:type="paragraph" w:styleId="DocumentMap">
    <w:name w:val="Document Map"/>
    <w:basedOn w:val="Normal"/>
    <w:link w:val="DocumentMapChar"/>
    <w:uiPriority w:val="99"/>
    <w:semiHidden/>
    <w:unhideWhenUsed/>
    <w:rsid w:val="0071029D"/>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71029D"/>
    <w:rPr>
      <w:rFonts w:ascii="Tahoma" w:eastAsia="Times New Roman" w:hAnsi="Tahoma" w:cs="Tahoma"/>
      <w:sz w:val="16"/>
      <w:szCs w:val="16"/>
    </w:rPr>
  </w:style>
  <w:style w:type="paragraph" w:customStyle="1" w:styleId="Style268435469">
    <w:name w:val="Style268435469"/>
    <w:rsid w:val="0071029D"/>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71029D"/>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71029D"/>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71029D"/>
    <w:rPr>
      <w:sz w:val="16"/>
      <w:szCs w:val="16"/>
    </w:rPr>
  </w:style>
  <w:style w:type="paragraph" w:styleId="CommentText">
    <w:name w:val="annotation text"/>
    <w:basedOn w:val="Normal"/>
    <w:link w:val="CommentTextChar"/>
    <w:uiPriority w:val="99"/>
    <w:semiHidden/>
    <w:unhideWhenUsed/>
    <w:rsid w:val="0071029D"/>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71029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029D"/>
    <w:rPr>
      <w:b/>
      <w:bCs/>
    </w:rPr>
  </w:style>
  <w:style w:type="character" w:customStyle="1" w:styleId="CommentSubjectChar">
    <w:name w:val="Comment Subject Char"/>
    <w:basedOn w:val="CommentTextChar"/>
    <w:link w:val="CommentSubject"/>
    <w:uiPriority w:val="99"/>
    <w:semiHidden/>
    <w:rsid w:val="0071029D"/>
    <w:rPr>
      <w:rFonts w:eastAsia="Times New Roman" w:cs="Times New Roman"/>
      <w:b/>
      <w:bCs/>
      <w:sz w:val="20"/>
      <w:szCs w:val="20"/>
    </w:rPr>
  </w:style>
  <w:style w:type="paragraph" w:customStyle="1" w:styleId="Default">
    <w:name w:val="Default"/>
    <w:rsid w:val="0071029D"/>
    <w:pPr>
      <w:autoSpaceDE w:val="0"/>
      <w:autoSpaceDN w:val="0"/>
      <w:adjustRightInd w:val="0"/>
    </w:pPr>
    <w:rPr>
      <w:rFonts w:eastAsia="Times New Roman" w:cs="Times New Roman"/>
      <w:color w:val="000000"/>
      <w:szCs w:val="24"/>
      <w:lang w:eastAsia="en-CA"/>
    </w:rPr>
  </w:style>
  <w:style w:type="paragraph" w:customStyle="1" w:styleId="scjnumber1">
    <w:name w:val="scjnumber1"/>
    <w:basedOn w:val="Normal"/>
    <w:rsid w:val="0071029D"/>
    <w:pPr>
      <w:spacing w:after="240"/>
    </w:pPr>
    <w:rPr>
      <w:rFonts w:ascii="Arial" w:eastAsia="Times New Roman" w:hAnsi="Arial" w:cs="Arial"/>
      <w:szCs w:val="24"/>
      <w:lang w:val="en-US"/>
    </w:rPr>
  </w:style>
  <w:style w:type="character" w:customStyle="1" w:styleId="reflex">
    <w:name w:val="reflex"/>
    <w:basedOn w:val="DefaultParagraphFont"/>
    <w:rsid w:val="0071029D"/>
  </w:style>
  <w:style w:type="paragraph" w:customStyle="1" w:styleId="SCCAppellantInfoSectionTitle">
    <w:name w:val="SCC.AppellantInfo.SectionTitle"/>
    <w:basedOn w:val="Normal"/>
    <w:next w:val="Normal"/>
    <w:link w:val="SCCAppellantInfoSectionTitleChar"/>
    <w:rsid w:val="001D78D8"/>
    <w:pPr>
      <w:jc w:val="center"/>
    </w:pPr>
    <w:rPr>
      <w:b/>
      <w:szCs w:val="24"/>
      <w:u w:val="single"/>
    </w:rPr>
  </w:style>
  <w:style w:type="character" w:customStyle="1" w:styleId="SCCAppellantInfoSectionTitleChar">
    <w:name w:val="SCC.AppellantInfo.SectionTitle Char"/>
    <w:basedOn w:val="DefaultParagraphFont"/>
    <w:link w:val="SCCAppellantInfoSectionTitle"/>
    <w:rsid w:val="001D78D8"/>
    <w:rPr>
      <w:b/>
      <w:szCs w:val="24"/>
      <w:u w:val="single"/>
      <w:lang w:val="en-CA"/>
    </w:rPr>
  </w:style>
  <w:style w:type="paragraph" w:customStyle="1" w:styleId="SCCAppellantInfoSectionText">
    <w:name w:val="SCC.AppellantInfo.SectionText"/>
    <w:basedOn w:val="Normal"/>
    <w:next w:val="Normal"/>
    <w:link w:val="SCCAppellantInfoSectionTextChar"/>
    <w:rsid w:val="001D78D8"/>
    <w:pPr>
      <w:jc w:val="both"/>
    </w:pPr>
    <w:rPr>
      <w:szCs w:val="24"/>
    </w:rPr>
  </w:style>
  <w:style w:type="character" w:customStyle="1" w:styleId="SCCAppellantInfoSectionTextChar">
    <w:name w:val="SCC.AppellantInfo.SectionText Char"/>
    <w:basedOn w:val="DefaultParagraphFont"/>
    <w:link w:val="SCCAppellantInfoSectionText"/>
    <w:rsid w:val="001D78D8"/>
    <w:rPr>
      <w:szCs w:val="24"/>
      <w:lang w:val="en-CA"/>
    </w:rPr>
  </w:style>
  <w:style w:type="paragraph" w:customStyle="1" w:styleId="SCCAppellantInfoCoram">
    <w:name w:val="SCC.AppellantInfo.Coram"/>
    <w:basedOn w:val="Normal"/>
    <w:next w:val="Normal"/>
    <w:link w:val="SCCAppellantInfoCoramChar"/>
    <w:rsid w:val="001D78D8"/>
    <w:rPr>
      <w:b/>
      <w:szCs w:val="24"/>
    </w:rPr>
  </w:style>
  <w:style w:type="character" w:customStyle="1" w:styleId="SCCAppellantInfoCoramChar">
    <w:name w:val="SCC.AppellantInfo.Coram Char"/>
    <w:basedOn w:val="DefaultParagraphFont"/>
    <w:link w:val="SCCAppellantInfoCoram"/>
    <w:rsid w:val="001D78D8"/>
    <w:rPr>
      <w:b/>
      <w:szCs w:val="24"/>
      <w:lang w:val="en-CA"/>
    </w:rPr>
  </w:style>
  <w:style w:type="paragraph" w:customStyle="1" w:styleId="SCCAppellantInfoTypeOfCase">
    <w:name w:val="SCC.AppellantInfo.TypeOfCase"/>
    <w:basedOn w:val="Normal"/>
    <w:next w:val="Normal"/>
    <w:link w:val="SCCAppellantInfoTypeOfCaseChar"/>
    <w:rsid w:val="001D78D8"/>
    <w:rPr>
      <w:b/>
      <w:szCs w:val="24"/>
    </w:rPr>
  </w:style>
  <w:style w:type="character" w:customStyle="1" w:styleId="SCCAppellantInfoTypeOfCaseChar">
    <w:name w:val="SCC.AppellantInfo.TypeOfCase Char"/>
    <w:basedOn w:val="DefaultParagraphFont"/>
    <w:link w:val="SCCAppellantInfoTypeOfCase"/>
    <w:rsid w:val="001D78D8"/>
    <w:rPr>
      <w:b/>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226065499">
      <w:bodyDiv w:val="1"/>
      <w:marLeft w:val="0"/>
      <w:marRight w:val="0"/>
      <w:marTop w:val="0"/>
      <w:marBottom w:val="0"/>
      <w:divBdr>
        <w:top w:val="none" w:sz="0" w:space="0" w:color="auto"/>
        <w:left w:val="none" w:sz="0" w:space="0" w:color="auto"/>
        <w:bottom w:val="none" w:sz="0" w:space="0" w:color="auto"/>
        <w:right w:val="none" w:sz="0" w:space="0" w:color="auto"/>
      </w:divBdr>
      <w:divsChild>
        <w:div w:id="1283226233">
          <w:marLeft w:val="-225"/>
          <w:marRight w:val="-225"/>
          <w:marTop w:val="60"/>
          <w:marBottom w:val="60"/>
          <w:divBdr>
            <w:top w:val="none" w:sz="0" w:space="0" w:color="auto"/>
            <w:left w:val="none" w:sz="0" w:space="0" w:color="auto"/>
            <w:bottom w:val="none" w:sz="0" w:space="0" w:color="auto"/>
            <w:right w:val="none" w:sz="0" w:space="0" w:color="auto"/>
          </w:divBdr>
          <w:divsChild>
            <w:div w:id="206212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on/laws/stat/rso-1990-c-l26/latest/rso-1990-c-l26.html" TargetMode="External"/><Relationship Id="rId117" Type="http://schemas.openxmlformats.org/officeDocument/2006/relationships/header" Target="header13.xml"/><Relationship Id="rId21" Type="http://schemas.openxmlformats.org/officeDocument/2006/relationships/hyperlink" Target="https://www.canlii.org/en/bc/bcsc/doc/2018/2018bcsc377/2018bcsc377.html" TargetMode="External"/><Relationship Id="rId42" Type="http://schemas.openxmlformats.org/officeDocument/2006/relationships/hyperlink" Target="https://www.canlii.org/fr/qc/qcca/doc/2019/2019qcca751/2019qcca751.pdf" TargetMode="External"/><Relationship Id="rId47" Type="http://schemas.openxmlformats.org/officeDocument/2006/relationships/hyperlink" Target="https://www.canlii.org/en/bc/bcsc/doc/2017/2017bcsc2273/2017bcsc2273.html?autocompleteStr=2017%20BCSC%202273&amp;autocompletePos=1" TargetMode="External"/><Relationship Id="rId63" Type="http://schemas.openxmlformats.org/officeDocument/2006/relationships/hyperlink" Target="https://www.canlii.org/en/bc/bcsc/doc/2018/2018bcsc1057/2018bcsc1057.html?autocompleteStr=2018%20BCSC%201057&amp;autocompletePos=1" TargetMode="External"/><Relationship Id="rId68" Type="http://schemas.openxmlformats.org/officeDocument/2006/relationships/hyperlink" Target="https://www.canlii.org/fr/qc/qcca/doc/2019/2019qcca410/2019qcca410.html?autocompleteStr=200-09-009959-195&amp;autocompletePos=1" TargetMode="External"/><Relationship Id="rId84" Type="http://schemas.openxmlformats.org/officeDocument/2006/relationships/hyperlink" Target="https://www.canlii.org/en/on/onsc/doc/2017/2017onsc4009/2017onsc4009.pdf" TargetMode="External"/><Relationship Id="rId89" Type="http://schemas.openxmlformats.org/officeDocument/2006/relationships/hyperlink" Target="https://www.canlii.org/fr/ca/cci/doc/2017/2017cci234/2017cci234.html" TargetMode="External"/><Relationship Id="rId112" Type="http://schemas.openxmlformats.org/officeDocument/2006/relationships/hyperlink" Target="http://www.scc-csc.ca/case-dossier/info/sum-som-eng.aspx?cas=38677" TargetMode="External"/><Relationship Id="rId16" Type="http://schemas.openxmlformats.org/officeDocument/2006/relationships/footer" Target="footer3.xml"/><Relationship Id="rId107" Type="http://schemas.openxmlformats.org/officeDocument/2006/relationships/hyperlink" Target="http://www.scc-csc.ca/case-dossier/info/sum-som-eng.aspx?cas=38374" TargetMode="External"/><Relationship Id="rId11" Type="http://schemas.openxmlformats.org/officeDocument/2006/relationships/header" Target="header1.xml"/><Relationship Id="rId32" Type="http://schemas.openxmlformats.org/officeDocument/2006/relationships/hyperlink" Target="https://www.canlii.org/en/on/laws/stat/rso-1990-c-p5/latest/rso-1990-c-p5.html" TargetMode="External"/><Relationship Id="rId37" Type="http://schemas.openxmlformats.org/officeDocument/2006/relationships/hyperlink" Target="https://www.canlii.org/fr/qc/qccs/doc/2017/2017qccs4690/2017qccs4690.pdf" TargetMode="External"/><Relationship Id="rId53" Type="http://schemas.openxmlformats.org/officeDocument/2006/relationships/hyperlink" Target="https://www.canlii.org/en/bc/bcsc/doc/2018/2018bcsc299/2018bcsc299.html" TargetMode="External"/><Relationship Id="rId58" Type="http://schemas.openxmlformats.org/officeDocument/2006/relationships/hyperlink" Target="https://www.canlii.org/en/bc/bcca/doc/2019/2019bcca149/2019bcca149.html" TargetMode="External"/><Relationship Id="rId74" Type="http://schemas.openxmlformats.org/officeDocument/2006/relationships/hyperlink" Target="http://canlii.ca/t/j02ml" TargetMode="External"/><Relationship Id="rId79" Type="http://schemas.openxmlformats.org/officeDocument/2006/relationships/hyperlink" Target="http://canlii.ca/t/hq4wt" TargetMode="External"/><Relationship Id="rId102" Type="http://schemas.openxmlformats.org/officeDocument/2006/relationships/header" Target="header9.xml"/><Relationship Id="rId123" Type="http://schemas.openxmlformats.org/officeDocument/2006/relationships/header" Target="header14.xml"/><Relationship Id="rId128" Type="http://schemas.openxmlformats.org/officeDocument/2006/relationships/footer" Target="footer16.xml"/><Relationship Id="rId5" Type="http://schemas.openxmlformats.org/officeDocument/2006/relationships/webSettings" Target="webSettings.xml"/><Relationship Id="rId90" Type="http://schemas.openxmlformats.org/officeDocument/2006/relationships/hyperlink" Target="https://www.canlii.org/en/ca/fca/doc/2019/2019fca151/2019fca151.html?autocompleteStr=2019%20fca%20151&amp;autocompletePos=1" TargetMode="External"/><Relationship Id="rId95" Type="http://schemas.openxmlformats.org/officeDocument/2006/relationships/header" Target="header5.xml"/><Relationship Id="rId19" Type="http://schemas.openxmlformats.org/officeDocument/2006/relationships/hyperlink" Target="https://www.canlii.org/en/on/onca/doc/2019/2019onca111/2019onca111.html?resultIndex=1" TargetMode="External"/><Relationship Id="rId14" Type="http://schemas.openxmlformats.org/officeDocument/2006/relationships/footer" Target="footer2.xml"/><Relationship Id="rId22" Type="http://schemas.openxmlformats.org/officeDocument/2006/relationships/hyperlink" Target="https://www.canlii.org/en/bc/bcca/doc/2019/2019bcca130/2019bcca130.html" TargetMode="External"/><Relationship Id="rId27" Type="http://schemas.openxmlformats.org/officeDocument/2006/relationships/hyperlink" Target="https://www.canlii.org/en/on/laws/stat/rso-1990-c-p5/latest/rso-1990-c-p5.html" TargetMode="External"/><Relationship Id="rId30" Type="http://schemas.openxmlformats.org/officeDocument/2006/relationships/hyperlink" Target="https://www.canlii.org/en/on/laws/stat/rso-1990-c-l16/latest/rso-1990-c-l16.html" TargetMode="External"/><Relationship Id="rId35" Type="http://schemas.openxmlformats.org/officeDocument/2006/relationships/hyperlink" Target="https://www.canlii.org/en/on/onca/doc/2019/2019onca421/2019onca421.html?searchUrlHash=AAAAAQANMjAxOSBPTkNBIDQyMQAAAAAB&amp;resultIndex=2" TargetMode="External"/><Relationship Id="rId43" Type="http://schemas.openxmlformats.org/officeDocument/2006/relationships/hyperlink" Target="https://www.canlii.org/fr/qc/qccm/doc/2017/2017qccm9/2017qccm9.pdf" TargetMode="External"/><Relationship Id="rId48" Type="http://schemas.openxmlformats.org/officeDocument/2006/relationships/hyperlink" Target="https://www.canlii.org/en/bc/bcca/doc/2019/2019bcca180/2019bcca180.html?searchUrlHash=AAAAAAAAAAEAFzIwMTcgQkNTQyAyMjczIChDYW5MSUkpAAAAAQANLzIwMTdiY3NjMjI3MwE" TargetMode="External"/><Relationship Id="rId56" Type="http://schemas.openxmlformats.org/officeDocument/2006/relationships/hyperlink" Target="https://www.canlii.org/en/bc/bcca/doc/2017/2017bcca119/2017bcca119.html" TargetMode="External"/><Relationship Id="rId64" Type="http://schemas.openxmlformats.org/officeDocument/2006/relationships/hyperlink" Target="https://www.canlii.org/en/bc/bcca/doc/2019/2019bcca114/2019bcca114.html?autocompleteStr=2019%20bcca%20114&amp;autocompletePos=1" TargetMode="External"/><Relationship Id="rId69" Type="http://schemas.openxmlformats.org/officeDocument/2006/relationships/hyperlink" Target="https://www.canlii.org/en/bc/laws/stat/sbc-2009-c-13/latest/sbc-2009-c-13.html" TargetMode="External"/><Relationship Id="rId77" Type="http://schemas.openxmlformats.org/officeDocument/2006/relationships/hyperlink" Target="https://www.canlii.org/en/bc/laws/stat/sbc-2009-c-13/latest/sbc-2009-c-13.html" TargetMode="External"/><Relationship Id="rId100" Type="http://schemas.openxmlformats.org/officeDocument/2006/relationships/footer" Target="footer7.xml"/><Relationship Id="rId105" Type="http://schemas.openxmlformats.org/officeDocument/2006/relationships/header" Target="header10.xml"/><Relationship Id="rId113" Type="http://schemas.openxmlformats.org/officeDocument/2006/relationships/header" Target="header11.xml"/><Relationship Id="rId118" Type="http://schemas.openxmlformats.org/officeDocument/2006/relationships/footer" Target="footer13.xml"/><Relationship Id="rId126" Type="http://schemas.openxmlformats.org/officeDocument/2006/relationships/footer" Target="footer15.xml"/><Relationship Id="rId8" Type="http://schemas.openxmlformats.org/officeDocument/2006/relationships/image" Target="media/image1.wmf"/><Relationship Id="rId51" Type="http://schemas.openxmlformats.org/officeDocument/2006/relationships/hyperlink" Target="https://www.canlii.org/en/bc/bcsc/doc/2016/2016bcsc368/2016bcsc368.html" TargetMode="External"/><Relationship Id="rId72" Type="http://schemas.openxmlformats.org/officeDocument/2006/relationships/hyperlink" Target="https://www.canlii.org/en/bc/laws/stat/sbc-2009-c-13/latest/sbc-2009-c-13.html" TargetMode="External"/><Relationship Id="rId80" Type="http://schemas.openxmlformats.org/officeDocument/2006/relationships/hyperlink" Target="http://canlii.ca/t/j02ml" TargetMode="External"/><Relationship Id="rId85" Type="http://schemas.openxmlformats.org/officeDocument/2006/relationships/hyperlink" Target="https://www.canlii.org/en/on/onsc/doc/2017/2017onsc6856/2017onsc6856.pdf" TargetMode="External"/><Relationship Id="rId93" Type="http://schemas.openxmlformats.org/officeDocument/2006/relationships/hyperlink" Target="https://www.canlii.org/en/on/onsc/doc/2018/2018onsc2471/2018onsc2471.html" TargetMode="External"/><Relationship Id="rId98" Type="http://schemas.openxmlformats.org/officeDocument/2006/relationships/footer" Target="footer6.xml"/><Relationship Id="rId121" Type="http://schemas.openxmlformats.org/officeDocument/2006/relationships/hyperlink" Target="https://decisions.scc-csc.ca/scc-csc/scc-csc/en/item/18035/index.do"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canlii.org/en/on/laws/stat/rso-1990-c-l16/latest/rso-1990-c-l16.html" TargetMode="External"/><Relationship Id="rId33" Type="http://schemas.openxmlformats.org/officeDocument/2006/relationships/hyperlink" Target="http://c-doc.domain.scc-csc.gc.ca/L25/01/05/%3chttp:/canlii.ca/t/ht3s4%3e," TargetMode="External"/><Relationship Id="rId38" Type="http://schemas.openxmlformats.org/officeDocument/2006/relationships/hyperlink" Target="https://www.canlii.org/en/qc/qcca/doc/2019/2019qcca755/2019qcca755.pdf" TargetMode="External"/><Relationship Id="rId46" Type="http://schemas.openxmlformats.org/officeDocument/2006/relationships/hyperlink" Target="https://www.canlii.org/en/bc/bcca/doc/2019/2019bcca180/2019bcca180.html?searchUrlHash=AAAAAAAAAAEAFzIwMTcgQkNTQyAyMjczIChDYW5MSUkpAAAAAQANLzIwMTdiY3NjMjI3MwE" TargetMode="External"/><Relationship Id="rId59" Type="http://schemas.openxmlformats.org/officeDocument/2006/relationships/hyperlink" Target="https://www.canlii.org/en/bc/bcsc/doc/2018/2018bcsc157/2018bcsc157.html?resultIndex=1" TargetMode="External"/><Relationship Id="rId67" Type="http://schemas.openxmlformats.org/officeDocument/2006/relationships/hyperlink" Target="https://www.canlii.org/fr/qc/qccs/doc/2018/2018qccs4519/2018qccs4519.html" TargetMode="External"/><Relationship Id="rId103" Type="http://schemas.openxmlformats.org/officeDocument/2006/relationships/footer" Target="footer8.xml"/><Relationship Id="rId108" Type="http://schemas.openxmlformats.org/officeDocument/2006/relationships/hyperlink" Target="http://www.scc-csc.ca/case-dossier/info/sum-som-eng.aspx?cas=38376" TargetMode="External"/><Relationship Id="rId116" Type="http://schemas.openxmlformats.org/officeDocument/2006/relationships/footer" Target="footer12.xml"/><Relationship Id="rId124" Type="http://schemas.openxmlformats.org/officeDocument/2006/relationships/header" Target="header15.xml"/><Relationship Id="rId129" Type="http://schemas.openxmlformats.org/officeDocument/2006/relationships/header" Target="header17.xml"/><Relationship Id="rId20" Type="http://schemas.openxmlformats.org/officeDocument/2006/relationships/hyperlink" Target="https://www.canlii.org/en/on/onca/doc/2019/2019onca111/2019onca111.html?resultIndex=1" TargetMode="External"/><Relationship Id="rId41" Type="http://schemas.openxmlformats.org/officeDocument/2006/relationships/hyperlink" Target="https://www.canlii.org/fr/qc/qccm/doc/2017/2017qccm9/2017qccm9.pdf" TargetMode="External"/><Relationship Id="rId54" Type="http://schemas.openxmlformats.org/officeDocument/2006/relationships/hyperlink" Target="https://www.canlii.org/en/bc/bcca/doc/2019/2019bcca149/2019bcca149.html" TargetMode="External"/><Relationship Id="rId62" Type="http://schemas.openxmlformats.org/officeDocument/2006/relationships/hyperlink" Target="https://www.canlii.org/en/bc/bcsc/doc/2018/2018bcsc157/2018bcsc157.html?resultIndex=1" TargetMode="External"/><Relationship Id="rId70" Type="http://schemas.openxmlformats.org/officeDocument/2006/relationships/hyperlink" Target="https://www.canlii.org/en/bc/laws/stat/sbc-2009-c-13/latest/sbc-2009-c-13.html" TargetMode="External"/><Relationship Id="rId75" Type="http://schemas.openxmlformats.org/officeDocument/2006/relationships/hyperlink" Target="https://www.canlii.org/en/bc/laws/stat/sbc-2009-c-13/latest/sbc-2009-c-13.html" TargetMode="External"/><Relationship Id="rId83" Type="http://schemas.openxmlformats.org/officeDocument/2006/relationships/hyperlink" Target="https://www.canlii.org/en/on/onca/doc/2019/2019onca293/2019onca293.pdf" TargetMode="External"/><Relationship Id="rId88" Type="http://schemas.openxmlformats.org/officeDocument/2006/relationships/hyperlink" Target="https://www.canlii.org/en/ca/fca/doc/2019/2019fca151/2019fca151.html?autocompleteStr=2019%20fca%20151&amp;autocompletePos=1" TargetMode="External"/><Relationship Id="rId91" Type="http://schemas.openxmlformats.org/officeDocument/2006/relationships/hyperlink" Target="https://www.canlii.org/en/on/onsc/doc/2018/2018onsc2471/2018onsc2471.html" TargetMode="External"/><Relationship Id="rId96" Type="http://schemas.openxmlformats.org/officeDocument/2006/relationships/header" Target="header6.xml"/><Relationship Id="rId111" Type="http://schemas.openxmlformats.org/officeDocument/2006/relationships/hyperlink" Target="http://www.scc-csc.ca/case-dossier/info/sum-som-eng.aspx?cas=38661"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canlii.org/en/bc/bcsc/doc/2018/2018bcsc377/2018bcsc377.html" TargetMode="External"/><Relationship Id="rId28" Type="http://schemas.openxmlformats.org/officeDocument/2006/relationships/hyperlink" Target="http://c-doc.domain.scc-csc.gc.ca/L25/01/05/%3chttp:/canlii.ca/t/ht3s4%3e," TargetMode="External"/><Relationship Id="rId36" Type="http://schemas.openxmlformats.org/officeDocument/2006/relationships/hyperlink" Target="https://www.canlii.org/en/on/onca/doc/2019/2019onca421/2019onca421.html?searchUrlHash=AAAAAQANMjAxOSBPTkNBIDQyMQAAAAAB&amp;resultIndex=2" TargetMode="External"/><Relationship Id="rId49" Type="http://schemas.openxmlformats.org/officeDocument/2006/relationships/hyperlink" Target="https://www.canlii.org/en/ca/fca/doc/2019/2019fca3/2019fca3.html?autocompleteStr=Gratl&amp;autocompletePos=4" TargetMode="External"/><Relationship Id="rId57" Type="http://schemas.openxmlformats.org/officeDocument/2006/relationships/hyperlink" Target="https://www.canlii.org/en/bc/bcsc/doc/2018/2018bcsc299/2018bcsc299.html" TargetMode="External"/><Relationship Id="rId106" Type="http://schemas.openxmlformats.org/officeDocument/2006/relationships/footer" Target="footer10.xml"/><Relationship Id="rId114" Type="http://schemas.openxmlformats.org/officeDocument/2006/relationships/header" Target="header12.xml"/><Relationship Id="rId119" Type="http://schemas.openxmlformats.org/officeDocument/2006/relationships/hyperlink" Target="https://decisions.scc-csc.ca/scc-csc/scc-csc/en/item/18015/index.do" TargetMode="External"/><Relationship Id="rId127" Type="http://schemas.openxmlformats.org/officeDocument/2006/relationships/header" Target="header16.xml"/><Relationship Id="rId10" Type="http://schemas.openxmlformats.org/officeDocument/2006/relationships/hyperlink" Target="http://www.scc-csc.ca" TargetMode="External"/><Relationship Id="rId31" Type="http://schemas.openxmlformats.org/officeDocument/2006/relationships/hyperlink" Target="https://www.canlii.org/en/on/laws/stat/rso-1990-c-l26/latest/rso-1990-c-l26.html" TargetMode="External"/><Relationship Id="rId44" Type="http://schemas.openxmlformats.org/officeDocument/2006/relationships/hyperlink" Target="https://www.canlii.org/fr/qc/qcca/doc/2019/2019qcca751/2019qcca751.pdf" TargetMode="External"/><Relationship Id="rId52" Type="http://schemas.openxmlformats.org/officeDocument/2006/relationships/hyperlink" Target="https://www.canlii.org/en/bc/bcca/doc/2017/2017bcca119/2017bcca119.html" TargetMode="External"/><Relationship Id="rId60" Type="http://schemas.openxmlformats.org/officeDocument/2006/relationships/hyperlink" Target="https://www.canlii.org/en/bc/bcsc/doc/2018/2018bcsc1057/2018bcsc1057.html?autocompleteStr=2018%20BCSC%201057&amp;autocompletePos=1" TargetMode="External"/><Relationship Id="rId65" Type="http://schemas.openxmlformats.org/officeDocument/2006/relationships/hyperlink" Target="https://www.canlii.org/fr/qc/qccs/doc/2018/2018qccs4519/2018qccs4519.html" TargetMode="External"/><Relationship Id="rId73" Type="http://schemas.openxmlformats.org/officeDocument/2006/relationships/hyperlink" Target="http://canlii.ca/t/hq4wt" TargetMode="External"/><Relationship Id="rId78" Type="http://schemas.openxmlformats.org/officeDocument/2006/relationships/hyperlink" Target="https://www.canlii.org/en/bc/laws/stat/sbc-2009-c-13/latest/sbc-2009-c-13.html" TargetMode="External"/><Relationship Id="rId81" Type="http://schemas.openxmlformats.org/officeDocument/2006/relationships/hyperlink" Target="https://www.canlii.org/en/on/onsc/doc/2017/2017onsc4009/2017onsc4009.pdf" TargetMode="External"/><Relationship Id="rId86" Type="http://schemas.openxmlformats.org/officeDocument/2006/relationships/hyperlink" Target="https://www.canlii.org/en/on/onca/doc/2019/2019onca293/2019onca293.pdf" TargetMode="External"/><Relationship Id="rId94" Type="http://schemas.openxmlformats.org/officeDocument/2006/relationships/hyperlink" Target="https://www.canlii.org/en/on/onca/doc/2019/2019onca354/2019onca354.html" TargetMode="External"/><Relationship Id="rId99" Type="http://schemas.openxmlformats.org/officeDocument/2006/relationships/header" Target="header7.xml"/><Relationship Id="rId101" Type="http://schemas.openxmlformats.org/officeDocument/2006/relationships/header" Target="header8.xml"/><Relationship Id="rId122" Type="http://schemas.openxmlformats.org/officeDocument/2006/relationships/hyperlink" Target="https://decisions.scc-csc.ca/scc-csc/scc-csc/fr/item/18035/index.do" TargetMode="External"/><Relationship Id="rId130"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hyperlink" Target="https://www.canlii.org/fr/qc/qccs/doc/2017/2017qccs4690/2017qccs4690.pdf" TargetMode="External"/><Relationship Id="rId109" Type="http://schemas.openxmlformats.org/officeDocument/2006/relationships/hyperlink" Target="http://www.scc-csc.ca/case-dossier/info/sum-som-fra.aspx?cas=38297" TargetMode="External"/><Relationship Id="rId34" Type="http://schemas.openxmlformats.org/officeDocument/2006/relationships/hyperlink" Target="http://canlii.ca/t/j010q" TargetMode="External"/><Relationship Id="rId50" Type="http://schemas.openxmlformats.org/officeDocument/2006/relationships/hyperlink" Target="https://www.canlii.org/fr/ca/caf/doc/2019/2019caf3/2019caf3.html" TargetMode="External"/><Relationship Id="rId55" Type="http://schemas.openxmlformats.org/officeDocument/2006/relationships/hyperlink" Target="https://www.canlii.org/en/bc/bcsc/doc/2016/2016bcsc368/2016bcsc368.html" TargetMode="External"/><Relationship Id="rId76" Type="http://schemas.openxmlformats.org/officeDocument/2006/relationships/hyperlink" Target="https://www.canlii.org/en/bc/laws/stat/sbc-2009-c-13/latest/sbc-2009-c-13.html" TargetMode="External"/><Relationship Id="rId97" Type="http://schemas.openxmlformats.org/officeDocument/2006/relationships/footer" Target="footer5.xml"/><Relationship Id="rId104" Type="http://schemas.openxmlformats.org/officeDocument/2006/relationships/footer" Target="footer9.xml"/><Relationship Id="rId120" Type="http://schemas.openxmlformats.org/officeDocument/2006/relationships/hyperlink" Target="https://decisions.scc-csc.ca/scc-csc/scc-csc/fr/item/18015/index.do" TargetMode="External"/><Relationship Id="rId125" Type="http://schemas.openxmlformats.org/officeDocument/2006/relationships/footer" Target="footer14.xml"/><Relationship Id="rId7" Type="http://schemas.openxmlformats.org/officeDocument/2006/relationships/endnotes" Target="endnotes.xml"/><Relationship Id="rId71" Type="http://schemas.openxmlformats.org/officeDocument/2006/relationships/hyperlink" Target="https://www.canlii.org/en/bc/laws/stat/sbc-2009-c-13/latest/sbc-2009-c-13.html" TargetMode="External"/><Relationship Id="rId92" Type="http://schemas.openxmlformats.org/officeDocument/2006/relationships/hyperlink" Target="https://www.canlii.org/en/on/onca/doc/2019/2019onca354/2019onca354.html" TargetMode="External"/><Relationship Id="rId2" Type="http://schemas.openxmlformats.org/officeDocument/2006/relationships/numbering" Target="numbering.xml"/><Relationship Id="rId29" Type="http://schemas.openxmlformats.org/officeDocument/2006/relationships/hyperlink" Target="http://canlii.ca/t/j010q" TargetMode="External"/><Relationship Id="rId24" Type="http://schemas.openxmlformats.org/officeDocument/2006/relationships/hyperlink" Target="https://www.canlii.org/en/bc/bcca/doc/2019/2019bcca130/2019bcca130.html" TargetMode="External"/><Relationship Id="rId40" Type="http://schemas.openxmlformats.org/officeDocument/2006/relationships/hyperlink" Target="https://www.canlii.org/fr/qc/qcca/doc/2019/2019qcca755/2019qcca755.pdf" TargetMode="External"/><Relationship Id="rId45" Type="http://schemas.openxmlformats.org/officeDocument/2006/relationships/hyperlink" Target="https://www.canlii.org/en/bc/bcsc/doc/2017/2017bcsc2273/2017bcsc2273.html?autocompleteStr=2017%20BCSC%202273&amp;autocompletePos=1" TargetMode="External"/><Relationship Id="rId66" Type="http://schemas.openxmlformats.org/officeDocument/2006/relationships/hyperlink" Target="https://www.canlii.org/fr/qc/qcca/doc/2019/2019qcca410/2019qcca410.html?autocompleteStr=200-09-009959-195&amp;autocompletePos=1" TargetMode="External"/><Relationship Id="rId87" Type="http://schemas.openxmlformats.org/officeDocument/2006/relationships/hyperlink" Target="https://www.canlii.org/en/ca/tcc/doc/2017/2017tcc234/2017tcc234.html?autocompleteStr=2017%20TCC%20234&amp;autocompletePos=1" TargetMode="External"/><Relationship Id="rId110" Type="http://schemas.openxmlformats.org/officeDocument/2006/relationships/hyperlink" Target="http://www.scc-csc.ca/case-dossier/info/sum-som-eng.aspx?cas=38498" TargetMode="External"/><Relationship Id="rId115" Type="http://schemas.openxmlformats.org/officeDocument/2006/relationships/footer" Target="footer11.xml"/><Relationship Id="rId131" Type="http://schemas.openxmlformats.org/officeDocument/2006/relationships/fontTable" Target="fontTable.xml"/><Relationship Id="rId61" Type="http://schemas.openxmlformats.org/officeDocument/2006/relationships/hyperlink" Target="https://www.canlii.org/en/bc/bcca/doc/2019/2019bcca114/2019bcca114.html?autocompleteStr=2019%20bcca%20114&amp;autocompletePos=1" TargetMode="External"/><Relationship Id="rId82" Type="http://schemas.openxmlformats.org/officeDocument/2006/relationships/hyperlink" Target="https://www.canlii.org/en/on/onsc/doc/2017/2017onsc6856/2017onsc685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A37A0-3647-4201-8FD2-B63D4A649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2019.dotx</Template>
  <TotalTime>0</TotalTime>
  <Pages>42</Pages>
  <Words>18733</Words>
  <Characters>106784</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2019-11-08T19:05:00Z</dcterms:created>
  <dcterms:modified xsi:type="dcterms:W3CDTF">2019-11-20T13:37:00Z</dcterms:modified>
</cp:coreProperties>
</file>