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F55576" w:rsidTr="00F138C1">
        <w:tc>
          <w:tcPr>
            <w:tcW w:w="9648" w:type="dxa"/>
            <w:gridSpan w:val="3"/>
          </w:tcPr>
          <w:p w:rsidR="00F138C1" w:rsidRPr="00F55576" w:rsidRDefault="00F138C1" w:rsidP="00F138C1">
            <w:pPr>
              <w:tabs>
                <w:tab w:val="left" w:pos="6075"/>
              </w:tabs>
              <w:jc w:val="center"/>
              <w:rPr>
                <w:b/>
                <w:sz w:val="32"/>
                <w:szCs w:val="32"/>
                <w:lang w:val="fr-CA"/>
              </w:rPr>
            </w:pPr>
            <w:r w:rsidRPr="00F55576">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F55576" w:rsidTr="00F138C1">
        <w:tc>
          <w:tcPr>
            <w:tcW w:w="4599" w:type="dxa"/>
            <w:tcMar>
              <w:top w:w="284" w:type="dxa"/>
            </w:tcMar>
          </w:tcPr>
          <w:p w:rsidR="00F138C1" w:rsidRPr="00F55576" w:rsidRDefault="00F138C1" w:rsidP="00F138C1">
            <w:pPr>
              <w:tabs>
                <w:tab w:val="left" w:pos="6075"/>
              </w:tabs>
              <w:jc w:val="center"/>
              <w:rPr>
                <w:b/>
                <w:sz w:val="32"/>
                <w:szCs w:val="32"/>
              </w:rPr>
            </w:pPr>
            <w:r w:rsidRPr="00F55576">
              <w:rPr>
                <w:b/>
                <w:sz w:val="32"/>
                <w:szCs w:val="32"/>
              </w:rPr>
              <w:t>SUPREME COURT OF CANADA</w:t>
            </w:r>
          </w:p>
        </w:tc>
        <w:tc>
          <w:tcPr>
            <w:tcW w:w="483" w:type="dxa"/>
          </w:tcPr>
          <w:p w:rsidR="00F138C1" w:rsidRPr="00F55576" w:rsidRDefault="00F138C1" w:rsidP="00F138C1">
            <w:pPr>
              <w:tabs>
                <w:tab w:val="left" w:pos="6075"/>
              </w:tabs>
              <w:jc w:val="center"/>
              <w:rPr>
                <w:sz w:val="32"/>
                <w:szCs w:val="32"/>
              </w:rPr>
            </w:pPr>
          </w:p>
        </w:tc>
        <w:tc>
          <w:tcPr>
            <w:tcW w:w="4566" w:type="dxa"/>
            <w:tcMar>
              <w:top w:w="284" w:type="dxa"/>
            </w:tcMar>
          </w:tcPr>
          <w:p w:rsidR="00F138C1" w:rsidRPr="00F55576" w:rsidRDefault="00F138C1" w:rsidP="00F138C1">
            <w:pPr>
              <w:tabs>
                <w:tab w:val="left" w:pos="6075"/>
              </w:tabs>
              <w:jc w:val="center"/>
              <w:rPr>
                <w:b/>
                <w:sz w:val="32"/>
                <w:szCs w:val="32"/>
                <w:lang w:val="fr-CA"/>
              </w:rPr>
            </w:pPr>
            <w:r w:rsidRPr="00F55576">
              <w:rPr>
                <w:b/>
                <w:sz w:val="32"/>
                <w:szCs w:val="32"/>
                <w:lang w:val="fr-CA"/>
              </w:rPr>
              <w:t>COUR SUPRÊME DU CANADA</w:t>
            </w:r>
          </w:p>
        </w:tc>
      </w:tr>
      <w:tr w:rsidR="00F138C1" w:rsidRPr="00F55576" w:rsidTr="00F138C1">
        <w:tc>
          <w:tcPr>
            <w:tcW w:w="4599" w:type="dxa"/>
            <w:tcMar>
              <w:top w:w="567" w:type="dxa"/>
            </w:tcMar>
          </w:tcPr>
          <w:p w:rsidR="00F138C1" w:rsidRPr="00F55576" w:rsidRDefault="00F138C1" w:rsidP="00F138C1">
            <w:pPr>
              <w:tabs>
                <w:tab w:val="left" w:pos="6075"/>
              </w:tabs>
              <w:jc w:val="center"/>
              <w:rPr>
                <w:sz w:val="28"/>
                <w:szCs w:val="28"/>
              </w:rPr>
            </w:pPr>
            <w:r w:rsidRPr="00F55576">
              <w:rPr>
                <w:sz w:val="28"/>
                <w:szCs w:val="28"/>
              </w:rPr>
              <w:t>BULLETIN OF</w:t>
            </w:r>
            <w:r w:rsidRPr="00F55576">
              <w:rPr>
                <w:sz w:val="28"/>
                <w:szCs w:val="28"/>
              </w:rPr>
              <w:br/>
              <w:t xml:space="preserve"> PROCEEDINGS</w:t>
            </w:r>
          </w:p>
        </w:tc>
        <w:tc>
          <w:tcPr>
            <w:tcW w:w="483" w:type="dxa"/>
          </w:tcPr>
          <w:p w:rsidR="00F138C1" w:rsidRPr="00F55576" w:rsidRDefault="00F138C1" w:rsidP="00F138C1">
            <w:pPr>
              <w:tabs>
                <w:tab w:val="left" w:pos="6075"/>
              </w:tabs>
            </w:pPr>
          </w:p>
        </w:tc>
        <w:tc>
          <w:tcPr>
            <w:tcW w:w="4566" w:type="dxa"/>
            <w:tcMar>
              <w:top w:w="567" w:type="dxa"/>
            </w:tcMar>
          </w:tcPr>
          <w:p w:rsidR="00F138C1" w:rsidRPr="00F55576" w:rsidRDefault="00F138C1" w:rsidP="00F138C1">
            <w:pPr>
              <w:tabs>
                <w:tab w:val="left" w:pos="6075"/>
              </w:tabs>
              <w:jc w:val="center"/>
              <w:rPr>
                <w:sz w:val="28"/>
                <w:szCs w:val="28"/>
                <w:lang w:val="fr-CA"/>
              </w:rPr>
            </w:pPr>
            <w:r w:rsidRPr="00F55576">
              <w:rPr>
                <w:sz w:val="28"/>
                <w:szCs w:val="28"/>
                <w:lang w:val="fr-CA"/>
              </w:rPr>
              <w:t>BULLETIN DES</w:t>
            </w:r>
            <w:r w:rsidRPr="00F55576">
              <w:rPr>
                <w:sz w:val="28"/>
                <w:szCs w:val="28"/>
                <w:lang w:val="fr-CA"/>
              </w:rPr>
              <w:br/>
              <w:t xml:space="preserve"> PROCÉDURES</w:t>
            </w:r>
          </w:p>
        </w:tc>
      </w:tr>
      <w:tr w:rsidR="00F138C1" w:rsidRPr="008042C9" w:rsidTr="00F138C1">
        <w:tc>
          <w:tcPr>
            <w:tcW w:w="4599" w:type="dxa"/>
            <w:tcMar>
              <w:top w:w="567" w:type="dxa"/>
            </w:tcMar>
          </w:tcPr>
          <w:p w:rsidR="00F138C1" w:rsidRPr="00F55576" w:rsidRDefault="00F138C1" w:rsidP="00F138C1">
            <w:pPr>
              <w:tabs>
                <w:tab w:val="left" w:pos="6075"/>
              </w:tabs>
              <w:jc w:val="both"/>
              <w:rPr>
                <w:rFonts w:ascii="Arial" w:hAnsi="Arial" w:cs="Arial"/>
                <w:i/>
                <w:sz w:val="20"/>
                <w:szCs w:val="20"/>
              </w:rPr>
            </w:pPr>
            <w:r w:rsidRPr="00F5557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F5557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55576" w:rsidRDefault="00F138C1" w:rsidP="00F138C1">
            <w:pPr>
              <w:tabs>
                <w:tab w:val="left" w:pos="6075"/>
              </w:tabs>
              <w:jc w:val="both"/>
              <w:rPr>
                <w:rFonts w:ascii="Arial" w:hAnsi="Arial" w:cs="Arial"/>
                <w:i/>
                <w:sz w:val="20"/>
                <w:szCs w:val="20"/>
                <w:lang w:val="fr-CA"/>
              </w:rPr>
            </w:pPr>
            <w:r w:rsidRPr="00F5557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8042C9" w:rsidTr="00F138C1">
        <w:tc>
          <w:tcPr>
            <w:tcW w:w="4599" w:type="dxa"/>
            <w:tcMar>
              <w:top w:w="567" w:type="dxa"/>
            </w:tcMar>
          </w:tcPr>
          <w:p w:rsidR="00F138C1" w:rsidRPr="00F55576" w:rsidRDefault="00F138C1" w:rsidP="00F138C1">
            <w:pPr>
              <w:tabs>
                <w:tab w:val="left" w:pos="6075"/>
              </w:tabs>
              <w:jc w:val="both"/>
              <w:rPr>
                <w:rFonts w:ascii="Arial" w:hAnsi="Arial" w:cs="Arial"/>
                <w:i/>
                <w:sz w:val="20"/>
                <w:szCs w:val="20"/>
              </w:rPr>
            </w:pPr>
            <w:r w:rsidRPr="00F55576">
              <w:rPr>
                <w:rFonts w:ascii="Arial" w:hAnsi="Arial" w:cs="Arial"/>
                <w:i/>
                <w:sz w:val="20"/>
                <w:szCs w:val="20"/>
              </w:rPr>
              <w:t>During Court sessions, the Bulletin is usually issued weekly.</w:t>
            </w:r>
          </w:p>
        </w:tc>
        <w:tc>
          <w:tcPr>
            <w:tcW w:w="483" w:type="dxa"/>
          </w:tcPr>
          <w:p w:rsidR="00F138C1" w:rsidRPr="00F5557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55576" w:rsidRDefault="00F138C1" w:rsidP="00F138C1">
            <w:pPr>
              <w:tabs>
                <w:tab w:val="left" w:pos="6075"/>
              </w:tabs>
              <w:jc w:val="both"/>
              <w:rPr>
                <w:rFonts w:ascii="Arial" w:hAnsi="Arial" w:cs="Arial"/>
                <w:i/>
                <w:sz w:val="20"/>
                <w:szCs w:val="20"/>
                <w:lang w:val="fr-CA"/>
              </w:rPr>
            </w:pPr>
            <w:r w:rsidRPr="00F55576">
              <w:rPr>
                <w:rFonts w:ascii="Arial" w:hAnsi="Arial" w:cs="Arial"/>
                <w:i/>
                <w:sz w:val="20"/>
                <w:szCs w:val="20"/>
                <w:lang w:val="fr-CA"/>
              </w:rPr>
              <w:t>Le Bulletin paraît en principe toutes les semaines pendant les sessions de la Cour.</w:t>
            </w:r>
          </w:p>
        </w:tc>
      </w:tr>
      <w:tr w:rsidR="00F138C1" w:rsidRPr="008042C9" w:rsidTr="00F138C1">
        <w:tc>
          <w:tcPr>
            <w:tcW w:w="4599" w:type="dxa"/>
            <w:tcMar>
              <w:top w:w="567" w:type="dxa"/>
            </w:tcMar>
          </w:tcPr>
          <w:p w:rsidR="00F138C1" w:rsidRPr="00F55576" w:rsidRDefault="00F138C1" w:rsidP="00F138C1">
            <w:pPr>
              <w:tabs>
                <w:tab w:val="left" w:pos="6075"/>
              </w:tabs>
              <w:jc w:val="both"/>
              <w:rPr>
                <w:rFonts w:ascii="Arial" w:hAnsi="Arial" w:cs="Arial"/>
                <w:i/>
                <w:sz w:val="20"/>
                <w:szCs w:val="20"/>
              </w:rPr>
            </w:pPr>
            <w:r w:rsidRPr="00F55576">
              <w:rPr>
                <w:rFonts w:ascii="Arial" w:hAnsi="Arial" w:cs="Arial"/>
                <w:i/>
                <w:sz w:val="20"/>
                <w:szCs w:val="20"/>
              </w:rPr>
              <w:fldChar w:fldCharType="begin"/>
            </w:r>
            <w:r w:rsidRPr="00F55576">
              <w:rPr>
                <w:rFonts w:ascii="Arial" w:hAnsi="Arial" w:cs="Arial"/>
                <w:i/>
                <w:sz w:val="20"/>
                <w:szCs w:val="20"/>
              </w:rPr>
              <w:instrText xml:space="preserve"> SEQ CHAPTER \h \r 1</w:instrText>
            </w:r>
            <w:r w:rsidRPr="00F55576">
              <w:rPr>
                <w:rFonts w:ascii="Arial" w:hAnsi="Arial" w:cs="Arial"/>
                <w:i/>
                <w:sz w:val="20"/>
                <w:szCs w:val="20"/>
              </w:rPr>
              <w:fldChar w:fldCharType="end"/>
            </w:r>
            <w:r w:rsidRPr="00F5557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F5557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55576" w:rsidRDefault="00F138C1" w:rsidP="00F138C1">
            <w:pPr>
              <w:tabs>
                <w:tab w:val="left" w:pos="6075"/>
              </w:tabs>
              <w:jc w:val="both"/>
              <w:rPr>
                <w:rFonts w:ascii="Arial" w:hAnsi="Arial" w:cs="Arial"/>
                <w:i/>
                <w:sz w:val="20"/>
                <w:szCs w:val="20"/>
                <w:lang w:val="fr-CA"/>
              </w:rPr>
            </w:pPr>
            <w:r w:rsidRPr="00F55576">
              <w:rPr>
                <w:rFonts w:ascii="Arial" w:hAnsi="Arial" w:cs="Arial"/>
                <w:i/>
                <w:sz w:val="20"/>
                <w:szCs w:val="20"/>
                <w:lang w:val="fr-CA"/>
              </w:rPr>
              <w:fldChar w:fldCharType="begin"/>
            </w:r>
            <w:r w:rsidRPr="00F55576">
              <w:rPr>
                <w:rFonts w:ascii="Arial" w:hAnsi="Arial" w:cs="Arial"/>
                <w:i/>
                <w:sz w:val="20"/>
                <w:szCs w:val="20"/>
                <w:lang w:val="fr-CA"/>
              </w:rPr>
              <w:instrText xml:space="preserve"> SEQ CHAPTER \h \r 1</w:instrText>
            </w:r>
            <w:r w:rsidRPr="00F55576">
              <w:rPr>
                <w:rFonts w:ascii="Arial" w:hAnsi="Arial" w:cs="Arial"/>
                <w:i/>
                <w:sz w:val="20"/>
                <w:szCs w:val="20"/>
                <w:lang w:val="fr-CA"/>
              </w:rPr>
              <w:fldChar w:fldCharType="end"/>
            </w:r>
            <w:r w:rsidRPr="00F5557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8042C9" w:rsidTr="00F138C1">
        <w:tc>
          <w:tcPr>
            <w:tcW w:w="4599" w:type="dxa"/>
            <w:tcMar>
              <w:top w:w="567" w:type="dxa"/>
            </w:tcMar>
          </w:tcPr>
          <w:p w:rsidR="00F138C1" w:rsidRPr="00F55576" w:rsidRDefault="00F138C1" w:rsidP="00F138C1">
            <w:pPr>
              <w:tabs>
                <w:tab w:val="left" w:pos="6075"/>
              </w:tabs>
              <w:jc w:val="both"/>
              <w:rPr>
                <w:rFonts w:ascii="Arial" w:hAnsi="Arial" w:cs="Arial"/>
                <w:i/>
                <w:sz w:val="20"/>
                <w:szCs w:val="20"/>
              </w:rPr>
            </w:pPr>
            <w:r w:rsidRPr="00F55576">
              <w:rPr>
                <w:rFonts w:ascii="Arial" w:hAnsi="Arial" w:cs="Arial"/>
                <w:i/>
                <w:sz w:val="20"/>
                <w:szCs w:val="20"/>
                <w:lang w:val="en-US"/>
              </w:rPr>
              <w:t>Please c</w:t>
            </w:r>
            <w:r w:rsidRPr="00F55576">
              <w:rPr>
                <w:rFonts w:ascii="Arial" w:hAnsi="Arial" w:cs="Arial"/>
                <w:i/>
                <w:sz w:val="20"/>
                <w:szCs w:val="20"/>
              </w:rPr>
              <w:t xml:space="preserve">onsult the Supreme Court of Canada website at </w:t>
            </w:r>
            <w:hyperlink r:id="rId9" w:history="1">
              <w:r w:rsidRPr="00F55576">
                <w:rPr>
                  <w:rStyle w:val="Hyperlink"/>
                  <w:rFonts w:ascii="Arial" w:hAnsi="Arial" w:cs="Arial"/>
                  <w:i/>
                  <w:sz w:val="20"/>
                  <w:szCs w:val="20"/>
                </w:rPr>
                <w:t>www.scc-csc.ca</w:t>
              </w:r>
            </w:hyperlink>
            <w:r w:rsidRPr="00F55576">
              <w:rPr>
                <w:rFonts w:ascii="Arial" w:hAnsi="Arial" w:cs="Arial"/>
                <w:i/>
                <w:sz w:val="20"/>
                <w:szCs w:val="20"/>
              </w:rPr>
              <w:t xml:space="preserve"> for more information.</w:t>
            </w:r>
          </w:p>
        </w:tc>
        <w:tc>
          <w:tcPr>
            <w:tcW w:w="483" w:type="dxa"/>
          </w:tcPr>
          <w:p w:rsidR="00F138C1" w:rsidRPr="00F5557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55576" w:rsidRDefault="00F138C1" w:rsidP="00F138C1">
            <w:pPr>
              <w:tabs>
                <w:tab w:val="left" w:pos="6075"/>
              </w:tabs>
              <w:jc w:val="both"/>
              <w:rPr>
                <w:rFonts w:ascii="Arial" w:hAnsi="Arial" w:cs="Arial"/>
                <w:i/>
                <w:sz w:val="20"/>
                <w:szCs w:val="20"/>
                <w:lang w:val="fr-CA"/>
              </w:rPr>
            </w:pPr>
            <w:r w:rsidRPr="00F55576">
              <w:rPr>
                <w:rFonts w:ascii="Arial" w:hAnsi="Arial" w:cs="Arial"/>
                <w:i/>
                <w:sz w:val="20"/>
                <w:szCs w:val="20"/>
                <w:lang w:val="fr-CA"/>
              </w:rPr>
              <w:t xml:space="preserve">Pour de plus amples informations, veuillez consulter le site Web de la Cour suprême du Canada à l’adresse suivante : </w:t>
            </w:r>
            <w:hyperlink r:id="rId10" w:history="1">
              <w:r w:rsidRPr="00F55576">
                <w:rPr>
                  <w:rStyle w:val="Hyperlink"/>
                  <w:rFonts w:ascii="Arial" w:hAnsi="Arial" w:cs="Arial"/>
                  <w:i/>
                  <w:sz w:val="20"/>
                  <w:szCs w:val="20"/>
                  <w:lang w:val="fr-CA"/>
                </w:rPr>
                <w:t>www.scc-csc.ca</w:t>
              </w:r>
            </w:hyperlink>
            <w:r w:rsidRPr="00F55576">
              <w:rPr>
                <w:rFonts w:ascii="Arial" w:hAnsi="Arial" w:cs="Arial"/>
                <w:i/>
                <w:sz w:val="20"/>
                <w:szCs w:val="20"/>
                <w:lang w:val="fr-CA"/>
              </w:rPr>
              <w:t xml:space="preserve"> </w:t>
            </w:r>
          </w:p>
        </w:tc>
      </w:tr>
    </w:tbl>
    <w:p w:rsidR="00F138C1" w:rsidRPr="00F55576"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F55576" w:rsidTr="00F138C1">
        <w:tc>
          <w:tcPr>
            <w:tcW w:w="2250" w:type="pct"/>
            <w:tcBorders>
              <w:top w:val="single" w:sz="4" w:space="0" w:color="auto"/>
            </w:tcBorders>
            <w:tcMar>
              <w:top w:w="284" w:type="dxa"/>
              <w:bottom w:w="284" w:type="dxa"/>
            </w:tcMar>
          </w:tcPr>
          <w:p w:rsidR="00F138C1" w:rsidRPr="00F55576" w:rsidRDefault="00F138C1" w:rsidP="0053735D">
            <w:pPr>
              <w:tabs>
                <w:tab w:val="left" w:pos="6075"/>
              </w:tabs>
              <w:rPr>
                <w:rFonts w:ascii="Arial" w:hAnsi="Arial" w:cs="Arial"/>
                <w:i/>
                <w:sz w:val="20"/>
                <w:szCs w:val="20"/>
              </w:rPr>
            </w:pPr>
            <w:r w:rsidRPr="00F55576">
              <w:rPr>
                <w:lang w:val="fr-CA"/>
              </w:rPr>
              <w:t>January 1</w:t>
            </w:r>
            <w:r w:rsidR="0053735D" w:rsidRPr="00F55576">
              <w:rPr>
                <w:lang w:val="fr-CA"/>
              </w:rPr>
              <w:t>7</w:t>
            </w:r>
            <w:r w:rsidRPr="00F55576">
              <w:rPr>
                <w:lang w:val="fr-CA"/>
              </w:rPr>
              <w:t>, 2020</w:t>
            </w:r>
          </w:p>
        </w:tc>
        <w:tc>
          <w:tcPr>
            <w:tcW w:w="500" w:type="pct"/>
            <w:tcBorders>
              <w:top w:val="single" w:sz="4" w:space="0" w:color="auto"/>
            </w:tcBorders>
            <w:tcMar>
              <w:top w:w="284" w:type="dxa"/>
              <w:bottom w:w="284" w:type="dxa"/>
            </w:tcMar>
          </w:tcPr>
          <w:p w:rsidR="00F138C1" w:rsidRPr="00F55576" w:rsidRDefault="00F138C1" w:rsidP="00994C1E">
            <w:pPr>
              <w:tabs>
                <w:tab w:val="left" w:pos="6075"/>
              </w:tabs>
              <w:jc w:val="center"/>
              <w:rPr>
                <w:rFonts w:ascii="Arial" w:hAnsi="Arial" w:cs="Arial"/>
                <w:i/>
                <w:sz w:val="20"/>
                <w:szCs w:val="20"/>
              </w:rPr>
            </w:pPr>
            <w:r w:rsidRPr="00F55576">
              <w:rPr>
                <w:lang w:val="fr-CA"/>
              </w:rPr>
              <w:t xml:space="preserve">1 - </w:t>
            </w:r>
            <w:r w:rsidR="00A71A86" w:rsidRPr="00F55576">
              <w:rPr>
                <w:lang w:val="fr-CA"/>
              </w:rPr>
              <w:t>3</w:t>
            </w:r>
            <w:r w:rsidR="00994C1E" w:rsidRPr="00F55576">
              <w:rPr>
                <w:lang w:val="fr-CA"/>
              </w:rPr>
              <w:t>7</w:t>
            </w:r>
          </w:p>
        </w:tc>
        <w:tc>
          <w:tcPr>
            <w:tcW w:w="2250" w:type="pct"/>
            <w:tcBorders>
              <w:top w:val="single" w:sz="4" w:space="0" w:color="auto"/>
            </w:tcBorders>
            <w:tcMar>
              <w:top w:w="284" w:type="dxa"/>
              <w:bottom w:w="284" w:type="dxa"/>
            </w:tcMar>
          </w:tcPr>
          <w:p w:rsidR="00F138C1" w:rsidRPr="00F55576" w:rsidRDefault="00F138C1" w:rsidP="0053735D">
            <w:pPr>
              <w:tabs>
                <w:tab w:val="left" w:pos="6075"/>
              </w:tabs>
              <w:jc w:val="right"/>
              <w:rPr>
                <w:rFonts w:ascii="Arial" w:hAnsi="Arial" w:cs="Arial"/>
                <w:i/>
                <w:sz w:val="20"/>
                <w:szCs w:val="20"/>
                <w:lang w:val="fr-CA"/>
              </w:rPr>
            </w:pPr>
            <w:r w:rsidRPr="00F55576">
              <w:rPr>
                <w:lang w:val="fr-CA"/>
              </w:rPr>
              <w:t>Le 1</w:t>
            </w:r>
            <w:r w:rsidR="0053735D" w:rsidRPr="00F55576">
              <w:rPr>
                <w:lang w:val="fr-CA"/>
              </w:rPr>
              <w:t>7</w:t>
            </w:r>
            <w:r w:rsidRPr="00F55576">
              <w:rPr>
                <w:lang w:val="fr-CA"/>
              </w:rPr>
              <w:t xml:space="preserve"> janvier 2020</w:t>
            </w:r>
          </w:p>
        </w:tc>
      </w:tr>
      <w:tr w:rsidR="00F138C1" w:rsidRPr="008042C9" w:rsidTr="00F138C1">
        <w:tc>
          <w:tcPr>
            <w:tcW w:w="2250" w:type="pct"/>
            <w:tcBorders>
              <w:bottom w:val="single" w:sz="4" w:space="0" w:color="auto"/>
            </w:tcBorders>
            <w:tcMar>
              <w:top w:w="284" w:type="dxa"/>
              <w:bottom w:w="284" w:type="dxa"/>
            </w:tcMar>
          </w:tcPr>
          <w:p w:rsidR="00F138C1" w:rsidRPr="00F55576" w:rsidRDefault="00F138C1" w:rsidP="00F138C1">
            <w:pPr>
              <w:tabs>
                <w:tab w:val="left" w:pos="6075"/>
              </w:tabs>
              <w:rPr>
                <w:rFonts w:ascii="Arial" w:hAnsi="Arial" w:cs="Arial"/>
                <w:i/>
                <w:sz w:val="20"/>
                <w:szCs w:val="20"/>
              </w:rPr>
            </w:pPr>
            <w:r w:rsidRPr="00F55576">
              <w:rPr>
                <w:sz w:val="18"/>
                <w:szCs w:val="18"/>
                <w:lang w:val="en-US"/>
              </w:rPr>
              <w:t>© Supreme Court of Canada (2020)</w:t>
            </w:r>
            <w:r w:rsidRPr="00F55576">
              <w:rPr>
                <w:sz w:val="18"/>
                <w:szCs w:val="18"/>
                <w:lang w:val="en-US"/>
              </w:rPr>
              <w:br/>
              <w:t>ISSN 1918-8358 (Online)</w:t>
            </w:r>
          </w:p>
        </w:tc>
        <w:tc>
          <w:tcPr>
            <w:tcW w:w="500" w:type="pct"/>
            <w:tcBorders>
              <w:bottom w:val="single" w:sz="4" w:space="0" w:color="auto"/>
            </w:tcBorders>
            <w:tcMar>
              <w:top w:w="284" w:type="dxa"/>
              <w:bottom w:w="284" w:type="dxa"/>
            </w:tcMar>
          </w:tcPr>
          <w:p w:rsidR="00F138C1" w:rsidRPr="00F55576" w:rsidRDefault="00F138C1" w:rsidP="00B76114">
            <w:pPr>
              <w:tabs>
                <w:tab w:val="left" w:pos="6075"/>
              </w:tabs>
              <w:jc w:val="center"/>
              <w:rPr>
                <w:rFonts w:ascii="Arial" w:hAnsi="Arial" w:cs="Arial"/>
                <w:sz w:val="20"/>
                <w:szCs w:val="20"/>
              </w:rPr>
            </w:pPr>
          </w:p>
        </w:tc>
        <w:tc>
          <w:tcPr>
            <w:tcW w:w="2250" w:type="pct"/>
            <w:tcBorders>
              <w:bottom w:val="single" w:sz="4" w:space="0" w:color="auto"/>
            </w:tcBorders>
            <w:tcMar>
              <w:top w:w="284" w:type="dxa"/>
              <w:bottom w:w="284" w:type="dxa"/>
            </w:tcMar>
          </w:tcPr>
          <w:p w:rsidR="00F138C1" w:rsidRPr="00F55576" w:rsidRDefault="00F138C1" w:rsidP="00F138C1">
            <w:pPr>
              <w:tabs>
                <w:tab w:val="left" w:pos="6075"/>
              </w:tabs>
              <w:jc w:val="right"/>
              <w:rPr>
                <w:rFonts w:ascii="Arial" w:hAnsi="Arial" w:cs="Arial"/>
                <w:i/>
                <w:sz w:val="20"/>
                <w:szCs w:val="20"/>
                <w:lang w:val="fr-CA"/>
              </w:rPr>
            </w:pPr>
            <w:r w:rsidRPr="00F55576">
              <w:rPr>
                <w:sz w:val="18"/>
                <w:szCs w:val="18"/>
                <w:lang w:val="fr-CA"/>
              </w:rPr>
              <w:t>© Cour suprême du Canada (2020</w:t>
            </w:r>
            <w:proofErr w:type="gramStart"/>
            <w:r w:rsidRPr="00F55576">
              <w:rPr>
                <w:sz w:val="18"/>
                <w:szCs w:val="18"/>
                <w:lang w:val="fr-CA"/>
              </w:rPr>
              <w:t>)</w:t>
            </w:r>
            <w:proofErr w:type="gramEnd"/>
            <w:r w:rsidRPr="00F55576">
              <w:rPr>
                <w:sz w:val="18"/>
                <w:szCs w:val="18"/>
                <w:lang w:val="fr-CA"/>
              </w:rPr>
              <w:br/>
              <w:t>ISSN 1918-8358 (En ligne)</w:t>
            </w:r>
          </w:p>
        </w:tc>
      </w:tr>
    </w:tbl>
    <w:p w:rsidR="0030050B" w:rsidRPr="00F55576" w:rsidRDefault="0030050B" w:rsidP="00F138C1">
      <w:pPr>
        <w:tabs>
          <w:tab w:val="left" w:pos="6075"/>
        </w:tabs>
        <w:rPr>
          <w:lang w:val="fr-CA"/>
        </w:rPr>
      </w:pPr>
    </w:p>
    <w:p w:rsidR="00560DF1" w:rsidRPr="00F55576" w:rsidRDefault="00560DF1" w:rsidP="0095096B">
      <w:pPr>
        <w:tabs>
          <w:tab w:val="right" w:pos="9360"/>
        </w:tabs>
        <w:rPr>
          <w:lang w:val="fr-CA"/>
        </w:rPr>
      </w:pPr>
    </w:p>
    <w:p w:rsidR="00F138C1" w:rsidRPr="00F55576"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F55576" w:rsidRDefault="00DC6B2E" w:rsidP="00693C38">
          <w:pPr>
            <w:pStyle w:val="Title"/>
            <w:jc w:val="center"/>
            <w:rPr>
              <w:rFonts w:ascii="Times New Roman" w:hAnsi="Times New Roman" w:cs="Times New Roman"/>
              <w:b/>
              <w:sz w:val="24"/>
              <w:szCs w:val="28"/>
              <w:lang w:val="fr-CA"/>
            </w:rPr>
          </w:pPr>
          <w:r w:rsidRPr="00F55576">
            <w:rPr>
              <w:rFonts w:ascii="Times New Roman" w:hAnsi="Times New Roman" w:cs="Times New Roman"/>
              <w:b/>
              <w:sz w:val="24"/>
              <w:szCs w:val="28"/>
              <w:lang w:val="fr-CA"/>
            </w:rPr>
            <w:t>Contents</w:t>
          </w:r>
        </w:p>
        <w:p w:rsidR="00693C38" w:rsidRPr="00F55576" w:rsidRDefault="00DC6B2E" w:rsidP="00693C38">
          <w:pPr>
            <w:jc w:val="center"/>
            <w:rPr>
              <w:b/>
              <w:szCs w:val="28"/>
              <w:lang w:val="fr-CA"/>
            </w:rPr>
          </w:pPr>
          <w:r w:rsidRPr="00F55576">
            <w:rPr>
              <w:b/>
              <w:szCs w:val="28"/>
              <w:lang w:val="fr-CA"/>
            </w:rPr>
            <w:t>Table des matières</w:t>
          </w:r>
        </w:p>
        <w:p w:rsidR="00693C38" w:rsidRPr="00F55576" w:rsidRDefault="00693C38" w:rsidP="00693C38">
          <w:pPr>
            <w:rPr>
              <w:lang w:val="fr-CA"/>
            </w:rPr>
          </w:pPr>
        </w:p>
        <w:p w:rsidR="00D2764A" w:rsidRPr="00F55576" w:rsidRDefault="00DC6B2E">
          <w:pPr>
            <w:pStyle w:val="TOC1"/>
            <w:tabs>
              <w:tab w:val="right" w:leader="dot" w:pos="9638"/>
            </w:tabs>
            <w:rPr>
              <w:rFonts w:asciiTheme="minorHAnsi" w:eastAsiaTheme="minorEastAsia" w:hAnsiTheme="minorHAnsi"/>
              <w:noProof/>
              <w:sz w:val="22"/>
              <w:lang w:val="en-US"/>
            </w:rPr>
          </w:pPr>
          <w:r w:rsidRPr="00F55576">
            <w:rPr>
              <w:b/>
              <w:bCs/>
              <w:noProof/>
            </w:rPr>
            <w:fldChar w:fldCharType="begin"/>
          </w:r>
          <w:r w:rsidRPr="00F55576">
            <w:rPr>
              <w:b/>
              <w:bCs/>
              <w:noProof/>
            </w:rPr>
            <w:instrText xml:space="preserve"> TOC \o "1-3" \h \z \u </w:instrText>
          </w:r>
          <w:r w:rsidRPr="00F55576">
            <w:rPr>
              <w:b/>
              <w:bCs/>
              <w:noProof/>
            </w:rPr>
            <w:fldChar w:fldCharType="separate"/>
          </w:r>
          <w:hyperlink w:anchor="_Toc29890991" w:history="1">
            <w:r w:rsidR="00D2764A" w:rsidRPr="00F55576">
              <w:rPr>
                <w:rStyle w:val="Hyperlink"/>
                <w:noProof/>
                <w:lang w:val="fr-CA"/>
              </w:rPr>
              <w:t>Applications for leave to appeal filed /  Demandes d’autorisation d’appel déposées</w:t>
            </w:r>
            <w:r w:rsidR="00D2764A" w:rsidRPr="00F55576">
              <w:rPr>
                <w:noProof/>
                <w:webHidden/>
              </w:rPr>
              <w:tab/>
            </w:r>
            <w:r w:rsidR="00D2764A" w:rsidRPr="00F55576">
              <w:rPr>
                <w:noProof/>
                <w:webHidden/>
              </w:rPr>
              <w:fldChar w:fldCharType="begin"/>
            </w:r>
            <w:r w:rsidR="00D2764A" w:rsidRPr="00F55576">
              <w:rPr>
                <w:noProof/>
                <w:webHidden/>
              </w:rPr>
              <w:instrText xml:space="preserve"> PAGEREF _Toc29890991 \h </w:instrText>
            </w:r>
            <w:r w:rsidR="00D2764A" w:rsidRPr="00F55576">
              <w:rPr>
                <w:noProof/>
                <w:webHidden/>
              </w:rPr>
            </w:r>
            <w:r w:rsidR="00D2764A" w:rsidRPr="00F55576">
              <w:rPr>
                <w:noProof/>
                <w:webHidden/>
              </w:rPr>
              <w:fldChar w:fldCharType="separate"/>
            </w:r>
            <w:r w:rsidR="00994C1E" w:rsidRPr="00F55576">
              <w:rPr>
                <w:noProof/>
                <w:webHidden/>
              </w:rPr>
              <w:t>1</w:t>
            </w:r>
            <w:r w:rsidR="00D2764A" w:rsidRPr="00F55576">
              <w:rPr>
                <w:noProof/>
                <w:webHidden/>
              </w:rPr>
              <w:fldChar w:fldCharType="end"/>
            </w:r>
          </w:hyperlink>
        </w:p>
        <w:p w:rsidR="00D2764A" w:rsidRPr="00F55576" w:rsidRDefault="007B1953">
          <w:pPr>
            <w:pStyle w:val="TOC1"/>
            <w:tabs>
              <w:tab w:val="right" w:leader="dot" w:pos="9638"/>
            </w:tabs>
            <w:rPr>
              <w:rFonts w:asciiTheme="minorHAnsi" w:eastAsiaTheme="minorEastAsia" w:hAnsiTheme="minorHAnsi"/>
              <w:noProof/>
              <w:sz w:val="22"/>
              <w:lang w:val="en-US"/>
            </w:rPr>
          </w:pPr>
          <w:hyperlink w:anchor="_Toc29890992" w:history="1">
            <w:r w:rsidR="00D2764A" w:rsidRPr="00F55576">
              <w:rPr>
                <w:rStyle w:val="Hyperlink"/>
                <w:noProof/>
                <w:lang w:val="fr-CA"/>
              </w:rPr>
              <w:t>Applications for leave submitted to the Court since the last issue /  Demandes soumises à la Cour depuis la dernière parution</w:t>
            </w:r>
            <w:r w:rsidR="00D2764A" w:rsidRPr="00F55576">
              <w:rPr>
                <w:noProof/>
                <w:webHidden/>
              </w:rPr>
              <w:tab/>
            </w:r>
            <w:r w:rsidR="00D2764A" w:rsidRPr="00F55576">
              <w:rPr>
                <w:noProof/>
                <w:webHidden/>
              </w:rPr>
              <w:fldChar w:fldCharType="begin"/>
            </w:r>
            <w:r w:rsidR="00D2764A" w:rsidRPr="00F55576">
              <w:rPr>
                <w:noProof/>
                <w:webHidden/>
              </w:rPr>
              <w:instrText xml:space="preserve"> PAGEREF _Toc29890992 \h </w:instrText>
            </w:r>
            <w:r w:rsidR="00D2764A" w:rsidRPr="00F55576">
              <w:rPr>
                <w:noProof/>
                <w:webHidden/>
              </w:rPr>
            </w:r>
            <w:r w:rsidR="00D2764A" w:rsidRPr="00F55576">
              <w:rPr>
                <w:noProof/>
                <w:webHidden/>
              </w:rPr>
              <w:fldChar w:fldCharType="separate"/>
            </w:r>
            <w:r w:rsidR="00994C1E" w:rsidRPr="00F55576">
              <w:rPr>
                <w:noProof/>
                <w:webHidden/>
              </w:rPr>
              <w:t>2</w:t>
            </w:r>
            <w:r w:rsidR="00D2764A" w:rsidRPr="00F55576">
              <w:rPr>
                <w:noProof/>
                <w:webHidden/>
              </w:rPr>
              <w:fldChar w:fldCharType="end"/>
            </w:r>
          </w:hyperlink>
        </w:p>
        <w:p w:rsidR="00D2764A" w:rsidRPr="00F55576" w:rsidRDefault="007B1953">
          <w:pPr>
            <w:pStyle w:val="TOC1"/>
            <w:tabs>
              <w:tab w:val="right" w:leader="dot" w:pos="9638"/>
            </w:tabs>
            <w:rPr>
              <w:rFonts w:asciiTheme="minorHAnsi" w:eastAsiaTheme="minorEastAsia" w:hAnsiTheme="minorHAnsi"/>
              <w:noProof/>
              <w:sz w:val="22"/>
              <w:lang w:val="en-US"/>
            </w:rPr>
          </w:pPr>
          <w:hyperlink w:anchor="_Toc29890993" w:history="1">
            <w:r w:rsidR="00D2764A" w:rsidRPr="00F55576">
              <w:rPr>
                <w:rStyle w:val="Hyperlink"/>
                <w:noProof/>
                <w:lang w:val="fr-CA"/>
              </w:rPr>
              <w:t>Judgments on applications for leave /  Jugements rendus sur les demandes d’autorisation</w:t>
            </w:r>
            <w:r w:rsidR="00D2764A" w:rsidRPr="00F55576">
              <w:rPr>
                <w:noProof/>
                <w:webHidden/>
              </w:rPr>
              <w:tab/>
            </w:r>
            <w:r w:rsidR="00D2764A" w:rsidRPr="00F55576">
              <w:rPr>
                <w:noProof/>
                <w:webHidden/>
              </w:rPr>
              <w:fldChar w:fldCharType="begin"/>
            </w:r>
            <w:r w:rsidR="00D2764A" w:rsidRPr="00F55576">
              <w:rPr>
                <w:noProof/>
                <w:webHidden/>
              </w:rPr>
              <w:instrText xml:space="preserve"> PAGEREF _Toc29890993 \h </w:instrText>
            </w:r>
            <w:r w:rsidR="00D2764A" w:rsidRPr="00F55576">
              <w:rPr>
                <w:noProof/>
                <w:webHidden/>
              </w:rPr>
            </w:r>
            <w:r w:rsidR="00D2764A" w:rsidRPr="00F55576">
              <w:rPr>
                <w:noProof/>
                <w:webHidden/>
              </w:rPr>
              <w:fldChar w:fldCharType="separate"/>
            </w:r>
            <w:r w:rsidR="00994C1E" w:rsidRPr="00F55576">
              <w:rPr>
                <w:noProof/>
                <w:webHidden/>
              </w:rPr>
              <w:t>4</w:t>
            </w:r>
            <w:r w:rsidR="00D2764A" w:rsidRPr="00F55576">
              <w:rPr>
                <w:noProof/>
                <w:webHidden/>
              </w:rPr>
              <w:fldChar w:fldCharType="end"/>
            </w:r>
          </w:hyperlink>
        </w:p>
        <w:p w:rsidR="00D2764A" w:rsidRPr="00F55576" w:rsidRDefault="007B1953">
          <w:pPr>
            <w:pStyle w:val="TOC1"/>
            <w:tabs>
              <w:tab w:val="right" w:leader="dot" w:pos="9638"/>
            </w:tabs>
            <w:rPr>
              <w:rFonts w:asciiTheme="minorHAnsi" w:eastAsiaTheme="minorEastAsia" w:hAnsiTheme="minorHAnsi"/>
              <w:noProof/>
              <w:sz w:val="22"/>
              <w:lang w:val="en-US"/>
            </w:rPr>
          </w:pPr>
          <w:hyperlink w:anchor="_Toc29890994" w:history="1">
            <w:r w:rsidR="00D2764A" w:rsidRPr="00F55576">
              <w:rPr>
                <w:rStyle w:val="Hyperlink"/>
                <w:noProof/>
                <w:lang w:val="fr-CA"/>
              </w:rPr>
              <w:t>Motions /  Requêtes</w:t>
            </w:r>
            <w:r w:rsidR="00D2764A" w:rsidRPr="00F55576">
              <w:rPr>
                <w:noProof/>
                <w:webHidden/>
              </w:rPr>
              <w:tab/>
            </w:r>
            <w:r w:rsidR="00D2764A" w:rsidRPr="00F55576">
              <w:rPr>
                <w:noProof/>
                <w:webHidden/>
              </w:rPr>
              <w:fldChar w:fldCharType="begin"/>
            </w:r>
            <w:r w:rsidR="00D2764A" w:rsidRPr="00F55576">
              <w:rPr>
                <w:noProof/>
                <w:webHidden/>
              </w:rPr>
              <w:instrText xml:space="preserve"> PAGEREF _Toc29890994 \h </w:instrText>
            </w:r>
            <w:r w:rsidR="00D2764A" w:rsidRPr="00F55576">
              <w:rPr>
                <w:noProof/>
                <w:webHidden/>
              </w:rPr>
            </w:r>
            <w:r w:rsidR="00D2764A" w:rsidRPr="00F55576">
              <w:rPr>
                <w:noProof/>
                <w:webHidden/>
              </w:rPr>
              <w:fldChar w:fldCharType="separate"/>
            </w:r>
            <w:r w:rsidR="00994C1E" w:rsidRPr="00F55576">
              <w:rPr>
                <w:noProof/>
                <w:webHidden/>
              </w:rPr>
              <w:t>32</w:t>
            </w:r>
            <w:r w:rsidR="00D2764A" w:rsidRPr="00F55576">
              <w:rPr>
                <w:noProof/>
                <w:webHidden/>
              </w:rPr>
              <w:fldChar w:fldCharType="end"/>
            </w:r>
          </w:hyperlink>
        </w:p>
        <w:p w:rsidR="00D2764A" w:rsidRPr="00F55576" w:rsidRDefault="007B1953">
          <w:pPr>
            <w:pStyle w:val="TOC1"/>
            <w:tabs>
              <w:tab w:val="right" w:leader="dot" w:pos="9638"/>
            </w:tabs>
            <w:rPr>
              <w:rFonts w:asciiTheme="minorHAnsi" w:eastAsiaTheme="minorEastAsia" w:hAnsiTheme="minorHAnsi"/>
              <w:noProof/>
              <w:sz w:val="22"/>
              <w:lang w:val="en-US"/>
            </w:rPr>
          </w:pPr>
          <w:hyperlink w:anchor="_Toc29890995" w:history="1">
            <w:r w:rsidR="00D2764A" w:rsidRPr="00F55576">
              <w:rPr>
                <w:rStyle w:val="Hyperlink"/>
                <w:noProof/>
              </w:rPr>
              <w:t xml:space="preserve">Notices of appeal filed since the last issue /  </w:t>
            </w:r>
            <w:r w:rsidR="00D2764A" w:rsidRPr="00F55576">
              <w:rPr>
                <w:rStyle w:val="Hyperlink"/>
                <w:noProof/>
                <w:lang w:val="fr-CA"/>
              </w:rPr>
              <w:t>Avis d’appel déposés depuis la dernière parution</w:t>
            </w:r>
            <w:r w:rsidR="00D2764A" w:rsidRPr="00F55576">
              <w:rPr>
                <w:noProof/>
                <w:webHidden/>
              </w:rPr>
              <w:tab/>
            </w:r>
            <w:r w:rsidR="00D2764A" w:rsidRPr="00F55576">
              <w:rPr>
                <w:noProof/>
                <w:webHidden/>
              </w:rPr>
              <w:fldChar w:fldCharType="begin"/>
            </w:r>
            <w:r w:rsidR="00D2764A" w:rsidRPr="00F55576">
              <w:rPr>
                <w:noProof/>
                <w:webHidden/>
              </w:rPr>
              <w:instrText xml:space="preserve"> PAGEREF _Toc29890995 \h </w:instrText>
            </w:r>
            <w:r w:rsidR="00D2764A" w:rsidRPr="00F55576">
              <w:rPr>
                <w:noProof/>
                <w:webHidden/>
              </w:rPr>
            </w:r>
            <w:r w:rsidR="00D2764A" w:rsidRPr="00F55576">
              <w:rPr>
                <w:noProof/>
                <w:webHidden/>
              </w:rPr>
              <w:fldChar w:fldCharType="separate"/>
            </w:r>
            <w:r w:rsidR="00994C1E" w:rsidRPr="00F55576">
              <w:rPr>
                <w:noProof/>
                <w:webHidden/>
              </w:rPr>
              <w:t>36</w:t>
            </w:r>
            <w:r w:rsidR="00D2764A" w:rsidRPr="00F55576">
              <w:rPr>
                <w:noProof/>
                <w:webHidden/>
              </w:rPr>
              <w:fldChar w:fldCharType="end"/>
            </w:r>
          </w:hyperlink>
        </w:p>
        <w:p w:rsidR="00D2764A" w:rsidRPr="00F55576" w:rsidRDefault="007B1953">
          <w:pPr>
            <w:pStyle w:val="TOC1"/>
            <w:tabs>
              <w:tab w:val="right" w:leader="dot" w:pos="9638"/>
            </w:tabs>
            <w:rPr>
              <w:rFonts w:asciiTheme="minorHAnsi" w:eastAsiaTheme="minorEastAsia" w:hAnsiTheme="minorHAnsi"/>
              <w:noProof/>
              <w:sz w:val="22"/>
              <w:lang w:val="en-US"/>
            </w:rPr>
          </w:pPr>
          <w:hyperlink w:anchor="_Toc29890996" w:history="1">
            <w:r w:rsidR="00D2764A" w:rsidRPr="00F55576">
              <w:rPr>
                <w:rStyle w:val="Hyperlink"/>
                <w:noProof/>
                <w:lang w:val="fr-CA"/>
              </w:rPr>
              <w:t>Appeals heard since the last issue and disposition /  Appels entendus depuis la dernière parution et résultat</w:t>
            </w:r>
            <w:r w:rsidR="00D2764A" w:rsidRPr="00F55576">
              <w:rPr>
                <w:noProof/>
                <w:webHidden/>
              </w:rPr>
              <w:tab/>
            </w:r>
            <w:r w:rsidR="00D2764A" w:rsidRPr="00F55576">
              <w:rPr>
                <w:noProof/>
                <w:webHidden/>
              </w:rPr>
              <w:fldChar w:fldCharType="begin"/>
            </w:r>
            <w:r w:rsidR="00D2764A" w:rsidRPr="00F55576">
              <w:rPr>
                <w:noProof/>
                <w:webHidden/>
              </w:rPr>
              <w:instrText xml:space="preserve"> PAGEREF _Toc29890996 \h </w:instrText>
            </w:r>
            <w:r w:rsidR="00D2764A" w:rsidRPr="00F55576">
              <w:rPr>
                <w:noProof/>
                <w:webHidden/>
              </w:rPr>
            </w:r>
            <w:r w:rsidR="00D2764A" w:rsidRPr="00F55576">
              <w:rPr>
                <w:noProof/>
                <w:webHidden/>
              </w:rPr>
              <w:fldChar w:fldCharType="separate"/>
            </w:r>
            <w:r w:rsidR="00994C1E" w:rsidRPr="00F55576">
              <w:rPr>
                <w:noProof/>
                <w:webHidden/>
              </w:rPr>
              <w:t>37</w:t>
            </w:r>
            <w:r w:rsidR="00D2764A" w:rsidRPr="00F55576">
              <w:rPr>
                <w:noProof/>
                <w:webHidden/>
              </w:rPr>
              <w:fldChar w:fldCharType="end"/>
            </w:r>
          </w:hyperlink>
        </w:p>
        <w:p w:rsidR="00560DF1" w:rsidRPr="00F55576" w:rsidRDefault="00DC6B2E">
          <w:r w:rsidRPr="00F55576">
            <w:rPr>
              <w:b/>
              <w:bCs/>
              <w:noProof/>
              <w:sz w:val="20"/>
            </w:rPr>
            <w:fldChar w:fldCharType="end"/>
          </w:r>
        </w:p>
      </w:sdtContent>
    </w:sdt>
    <w:p w:rsidR="00560DF1" w:rsidRPr="00F55576"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8042C9" w:rsidTr="00F138C1">
        <w:trPr>
          <w:jc w:val="center"/>
        </w:trPr>
        <w:tc>
          <w:tcPr>
            <w:tcW w:w="9638" w:type="dxa"/>
          </w:tcPr>
          <w:p w:rsidR="00F138C1" w:rsidRPr="00F55576" w:rsidRDefault="00F138C1" w:rsidP="00F138C1">
            <w:pPr>
              <w:keepNext/>
              <w:tabs>
                <w:tab w:val="right" w:pos="9360"/>
              </w:tabs>
              <w:spacing w:after="120"/>
              <w:jc w:val="center"/>
              <w:rPr>
                <w:szCs w:val="24"/>
              </w:rPr>
            </w:pPr>
            <w:r w:rsidRPr="00F55576">
              <w:rPr>
                <w:szCs w:val="24"/>
              </w:rPr>
              <w:t>NOTICE</w:t>
            </w:r>
          </w:p>
          <w:p w:rsidR="00F138C1" w:rsidRPr="00F55576" w:rsidRDefault="00F138C1" w:rsidP="00F138C1">
            <w:pPr>
              <w:keepNext/>
              <w:tabs>
                <w:tab w:val="right" w:pos="9360"/>
              </w:tabs>
              <w:spacing w:after="120"/>
              <w:jc w:val="both"/>
              <w:rPr>
                <w:szCs w:val="24"/>
              </w:rPr>
            </w:pPr>
            <w:r w:rsidRPr="00F55576">
              <w:rPr>
                <w:szCs w:val="24"/>
              </w:rPr>
              <w:t>Case summaries included in the Bulletin are prepared by the Office of the Registrar of the Supreme Court of Canada (Law Branch) for information purposes only.</w:t>
            </w:r>
          </w:p>
          <w:p w:rsidR="00F138C1" w:rsidRPr="00F55576" w:rsidRDefault="00F138C1" w:rsidP="00F138C1">
            <w:pPr>
              <w:keepNext/>
              <w:tabs>
                <w:tab w:val="right" w:pos="9360"/>
              </w:tabs>
              <w:spacing w:after="120"/>
              <w:jc w:val="center"/>
              <w:rPr>
                <w:szCs w:val="24"/>
                <w:lang w:val="fr-CA"/>
              </w:rPr>
            </w:pPr>
            <w:r w:rsidRPr="00F55576">
              <w:rPr>
                <w:szCs w:val="24"/>
                <w:lang w:val="fr-CA"/>
              </w:rPr>
              <w:t>AVIS</w:t>
            </w:r>
          </w:p>
          <w:p w:rsidR="00F138C1" w:rsidRPr="00F55576" w:rsidRDefault="00F138C1" w:rsidP="00F138C1">
            <w:pPr>
              <w:keepNext/>
              <w:tabs>
                <w:tab w:val="right" w:pos="9360"/>
              </w:tabs>
              <w:spacing w:after="120"/>
              <w:jc w:val="both"/>
              <w:rPr>
                <w:sz w:val="20"/>
                <w:szCs w:val="20"/>
                <w:lang w:val="fr-CA"/>
              </w:rPr>
            </w:pPr>
            <w:r w:rsidRPr="00F55576">
              <w:rPr>
                <w:szCs w:val="24"/>
                <w:lang w:val="fr-CA"/>
              </w:rPr>
              <w:t>Les résumés des causes publiés dans le bulletin sont préparés par le Bureau du registraire (Direction générale du droit) uniquement à titre d’information.</w:t>
            </w:r>
          </w:p>
        </w:tc>
      </w:tr>
    </w:tbl>
    <w:p w:rsidR="00F138C1" w:rsidRPr="00F55576" w:rsidRDefault="00F138C1" w:rsidP="00F138C1">
      <w:pPr>
        <w:tabs>
          <w:tab w:val="right" w:pos="9360"/>
        </w:tabs>
        <w:rPr>
          <w:lang w:val="fr-CA"/>
        </w:rPr>
      </w:pPr>
    </w:p>
    <w:p w:rsidR="00F138C1" w:rsidRPr="00F55576" w:rsidRDefault="00F138C1" w:rsidP="00F138C1">
      <w:pPr>
        <w:tabs>
          <w:tab w:val="right" w:pos="9360"/>
        </w:tabs>
        <w:rPr>
          <w:lang w:val="fr-CA"/>
        </w:rPr>
      </w:pPr>
    </w:p>
    <w:p w:rsidR="00C01FCB" w:rsidRPr="00F55576" w:rsidRDefault="00C01FCB" w:rsidP="0095096B">
      <w:pPr>
        <w:tabs>
          <w:tab w:val="right" w:pos="9360"/>
        </w:tabs>
        <w:rPr>
          <w:lang w:val="fr-CA"/>
        </w:rPr>
      </w:pPr>
    </w:p>
    <w:p w:rsidR="00A87207" w:rsidRPr="00F55576" w:rsidRDefault="00A87207" w:rsidP="0095096B">
      <w:pPr>
        <w:tabs>
          <w:tab w:val="right" w:pos="9360"/>
        </w:tabs>
        <w:rPr>
          <w:lang w:val="fr-CA"/>
        </w:rPr>
        <w:sectPr w:rsidR="00A87207" w:rsidRPr="00F55576" w:rsidSect="0044776A">
          <w:pgSz w:w="12240" w:h="15840"/>
          <w:pgMar w:top="720" w:right="1152" w:bottom="1080" w:left="1440" w:header="706" w:footer="706" w:gutter="0"/>
          <w:cols w:space="708"/>
          <w:titlePg/>
          <w:docGrid w:linePitch="360"/>
        </w:sectPr>
      </w:pPr>
    </w:p>
    <w:p w:rsidR="00560DF1" w:rsidRPr="00F55576" w:rsidRDefault="00DD0BDC" w:rsidP="00567602">
      <w:pPr>
        <w:pStyle w:val="Header1StyleE"/>
        <w:pBdr>
          <w:bottom w:val="single" w:sz="12" w:space="1" w:color="auto"/>
        </w:pBdr>
        <w:rPr>
          <w:lang w:val="fr-CA"/>
        </w:rPr>
      </w:pPr>
      <w:bookmarkStart w:id="0" w:name="_Toc29890991"/>
      <w:r w:rsidRPr="00F55576">
        <w:rPr>
          <w:lang w:val="fr-CA"/>
        </w:rPr>
        <w:lastRenderedPageBreak/>
        <w:t>Applications for leave to appeal filed</w:t>
      </w:r>
      <w:r w:rsidR="00271E1E" w:rsidRPr="00F55576">
        <w:rPr>
          <w:lang w:val="fr-CA"/>
        </w:rPr>
        <w:t xml:space="preserve"> / </w:t>
      </w:r>
      <w:r w:rsidR="00727571" w:rsidRPr="00F55576">
        <w:rPr>
          <w:lang w:val="fr-CA"/>
        </w:rPr>
        <w:br/>
      </w:r>
      <w:r w:rsidRPr="00F55576">
        <w:rPr>
          <w:lang w:val="fr-CA"/>
        </w:rPr>
        <w:t>Demandes d’autorisation d’appel déposées</w:t>
      </w:r>
      <w:bookmarkEnd w:id="0"/>
    </w:p>
    <w:p w:rsidR="00F138C1" w:rsidRPr="00F55576"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F55576" w:rsidTr="00F138C1">
        <w:tc>
          <w:tcPr>
            <w:tcW w:w="4239" w:type="dxa"/>
            <w:shd w:val="clear" w:color="auto" w:fill="auto"/>
          </w:tcPr>
          <w:p w:rsidR="00F138C1" w:rsidRPr="00F55576" w:rsidRDefault="00ED1AD5" w:rsidP="00F138C1">
            <w:pPr>
              <w:rPr>
                <w:sz w:val="20"/>
                <w:szCs w:val="20"/>
                <w:lang w:val="en-US"/>
              </w:rPr>
            </w:pPr>
            <w:r w:rsidRPr="00F55576">
              <w:rPr>
                <w:b/>
                <w:sz w:val="20"/>
                <w:szCs w:val="20"/>
                <w:lang w:val="en-US"/>
              </w:rPr>
              <w:t>Chanel Holdings Ltd., et al.</w:t>
            </w:r>
          </w:p>
          <w:p w:rsidR="00F138C1" w:rsidRPr="00F55576" w:rsidRDefault="00F138C1" w:rsidP="00F138C1">
            <w:pPr>
              <w:tabs>
                <w:tab w:val="left" w:pos="-1440"/>
                <w:tab w:val="left" w:pos="-720"/>
              </w:tabs>
              <w:rPr>
                <w:sz w:val="20"/>
                <w:szCs w:val="20"/>
                <w:lang w:val="en-US"/>
              </w:rPr>
            </w:pPr>
            <w:r w:rsidRPr="00F55576">
              <w:rPr>
                <w:sz w:val="20"/>
                <w:szCs w:val="20"/>
                <w:lang w:val="en-US"/>
              </w:rPr>
              <w:tab/>
            </w:r>
            <w:r w:rsidR="008E4847" w:rsidRPr="00F55576">
              <w:rPr>
                <w:sz w:val="20"/>
                <w:szCs w:val="20"/>
                <w:lang w:val="en-US"/>
              </w:rPr>
              <w:t>Price, Alan S.</w:t>
            </w:r>
          </w:p>
          <w:p w:rsidR="00F138C1" w:rsidRPr="00F55576" w:rsidRDefault="008E4847" w:rsidP="00F138C1">
            <w:pPr>
              <w:tabs>
                <w:tab w:val="left" w:pos="-1440"/>
                <w:tab w:val="left" w:pos="-720"/>
              </w:tabs>
              <w:rPr>
                <w:sz w:val="20"/>
                <w:szCs w:val="20"/>
                <w:lang w:val="en-US"/>
              </w:rPr>
            </w:pPr>
            <w:r w:rsidRPr="00F55576">
              <w:rPr>
                <w:sz w:val="20"/>
                <w:szCs w:val="20"/>
                <w:lang w:val="en-US"/>
              </w:rPr>
              <w:tab/>
              <w:t>Alan S. Price Professional Corporation</w:t>
            </w:r>
          </w:p>
          <w:p w:rsidR="008E4847" w:rsidRPr="00F55576" w:rsidRDefault="008E4847" w:rsidP="00F138C1">
            <w:pPr>
              <w:tabs>
                <w:tab w:val="left" w:pos="-1440"/>
                <w:tab w:val="left" w:pos="-720"/>
              </w:tabs>
              <w:rPr>
                <w:sz w:val="20"/>
                <w:szCs w:val="20"/>
                <w:lang w:val="en-US"/>
              </w:rPr>
            </w:pPr>
          </w:p>
          <w:p w:rsidR="00F138C1" w:rsidRPr="00F55576" w:rsidRDefault="00F138C1" w:rsidP="00F138C1">
            <w:pPr>
              <w:tabs>
                <w:tab w:val="left" w:pos="-1440"/>
                <w:tab w:val="left" w:pos="-720"/>
              </w:tabs>
              <w:rPr>
                <w:sz w:val="20"/>
                <w:szCs w:val="20"/>
                <w:lang w:val="fr-CA"/>
              </w:rPr>
            </w:pPr>
            <w:r w:rsidRPr="00F55576">
              <w:rPr>
                <w:sz w:val="20"/>
                <w:szCs w:val="20"/>
                <w:lang w:val="en-US"/>
              </w:rPr>
              <w:tab/>
            </w:r>
            <w:r w:rsidRPr="00F55576">
              <w:rPr>
                <w:sz w:val="20"/>
                <w:szCs w:val="20"/>
                <w:lang w:val="fr-CA"/>
              </w:rPr>
              <w:t>v. (38</w:t>
            </w:r>
            <w:r w:rsidR="00ED1AD5" w:rsidRPr="00F55576">
              <w:rPr>
                <w:sz w:val="20"/>
                <w:szCs w:val="20"/>
                <w:lang w:val="fr-CA"/>
              </w:rPr>
              <w:t>81</w:t>
            </w:r>
            <w:r w:rsidRPr="00F55576">
              <w:rPr>
                <w:sz w:val="20"/>
                <w:szCs w:val="20"/>
                <w:lang w:val="fr-CA"/>
              </w:rPr>
              <w:t>9)</w:t>
            </w:r>
          </w:p>
          <w:p w:rsidR="00F138C1" w:rsidRPr="00F55576" w:rsidRDefault="00F138C1" w:rsidP="00F138C1">
            <w:pPr>
              <w:tabs>
                <w:tab w:val="left" w:pos="-1440"/>
                <w:tab w:val="left" w:pos="-720"/>
              </w:tabs>
              <w:rPr>
                <w:sz w:val="20"/>
                <w:szCs w:val="20"/>
                <w:lang w:val="fr-CA"/>
              </w:rPr>
            </w:pPr>
          </w:p>
          <w:p w:rsidR="00F138C1" w:rsidRPr="00F55576" w:rsidRDefault="00C97062" w:rsidP="00F138C1">
            <w:pPr>
              <w:tabs>
                <w:tab w:val="left" w:pos="-1440"/>
                <w:tab w:val="left" w:pos="-720"/>
              </w:tabs>
              <w:rPr>
                <w:b/>
                <w:sz w:val="20"/>
                <w:szCs w:val="20"/>
                <w:lang w:val="fr-CA"/>
              </w:rPr>
            </w:pPr>
            <w:r w:rsidRPr="00F55576">
              <w:rPr>
                <w:b/>
                <w:sz w:val="20"/>
                <w:szCs w:val="20"/>
                <w:lang w:val="fr-CA"/>
              </w:rPr>
              <w:t>Pezzack Financial Services Inc.</w:t>
            </w:r>
            <w:r w:rsidR="00F138C1" w:rsidRPr="00F55576">
              <w:rPr>
                <w:b/>
                <w:sz w:val="20"/>
                <w:szCs w:val="20"/>
                <w:lang w:val="fr-CA"/>
              </w:rPr>
              <w:t xml:space="preserve"> (</w:t>
            </w:r>
            <w:r w:rsidRPr="00F55576">
              <w:rPr>
                <w:b/>
                <w:sz w:val="20"/>
                <w:szCs w:val="20"/>
                <w:lang w:val="fr-CA"/>
              </w:rPr>
              <w:t>Ont</w:t>
            </w:r>
            <w:r w:rsidR="00F138C1" w:rsidRPr="00F55576">
              <w:rPr>
                <w:b/>
                <w:sz w:val="20"/>
                <w:szCs w:val="20"/>
                <w:lang w:val="fr-CA"/>
              </w:rPr>
              <w:t>.)</w:t>
            </w:r>
          </w:p>
          <w:p w:rsidR="00F138C1" w:rsidRPr="00F55576" w:rsidRDefault="00F138C1" w:rsidP="00F138C1">
            <w:pPr>
              <w:tabs>
                <w:tab w:val="left" w:pos="-1440"/>
                <w:tab w:val="left" w:pos="-720"/>
              </w:tabs>
              <w:rPr>
                <w:sz w:val="20"/>
                <w:szCs w:val="20"/>
                <w:lang w:val="en-US"/>
              </w:rPr>
            </w:pPr>
            <w:r w:rsidRPr="00F55576">
              <w:rPr>
                <w:sz w:val="20"/>
                <w:szCs w:val="20"/>
                <w:lang w:val="fr-CA"/>
              </w:rPr>
              <w:tab/>
            </w:r>
            <w:r w:rsidR="00A03FEE" w:rsidRPr="00F55576">
              <w:rPr>
                <w:sz w:val="20"/>
                <w:szCs w:val="20"/>
                <w:lang w:val="en-US"/>
              </w:rPr>
              <w:t>Tingley, Evan L.</w:t>
            </w:r>
          </w:p>
          <w:p w:rsidR="00F138C1" w:rsidRPr="00F55576" w:rsidRDefault="00F138C1" w:rsidP="00F138C1">
            <w:pPr>
              <w:tabs>
                <w:tab w:val="left" w:pos="-1440"/>
                <w:tab w:val="left" w:pos="-720"/>
              </w:tabs>
              <w:rPr>
                <w:sz w:val="20"/>
                <w:szCs w:val="20"/>
              </w:rPr>
            </w:pPr>
            <w:r w:rsidRPr="00F55576">
              <w:rPr>
                <w:sz w:val="20"/>
                <w:szCs w:val="20"/>
                <w:lang w:val="en-US"/>
              </w:rPr>
              <w:tab/>
            </w:r>
            <w:r w:rsidR="00A03FEE" w:rsidRPr="00F55576">
              <w:rPr>
                <w:sz w:val="20"/>
                <w:szCs w:val="20"/>
              </w:rPr>
              <w:t>Baldwin Sennecke Halman LLP</w:t>
            </w:r>
          </w:p>
          <w:p w:rsidR="00F138C1" w:rsidRPr="00F55576" w:rsidRDefault="00F138C1" w:rsidP="00F138C1">
            <w:pPr>
              <w:tabs>
                <w:tab w:val="left" w:pos="-1440"/>
                <w:tab w:val="left" w:pos="-720"/>
              </w:tabs>
              <w:rPr>
                <w:sz w:val="20"/>
                <w:szCs w:val="20"/>
              </w:rPr>
            </w:pPr>
          </w:p>
          <w:p w:rsidR="00F138C1" w:rsidRPr="00F55576" w:rsidRDefault="00F138C1" w:rsidP="00F138C1">
            <w:pPr>
              <w:rPr>
                <w:sz w:val="20"/>
                <w:szCs w:val="20"/>
              </w:rPr>
            </w:pPr>
            <w:r w:rsidRPr="00F55576">
              <w:rPr>
                <w:sz w:val="20"/>
                <w:szCs w:val="20"/>
              </w:rPr>
              <w:t xml:space="preserve">FILING DATE: September </w:t>
            </w:r>
            <w:r w:rsidR="00ED1AD5" w:rsidRPr="00F55576">
              <w:rPr>
                <w:sz w:val="20"/>
                <w:szCs w:val="20"/>
              </w:rPr>
              <w:t>19</w:t>
            </w:r>
            <w:r w:rsidRPr="00F55576">
              <w:rPr>
                <w:sz w:val="20"/>
                <w:szCs w:val="20"/>
              </w:rPr>
              <w:t>, 2019</w:t>
            </w:r>
          </w:p>
          <w:p w:rsidR="00ED1AD5" w:rsidRPr="00F55576" w:rsidRDefault="00ED1AD5" w:rsidP="00F138C1">
            <w:pPr>
              <w:rPr>
                <w:sz w:val="20"/>
                <w:szCs w:val="20"/>
              </w:rPr>
            </w:pPr>
          </w:p>
          <w:p w:rsidR="00F138C1" w:rsidRPr="00F55576" w:rsidRDefault="007B1953" w:rsidP="00F138C1">
            <w:pPr>
              <w:rPr>
                <w:sz w:val="20"/>
                <w:szCs w:val="20"/>
              </w:rPr>
            </w:pPr>
            <w:r>
              <w:rPr>
                <w:sz w:val="20"/>
                <w:szCs w:val="20"/>
                <w:lang w:val="fr-CA"/>
              </w:rPr>
              <w:pict>
                <v:rect id="_x0000_i1026" style="width:108pt;height:1pt" o:hrpct="0" o:hrstd="t" o:hrnoshade="t" o:hr="t" fillcolor="black [3213]" stroked="f"/>
              </w:pict>
            </w:r>
          </w:p>
        </w:tc>
        <w:tc>
          <w:tcPr>
            <w:tcW w:w="1141" w:type="dxa"/>
            <w:shd w:val="clear" w:color="auto" w:fill="auto"/>
          </w:tcPr>
          <w:p w:rsidR="00F138C1" w:rsidRPr="00F55576" w:rsidRDefault="00F138C1" w:rsidP="00F138C1">
            <w:pPr>
              <w:jc w:val="center"/>
              <w:rPr>
                <w:sz w:val="20"/>
                <w:szCs w:val="20"/>
              </w:rPr>
            </w:pPr>
          </w:p>
          <w:p w:rsidR="00F138C1" w:rsidRPr="00F55576" w:rsidRDefault="00F138C1" w:rsidP="00F138C1">
            <w:pPr>
              <w:jc w:val="center"/>
              <w:rPr>
                <w:sz w:val="20"/>
                <w:szCs w:val="20"/>
              </w:rPr>
            </w:pPr>
          </w:p>
          <w:p w:rsidR="00F138C1" w:rsidRPr="00F55576" w:rsidRDefault="00F138C1" w:rsidP="00F138C1">
            <w:pPr>
              <w:jc w:val="center"/>
              <w:rPr>
                <w:sz w:val="20"/>
                <w:szCs w:val="20"/>
              </w:rPr>
            </w:pPr>
          </w:p>
          <w:p w:rsidR="00F138C1" w:rsidRPr="00F55576" w:rsidRDefault="00F138C1" w:rsidP="00F138C1">
            <w:pPr>
              <w:jc w:val="center"/>
              <w:rPr>
                <w:sz w:val="20"/>
                <w:szCs w:val="20"/>
              </w:rPr>
            </w:pPr>
          </w:p>
          <w:p w:rsidR="00F138C1" w:rsidRPr="00F55576" w:rsidRDefault="00F138C1" w:rsidP="00F138C1">
            <w:pPr>
              <w:jc w:val="center"/>
              <w:rPr>
                <w:sz w:val="20"/>
                <w:szCs w:val="20"/>
              </w:rPr>
            </w:pPr>
          </w:p>
          <w:p w:rsidR="00F138C1" w:rsidRPr="00F55576" w:rsidRDefault="00F138C1" w:rsidP="00F138C1">
            <w:pPr>
              <w:jc w:val="center"/>
              <w:rPr>
                <w:sz w:val="20"/>
                <w:szCs w:val="20"/>
              </w:rPr>
            </w:pPr>
          </w:p>
          <w:p w:rsidR="00F138C1" w:rsidRPr="00F55576" w:rsidRDefault="00F138C1" w:rsidP="00F138C1">
            <w:pPr>
              <w:jc w:val="center"/>
              <w:rPr>
                <w:sz w:val="20"/>
                <w:szCs w:val="20"/>
              </w:rPr>
            </w:pPr>
          </w:p>
          <w:p w:rsidR="00F138C1" w:rsidRPr="00F55576" w:rsidRDefault="00F138C1" w:rsidP="00F138C1">
            <w:pPr>
              <w:jc w:val="center"/>
              <w:rPr>
                <w:sz w:val="20"/>
                <w:szCs w:val="20"/>
              </w:rPr>
            </w:pPr>
          </w:p>
          <w:p w:rsidR="00F138C1" w:rsidRPr="00F55576" w:rsidRDefault="00F138C1" w:rsidP="00F138C1">
            <w:pPr>
              <w:jc w:val="center"/>
              <w:rPr>
                <w:sz w:val="20"/>
                <w:szCs w:val="20"/>
              </w:rPr>
            </w:pPr>
          </w:p>
          <w:p w:rsidR="00F138C1" w:rsidRPr="00F55576" w:rsidRDefault="00F138C1" w:rsidP="00F138C1">
            <w:pPr>
              <w:jc w:val="center"/>
              <w:rPr>
                <w:sz w:val="20"/>
                <w:szCs w:val="20"/>
              </w:rPr>
            </w:pPr>
          </w:p>
          <w:p w:rsidR="00F138C1" w:rsidRPr="00F55576" w:rsidRDefault="00F138C1" w:rsidP="00F138C1">
            <w:pPr>
              <w:jc w:val="center"/>
              <w:rPr>
                <w:sz w:val="20"/>
                <w:szCs w:val="20"/>
              </w:rPr>
            </w:pPr>
          </w:p>
          <w:p w:rsidR="00F138C1" w:rsidRPr="00F55576" w:rsidRDefault="00F138C1" w:rsidP="00F138C1">
            <w:pPr>
              <w:jc w:val="center"/>
              <w:rPr>
                <w:sz w:val="20"/>
                <w:szCs w:val="20"/>
              </w:rPr>
            </w:pPr>
          </w:p>
          <w:p w:rsidR="00ED1AD5" w:rsidRPr="00F55576" w:rsidRDefault="00ED1AD5" w:rsidP="00F138C1">
            <w:pPr>
              <w:jc w:val="center"/>
              <w:rPr>
                <w:sz w:val="20"/>
                <w:szCs w:val="20"/>
              </w:rPr>
            </w:pPr>
          </w:p>
          <w:p w:rsidR="00B81A82" w:rsidRPr="00F55576" w:rsidRDefault="00B81A82" w:rsidP="00F138C1">
            <w:pPr>
              <w:jc w:val="center"/>
              <w:rPr>
                <w:sz w:val="20"/>
                <w:szCs w:val="20"/>
              </w:rPr>
            </w:pPr>
          </w:p>
          <w:p w:rsidR="00F138C1" w:rsidRPr="00F55576" w:rsidRDefault="00F138C1" w:rsidP="00F138C1">
            <w:pPr>
              <w:jc w:val="center"/>
              <w:rPr>
                <w:sz w:val="20"/>
                <w:szCs w:val="20"/>
              </w:rPr>
            </w:pPr>
          </w:p>
        </w:tc>
        <w:tc>
          <w:tcPr>
            <w:tcW w:w="4239" w:type="dxa"/>
            <w:shd w:val="clear" w:color="auto" w:fill="auto"/>
          </w:tcPr>
          <w:p w:rsidR="00F138C1" w:rsidRPr="00F55576" w:rsidRDefault="00BA4C4D" w:rsidP="00F138C1">
            <w:pPr>
              <w:rPr>
                <w:b/>
                <w:sz w:val="20"/>
                <w:szCs w:val="20"/>
                <w:lang w:val="en-US"/>
              </w:rPr>
            </w:pPr>
            <w:r w:rsidRPr="00F55576">
              <w:rPr>
                <w:b/>
                <w:sz w:val="20"/>
                <w:szCs w:val="20"/>
                <w:lang w:val="en-US"/>
              </w:rPr>
              <w:t>Massimo Thomas Moretto</w:t>
            </w:r>
          </w:p>
          <w:p w:rsidR="00F138C1" w:rsidRPr="00F55576" w:rsidRDefault="00F138C1" w:rsidP="00F138C1">
            <w:pPr>
              <w:tabs>
                <w:tab w:val="left" w:pos="-1440"/>
                <w:tab w:val="left" w:pos="-720"/>
              </w:tabs>
              <w:rPr>
                <w:sz w:val="20"/>
                <w:szCs w:val="20"/>
                <w:lang w:val="en-US"/>
              </w:rPr>
            </w:pPr>
            <w:r w:rsidRPr="00F55576">
              <w:rPr>
                <w:sz w:val="20"/>
                <w:szCs w:val="20"/>
                <w:lang w:val="en-US"/>
              </w:rPr>
              <w:tab/>
            </w:r>
            <w:r w:rsidR="00B81A82" w:rsidRPr="00F55576">
              <w:rPr>
                <w:sz w:val="20"/>
                <w:szCs w:val="20"/>
                <w:lang w:val="en-US"/>
              </w:rPr>
              <w:t>Sadrehashemi, Lobat</w:t>
            </w:r>
          </w:p>
          <w:p w:rsidR="00F138C1" w:rsidRPr="00F55576" w:rsidRDefault="00F138C1" w:rsidP="00F138C1">
            <w:pPr>
              <w:tabs>
                <w:tab w:val="left" w:pos="-1440"/>
                <w:tab w:val="left" w:pos="-720"/>
              </w:tabs>
              <w:rPr>
                <w:sz w:val="20"/>
                <w:szCs w:val="20"/>
                <w:lang w:val="en-US"/>
              </w:rPr>
            </w:pPr>
            <w:r w:rsidRPr="00F55576">
              <w:rPr>
                <w:sz w:val="20"/>
                <w:szCs w:val="20"/>
                <w:lang w:val="en-US"/>
              </w:rPr>
              <w:tab/>
            </w:r>
            <w:r w:rsidR="00B81A82" w:rsidRPr="00F55576">
              <w:rPr>
                <w:sz w:val="20"/>
                <w:szCs w:val="20"/>
                <w:lang w:val="en-US"/>
              </w:rPr>
              <w:t>Embarkation Law Corporation</w:t>
            </w:r>
          </w:p>
          <w:p w:rsidR="00F138C1" w:rsidRPr="00F55576" w:rsidRDefault="00F138C1" w:rsidP="00F138C1">
            <w:pPr>
              <w:tabs>
                <w:tab w:val="left" w:pos="-1440"/>
                <w:tab w:val="left" w:pos="-720"/>
              </w:tabs>
              <w:rPr>
                <w:sz w:val="20"/>
                <w:szCs w:val="20"/>
                <w:lang w:val="en-US"/>
              </w:rPr>
            </w:pPr>
          </w:p>
          <w:p w:rsidR="00F138C1" w:rsidRPr="00F55576" w:rsidRDefault="00F138C1" w:rsidP="00F138C1">
            <w:pPr>
              <w:tabs>
                <w:tab w:val="left" w:pos="-1440"/>
                <w:tab w:val="left" w:pos="-720"/>
              </w:tabs>
              <w:rPr>
                <w:sz w:val="20"/>
                <w:szCs w:val="20"/>
                <w:lang w:val="en-US"/>
              </w:rPr>
            </w:pPr>
            <w:r w:rsidRPr="00F55576">
              <w:rPr>
                <w:sz w:val="20"/>
                <w:szCs w:val="20"/>
                <w:lang w:val="en-US"/>
              </w:rPr>
              <w:tab/>
            </w:r>
            <w:r w:rsidR="00BA4C4D" w:rsidRPr="00F55576">
              <w:rPr>
                <w:sz w:val="20"/>
                <w:szCs w:val="20"/>
                <w:lang w:val="en-US"/>
              </w:rPr>
              <w:t>v</w:t>
            </w:r>
            <w:r w:rsidRPr="00F55576">
              <w:rPr>
                <w:sz w:val="20"/>
                <w:szCs w:val="20"/>
                <w:lang w:val="en-US"/>
              </w:rPr>
              <w:t>. (3896</w:t>
            </w:r>
            <w:r w:rsidR="00BA4C4D" w:rsidRPr="00F55576">
              <w:rPr>
                <w:sz w:val="20"/>
                <w:szCs w:val="20"/>
                <w:lang w:val="en-US"/>
              </w:rPr>
              <w:t>4</w:t>
            </w:r>
            <w:r w:rsidRPr="00F55576">
              <w:rPr>
                <w:sz w:val="20"/>
                <w:szCs w:val="20"/>
                <w:lang w:val="en-US"/>
              </w:rPr>
              <w:t>)</w:t>
            </w:r>
          </w:p>
          <w:p w:rsidR="00F138C1" w:rsidRPr="00F55576" w:rsidRDefault="00F138C1" w:rsidP="00F138C1">
            <w:pPr>
              <w:tabs>
                <w:tab w:val="left" w:pos="-1440"/>
                <w:tab w:val="left" w:pos="-720"/>
              </w:tabs>
              <w:rPr>
                <w:sz w:val="20"/>
                <w:szCs w:val="20"/>
                <w:lang w:val="en-US"/>
              </w:rPr>
            </w:pPr>
          </w:p>
          <w:p w:rsidR="00F138C1" w:rsidRPr="00F55576" w:rsidRDefault="00B81A82" w:rsidP="00F138C1">
            <w:pPr>
              <w:tabs>
                <w:tab w:val="left" w:pos="-1440"/>
                <w:tab w:val="left" w:pos="-720"/>
              </w:tabs>
              <w:rPr>
                <w:b/>
                <w:sz w:val="20"/>
                <w:szCs w:val="20"/>
                <w:lang w:val="en-US"/>
              </w:rPr>
            </w:pPr>
            <w:r w:rsidRPr="00F55576">
              <w:rPr>
                <w:b/>
                <w:sz w:val="20"/>
                <w:szCs w:val="20"/>
                <w:lang w:val="en-US"/>
              </w:rPr>
              <w:t xml:space="preserve">Minister of Citizenship and Immigration </w:t>
            </w:r>
            <w:r w:rsidR="00F138C1" w:rsidRPr="00F55576">
              <w:rPr>
                <w:b/>
                <w:sz w:val="20"/>
                <w:szCs w:val="20"/>
                <w:lang w:val="en-US"/>
              </w:rPr>
              <w:t>(</w:t>
            </w:r>
            <w:r w:rsidR="00BA4C4D" w:rsidRPr="00F55576">
              <w:rPr>
                <w:b/>
                <w:sz w:val="20"/>
                <w:szCs w:val="20"/>
                <w:lang w:val="en-US"/>
              </w:rPr>
              <w:t>F.C.</w:t>
            </w:r>
            <w:r w:rsidR="00F138C1" w:rsidRPr="00F55576">
              <w:rPr>
                <w:b/>
                <w:sz w:val="20"/>
                <w:szCs w:val="20"/>
                <w:lang w:val="en-US"/>
              </w:rPr>
              <w:t>)</w:t>
            </w:r>
          </w:p>
          <w:p w:rsidR="00F138C1" w:rsidRPr="00F55576" w:rsidRDefault="00F138C1" w:rsidP="00F138C1">
            <w:pPr>
              <w:tabs>
                <w:tab w:val="left" w:pos="-1440"/>
                <w:tab w:val="left" w:pos="-720"/>
              </w:tabs>
              <w:rPr>
                <w:sz w:val="20"/>
                <w:szCs w:val="20"/>
                <w:lang w:val="en-US"/>
              </w:rPr>
            </w:pPr>
            <w:r w:rsidRPr="00F55576">
              <w:rPr>
                <w:sz w:val="20"/>
                <w:szCs w:val="20"/>
                <w:lang w:val="en-US"/>
              </w:rPr>
              <w:tab/>
            </w:r>
            <w:r w:rsidR="00076D16" w:rsidRPr="00F55576">
              <w:rPr>
                <w:sz w:val="20"/>
                <w:szCs w:val="20"/>
                <w:lang w:val="en-US"/>
              </w:rPr>
              <w:t>Sokhansanj, Banafsheh</w:t>
            </w:r>
          </w:p>
          <w:p w:rsidR="00F138C1" w:rsidRPr="00F55576" w:rsidRDefault="00F138C1" w:rsidP="00F138C1">
            <w:pPr>
              <w:tabs>
                <w:tab w:val="left" w:pos="-1440"/>
                <w:tab w:val="left" w:pos="-720"/>
              </w:tabs>
              <w:rPr>
                <w:sz w:val="20"/>
                <w:szCs w:val="20"/>
                <w:lang w:val="en-US"/>
              </w:rPr>
            </w:pPr>
            <w:r w:rsidRPr="00F55576">
              <w:rPr>
                <w:sz w:val="20"/>
                <w:szCs w:val="20"/>
                <w:lang w:val="en-US"/>
              </w:rPr>
              <w:tab/>
            </w:r>
            <w:r w:rsidR="00076D16" w:rsidRPr="00F55576">
              <w:rPr>
                <w:sz w:val="20"/>
                <w:szCs w:val="20"/>
                <w:lang w:val="en-US"/>
              </w:rPr>
              <w:t>Attorney General of Canada</w:t>
            </w:r>
          </w:p>
          <w:p w:rsidR="00F138C1" w:rsidRPr="00F55576" w:rsidRDefault="00F138C1" w:rsidP="00F138C1">
            <w:pPr>
              <w:tabs>
                <w:tab w:val="left" w:pos="-1440"/>
                <w:tab w:val="left" w:pos="-720"/>
              </w:tabs>
              <w:rPr>
                <w:sz w:val="20"/>
                <w:szCs w:val="20"/>
                <w:lang w:val="en-US"/>
              </w:rPr>
            </w:pPr>
          </w:p>
          <w:p w:rsidR="00F138C1" w:rsidRPr="00F55576" w:rsidRDefault="00BA4C4D" w:rsidP="00F138C1">
            <w:pPr>
              <w:rPr>
                <w:sz w:val="20"/>
                <w:szCs w:val="20"/>
                <w:lang w:val="fr-CA"/>
              </w:rPr>
            </w:pPr>
            <w:r w:rsidRPr="00F55576">
              <w:rPr>
                <w:sz w:val="20"/>
                <w:szCs w:val="20"/>
                <w:lang w:val="fr-CA"/>
              </w:rPr>
              <w:t>FILING DATE</w:t>
            </w:r>
            <w:r w:rsidR="00F138C1" w:rsidRPr="00F55576">
              <w:rPr>
                <w:sz w:val="20"/>
                <w:szCs w:val="20"/>
                <w:lang w:val="fr-CA"/>
              </w:rPr>
              <w:t xml:space="preserve">: </w:t>
            </w:r>
            <w:r w:rsidRPr="00F55576">
              <w:rPr>
                <w:sz w:val="20"/>
                <w:szCs w:val="20"/>
                <w:lang w:val="fr-CA"/>
              </w:rPr>
              <w:t>December 17,</w:t>
            </w:r>
            <w:r w:rsidR="00F138C1" w:rsidRPr="00F55576">
              <w:rPr>
                <w:sz w:val="20"/>
                <w:szCs w:val="20"/>
                <w:lang w:val="fr-CA"/>
              </w:rPr>
              <w:t xml:space="preserve"> 2019</w:t>
            </w:r>
          </w:p>
          <w:p w:rsidR="00ED1AD5" w:rsidRPr="00F55576" w:rsidRDefault="00ED1AD5" w:rsidP="00F138C1">
            <w:pPr>
              <w:rPr>
                <w:sz w:val="20"/>
                <w:szCs w:val="20"/>
                <w:lang w:val="fr-CA"/>
              </w:rPr>
            </w:pPr>
          </w:p>
          <w:p w:rsidR="00F138C1" w:rsidRPr="00F55576" w:rsidRDefault="007B1953" w:rsidP="00F138C1">
            <w:pPr>
              <w:rPr>
                <w:sz w:val="20"/>
                <w:szCs w:val="20"/>
                <w:lang w:val="fr-CA"/>
              </w:rPr>
            </w:pPr>
            <w:r>
              <w:rPr>
                <w:sz w:val="20"/>
                <w:szCs w:val="20"/>
                <w:lang w:val="fr-CA"/>
              </w:rPr>
              <w:pict>
                <v:rect id="_x0000_i1027" style="width:108pt;height:1pt" o:hrpct="0" o:hrstd="t" o:hrnoshade="t" o:hr="t" fillcolor="black [3213]" stroked="f"/>
              </w:pict>
            </w:r>
          </w:p>
        </w:tc>
      </w:tr>
    </w:tbl>
    <w:p w:rsidR="00F138C1" w:rsidRPr="00F55576" w:rsidRDefault="00F138C1" w:rsidP="00F138C1">
      <w:pPr>
        <w:tabs>
          <w:tab w:val="right" w:pos="9360"/>
        </w:tabs>
        <w:rPr>
          <w:sz w:val="20"/>
          <w:szCs w:val="20"/>
          <w:lang w:val="fr-CA"/>
        </w:rPr>
      </w:pPr>
    </w:p>
    <w:p w:rsidR="00F138C1" w:rsidRPr="00F55576" w:rsidRDefault="00F138C1" w:rsidP="00F138C1">
      <w:pPr>
        <w:tabs>
          <w:tab w:val="right" w:pos="9360"/>
        </w:tabs>
        <w:rPr>
          <w:sz w:val="20"/>
          <w:szCs w:val="20"/>
          <w:lang w:val="fr-CA"/>
        </w:rPr>
      </w:pPr>
    </w:p>
    <w:p w:rsidR="00C01FCB" w:rsidRPr="00F55576" w:rsidRDefault="00C01FCB" w:rsidP="0095096B">
      <w:pPr>
        <w:tabs>
          <w:tab w:val="right" w:pos="9360"/>
        </w:tabs>
        <w:rPr>
          <w:sz w:val="20"/>
          <w:szCs w:val="20"/>
          <w:lang w:val="fr-CA"/>
        </w:rPr>
      </w:pPr>
    </w:p>
    <w:p w:rsidR="00242AEE" w:rsidRPr="00F55576" w:rsidRDefault="00242AEE" w:rsidP="0095096B">
      <w:pPr>
        <w:tabs>
          <w:tab w:val="right" w:pos="9360"/>
        </w:tabs>
        <w:rPr>
          <w:sz w:val="20"/>
          <w:szCs w:val="20"/>
          <w:lang w:val="fr-CA"/>
        </w:rPr>
        <w:sectPr w:rsidR="00242AEE" w:rsidRPr="00F55576"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F55576" w:rsidRDefault="00DD0BDC" w:rsidP="00567602">
      <w:pPr>
        <w:pStyle w:val="Header1StyleE"/>
        <w:pBdr>
          <w:bottom w:val="single" w:sz="12" w:space="1" w:color="auto"/>
        </w:pBdr>
        <w:rPr>
          <w:lang w:val="fr-CA"/>
        </w:rPr>
      </w:pPr>
      <w:bookmarkStart w:id="1" w:name="_Toc29890992"/>
      <w:r w:rsidRPr="00F55576">
        <w:rPr>
          <w:lang w:val="fr-CA"/>
        </w:rPr>
        <w:lastRenderedPageBreak/>
        <w:t>Applications for leave submitted to the Court</w:t>
      </w:r>
      <w:r w:rsidR="000F2CA3" w:rsidRPr="00F55576">
        <w:rPr>
          <w:lang w:val="fr-CA"/>
        </w:rPr>
        <w:t xml:space="preserve"> </w:t>
      </w:r>
      <w:r w:rsidRPr="00F55576">
        <w:rPr>
          <w:lang w:val="fr-CA"/>
        </w:rPr>
        <w:t>since the last issue</w:t>
      </w:r>
      <w:r w:rsidR="000F2CA3" w:rsidRPr="00F55576">
        <w:rPr>
          <w:lang w:val="fr-CA"/>
        </w:rPr>
        <w:t xml:space="preserve"> </w:t>
      </w:r>
      <w:r w:rsidR="00271E1E" w:rsidRPr="00F55576">
        <w:rPr>
          <w:lang w:val="fr-CA"/>
        </w:rPr>
        <w:t xml:space="preserve">/ </w:t>
      </w:r>
      <w:r w:rsidRPr="00F55576">
        <w:rPr>
          <w:lang w:val="fr-CA"/>
        </w:rPr>
        <w:br/>
        <w:t xml:space="preserve">Demandes soumises à la </w:t>
      </w:r>
      <w:r w:rsidR="000C1D9D" w:rsidRPr="00F55576">
        <w:rPr>
          <w:lang w:val="fr-CA"/>
        </w:rPr>
        <w:t>C</w:t>
      </w:r>
      <w:r w:rsidRPr="00F55576">
        <w:rPr>
          <w:lang w:val="fr-CA"/>
        </w:rPr>
        <w:t>our depuis la dernière parution</w:t>
      </w:r>
      <w:bookmarkEnd w:id="1"/>
    </w:p>
    <w:p w:rsidR="00FB1DB6" w:rsidRPr="00F55576" w:rsidRDefault="00FB1DB6" w:rsidP="00FB1DB6">
      <w:pPr>
        <w:rPr>
          <w:sz w:val="20"/>
          <w:szCs w:val="20"/>
          <w:lang w:val="fr-CA" w:eastAsia="en-CA"/>
        </w:rPr>
      </w:pPr>
    </w:p>
    <w:p w:rsidR="00102792" w:rsidRPr="00F55576" w:rsidRDefault="005967EF" w:rsidP="00102792">
      <w:pPr>
        <w:widowControl w:val="0"/>
        <w:rPr>
          <w:b/>
          <w:sz w:val="20"/>
          <w:szCs w:val="20"/>
          <w:lang w:val="fr-CA"/>
        </w:rPr>
      </w:pPr>
      <w:r w:rsidRPr="00F55576">
        <w:rPr>
          <w:b/>
          <w:sz w:val="20"/>
          <w:szCs w:val="20"/>
          <w:lang w:val="fr-CA"/>
        </w:rPr>
        <w:t>JANUARY</w:t>
      </w:r>
      <w:r w:rsidR="00102792" w:rsidRPr="00F55576">
        <w:rPr>
          <w:b/>
          <w:sz w:val="20"/>
          <w:szCs w:val="20"/>
          <w:lang w:val="fr-CA"/>
        </w:rPr>
        <w:t xml:space="preserve"> </w:t>
      </w:r>
      <w:r w:rsidR="00AB75C1" w:rsidRPr="00F55576">
        <w:rPr>
          <w:b/>
          <w:sz w:val="20"/>
          <w:szCs w:val="20"/>
          <w:lang w:val="fr-CA"/>
        </w:rPr>
        <w:t>6</w:t>
      </w:r>
      <w:r w:rsidR="00102792" w:rsidRPr="00F55576">
        <w:rPr>
          <w:b/>
          <w:sz w:val="20"/>
          <w:szCs w:val="20"/>
          <w:lang w:val="fr-CA"/>
        </w:rPr>
        <w:t xml:space="preserve">, </w:t>
      </w:r>
      <w:r w:rsidR="0034657E" w:rsidRPr="00F55576">
        <w:rPr>
          <w:b/>
          <w:sz w:val="20"/>
          <w:szCs w:val="20"/>
          <w:lang w:val="fr-CA"/>
        </w:rPr>
        <w:t>20</w:t>
      </w:r>
      <w:r w:rsidRPr="00F55576">
        <w:rPr>
          <w:b/>
          <w:sz w:val="20"/>
          <w:szCs w:val="20"/>
          <w:lang w:val="fr-CA"/>
        </w:rPr>
        <w:t>20</w:t>
      </w:r>
      <w:r w:rsidR="00102792" w:rsidRPr="00F55576">
        <w:rPr>
          <w:b/>
          <w:sz w:val="20"/>
          <w:szCs w:val="20"/>
          <w:lang w:val="fr-CA"/>
        </w:rPr>
        <w:t xml:space="preserve"> / LE </w:t>
      </w:r>
      <w:r w:rsidR="00AB75C1" w:rsidRPr="00F55576">
        <w:rPr>
          <w:b/>
          <w:sz w:val="20"/>
          <w:szCs w:val="20"/>
          <w:lang w:val="fr-CA"/>
        </w:rPr>
        <w:t>6</w:t>
      </w:r>
      <w:r w:rsidR="00102792" w:rsidRPr="00F55576">
        <w:rPr>
          <w:b/>
          <w:sz w:val="20"/>
          <w:szCs w:val="20"/>
          <w:lang w:val="fr-CA"/>
        </w:rPr>
        <w:t xml:space="preserve"> </w:t>
      </w:r>
      <w:r w:rsidRPr="00F55576">
        <w:rPr>
          <w:b/>
          <w:sz w:val="20"/>
          <w:szCs w:val="20"/>
          <w:lang w:val="fr-CA"/>
        </w:rPr>
        <w:t>JANVIER</w:t>
      </w:r>
      <w:r w:rsidR="00102792" w:rsidRPr="00F55576">
        <w:rPr>
          <w:b/>
          <w:sz w:val="20"/>
          <w:szCs w:val="20"/>
          <w:lang w:val="fr-CA"/>
        </w:rPr>
        <w:t xml:space="preserve"> </w:t>
      </w:r>
      <w:r w:rsidR="0034657E" w:rsidRPr="00F55576">
        <w:rPr>
          <w:b/>
          <w:sz w:val="20"/>
          <w:szCs w:val="20"/>
          <w:lang w:val="fr-CA"/>
        </w:rPr>
        <w:t>20</w:t>
      </w:r>
      <w:r w:rsidRPr="00F55576">
        <w:rPr>
          <w:b/>
          <w:sz w:val="20"/>
          <w:szCs w:val="20"/>
          <w:lang w:val="fr-CA"/>
        </w:rPr>
        <w:t>20</w:t>
      </w:r>
    </w:p>
    <w:p w:rsidR="00AB75C1" w:rsidRPr="00F55576" w:rsidRDefault="00AB75C1" w:rsidP="00F138C1">
      <w:pPr>
        <w:widowControl w:val="0"/>
        <w:rPr>
          <w:sz w:val="20"/>
          <w:szCs w:val="20"/>
          <w:lang w:val="fr-CA"/>
        </w:rPr>
      </w:pP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5"/>
        <w:gridCol w:w="806"/>
        <w:gridCol w:w="4027"/>
        <w:gridCol w:w="359"/>
        <w:gridCol w:w="3826"/>
      </w:tblGrid>
      <w:tr w:rsidR="00F138C1" w:rsidRPr="008042C9" w:rsidTr="00F138C1">
        <w:trPr>
          <w:cantSplit/>
        </w:trPr>
        <w:tc>
          <w:tcPr>
            <w:tcW w:w="9523" w:type="dxa"/>
            <w:gridSpan w:val="5"/>
          </w:tcPr>
          <w:p w:rsidR="00F138C1" w:rsidRPr="00F55576" w:rsidRDefault="00F138C1" w:rsidP="00F138C1">
            <w:pPr>
              <w:widowControl w:val="0"/>
              <w:jc w:val="center"/>
              <w:rPr>
                <w:b/>
                <w:sz w:val="20"/>
                <w:szCs w:val="20"/>
              </w:rPr>
            </w:pPr>
            <w:r w:rsidRPr="00F55576">
              <w:rPr>
                <w:b/>
                <w:sz w:val="20"/>
                <w:szCs w:val="20"/>
              </w:rPr>
              <w:t>CORAM:  Chief Justice Wagner and Rowe and Kasirer JJ.</w:t>
            </w:r>
          </w:p>
          <w:p w:rsidR="00F138C1" w:rsidRPr="00F55576" w:rsidRDefault="00F138C1" w:rsidP="00F138C1">
            <w:pPr>
              <w:jc w:val="center"/>
              <w:rPr>
                <w:sz w:val="20"/>
                <w:szCs w:val="20"/>
                <w:lang w:val="fr-CA"/>
              </w:rPr>
            </w:pPr>
            <w:r w:rsidRPr="00F55576">
              <w:rPr>
                <w:b/>
                <w:sz w:val="20"/>
                <w:szCs w:val="20"/>
                <w:lang w:val="fr-CA"/>
              </w:rPr>
              <w:t>Le juge en chef Wagner et les juges Rowe et Kasirer</w:t>
            </w:r>
          </w:p>
        </w:tc>
      </w:tr>
      <w:tr w:rsidR="00F138C1" w:rsidRPr="00F55576" w:rsidTr="00F138C1">
        <w:trPr>
          <w:cantSplit/>
        </w:trPr>
        <w:tc>
          <w:tcPr>
            <w:tcW w:w="505" w:type="dxa"/>
          </w:tcPr>
          <w:p w:rsidR="00F138C1" w:rsidRPr="00F55576" w:rsidRDefault="00F138C1" w:rsidP="00F138C1">
            <w:pPr>
              <w:rPr>
                <w:sz w:val="20"/>
                <w:szCs w:val="20"/>
                <w:lang w:val="fr-CA"/>
              </w:rPr>
            </w:pPr>
          </w:p>
        </w:tc>
        <w:tc>
          <w:tcPr>
            <w:tcW w:w="806" w:type="dxa"/>
          </w:tcPr>
          <w:p w:rsidR="00F138C1" w:rsidRPr="00F55576" w:rsidRDefault="00F138C1" w:rsidP="00F138C1">
            <w:pPr>
              <w:rPr>
                <w:sz w:val="20"/>
                <w:szCs w:val="20"/>
                <w:lang w:val="fr-CA"/>
              </w:rPr>
            </w:pPr>
          </w:p>
        </w:tc>
        <w:tc>
          <w:tcPr>
            <w:tcW w:w="4027" w:type="dxa"/>
          </w:tcPr>
          <w:p w:rsidR="00F138C1" w:rsidRPr="00F55576" w:rsidRDefault="00F138C1" w:rsidP="00F138C1">
            <w:pPr>
              <w:pStyle w:val="SCCAppellantInfoTypeOfCase"/>
              <w:rPr>
                <w:sz w:val="20"/>
                <w:szCs w:val="20"/>
              </w:rPr>
            </w:pPr>
            <w:r w:rsidRPr="00F55576">
              <w:rPr>
                <w:sz w:val="20"/>
                <w:szCs w:val="20"/>
              </w:rPr>
              <w:t>Civil / Civile</w:t>
            </w:r>
          </w:p>
        </w:tc>
        <w:tc>
          <w:tcPr>
            <w:tcW w:w="359" w:type="dxa"/>
          </w:tcPr>
          <w:p w:rsidR="00F138C1" w:rsidRPr="00F55576" w:rsidRDefault="00F138C1" w:rsidP="00F138C1">
            <w:pPr>
              <w:rPr>
                <w:sz w:val="20"/>
                <w:szCs w:val="20"/>
              </w:rPr>
            </w:pPr>
          </w:p>
        </w:tc>
        <w:tc>
          <w:tcPr>
            <w:tcW w:w="3826" w:type="dxa"/>
          </w:tcPr>
          <w:p w:rsidR="00F138C1" w:rsidRPr="00F55576" w:rsidRDefault="00F138C1" w:rsidP="00F138C1">
            <w:pPr>
              <w:rPr>
                <w:sz w:val="20"/>
                <w:szCs w:val="20"/>
              </w:rPr>
            </w:pPr>
          </w:p>
        </w:tc>
      </w:tr>
      <w:tr w:rsidR="00F138C1" w:rsidRPr="008042C9" w:rsidTr="00F138C1">
        <w:trPr>
          <w:cantSplit/>
        </w:trPr>
        <w:tc>
          <w:tcPr>
            <w:tcW w:w="505" w:type="dxa"/>
          </w:tcPr>
          <w:p w:rsidR="00F138C1" w:rsidRPr="00F55576" w:rsidRDefault="008C6B76" w:rsidP="008C6B76">
            <w:pPr>
              <w:rPr>
                <w:sz w:val="20"/>
                <w:szCs w:val="20"/>
              </w:rPr>
            </w:pPr>
            <w:r w:rsidRPr="00F55576">
              <w:rPr>
                <w:sz w:val="20"/>
                <w:szCs w:val="20"/>
              </w:rPr>
              <w:t>1</w:t>
            </w:r>
            <w:r w:rsidR="00F138C1" w:rsidRPr="00F55576">
              <w:rPr>
                <w:sz w:val="20"/>
                <w:szCs w:val="20"/>
              </w:rPr>
              <w:t>.</w:t>
            </w:r>
          </w:p>
        </w:tc>
        <w:tc>
          <w:tcPr>
            <w:tcW w:w="806" w:type="dxa"/>
          </w:tcPr>
          <w:p w:rsidR="00F138C1" w:rsidRPr="00F55576" w:rsidRDefault="008C6B76" w:rsidP="00F138C1">
            <w:pPr>
              <w:rPr>
                <w:sz w:val="20"/>
                <w:szCs w:val="20"/>
              </w:rPr>
            </w:pPr>
            <w:r w:rsidRPr="00F55576">
              <w:rPr>
                <w:sz w:val="20"/>
                <w:szCs w:val="20"/>
              </w:rPr>
              <w:t>38709</w:t>
            </w:r>
          </w:p>
        </w:tc>
        <w:tc>
          <w:tcPr>
            <w:tcW w:w="4027" w:type="dxa"/>
          </w:tcPr>
          <w:p w:rsidR="008C6B76" w:rsidRPr="00F55576" w:rsidRDefault="008C6B76" w:rsidP="008C6B76">
            <w:pPr>
              <w:pStyle w:val="SCCAppellantInfoAppellantInfo"/>
              <w:rPr>
                <w:sz w:val="20"/>
                <w:szCs w:val="20"/>
                <w:lang w:val="fr-CA"/>
              </w:rPr>
            </w:pPr>
            <w:r w:rsidRPr="00F55576">
              <w:rPr>
                <w:sz w:val="20"/>
                <w:szCs w:val="20"/>
                <w:lang w:val="fr-CA"/>
              </w:rPr>
              <w:t>Transport en commun la Québécoise inc.</w:t>
            </w:r>
          </w:p>
          <w:p w:rsidR="00F138C1" w:rsidRPr="00F55576" w:rsidRDefault="008C6B76" w:rsidP="008C6B76">
            <w:pPr>
              <w:pStyle w:val="SCCAppellantInfoAppellantInfo"/>
              <w:rPr>
                <w:sz w:val="20"/>
                <w:szCs w:val="20"/>
                <w:lang w:val="fr-CA"/>
              </w:rPr>
            </w:pPr>
            <w:r w:rsidRPr="00F55576">
              <w:rPr>
                <w:sz w:val="20"/>
                <w:szCs w:val="20"/>
                <w:lang w:val="fr-CA"/>
              </w:rPr>
              <w:t>(Qc) (Civile) (Autorisation)</w:t>
            </w:r>
          </w:p>
        </w:tc>
        <w:tc>
          <w:tcPr>
            <w:tcW w:w="359" w:type="dxa"/>
          </w:tcPr>
          <w:p w:rsidR="00F138C1" w:rsidRPr="00F55576" w:rsidRDefault="00F138C1" w:rsidP="00F138C1">
            <w:pPr>
              <w:rPr>
                <w:sz w:val="20"/>
                <w:szCs w:val="20"/>
              </w:rPr>
            </w:pPr>
            <w:r w:rsidRPr="00F55576">
              <w:rPr>
                <w:sz w:val="20"/>
                <w:szCs w:val="20"/>
              </w:rPr>
              <w:t>c.</w:t>
            </w:r>
          </w:p>
        </w:tc>
        <w:tc>
          <w:tcPr>
            <w:tcW w:w="3826" w:type="dxa"/>
          </w:tcPr>
          <w:p w:rsidR="00F138C1" w:rsidRPr="00F55576" w:rsidRDefault="008C6B76" w:rsidP="00F138C1">
            <w:pPr>
              <w:pStyle w:val="SCCAppellantInfoAppellantInfo"/>
              <w:rPr>
                <w:sz w:val="20"/>
                <w:szCs w:val="20"/>
                <w:lang w:val="fr-CA"/>
              </w:rPr>
            </w:pPr>
            <w:r w:rsidRPr="00F55576">
              <w:rPr>
                <w:sz w:val="20"/>
                <w:szCs w:val="20"/>
                <w:lang w:val="fr-CA"/>
              </w:rPr>
              <w:t>Réseau de transport métropolitain, et al.</w:t>
            </w:r>
          </w:p>
        </w:tc>
      </w:tr>
      <w:tr w:rsidR="00F138C1" w:rsidRPr="008042C9" w:rsidTr="00F138C1">
        <w:trPr>
          <w:cantSplit/>
        </w:trPr>
        <w:tc>
          <w:tcPr>
            <w:tcW w:w="9523" w:type="dxa"/>
            <w:gridSpan w:val="5"/>
          </w:tcPr>
          <w:p w:rsidR="00F138C1" w:rsidRPr="00F55576" w:rsidRDefault="00F138C1" w:rsidP="00F138C1">
            <w:pPr>
              <w:widowControl w:val="0"/>
              <w:jc w:val="center"/>
              <w:rPr>
                <w:b/>
                <w:sz w:val="20"/>
                <w:szCs w:val="20"/>
                <w:lang w:val="en-US"/>
              </w:rPr>
            </w:pPr>
            <w:r w:rsidRPr="00F55576">
              <w:rPr>
                <w:b/>
                <w:sz w:val="20"/>
                <w:szCs w:val="20"/>
                <w:lang w:val="en-US"/>
              </w:rPr>
              <w:t>CORAM: Abella, Karakatsanis and Brown JJ.</w:t>
            </w:r>
          </w:p>
          <w:p w:rsidR="00F138C1" w:rsidRPr="00F55576" w:rsidRDefault="00F138C1" w:rsidP="00F138C1">
            <w:pPr>
              <w:widowControl w:val="0"/>
              <w:jc w:val="center"/>
              <w:rPr>
                <w:sz w:val="20"/>
                <w:szCs w:val="20"/>
                <w:lang w:val="fr-CA"/>
              </w:rPr>
            </w:pPr>
            <w:r w:rsidRPr="00F55576">
              <w:rPr>
                <w:b/>
                <w:sz w:val="20"/>
                <w:szCs w:val="20"/>
                <w:lang w:val="fr-CA"/>
              </w:rPr>
              <w:t>Les juges Abella, Karakatsanis et Brown</w:t>
            </w:r>
          </w:p>
        </w:tc>
      </w:tr>
      <w:tr w:rsidR="00F138C1" w:rsidRPr="00F55576" w:rsidTr="00F138C1">
        <w:trPr>
          <w:cantSplit/>
        </w:trPr>
        <w:tc>
          <w:tcPr>
            <w:tcW w:w="505" w:type="dxa"/>
          </w:tcPr>
          <w:p w:rsidR="00F138C1" w:rsidRPr="00F55576" w:rsidRDefault="00F138C1" w:rsidP="00F138C1">
            <w:pPr>
              <w:rPr>
                <w:sz w:val="20"/>
                <w:szCs w:val="20"/>
                <w:lang w:val="fr-CA"/>
              </w:rPr>
            </w:pPr>
          </w:p>
        </w:tc>
        <w:tc>
          <w:tcPr>
            <w:tcW w:w="806" w:type="dxa"/>
          </w:tcPr>
          <w:p w:rsidR="00F138C1" w:rsidRPr="00F55576" w:rsidRDefault="00F138C1" w:rsidP="00F138C1">
            <w:pPr>
              <w:rPr>
                <w:sz w:val="20"/>
                <w:szCs w:val="20"/>
                <w:lang w:val="fr-CA"/>
              </w:rPr>
            </w:pPr>
          </w:p>
        </w:tc>
        <w:tc>
          <w:tcPr>
            <w:tcW w:w="4027" w:type="dxa"/>
          </w:tcPr>
          <w:p w:rsidR="00F138C1" w:rsidRPr="00F55576" w:rsidRDefault="00F138C1" w:rsidP="00F138C1">
            <w:pPr>
              <w:pStyle w:val="SCCAppellantInfoTypeOfCase"/>
              <w:rPr>
                <w:sz w:val="20"/>
                <w:szCs w:val="20"/>
              </w:rPr>
            </w:pPr>
            <w:r w:rsidRPr="00F55576">
              <w:rPr>
                <w:sz w:val="20"/>
                <w:szCs w:val="20"/>
              </w:rPr>
              <w:t>Civil / Civile</w:t>
            </w:r>
          </w:p>
        </w:tc>
        <w:tc>
          <w:tcPr>
            <w:tcW w:w="359" w:type="dxa"/>
          </w:tcPr>
          <w:p w:rsidR="00F138C1" w:rsidRPr="00F55576" w:rsidRDefault="00F138C1" w:rsidP="00F138C1">
            <w:pPr>
              <w:rPr>
                <w:sz w:val="20"/>
                <w:szCs w:val="20"/>
              </w:rPr>
            </w:pPr>
          </w:p>
        </w:tc>
        <w:tc>
          <w:tcPr>
            <w:tcW w:w="3826" w:type="dxa"/>
          </w:tcPr>
          <w:p w:rsidR="00F138C1" w:rsidRPr="00F55576" w:rsidRDefault="00F138C1" w:rsidP="00F138C1">
            <w:pPr>
              <w:rPr>
                <w:sz w:val="20"/>
                <w:szCs w:val="20"/>
              </w:rPr>
            </w:pPr>
          </w:p>
        </w:tc>
      </w:tr>
      <w:tr w:rsidR="00F138C1" w:rsidRPr="00F55576" w:rsidTr="00F138C1">
        <w:trPr>
          <w:cantSplit/>
        </w:trPr>
        <w:tc>
          <w:tcPr>
            <w:tcW w:w="505" w:type="dxa"/>
          </w:tcPr>
          <w:p w:rsidR="00F138C1" w:rsidRPr="00F55576" w:rsidRDefault="008C6B76" w:rsidP="008C6B76">
            <w:pPr>
              <w:rPr>
                <w:sz w:val="20"/>
                <w:szCs w:val="20"/>
              </w:rPr>
            </w:pPr>
            <w:r w:rsidRPr="00F55576">
              <w:rPr>
                <w:sz w:val="20"/>
                <w:szCs w:val="20"/>
              </w:rPr>
              <w:t>2</w:t>
            </w:r>
            <w:r w:rsidR="00F138C1" w:rsidRPr="00F55576">
              <w:rPr>
                <w:sz w:val="20"/>
                <w:szCs w:val="20"/>
              </w:rPr>
              <w:t>.</w:t>
            </w:r>
          </w:p>
        </w:tc>
        <w:tc>
          <w:tcPr>
            <w:tcW w:w="806" w:type="dxa"/>
          </w:tcPr>
          <w:p w:rsidR="00F138C1" w:rsidRPr="00F55576" w:rsidRDefault="008C6B76" w:rsidP="00F138C1">
            <w:pPr>
              <w:rPr>
                <w:sz w:val="20"/>
                <w:szCs w:val="20"/>
              </w:rPr>
            </w:pPr>
            <w:r w:rsidRPr="00F55576">
              <w:rPr>
                <w:sz w:val="20"/>
                <w:szCs w:val="20"/>
              </w:rPr>
              <w:t>38859</w:t>
            </w:r>
          </w:p>
        </w:tc>
        <w:tc>
          <w:tcPr>
            <w:tcW w:w="4027" w:type="dxa"/>
          </w:tcPr>
          <w:p w:rsidR="008C6B76" w:rsidRPr="00F55576" w:rsidRDefault="008C6B76" w:rsidP="008C6B76">
            <w:pPr>
              <w:pStyle w:val="SCCAppellantInfoAppellantInfo"/>
              <w:rPr>
                <w:sz w:val="20"/>
                <w:szCs w:val="20"/>
                <w:lang w:val="en-US"/>
              </w:rPr>
            </w:pPr>
            <w:r w:rsidRPr="00F55576">
              <w:rPr>
                <w:sz w:val="20"/>
                <w:szCs w:val="20"/>
                <w:lang w:val="en-US"/>
              </w:rPr>
              <w:t>F.J.N.</w:t>
            </w:r>
          </w:p>
          <w:p w:rsidR="00F138C1" w:rsidRPr="00F55576" w:rsidRDefault="008C6B76" w:rsidP="008C6B76">
            <w:pPr>
              <w:pStyle w:val="SCCAppellantInfoAppellantInfo"/>
              <w:rPr>
                <w:sz w:val="20"/>
                <w:szCs w:val="20"/>
              </w:rPr>
            </w:pPr>
            <w:r w:rsidRPr="00F55576">
              <w:rPr>
                <w:sz w:val="20"/>
                <w:szCs w:val="20"/>
                <w:lang w:val="en-US"/>
              </w:rPr>
              <w:t>(Alta.) (Civil) (By Leave)</w:t>
            </w:r>
          </w:p>
        </w:tc>
        <w:tc>
          <w:tcPr>
            <w:tcW w:w="359" w:type="dxa"/>
          </w:tcPr>
          <w:p w:rsidR="00F138C1" w:rsidRPr="00F55576" w:rsidRDefault="00F138C1" w:rsidP="00F138C1">
            <w:pPr>
              <w:rPr>
                <w:sz w:val="20"/>
                <w:szCs w:val="20"/>
              </w:rPr>
            </w:pPr>
            <w:r w:rsidRPr="00F55576">
              <w:rPr>
                <w:sz w:val="20"/>
                <w:szCs w:val="20"/>
              </w:rPr>
              <w:t>v.</w:t>
            </w:r>
          </w:p>
        </w:tc>
        <w:tc>
          <w:tcPr>
            <w:tcW w:w="3826" w:type="dxa"/>
          </w:tcPr>
          <w:p w:rsidR="00F138C1" w:rsidRPr="00F55576" w:rsidRDefault="008C6B76" w:rsidP="00F138C1">
            <w:pPr>
              <w:pStyle w:val="SCCAppellantInfoAppellantInfo"/>
              <w:rPr>
                <w:sz w:val="20"/>
                <w:szCs w:val="20"/>
              </w:rPr>
            </w:pPr>
            <w:r w:rsidRPr="00F55576">
              <w:rPr>
                <w:sz w:val="20"/>
                <w:szCs w:val="20"/>
              </w:rPr>
              <w:t>J.K.</w:t>
            </w:r>
          </w:p>
        </w:tc>
      </w:tr>
      <w:tr w:rsidR="00F138C1" w:rsidRPr="008042C9" w:rsidTr="00F138C1">
        <w:trPr>
          <w:cantSplit/>
        </w:trPr>
        <w:tc>
          <w:tcPr>
            <w:tcW w:w="9523" w:type="dxa"/>
            <w:gridSpan w:val="5"/>
          </w:tcPr>
          <w:p w:rsidR="00F138C1" w:rsidRPr="00F55576" w:rsidRDefault="00F138C1" w:rsidP="00F138C1">
            <w:pPr>
              <w:widowControl w:val="0"/>
              <w:jc w:val="center"/>
              <w:rPr>
                <w:b/>
                <w:sz w:val="20"/>
                <w:szCs w:val="20"/>
              </w:rPr>
            </w:pPr>
            <w:r w:rsidRPr="00F55576">
              <w:rPr>
                <w:b/>
                <w:sz w:val="20"/>
                <w:szCs w:val="20"/>
              </w:rPr>
              <w:t>CORAM: Moldaver, Côté and Martin JJ.</w:t>
            </w:r>
          </w:p>
          <w:p w:rsidR="00F138C1" w:rsidRPr="00F55576" w:rsidRDefault="00F138C1" w:rsidP="00F138C1">
            <w:pPr>
              <w:widowControl w:val="0"/>
              <w:jc w:val="center"/>
              <w:rPr>
                <w:sz w:val="20"/>
                <w:szCs w:val="20"/>
                <w:lang w:val="fr-CA"/>
              </w:rPr>
            </w:pPr>
            <w:r w:rsidRPr="00F55576">
              <w:rPr>
                <w:b/>
                <w:sz w:val="20"/>
                <w:szCs w:val="20"/>
                <w:lang w:val="fr-CA"/>
              </w:rPr>
              <w:t>Les juges Moldaver, Côté et Martin</w:t>
            </w:r>
          </w:p>
        </w:tc>
      </w:tr>
      <w:tr w:rsidR="00F138C1" w:rsidRPr="00F55576" w:rsidTr="00F138C1">
        <w:trPr>
          <w:cantSplit/>
        </w:trPr>
        <w:tc>
          <w:tcPr>
            <w:tcW w:w="505" w:type="dxa"/>
          </w:tcPr>
          <w:p w:rsidR="00F138C1" w:rsidRPr="00F55576" w:rsidRDefault="00F138C1" w:rsidP="00F138C1">
            <w:pPr>
              <w:rPr>
                <w:sz w:val="20"/>
                <w:szCs w:val="20"/>
                <w:lang w:val="fr-CA"/>
              </w:rPr>
            </w:pPr>
          </w:p>
        </w:tc>
        <w:tc>
          <w:tcPr>
            <w:tcW w:w="806" w:type="dxa"/>
          </w:tcPr>
          <w:p w:rsidR="00F138C1" w:rsidRPr="00F55576" w:rsidRDefault="00F138C1" w:rsidP="00F138C1">
            <w:pPr>
              <w:rPr>
                <w:sz w:val="20"/>
                <w:szCs w:val="20"/>
                <w:lang w:val="fr-CA"/>
              </w:rPr>
            </w:pPr>
          </w:p>
        </w:tc>
        <w:tc>
          <w:tcPr>
            <w:tcW w:w="4027" w:type="dxa"/>
          </w:tcPr>
          <w:p w:rsidR="00F138C1" w:rsidRPr="00F55576" w:rsidRDefault="00F138C1" w:rsidP="00F138C1">
            <w:pPr>
              <w:pStyle w:val="SCCAppellantInfoTypeOfCase"/>
              <w:rPr>
                <w:sz w:val="20"/>
                <w:szCs w:val="20"/>
              </w:rPr>
            </w:pPr>
            <w:r w:rsidRPr="00F55576">
              <w:rPr>
                <w:sz w:val="20"/>
                <w:szCs w:val="20"/>
              </w:rPr>
              <w:t>Civil / Civile</w:t>
            </w:r>
          </w:p>
        </w:tc>
        <w:tc>
          <w:tcPr>
            <w:tcW w:w="359" w:type="dxa"/>
          </w:tcPr>
          <w:p w:rsidR="00F138C1" w:rsidRPr="00F55576" w:rsidRDefault="00F138C1" w:rsidP="00F138C1">
            <w:pPr>
              <w:rPr>
                <w:sz w:val="20"/>
                <w:szCs w:val="20"/>
              </w:rPr>
            </w:pPr>
          </w:p>
        </w:tc>
        <w:tc>
          <w:tcPr>
            <w:tcW w:w="3826" w:type="dxa"/>
          </w:tcPr>
          <w:p w:rsidR="00F138C1" w:rsidRPr="00F55576" w:rsidRDefault="00F138C1" w:rsidP="00F138C1">
            <w:pPr>
              <w:rPr>
                <w:sz w:val="20"/>
                <w:szCs w:val="20"/>
              </w:rPr>
            </w:pPr>
          </w:p>
        </w:tc>
      </w:tr>
      <w:tr w:rsidR="00F138C1" w:rsidRPr="008042C9" w:rsidTr="00F138C1">
        <w:trPr>
          <w:cantSplit/>
        </w:trPr>
        <w:tc>
          <w:tcPr>
            <w:tcW w:w="505" w:type="dxa"/>
          </w:tcPr>
          <w:p w:rsidR="00F138C1" w:rsidRPr="00F55576" w:rsidRDefault="008C6B76" w:rsidP="008C6B76">
            <w:pPr>
              <w:rPr>
                <w:sz w:val="20"/>
                <w:szCs w:val="20"/>
              </w:rPr>
            </w:pPr>
            <w:r w:rsidRPr="00F55576">
              <w:rPr>
                <w:sz w:val="20"/>
                <w:szCs w:val="20"/>
              </w:rPr>
              <w:t>3</w:t>
            </w:r>
            <w:r w:rsidR="00F138C1" w:rsidRPr="00F55576">
              <w:rPr>
                <w:sz w:val="20"/>
                <w:szCs w:val="20"/>
              </w:rPr>
              <w:t>.</w:t>
            </w:r>
          </w:p>
        </w:tc>
        <w:tc>
          <w:tcPr>
            <w:tcW w:w="806" w:type="dxa"/>
          </w:tcPr>
          <w:p w:rsidR="00F138C1" w:rsidRPr="00F55576" w:rsidRDefault="008C6B76" w:rsidP="00F138C1">
            <w:pPr>
              <w:rPr>
                <w:sz w:val="20"/>
                <w:szCs w:val="20"/>
              </w:rPr>
            </w:pPr>
            <w:r w:rsidRPr="00F55576">
              <w:rPr>
                <w:sz w:val="20"/>
                <w:szCs w:val="20"/>
              </w:rPr>
              <w:t>38759</w:t>
            </w:r>
          </w:p>
        </w:tc>
        <w:tc>
          <w:tcPr>
            <w:tcW w:w="4027" w:type="dxa"/>
          </w:tcPr>
          <w:p w:rsidR="008C6B76" w:rsidRPr="00F55576" w:rsidRDefault="008C6B76" w:rsidP="008C6B76">
            <w:pPr>
              <w:pStyle w:val="SCCAppellantInfoAppellantInfo"/>
              <w:rPr>
                <w:sz w:val="20"/>
                <w:szCs w:val="20"/>
                <w:lang w:val="fr-CA"/>
              </w:rPr>
            </w:pPr>
            <w:r w:rsidRPr="00F55576">
              <w:rPr>
                <w:sz w:val="20"/>
                <w:szCs w:val="20"/>
                <w:lang w:val="fr-CA"/>
              </w:rPr>
              <w:t>Ville de Montréal</w:t>
            </w:r>
          </w:p>
          <w:p w:rsidR="00F138C1" w:rsidRPr="00F55576" w:rsidRDefault="008C6B76" w:rsidP="008C6B76">
            <w:pPr>
              <w:pStyle w:val="SCCAppellantInfoAppellantInfo"/>
              <w:rPr>
                <w:sz w:val="20"/>
                <w:szCs w:val="20"/>
                <w:lang w:val="fr-CA"/>
              </w:rPr>
            </w:pPr>
            <w:r w:rsidRPr="00F55576">
              <w:rPr>
                <w:sz w:val="20"/>
                <w:szCs w:val="20"/>
                <w:lang w:val="fr-CA"/>
              </w:rPr>
              <w:t>(Qc) (Civile) (Autorisation)</w:t>
            </w:r>
          </w:p>
        </w:tc>
        <w:tc>
          <w:tcPr>
            <w:tcW w:w="359" w:type="dxa"/>
          </w:tcPr>
          <w:p w:rsidR="00F138C1" w:rsidRPr="00F55576" w:rsidRDefault="008C6B76" w:rsidP="008C6B76">
            <w:pPr>
              <w:rPr>
                <w:sz w:val="20"/>
                <w:szCs w:val="20"/>
              </w:rPr>
            </w:pPr>
            <w:r w:rsidRPr="00F55576">
              <w:rPr>
                <w:sz w:val="20"/>
                <w:szCs w:val="20"/>
              </w:rPr>
              <w:t>c</w:t>
            </w:r>
            <w:r w:rsidR="00F138C1" w:rsidRPr="00F55576">
              <w:rPr>
                <w:sz w:val="20"/>
                <w:szCs w:val="20"/>
              </w:rPr>
              <w:t>.</w:t>
            </w:r>
          </w:p>
        </w:tc>
        <w:tc>
          <w:tcPr>
            <w:tcW w:w="3826" w:type="dxa"/>
          </w:tcPr>
          <w:p w:rsidR="00F138C1" w:rsidRPr="00F55576" w:rsidRDefault="008C6B76" w:rsidP="00F138C1">
            <w:pPr>
              <w:pStyle w:val="SCCAppellantInfoAppellantInfo"/>
              <w:rPr>
                <w:sz w:val="20"/>
                <w:szCs w:val="20"/>
                <w:lang w:val="fr-CA"/>
              </w:rPr>
            </w:pPr>
            <w:r w:rsidRPr="00F55576">
              <w:rPr>
                <w:sz w:val="20"/>
                <w:szCs w:val="20"/>
                <w:lang w:val="fr-CA"/>
              </w:rPr>
              <w:t>Litwin Boyadjian inc., ès qualité de syndic à la faillite de société de vélo en libre-service</w:t>
            </w:r>
          </w:p>
        </w:tc>
      </w:tr>
    </w:tbl>
    <w:p w:rsidR="00F138C1" w:rsidRPr="00F55576" w:rsidRDefault="00F138C1" w:rsidP="00F138C1">
      <w:pPr>
        <w:widowControl w:val="0"/>
        <w:rPr>
          <w:sz w:val="20"/>
          <w:szCs w:val="20"/>
          <w:lang w:val="fr-CA"/>
        </w:rPr>
      </w:pPr>
    </w:p>
    <w:p w:rsidR="00F138C1" w:rsidRPr="00F55576" w:rsidRDefault="007B1953" w:rsidP="00F138C1">
      <w:pPr>
        <w:widowControl w:val="0"/>
        <w:rPr>
          <w:sz w:val="20"/>
          <w:szCs w:val="20"/>
        </w:rPr>
      </w:pPr>
      <w:r>
        <w:rPr>
          <w:sz w:val="20"/>
          <w:szCs w:val="20"/>
        </w:rPr>
        <w:pict>
          <v:rect id="_x0000_i1030" style="width:2in;height:1pt" o:hrpct="0" o:hralign="center" o:hrstd="t" o:hrnoshade="t" o:hr="t" fillcolor="black [3213]" stroked="f"/>
        </w:pict>
      </w:r>
    </w:p>
    <w:p w:rsidR="00F138C1" w:rsidRPr="00F55576" w:rsidRDefault="00F138C1" w:rsidP="00F138C1">
      <w:pPr>
        <w:widowControl w:val="0"/>
        <w:rPr>
          <w:sz w:val="20"/>
          <w:szCs w:val="20"/>
        </w:rPr>
      </w:pPr>
    </w:p>
    <w:p w:rsidR="00D744BE" w:rsidRPr="00F55576" w:rsidRDefault="00D744BE" w:rsidP="00F138C1">
      <w:pPr>
        <w:widowControl w:val="0"/>
        <w:rPr>
          <w:sz w:val="20"/>
          <w:szCs w:val="20"/>
        </w:rPr>
      </w:pPr>
    </w:p>
    <w:p w:rsidR="00D744BE" w:rsidRPr="00F55576" w:rsidRDefault="00D744BE">
      <w:pPr>
        <w:rPr>
          <w:sz w:val="20"/>
          <w:szCs w:val="20"/>
        </w:rPr>
      </w:pPr>
      <w:r w:rsidRPr="00F55576">
        <w:rPr>
          <w:sz w:val="20"/>
          <w:szCs w:val="20"/>
        </w:rPr>
        <w:br w:type="page"/>
      </w:r>
    </w:p>
    <w:p w:rsidR="00D744BE" w:rsidRPr="00F55576" w:rsidRDefault="00D744BE" w:rsidP="00D744BE">
      <w:pPr>
        <w:widowControl w:val="0"/>
        <w:rPr>
          <w:b/>
          <w:sz w:val="20"/>
          <w:szCs w:val="20"/>
          <w:lang w:val="fr-CA"/>
        </w:rPr>
      </w:pPr>
      <w:r w:rsidRPr="00F55576">
        <w:rPr>
          <w:b/>
          <w:sz w:val="20"/>
          <w:szCs w:val="20"/>
          <w:lang w:val="fr-CA"/>
        </w:rPr>
        <w:lastRenderedPageBreak/>
        <w:t>JANUARY 13, 2020 / LE 13 JANVIER 2020</w:t>
      </w:r>
    </w:p>
    <w:p w:rsidR="00D744BE" w:rsidRPr="00F55576" w:rsidRDefault="00D744BE" w:rsidP="00D744BE">
      <w:pPr>
        <w:widowControl w:val="0"/>
        <w:rPr>
          <w:sz w:val="20"/>
          <w:szCs w:val="20"/>
          <w:lang w:val="fr-CA"/>
        </w:rPr>
      </w:pP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5"/>
        <w:gridCol w:w="806"/>
        <w:gridCol w:w="4027"/>
        <w:gridCol w:w="359"/>
        <w:gridCol w:w="3826"/>
      </w:tblGrid>
      <w:tr w:rsidR="00D744BE" w:rsidRPr="008042C9" w:rsidTr="00FD50E9">
        <w:trPr>
          <w:cantSplit/>
        </w:trPr>
        <w:tc>
          <w:tcPr>
            <w:tcW w:w="9523" w:type="dxa"/>
            <w:gridSpan w:val="5"/>
          </w:tcPr>
          <w:p w:rsidR="00D744BE" w:rsidRPr="00F55576" w:rsidRDefault="00D744BE" w:rsidP="00FD50E9">
            <w:pPr>
              <w:widowControl w:val="0"/>
              <w:jc w:val="center"/>
              <w:rPr>
                <w:b/>
                <w:sz w:val="20"/>
                <w:szCs w:val="20"/>
              </w:rPr>
            </w:pPr>
            <w:r w:rsidRPr="00F55576">
              <w:rPr>
                <w:b/>
                <w:sz w:val="20"/>
                <w:szCs w:val="20"/>
              </w:rPr>
              <w:t>CORAM:  Chief Justice Wagner and Rowe and Kasirer JJ.</w:t>
            </w:r>
          </w:p>
          <w:p w:rsidR="00D744BE" w:rsidRPr="00F55576" w:rsidRDefault="00D744BE" w:rsidP="00FD50E9">
            <w:pPr>
              <w:jc w:val="center"/>
              <w:rPr>
                <w:sz w:val="20"/>
                <w:szCs w:val="20"/>
                <w:lang w:val="fr-CA"/>
              </w:rPr>
            </w:pPr>
            <w:r w:rsidRPr="00F55576">
              <w:rPr>
                <w:b/>
                <w:sz w:val="20"/>
                <w:szCs w:val="20"/>
                <w:lang w:val="fr-CA"/>
              </w:rPr>
              <w:t>Le juge en chef Wagner et les juges Rowe et Kasirer</w:t>
            </w:r>
          </w:p>
        </w:tc>
      </w:tr>
      <w:tr w:rsidR="00D744BE" w:rsidRPr="00F55576" w:rsidTr="00FD50E9">
        <w:trPr>
          <w:cantSplit/>
        </w:trPr>
        <w:tc>
          <w:tcPr>
            <w:tcW w:w="505" w:type="dxa"/>
          </w:tcPr>
          <w:p w:rsidR="00D744BE" w:rsidRPr="00F55576" w:rsidRDefault="00D744BE" w:rsidP="00FD50E9">
            <w:pPr>
              <w:rPr>
                <w:sz w:val="20"/>
                <w:szCs w:val="20"/>
                <w:lang w:val="fr-CA"/>
              </w:rPr>
            </w:pPr>
          </w:p>
        </w:tc>
        <w:tc>
          <w:tcPr>
            <w:tcW w:w="806" w:type="dxa"/>
          </w:tcPr>
          <w:p w:rsidR="00D744BE" w:rsidRPr="00F55576" w:rsidRDefault="00D744BE" w:rsidP="00FD50E9">
            <w:pPr>
              <w:rPr>
                <w:sz w:val="20"/>
                <w:szCs w:val="20"/>
                <w:lang w:val="fr-CA"/>
              </w:rPr>
            </w:pPr>
          </w:p>
        </w:tc>
        <w:tc>
          <w:tcPr>
            <w:tcW w:w="4027" w:type="dxa"/>
          </w:tcPr>
          <w:p w:rsidR="00D744BE" w:rsidRPr="00F55576" w:rsidRDefault="00C2698C" w:rsidP="00FD50E9">
            <w:pPr>
              <w:pStyle w:val="SCCAppellantInfoTypeOfCase"/>
              <w:rPr>
                <w:sz w:val="20"/>
                <w:szCs w:val="20"/>
              </w:rPr>
            </w:pPr>
            <w:r w:rsidRPr="00F55576">
              <w:rPr>
                <w:sz w:val="20"/>
                <w:szCs w:val="20"/>
              </w:rPr>
              <w:t>Criminal / Criminelle</w:t>
            </w:r>
          </w:p>
        </w:tc>
        <w:tc>
          <w:tcPr>
            <w:tcW w:w="359" w:type="dxa"/>
          </w:tcPr>
          <w:p w:rsidR="00D744BE" w:rsidRPr="00F55576" w:rsidRDefault="00D744BE" w:rsidP="00FD50E9">
            <w:pPr>
              <w:rPr>
                <w:sz w:val="20"/>
                <w:szCs w:val="20"/>
              </w:rPr>
            </w:pPr>
          </w:p>
        </w:tc>
        <w:tc>
          <w:tcPr>
            <w:tcW w:w="3826" w:type="dxa"/>
          </w:tcPr>
          <w:p w:rsidR="00D744BE" w:rsidRPr="00F55576" w:rsidRDefault="00D744BE" w:rsidP="00FD50E9">
            <w:pPr>
              <w:rPr>
                <w:sz w:val="20"/>
                <w:szCs w:val="20"/>
              </w:rPr>
            </w:pPr>
          </w:p>
        </w:tc>
      </w:tr>
      <w:tr w:rsidR="00D744BE" w:rsidRPr="00F55576" w:rsidTr="00FD50E9">
        <w:trPr>
          <w:cantSplit/>
        </w:trPr>
        <w:tc>
          <w:tcPr>
            <w:tcW w:w="505" w:type="dxa"/>
          </w:tcPr>
          <w:p w:rsidR="00D744BE" w:rsidRPr="00F55576" w:rsidRDefault="00D744BE" w:rsidP="00FD50E9">
            <w:pPr>
              <w:rPr>
                <w:sz w:val="20"/>
                <w:szCs w:val="20"/>
              </w:rPr>
            </w:pPr>
            <w:r w:rsidRPr="00F55576">
              <w:rPr>
                <w:sz w:val="20"/>
                <w:szCs w:val="20"/>
              </w:rPr>
              <w:t>1.</w:t>
            </w:r>
          </w:p>
        </w:tc>
        <w:tc>
          <w:tcPr>
            <w:tcW w:w="806" w:type="dxa"/>
          </w:tcPr>
          <w:p w:rsidR="00D744BE" w:rsidRPr="00F55576" w:rsidRDefault="00D744BE" w:rsidP="00C2698C">
            <w:pPr>
              <w:rPr>
                <w:sz w:val="20"/>
                <w:szCs w:val="20"/>
              </w:rPr>
            </w:pPr>
            <w:r w:rsidRPr="00F55576">
              <w:rPr>
                <w:sz w:val="20"/>
                <w:szCs w:val="20"/>
              </w:rPr>
              <w:t>38</w:t>
            </w:r>
            <w:r w:rsidR="00C2698C" w:rsidRPr="00F55576">
              <w:rPr>
                <w:sz w:val="20"/>
                <w:szCs w:val="20"/>
              </w:rPr>
              <w:t>8</w:t>
            </w:r>
            <w:r w:rsidRPr="00F55576">
              <w:rPr>
                <w:sz w:val="20"/>
                <w:szCs w:val="20"/>
              </w:rPr>
              <w:t>79</w:t>
            </w:r>
          </w:p>
        </w:tc>
        <w:tc>
          <w:tcPr>
            <w:tcW w:w="4027" w:type="dxa"/>
          </w:tcPr>
          <w:p w:rsidR="00C2698C" w:rsidRPr="00F55576" w:rsidRDefault="00C2698C" w:rsidP="00C2698C">
            <w:pPr>
              <w:pStyle w:val="SCCAppellantInfoAppellantInfo"/>
              <w:rPr>
                <w:sz w:val="20"/>
                <w:szCs w:val="20"/>
                <w:lang w:val="fr-CA"/>
              </w:rPr>
            </w:pPr>
            <w:r w:rsidRPr="00F55576">
              <w:rPr>
                <w:sz w:val="20"/>
                <w:szCs w:val="20"/>
                <w:lang w:val="fr-CA"/>
              </w:rPr>
              <w:t>Rodica Radita, et al.</w:t>
            </w:r>
          </w:p>
          <w:p w:rsidR="00D744BE" w:rsidRPr="00F55576" w:rsidRDefault="00C2698C" w:rsidP="00C2698C">
            <w:pPr>
              <w:pStyle w:val="SCCAppellantInfoAppellantInfo"/>
              <w:rPr>
                <w:sz w:val="20"/>
                <w:szCs w:val="20"/>
                <w:lang w:val="fr-CA"/>
              </w:rPr>
            </w:pPr>
            <w:r w:rsidRPr="00F55576">
              <w:rPr>
                <w:sz w:val="20"/>
                <w:szCs w:val="20"/>
                <w:lang w:val="fr-CA"/>
              </w:rPr>
              <w:t>(Alta.) (Criminal) (By Leave)</w:t>
            </w:r>
          </w:p>
        </w:tc>
        <w:tc>
          <w:tcPr>
            <w:tcW w:w="359" w:type="dxa"/>
          </w:tcPr>
          <w:p w:rsidR="00D744BE" w:rsidRPr="00F55576" w:rsidRDefault="00C2698C" w:rsidP="00C2698C">
            <w:pPr>
              <w:rPr>
                <w:sz w:val="20"/>
                <w:szCs w:val="20"/>
              </w:rPr>
            </w:pPr>
            <w:r w:rsidRPr="00F55576">
              <w:rPr>
                <w:sz w:val="20"/>
                <w:szCs w:val="20"/>
              </w:rPr>
              <w:t>v</w:t>
            </w:r>
            <w:r w:rsidR="00D744BE" w:rsidRPr="00F55576">
              <w:rPr>
                <w:sz w:val="20"/>
                <w:szCs w:val="20"/>
              </w:rPr>
              <w:t>.</w:t>
            </w:r>
          </w:p>
        </w:tc>
        <w:tc>
          <w:tcPr>
            <w:tcW w:w="3826" w:type="dxa"/>
          </w:tcPr>
          <w:p w:rsidR="00D744BE" w:rsidRPr="00F55576" w:rsidRDefault="00C2698C" w:rsidP="00FD50E9">
            <w:pPr>
              <w:pStyle w:val="SCCAppellantInfoAppellantInfo"/>
              <w:rPr>
                <w:sz w:val="20"/>
                <w:szCs w:val="20"/>
                <w:lang w:val="fr-CA"/>
              </w:rPr>
            </w:pPr>
            <w:r w:rsidRPr="00F55576">
              <w:rPr>
                <w:sz w:val="20"/>
                <w:szCs w:val="20"/>
                <w:lang w:val="fr-CA"/>
              </w:rPr>
              <w:t>Her Majesty the Queen</w:t>
            </w:r>
          </w:p>
        </w:tc>
      </w:tr>
      <w:tr w:rsidR="00C2698C" w:rsidRPr="00F55576" w:rsidTr="00FD50E9">
        <w:trPr>
          <w:cantSplit/>
        </w:trPr>
        <w:tc>
          <w:tcPr>
            <w:tcW w:w="505" w:type="dxa"/>
          </w:tcPr>
          <w:p w:rsidR="00C2698C" w:rsidRPr="00F55576" w:rsidRDefault="00C2698C" w:rsidP="00FD50E9">
            <w:pPr>
              <w:rPr>
                <w:sz w:val="20"/>
                <w:szCs w:val="20"/>
              </w:rPr>
            </w:pPr>
          </w:p>
        </w:tc>
        <w:tc>
          <w:tcPr>
            <w:tcW w:w="806" w:type="dxa"/>
          </w:tcPr>
          <w:p w:rsidR="00C2698C" w:rsidRPr="00F55576" w:rsidRDefault="00C2698C" w:rsidP="00FD50E9">
            <w:pPr>
              <w:rPr>
                <w:sz w:val="20"/>
                <w:szCs w:val="20"/>
              </w:rPr>
            </w:pPr>
          </w:p>
        </w:tc>
        <w:tc>
          <w:tcPr>
            <w:tcW w:w="4027" w:type="dxa"/>
          </w:tcPr>
          <w:p w:rsidR="00C2698C" w:rsidRPr="00F55576" w:rsidRDefault="00D46FAB" w:rsidP="00D46FAB">
            <w:pPr>
              <w:pStyle w:val="SCCAppellantInfoAppellantInfo"/>
              <w:tabs>
                <w:tab w:val="left" w:pos="986"/>
              </w:tabs>
              <w:rPr>
                <w:b/>
                <w:sz w:val="20"/>
                <w:szCs w:val="20"/>
                <w:lang w:val="fr-CA"/>
              </w:rPr>
            </w:pPr>
            <w:r w:rsidRPr="00F55576">
              <w:rPr>
                <w:b/>
                <w:sz w:val="20"/>
                <w:szCs w:val="20"/>
                <w:lang w:val="fr-CA"/>
              </w:rPr>
              <w:t>Civil / Civile</w:t>
            </w:r>
          </w:p>
        </w:tc>
        <w:tc>
          <w:tcPr>
            <w:tcW w:w="359" w:type="dxa"/>
          </w:tcPr>
          <w:p w:rsidR="00C2698C" w:rsidRPr="00F55576" w:rsidRDefault="00C2698C" w:rsidP="00FD50E9">
            <w:pPr>
              <w:rPr>
                <w:sz w:val="20"/>
                <w:szCs w:val="20"/>
              </w:rPr>
            </w:pPr>
          </w:p>
        </w:tc>
        <w:tc>
          <w:tcPr>
            <w:tcW w:w="3826" w:type="dxa"/>
          </w:tcPr>
          <w:p w:rsidR="00C2698C" w:rsidRPr="00F55576" w:rsidRDefault="00C2698C" w:rsidP="00FD50E9">
            <w:pPr>
              <w:pStyle w:val="SCCAppellantInfoAppellantInfo"/>
              <w:rPr>
                <w:sz w:val="20"/>
                <w:szCs w:val="20"/>
                <w:lang w:val="fr-CA"/>
              </w:rPr>
            </w:pPr>
          </w:p>
        </w:tc>
      </w:tr>
      <w:tr w:rsidR="00C2698C" w:rsidRPr="00F55576" w:rsidTr="00FD50E9">
        <w:trPr>
          <w:cantSplit/>
        </w:trPr>
        <w:tc>
          <w:tcPr>
            <w:tcW w:w="505" w:type="dxa"/>
          </w:tcPr>
          <w:p w:rsidR="00C2698C" w:rsidRPr="00F55576" w:rsidRDefault="00E972E0" w:rsidP="00FD50E9">
            <w:pPr>
              <w:rPr>
                <w:sz w:val="20"/>
                <w:szCs w:val="20"/>
              </w:rPr>
            </w:pPr>
            <w:r w:rsidRPr="00F55576">
              <w:rPr>
                <w:sz w:val="20"/>
                <w:szCs w:val="20"/>
              </w:rPr>
              <w:t>2.</w:t>
            </w:r>
          </w:p>
        </w:tc>
        <w:tc>
          <w:tcPr>
            <w:tcW w:w="806" w:type="dxa"/>
          </w:tcPr>
          <w:p w:rsidR="00C2698C" w:rsidRPr="00F55576" w:rsidRDefault="00E972E0" w:rsidP="00E972E0">
            <w:pPr>
              <w:rPr>
                <w:sz w:val="20"/>
                <w:szCs w:val="20"/>
              </w:rPr>
            </w:pPr>
            <w:r w:rsidRPr="00F55576">
              <w:rPr>
                <w:sz w:val="20"/>
                <w:szCs w:val="20"/>
              </w:rPr>
              <w:t>38901</w:t>
            </w:r>
          </w:p>
        </w:tc>
        <w:tc>
          <w:tcPr>
            <w:tcW w:w="4027" w:type="dxa"/>
          </w:tcPr>
          <w:p w:rsidR="00E96583" w:rsidRPr="00F55576" w:rsidRDefault="00E96583" w:rsidP="00E96583">
            <w:pPr>
              <w:pStyle w:val="SCCAppellantInfoAppellantInfo"/>
              <w:rPr>
                <w:sz w:val="20"/>
                <w:szCs w:val="20"/>
                <w:lang w:val="en-US"/>
              </w:rPr>
            </w:pPr>
            <w:r w:rsidRPr="00F55576">
              <w:rPr>
                <w:sz w:val="20"/>
                <w:szCs w:val="20"/>
                <w:lang w:val="en-US"/>
              </w:rPr>
              <w:t>Golam Mehedi</w:t>
            </w:r>
          </w:p>
          <w:p w:rsidR="00C2698C" w:rsidRPr="00F55576" w:rsidRDefault="00E96583" w:rsidP="00E96583">
            <w:pPr>
              <w:pStyle w:val="SCCAppellantInfoAppellantInfo"/>
              <w:rPr>
                <w:sz w:val="20"/>
                <w:szCs w:val="20"/>
                <w:lang w:val="en-US"/>
              </w:rPr>
            </w:pPr>
            <w:r w:rsidRPr="00F55576">
              <w:rPr>
                <w:sz w:val="20"/>
                <w:szCs w:val="20"/>
                <w:lang w:val="en-US"/>
              </w:rPr>
              <w:t>(Ont.) (Civil) (By Leave)</w:t>
            </w:r>
          </w:p>
        </w:tc>
        <w:tc>
          <w:tcPr>
            <w:tcW w:w="359" w:type="dxa"/>
          </w:tcPr>
          <w:p w:rsidR="00C2698C" w:rsidRPr="00F55576" w:rsidRDefault="00E972E0" w:rsidP="00FD50E9">
            <w:pPr>
              <w:rPr>
                <w:sz w:val="20"/>
                <w:szCs w:val="20"/>
              </w:rPr>
            </w:pPr>
            <w:r w:rsidRPr="00F55576">
              <w:rPr>
                <w:sz w:val="20"/>
                <w:szCs w:val="20"/>
              </w:rPr>
              <w:t>v.</w:t>
            </w:r>
          </w:p>
        </w:tc>
        <w:tc>
          <w:tcPr>
            <w:tcW w:w="3826" w:type="dxa"/>
          </w:tcPr>
          <w:p w:rsidR="00C2698C" w:rsidRPr="00F55576" w:rsidRDefault="00E96583" w:rsidP="00FD50E9">
            <w:pPr>
              <w:pStyle w:val="SCCAppellantInfoAppellantInfo"/>
              <w:rPr>
                <w:sz w:val="20"/>
                <w:szCs w:val="20"/>
                <w:lang w:val="en-US"/>
              </w:rPr>
            </w:pPr>
            <w:r w:rsidRPr="00F55576">
              <w:rPr>
                <w:sz w:val="20"/>
                <w:szCs w:val="20"/>
                <w:lang w:val="en-US"/>
              </w:rPr>
              <w:t>Her Majesty the Queen in Right of Ontario</w:t>
            </w:r>
          </w:p>
        </w:tc>
      </w:tr>
      <w:tr w:rsidR="00C2698C" w:rsidRPr="00F55576" w:rsidTr="00FD50E9">
        <w:trPr>
          <w:cantSplit/>
        </w:trPr>
        <w:tc>
          <w:tcPr>
            <w:tcW w:w="505" w:type="dxa"/>
          </w:tcPr>
          <w:p w:rsidR="00C2698C" w:rsidRPr="00F55576" w:rsidRDefault="00E972E0" w:rsidP="00FD50E9">
            <w:pPr>
              <w:rPr>
                <w:sz w:val="20"/>
                <w:szCs w:val="20"/>
              </w:rPr>
            </w:pPr>
            <w:r w:rsidRPr="00F55576">
              <w:rPr>
                <w:sz w:val="20"/>
                <w:szCs w:val="20"/>
              </w:rPr>
              <w:t>3.</w:t>
            </w:r>
          </w:p>
        </w:tc>
        <w:tc>
          <w:tcPr>
            <w:tcW w:w="806" w:type="dxa"/>
          </w:tcPr>
          <w:p w:rsidR="00C2698C" w:rsidRPr="00F55576" w:rsidRDefault="00E972E0" w:rsidP="00FD50E9">
            <w:pPr>
              <w:rPr>
                <w:sz w:val="20"/>
                <w:szCs w:val="20"/>
              </w:rPr>
            </w:pPr>
            <w:r w:rsidRPr="00F55576">
              <w:rPr>
                <w:sz w:val="20"/>
                <w:szCs w:val="20"/>
              </w:rPr>
              <w:t>38886</w:t>
            </w:r>
          </w:p>
        </w:tc>
        <w:tc>
          <w:tcPr>
            <w:tcW w:w="4027" w:type="dxa"/>
          </w:tcPr>
          <w:p w:rsidR="00E96583" w:rsidRPr="00F55576" w:rsidRDefault="00E96583" w:rsidP="00E96583">
            <w:pPr>
              <w:pStyle w:val="SCCAppellantInfoAppellantInfo"/>
              <w:rPr>
                <w:sz w:val="20"/>
                <w:szCs w:val="20"/>
              </w:rPr>
            </w:pPr>
            <w:r w:rsidRPr="00F55576">
              <w:rPr>
                <w:sz w:val="20"/>
                <w:szCs w:val="20"/>
              </w:rPr>
              <w:t>Robert Meerman</w:t>
            </w:r>
          </w:p>
          <w:p w:rsidR="00C2698C" w:rsidRPr="00F55576" w:rsidRDefault="00E96583" w:rsidP="00E96583">
            <w:pPr>
              <w:pStyle w:val="SCCAppellantInfoAppellantInfo"/>
              <w:rPr>
                <w:sz w:val="20"/>
                <w:szCs w:val="20"/>
              </w:rPr>
            </w:pPr>
            <w:r w:rsidRPr="00F55576">
              <w:rPr>
                <w:sz w:val="20"/>
                <w:szCs w:val="20"/>
              </w:rPr>
              <w:t>(F.C.) (Civil) (By Leave)</w:t>
            </w:r>
          </w:p>
        </w:tc>
        <w:tc>
          <w:tcPr>
            <w:tcW w:w="359" w:type="dxa"/>
          </w:tcPr>
          <w:p w:rsidR="00C2698C" w:rsidRPr="00F55576" w:rsidRDefault="00E972E0" w:rsidP="00FD50E9">
            <w:pPr>
              <w:rPr>
                <w:sz w:val="20"/>
                <w:szCs w:val="20"/>
              </w:rPr>
            </w:pPr>
            <w:r w:rsidRPr="00F55576">
              <w:rPr>
                <w:sz w:val="20"/>
                <w:szCs w:val="20"/>
              </w:rPr>
              <w:t>v.</w:t>
            </w:r>
          </w:p>
        </w:tc>
        <w:tc>
          <w:tcPr>
            <w:tcW w:w="3826" w:type="dxa"/>
          </w:tcPr>
          <w:p w:rsidR="00C2698C" w:rsidRPr="00F55576" w:rsidRDefault="00E96583" w:rsidP="00FD50E9">
            <w:pPr>
              <w:pStyle w:val="SCCAppellantInfoAppellantInfo"/>
              <w:rPr>
                <w:sz w:val="20"/>
                <w:szCs w:val="20"/>
              </w:rPr>
            </w:pPr>
            <w:r w:rsidRPr="00F55576">
              <w:rPr>
                <w:sz w:val="20"/>
                <w:szCs w:val="20"/>
              </w:rPr>
              <w:t>Her Majesty the Queen</w:t>
            </w:r>
          </w:p>
        </w:tc>
      </w:tr>
      <w:tr w:rsidR="00C2698C" w:rsidRPr="00F55576" w:rsidTr="00FD50E9">
        <w:trPr>
          <w:cantSplit/>
        </w:trPr>
        <w:tc>
          <w:tcPr>
            <w:tcW w:w="505" w:type="dxa"/>
          </w:tcPr>
          <w:p w:rsidR="00C2698C" w:rsidRPr="00F55576" w:rsidRDefault="00E972E0" w:rsidP="00FD50E9">
            <w:pPr>
              <w:rPr>
                <w:sz w:val="20"/>
                <w:szCs w:val="20"/>
              </w:rPr>
            </w:pPr>
            <w:r w:rsidRPr="00F55576">
              <w:rPr>
                <w:sz w:val="20"/>
                <w:szCs w:val="20"/>
              </w:rPr>
              <w:t>4.</w:t>
            </w:r>
          </w:p>
        </w:tc>
        <w:tc>
          <w:tcPr>
            <w:tcW w:w="806" w:type="dxa"/>
          </w:tcPr>
          <w:p w:rsidR="00C2698C" w:rsidRPr="00F55576" w:rsidRDefault="00E972E0" w:rsidP="00FD50E9">
            <w:pPr>
              <w:rPr>
                <w:sz w:val="20"/>
                <w:szCs w:val="20"/>
              </w:rPr>
            </w:pPr>
            <w:r w:rsidRPr="00F55576">
              <w:rPr>
                <w:sz w:val="20"/>
                <w:szCs w:val="20"/>
              </w:rPr>
              <w:t>38777</w:t>
            </w:r>
          </w:p>
        </w:tc>
        <w:tc>
          <w:tcPr>
            <w:tcW w:w="4027" w:type="dxa"/>
          </w:tcPr>
          <w:p w:rsidR="001D41C9" w:rsidRPr="00F55576" w:rsidRDefault="001D41C9" w:rsidP="001D41C9">
            <w:pPr>
              <w:pStyle w:val="SCCAppellantInfoAppellantInfo"/>
              <w:rPr>
                <w:sz w:val="20"/>
                <w:szCs w:val="20"/>
              </w:rPr>
            </w:pPr>
            <w:r w:rsidRPr="00F55576">
              <w:rPr>
                <w:sz w:val="20"/>
                <w:szCs w:val="20"/>
              </w:rPr>
              <w:t>Union of Canadian Correctional Officers - Syndicat des agents correctionnels du Canada - CSN (UCCO-SACC-CSN), et al.</w:t>
            </w:r>
          </w:p>
          <w:p w:rsidR="00C2698C" w:rsidRPr="00F55576" w:rsidRDefault="001D41C9" w:rsidP="001D41C9">
            <w:pPr>
              <w:pStyle w:val="SCCAppellantInfoAppellantInfo"/>
              <w:rPr>
                <w:sz w:val="20"/>
                <w:szCs w:val="20"/>
              </w:rPr>
            </w:pPr>
            <w:r w:rsidRPr="00F55576">
              <w:rPr>
                <w:sz w:val="20"/>
                <w:szCs w:val="20"/>
              </w:rPr>
              <w:t>(Qc) (Civile) (Autorisation)</w:t>
            </w:r>
          </w:p>
        </w:tc>
        <w:tc>
          <w:tcPr>
            <w:tcW w:w="359" w:type="dxa"/>
          </w:tcPr>
          <w:p w:rsidR="00C2698C" w:rsidRPr="00F55576" w:rsidRDefault="00E972E0" w:rsidP="00FD50E9">
            <w:pPr>
              <w:rPr>
                <w:sz w:val="20"/>
                <w:szCs w:val="20"/>
              </w:rPr>
            </w:pPr>
            <w:r w:rsidRPr="00F55576">
              <w:rPr>
                <w:sz w:val="20"/>
                <w:szCs w:val="20"/>
              </w:rPr>
              <w:t>c.</w:t>
            </w:r>
          </w:p>
        </w:tc>
        <w:tc>
          <w:tcPr>
            <w:tcW w:w="3826" w:type="dxa"/>
          </w:tcPr>
          <w:p w:rsidR="00C2698C" w:rsidRPr="00F55576" w:rsidRDefault="001D41C9" w:rsidP="00FD50E9">
            <w:pPr>
              <w:pStyle w:val="SCCAppellantInfoAppellantInfo"/>
              <w:rPr>
                <w:sz w:val="20"/>
                <w:szCs w:val="20"/>
                <w:lang w:val="fr-CA"/>
              </w:rPr>
            </w:pPr>
            <w:r w:rsidRPr="00F55576">
              <w:rPr>
                <w:sz w:val="20"/>
                <w:szCs w:val="20"/>
                <w:lang w:val="fr-CA"/>
              </w:rPr>
              <w:t>Procureur général du Canada</w:t>
            </w:r>
          </w:p>
        </w:tc>
      </w:tr>
      <w:tr w:rsidR="00D744BE" w:rsidRPr="008042C9" w:rsidTr="00FD50E9">
        <w:trPr>
          <w:cantSplit/>
        </w:trPr>
        <w:tc>
          <w:tcPr>
            <w:tcW w:w="9523" w:type="dxa"/>
            <w:gridSpan w:val="5"/>
          </w:tcPr>
          <w:p w:rsidR="00D744BE" w:rsidRPr="00F55576" w:rsidRDefault="00D744BE" w:rsidP="00FD50E9">
            <w:pPr>
              <w:widowControl w:val="0"/>
              <w:jc w:val="center"/>
              <w:rPr>
                <w:b/>
                <w:sz w:val="20"/>
                <w:szCs w:val="20"/>
                <w:lang w:val="en-US"/>
              </w:rPr>
            </w:pPr>
            <w:r w:rsidRPr="00F55576">
              <w:rPr>
                <w:b/>
                <w:sz w:val="20"/>
                <w:szCs w:val="20"/>
                <w:lang w:val="en-US"/>
              </w:rPr>
              <w:t>CORAM: Abella, Karakatsanis and Brown JJ.</w:t>
            </w:r>
          </w:p>
          <w:p w:rsidR="00D744BE" w:rsidRPr="00F55576" w:rsidRDefault="00D744BE" w:rsidP="00FD50E9">
            <w:pPr>
              <w:widowControl w:val="0"/>
              <w:jc w:val="center"/>
              <w:rPr>
                <w:sz w:val="20"/>
                <w:szCs w:val="20"/>
                <w:lang w:val="fr-CA"/>
              </w:rPr>
            </w:pPr>
            <w:r w:rsidRPr="00F55576">
              <w:rPr>
                <w:b/>
                <w:sz w:val="20"/>
                <w:szCs w:val="20"/>
                <w:lang w:val="fr-CA"/>
              </w:rPr>
              <w:t>Les juges Abella, Karakatsanis et Brown</w:t>
            </w:r>
          </w:p>
        </w:tc>
      </w:tr>
      <w:tr w:rsidR="00025D44" w:rsidRPr="00F55576" w:rsidTr="00FD50E9">
        <w:trPr>
          <w:cantSplit/>
        </w:trPr>
        <w:tc>
          <w:tcPr>
            <w:tcW w:w="505" w:type="dxa"/>
          </w:tcPr>
          <w:p w:rsidR="00025D44" w:rsidRPr="00F55576" w:rsidRDefault="00025D44" w:rsidP="00FD50E9">
            <w:pPr>
              <w:rPr>
                <w:sz w:val="20"/>
                <w:szCs w:val="20"/>
                <w:lang w:val="fr-CA"/>
              </w:rPr>
            </w:pPr>
          </w:p>
        </w:tc>
        <w:tc>
          <w:tcPr>
            <w:tcW w:w="806" w:type="dxa"/>
          </w:tcPr>
          <w:p w:rsidR="00025D44" w:rsidRPr="00F55576" w:rsidRDefault="00025D44" w:rsidP="00FD50E9">
            <w:pPr>
              <w:rPr>
                <w:sz w:val="20"/>
                <w:szCs w:val="20"/>
                <w:lang w:val="fr-CA"/>
              </w:rPr>
            </w:pPr>
          </w:p>
        </w:tc>
        <w:tc>
          <w:tcPr>
            <w:tcW w:w="4027" w:type="dxa"/>
          </w:tcPr>
          <w:p w:rsidR="00025D44" w:rsidRPr="00F55576" w:rsidRDefault="00025D44" w:rsidP="00FD50E9">
            <w:pPr>
              <w:pStyle w:val="SCCAppellantInfoTypeOfCase"/>
              <w:rPr>
                <w:sz w:val="20"/>
                <w:szCs w:val="20"/>
              </w:rPr>
            </w:pPr>
            <w:r w:rsidRPr="00F55576">
              <w:rPr>
                <w:sz w:val="20"/>
                <w:szCs w:val="20"/>
              </w:rPr>
              <w:t>Criminal / Criminelle</w:t>
            </w:r>
          </w:p>
        </w:tc>
        <w:tc>
          <w:tcPr>
            <w:tcW w:w="359" w:type="dxa"/>
          </w:tcPr>
          <w:p w:rsidR="00025D44" w:rsidRPr="00F55576" w:rsidRDefault="00025D44" w:rsidP="00FD50E9">
            <w:pPr>
              <w:rPr>
                <w:sz w:val="20"/>
                <w:szCs w:val="20"/>
              </w:rPr>
            </w:pPr>
          </w:p>
        </w:tc>
        <w:tc>
          <w:tcPr>
            <w:tcW w:w="3826" w:type="dxa"/>
          </w:tcPr>
          <w:p w:rsidR="00025D44" w:rsidRPr="00F55576" w:rsidRDefault="00025D44" w:rsidP="00FD50E9">
            <w:pPr>
              <w:rPr>
                <w:sz w:val="20"/>
                <w:szCs w:val="20"/>
              </w:rPr>
            </w:pPr>
          </w:p>
        </w:tc>
      </w:tr>
      <w:tr w:rsidR="00025D44" w:rsidRPr="00F55576" w:rsidTr="00FD50E9">
        <w:trPr>
          <w:cantSplit/>
        </w:trPr>
        <w:tc>
          <w:tcPr>
            <w:tcW w:w="505" w:type="dxa"/>
          </w:tcPr>
          <w:p w:rsidR="00025D44" w:rsidRPr="00F55576" w:rsidRDefault="00025D44" w:rsidP="00FD50E9">
            <w:pPr>
              <w:rPr>
                <w:sz w:val="20"/>
                <w:szCs w:val="20"/>
                <w:lang w:val="fr-CA"/>
              </w:rPr>
            </w:pPr>
            <w:r w:rsidRPr="00F55576">
              <w:rPr>
                <w:sz w:val="20"/>
                <w:szCs w:val="20"/>
                <w:lang w:val="fr-CA"/>
              </w:rPr>
              <w:t>5.</w:t>
            </w:r>
          </w:p>
        </w:tc>
        <w:tc>
          <w:tcPr>
            <w:tcW w:w="806" w:type="dxa"/>
          </w:tcPr>
          <w:p w:rsidR="00025D44" w:rsidRPr="00F55576" w:rsidRDefault="00025D44" w:rsidP="00FD50E9">
            <w:pPr>
              <w:rPr>
                <w:sz w:val="20"/>
                <w:szCs w:val="20"/>
                <w:lang w:val="fr-CA"/>
              </w:rPr>
            </w:pPr>
            <w:r w:rsidRPr="00F55576">
              <w:rPr>
                <w:sz w:val="20"/>
                <w:szCs w:val="20"/>
                <w:lang w:val="fr-CA"/>
              </w:rPr>
              <w:t>38861</w:t>
            </w:r>
          </w:p>
        </w:tc>
        <w:tc>
          <w:tcPr>
            <w:tcW w:w="4027" w:type="dxa"/>
          </w:tcPr>
          <w:p w:rsidR="00025D44" w:rsidRPr="00F55576" w:rsidRDefault="00025D44" w:rsidP="00025D44">
            <w:pPr>
              <w:pStyle w:val="SCCAppellantInfoTypeOfCase"/>
              <w:rPr>
                <w:b w:val="0"/>
                <w:sz w:val="20"/>
                <w:szCs w:val="20"/>
              </w:rPr>
            </w:pPr>
            <w:r w:rsidRPr="00F55576">
              <w:rPr>
                <w:b w:val="0"/>
                <w:sz w:val="20"/>
                <w:szCs w:val="20"/>
              </w:rPr>
              <w:t>Her Majesty the Queen in Right of Canada</w:t>
            </w:r>
          </w:p>
          <w:p w:rsidR="00025D44" w:rsidRPr="00F55576" w:rsidRDefault="00025D44" w:rsidP="00025D44">
            <w:pPr>
              <w:pStyle w:val="SCCAppellantInfoTypeOfCase"/>
              <w:rPr>
                <w:b w:val="0"/>
                <w:sz w:val="20"/>
                <w:szCs w:val="20"/>
              </w:rPr>
            </w:pPr>
            <w:r w:rsidRPr="00F55576">
              <w:rPr>
                <w:b w:val="0"/>
                <w:sz w:val="20"/>
                <w:szCs w:val="20"/>
              </w:rPr>
              <w:t>(Ont.) (Criminal) (By Leave)</w:t>
            </w:r>
          </w:p>
        </w:tc>
        <w:tc>
          <w:tcPr>
            <w:tcW w:w="359" w:type="dxa"/>
          </w:tcPr>
          <w:p w:rsidR="00025D44" w:rsidRPr="00F55576" w:rsidRDefault="00025D44" w:rsidP="00FD50E9">
            <w:pPr>
              <w:rPr>
                <w:sz w:val="20"/>
                <w:szCs w:val="20"/>
              </w:rPr>
            </w:pPr>
            <w:r w:rsidRPr="00F55576">
              <w:rPr>
                <w:sz w:val="20"/>
                <w:szCs w:val="20"/>
              </w:rPr>
              <w:t>v.</w:t>
            </w:r>
          </w:p>
        </w:tc>
        <w:tc>
          <w:tcPr>
            <w:tcW w:w="3826" w:type="dxa"/>
          </w:tcPr>
          <w:p w:rsidR="00025D44" w:rsidRPr="00F55576" w:rsidRDefault="00025D44" w:rsidP="00FD50E9">
            <w:pPr>
              <w:rPr>
                <w:sz w:val="20"/>
                <w:szCs w:val="20"/>
              </w:rPr>
            </w:pPr>
            <w:r w:rsidRPr="00F55576">
              <w:rPr>
                <w:sz w:val="20"/>
                <w:szCs w:val="20"/>
              </w:rPr>
              <w:t>Chiheb Esseghaier, et al.</w:t>
            </w:r>
          </w:p>
        </w:tc>
      </w:tr>
      <w:tr w:rsidR="00D744BE" w:rsidRPr="00F55576" w:rsidTr="00FD50E9">
        <w:trPr>
          <w:cantSplit/>
        </w:trPr>
        <w:tc>
          <w:tcPr>
            <w:tcW w:w="505" w:type="dxa"/>
          </w:tcPr>
          <w:p w:rsidR="00D744BE" w:rsidRPr="00F55576" w:rsidRDefault="00D744BE" w:rsidP="00FD50E9">
            <w:pPr>
              <w:rPr>
                <w:sz w:val="20"/>
                <w:szCs w:val="20"/>
                <w:lang w:val="fr-CA"/>
              </w:rPr>
            </w:pPr>
          </w:p>
        </w:tc>
        <w:tc>
          <w:tcPr>
            <w:tcW w:w="806" w:type="dxa"/>
          </w:tcPr>
          <w:p w:rsidR="00D744BE" w:rsidRPr="00F55576" w:rsidRDefault="00D744BE" w:rsidP="00FD50E9">
            <w:pPr>
              <w:rPr>
                <w:sz w:val="20"/>
                <w:szCs w:val="20"/>
                <w:lang w:val="fr-CA"/>
              </w:rPr>
            </w:pPr>
          </w:p>
        </w:tc>
        <w:tc>
          <w:tcPr>
            <w:tcW w:w="4027" w:type="dxa"/>
          </w:tcPr>
          <w:p w:rsidR="00D744BE" w:rsidRPr="00F55576" w:rsidRDefault="00D744BE" w:rsidP="00FD50E9">
            <w:pPr>
              <w:pStyle w:val="SCCAppellantInfoTypeOfCase"/>
              <w:rPr>
                <w:sz w:val="20"/>
                <w:szCs w:val="20"/>
              </w:rPr>
            </w:pPr>
            <w:r w:rsidRPr="00F55576">
              <w:rPr>
                <w:sz w:val="20"/>
                <w:szCs w:val="20"/>
              </w:rPr>
              <w:t>Civil / Civile</w:t>
            </w:r>
          </w:p>
        </w:tc>
        <w:tc>
          <w:tcPr>
            <w:tcW w:w="359" w:type="dxa"/>
          </w:tcPr>
          <w:p w:rsidR="00D744BE" w:rsidRPr="00F55576" w:rsidRDefault="00D744BE" w:rsidP="00FD50E9">
            <w:pPr>
              <w:rPr>
                <w:sz w:val="20"/>
                <w:szCs w:val="20"/>
              </w:rPr>
            </w:pPr>
          </w:p>
        </w:tc>
        <w:tc>
          <w:tcPr>
            <w:tcW w:w="3826" w:type="dxa"/>
          </w:tcPr>
          <w:p w:rsidR="00D744BE" w:rsidRPr="00F55576" w:rsidRDefault="00D744BE" w:rsidP="00FD50E9">
            <w:pPr>
              <w:rPr>
                <w:sz w:val="20"/>
                <w:szCs w:val="20"/>
              </w:rPr>
            </w:pPr>
          </w:p>
        </w:tc>
      </w:tr>
      <w:tr w:rsidR="00D744BE" w:rsidRPr="00F55576" w:rsidTr="00FD50E9">
        <w:trPr>
          <w:cantSplit/>
        </w:trPr>
        <w:tc>
          <w:tcPr>
            <w:tcW w:w="505" w:type="dxa"/>
          </w:tcPr>
          <w:p w:rsidR="00D744BE" w:rsidRPr="00F55576" w:rsidRDefault="008652F9" w:rsidP="00FD50E9">
            <w:pPr>
              <w:rPr>
                <w:sz w:val="20"/>
                <w:szCs w:val="20"/>
              </w:rPr>
            </w:pPr>
            <w:r w:rsidRPr="00F55576">
              <w:rPr>
                <w:sz w:val="20"/>
                <w:szCs w:val="20"/>
              </w:rPr>
              <w:t>6</w:t>
            </w:r>
            <w:r w:rsidR="00D744BE" w:rsidRPr="00F55576">
              <w:rPr>
                <w:sz w:val="20"/>
                <w:szCs w:val="20"/>
              </w:rPr>
              <w:t>.</w:t>
            </w:r>
          </w:p>
        </w:tc>
        <w:tc>
          <w:tcPr>
            <w:tcW w:w="806" w:type="dxa"/>
          </w:tcPr>
          <w:p w:rsidR="00D744BE" w:rsidRPr="00F55576" w:rsidRDefault="00D744BE" w:rsidP="008652F9">
            <w:pPr>
              <w:rPr>
                <w:sz w:val="20"/>
                <w:szCs w:val="20"/>
              </w:rPr>
            </w:pPr>
            <w:r w:rsidRPr="00F55576">
              <w:rPr>
                <w:sz w:val="20"/>
                <w:szCs w:val="20"/>
              </w:rPr>
              <w:t>388</w:t>
            </w:r>
            <w:r w:rsidR="008652F9" w:rsidRPr="00F55576">
              <w:rPr>
                <w:sz w:val="20"/>
                <w:szCs w:val="20"/>
              </w:rPr>
              <w:t>2</w:t>
            </w:r>
            <w:r w:rsidRPr="00F55576">
              <w:rPr>
                <w:sz w:val="20"/>
                <w:szCs w:val="20"/>
              </w:rPr>
              <w:t>5</w:t>
            </w:r>
          </w:p>
        </w:tc>
        <w:tc>
          <w:tcPr>
            <w:tcW w:w="4027" w:type="dxa"/>
          </w:tcPr>
          <w:p w:rsidR="008652F9" w:rsidRPr="00F55576" w:rsidRDefault="008652F9" w:rsidP="008652F9">
            <w:pPr>
              <w:pStyle w:val="SCCAppellantInfoAppellantInfo"/>
              <w:rPr>
                <w:sz w:val="20"/>
                <w:szCs w:val="20"/>
                <w:lang w:val="fr-CA"/>
              </w:rPr>
            </w:pPr>
            <w:r w:rsidRPr="00F55576">
              <w:rPr>
                <w:sz w:val="20"/>
                <w:szCs w:val="20"/>
                <w:lang w:val="fr-CA"/>
              </w:rPr>
              <w:t>Bayer Inc., et al.</w:t>
            </w:r>
          </w:p>
          <w:p w:rsidR="00D744BE" w:rsidRPr="00F55576" w:rsidRDefault="008652F9" w:rsidP="008652F9">
            <w:pPr>
              <w:pStyle w:val="SCCAppellantInfoAppellantInfo"/>
              <w:rPr>
                <w:sz w:val="20"/>
                <w:szCs w:val="20"/>
              </w:rPr>
            </w:pPr>
            <w:r w:rsidRPr="00F55576">
              <w:rPr>
                <w:sz w:val="20"/>
                <w:szCs w:val="20"/>
                <w:lang w:val="fr-CA"/>
              </w:rPr>
              <w:t xml:space="preserve">(Sask.) </w:t>
            </w:r>
            <w:r w:rsidRPr="00F55576">
              <w:rPr>
                <w:sz w:val="20"/>
                <w:szCs w:val="20"/>
                <w:lang w:val="en-US"/>
              </w:rPr>
              <w:t>(Civil) (By Leave)</w:t>
            </w:r>
          </w:p>
        </w:tc>
        <w:tc>
          <w:tcPr>
            <w:tcW w:w="359" w:type="dxa"/>
          </w:tcPr>
          <w:p w:rsidR="00D744BE" w:rsidRPr="00F55576" w:rsidRDefault="00D744BE" w:rsidP="00FD50E9">
            <w:pPr>
              <w:rPr>
                <w:sz w:val="20"/>
                <w:szCs w:val="20"/>
              </w:rPr>
            </w:pPr>
            <w:r w:rsidRPr="00F55576">
              <w:rPr>
                <w:sz w:val="20"/>
                <w:szCs w:val="20"/>
              </w:rPr>
              <w:t>v.</w:t>
            </w:r>
          </w:p>
        </w:tc>
        <w:tc>
          <w:tcPr>
            <w:tcW w:w="3826" w:type="dxa"/>
          </w:tcPr>
          <w:p w:rsidR="00D744BE" w:rsidRPr="00F55576" w:rsidRDefault="008652F9" w:rsidP="00FD50E9">
            <w:pPr>
              <w:pStyle w:val="SCCAppellantInfoAppellantInfo"/>
              <w:rPr>
                <w:sz w:val="20"/>
                <w:szCs w:val="20"/>
              </w:rPr>
            </w:pPr>
            <w:r w:rsidRPr="00F55576">
              <w:rPr>
                <w:sz w:val="20"/>
                <w:szCs w:val="20"/>
              </w:rPr>
              <w:t>The Estate of Mike Tluchak, et al.</w:t>
            </w:r>
          </w:p>
        </w:tc>
      </w:tr>
      <w:tr w:rsidR="008652F9" w:rsidRPr="00F55576" w:rsidTr="00FD50E9">
        <w:trPr>
          <w:cantSplit/>
        </w:trPr>
        <w:tc>
          <w:tcPr>
            <w:tcW w:w="505" w:type="dxa"/>
          </w:tcPr>
          <w:p w:rsidR="008652F9" w:rsidRPr="00F55576" w:rsidRDefault="008652F9" w:rsidP="00FD50E9">
            <w:pPr>
              <w:rPr>
                <w:sz w:val="20"/>
                <w:szCs w:val="20"/>
              </w:rPr>
            </w:pPr>
            <w:r w:rsidRPr="00F55576">
              <w:rPr>
                <w:sz w:val="20"/>
                <w:szCs w:val="20"/>
              </w:rPr>
              <w:t>7.</w:t>
            </w:r>
          </w:p>
        </w:tc>
        <w:tc>
          <w:tcPr>
            <w:tcW w:w="806" w:type="dxa"/>
          </w:tcPr>
          <w:p w:rsidR="008652F9" w:rsidRPr="00F55576" w:rsidRDefault="008652F9" w:rsidP="00FD50E9">
            <w:pPr>
              <w:rPr>
                <w:sz w:val="20"/>
                <w:szCs w:val="20"/>
              </w:rPr>
            </w:pPr>
            <w:r w:rsidRPr="00F55576">
              <w:rPr>
                <w:sz w:val="20"/>
                <w:szCs w:val="20"/>
              </w:rPr>
              <w:t>38869</w:t>
            </w:r>
          </w:p>
        </w:tc>
        <w:tc>
          <w:tcPr>
            <w:tcW w:w="4027" w:type="dxa"/>
          </w:tcPr>
          <w:p w:rsidR="008652F9" w:rsidRPr="00F55576" w:rsidRDefault="008652F9" w:rsidP="008652F9">
            <w:pPr>
              <w:pStyle w:val="SCCAppellantInfoAppellantInfo"/>
              <w:rPr>
                <w:sz w:val="20"/>
                <w:szCs w:val="20"/>
                <w:lang w:val="en-US"/>
              </w:rPr>
            </w:pPr>
            <w:r w:rsidRPr="00F55576">
              <w:rPr>
                <w:sz w:val="20"/>
                <w:szCs w:val="20"/>
                <w:lang w:val="en-US"/>
              </w:rPr>
              <w:t>Gary Curtis</w:t>
            </w:r>
          </w:p>
          <w:p w:rsidR="008652F9" w:rsidRPr="00F55576" w:rsidRDefault="008652F9" w:rsidP="008652F9">
            <w:pPr>
              <w:pStyle w:val="SCCAppellantInfoAppellantInfo"/>
              <w:rPr>
                <w:sz w:val="20"/>
                <w:szCs w:val="20"/>
                <w:lang w:val="en-US"/>
              </w:rPr>
            </w:pPr>
            <w:r w:rsidRPr="00F55576">
              <w:rPr>
                <w:sz w:val="20"/>
                <w:szCs w:val="20"/>
                <w:lang w:val="en-US"/>
              </w:rPr>
              <w:t>(F.C.) (Civil) (By Leave)</w:t>
            </w:r>
          </w:p>
        </w:tc>
        <w:tc>
          <w:tcPr>
            <w:tcW w:w="359" w:type="dxa"/>
          </w:tcPr>
          <w:p w:rsidR="008652F9" w:rsidRPr="00F55576" w:rsidRDefault="008652F9" w:rsidP="00FD50E9">
            <w:pPr>
              <w:rPr>
                <w:sz w:val="20"/>
                <w:szCs w:val="20"/>
              </w:rPr>
            </w:pPr>
            <w:r w:rsidRPr="00F55576">
              <w:rPr>
                <w:sz w:val="20"/>
                <w:szCs w:val="20"/>
              </w:rPr>
              <w:t>v.</w:t>
            </w:r>
          </w:p>
        </w:tc>
        <w:tc>
          <w:tcPr>
            <w:tcW w:w="3826" w:type="dxa"/>
          </w:tcPr>
          <w:p w:rsidR="008652F9" w:rsidRPr="00F55576" w:rsidRDefault="008652F9" w:rsidP="00FD50E9">
            <w:pPr>
              <w:pStyle w:val="SCCAppellantInfoAppellantInfo"/>
              <w:rPr>
                <w:sz w:val="20"/>
                <w:szCs w:val="20"/>
              </w:rPr>
            </w:pPr>
            <w:r w:rsidRPr="00F55576">
              <w:rPr>
                <w:sz w:val="20"/>
                <w:szCs w:val="20"/>
              </w:rPr>
              <w:t>Bank of Nova Scotia</w:t>
            </w:r>
          </w:p>
        </w:tc>
      </w:tr>
      <w:tr w:rsidR="008652F9" w:rsidRPr="00F55576" w:rsidTr="00FD50E9">
        <w:trPr>
          <w:cantSplit/>
        </w:trPr>
        <w:tc>
          <w:tcPr>
            <w:tcW w:w="505" w:type="dxa"/>
          </w:tcPr>
          <w:p w:rsidR="008652F9" w:rsidRPr="00F55576" w:rsidRDefault="008652F9" w:rsidP="00FD50E9">
            <w:pPr>
              <w:rPr>
                <w:sz w:val="20"/>
                <w:szCs w:val="20"/>
              </w:rPr>
            </w:pPr>
            <w:r w:rsidRPr="00F55576">
              <w:rPr>
                <w:sz w:val="20"/>
                <w:szCs w:val="20"/>
              </w:rPr>
              <w:t>8.</w:t>
            </w:r>
          </w:p>
        </w:tc>
        <w:tc>
          <w:tcPr>
            <w:tcW w:w="806" w:type="dxa"/>
          </w:tcPr>
          <w:p w:rsidR="008652F9" w:rsidRPr="00F55576" w:rsidRDefault="008652F9" w:rsidP="00FD50E9">
            <w:pPr>
              <w:rPr>
                <w:sz w:val="20"/>
                <w:szCs w:val="20"/>
              </w:rPr>
            </w:pPr>
            <w:r w:rsidRPr="00F55576">
              <w:rPr>
                <w:sz w:val="20"/>
                <w:szCs w:val="20"/>
              </w:rPr>
              <w:t>38860</w:t>
            </w:r>
          </w:p>
        </w:tc>
        <w:tc>
          <w:tcPr>
            <w:tcW w:w="4027" w:type="dxa"/>
          </w:tcPr>
          <w:p w:rsidR="008652F9" w:rsidRPr="00F55576" w:rsidRDefault="008652F9" w:rsidP="008652F9">
            <w:pPr>
              <w:pStyle w:val="SCCAppellantInfoAppellantInfo"/>
              <w:rPr>
                <w:sz w:val="20"/>
                <w:szCs w:val="20"/>
                <w:lang w:val="fr-CA"/>
              </w:rPr>
            </w:pPr>
            <w:r w:rsidRPr="00F55576">
              <w:rPr>
                <w:sz w:val="20"/>
                <w:szCs w:val="20"/>
                <w:lang w:val="fr-CA"/>
              </w:rPr>
              <w:t>J.M.</w:t>
            </w:r>
          </w:p>
          <w:p w:rsidR="008652F9" w:rsidRPr="00F55576" w:rsidRDefault="008652F9" w:rsidP="008652F9">
            <w:pPr>
              <w:pStyle w:val="SCCAppellantInfoAppellantInfo"/>
              <w:rPr>
                <w:sz w:val="20"/>
                <w:szCs w:val="20"/>
                <w:lang w:val="fr-CA"/>
              </w:rPr>
            </w:pPr>
            <w:r w:rsidRPr="00F55576">
              <w:rPr>
                <w:sz w:val="20"/>
                <w:szCs w:val="20"/>
                <w:lang w:val="fr-CA"/>
              </w:rPr>
              <w:t>(Qc) (Civile) (Autorisation)</w:t>
            </w:r>
          </w:p>
        </w:tc>
        <w:tc>
          <w:tcPr>
            <w:tcW w:w="359" w:type="dxa"/>
          </w:tcPr>
          <w:p w:rsidR="008652F9" w:rsidRPr="00F55576" w:rsidRDefault="008652F9" w:rsidP="00FD50E9">
            <w:pPr>
              <w:rPr>
                <w:sz w:val="20"/>
                <w:szCs w:val="20"/>
              </w:rPr>
            </w:pPr>
            <w:r w:rsidRPr="00F55576">
              <w:rPr>
                <w:sz w:val="20"/>
                <w:szCs w:val="20"/>
              </w:rPr>
              <w:t>c.</w:t>
            </w:r>
          </w:p>
        </w:tc>
        <w:tc>
          <w:tcPr>
            <w:tcW w:w="3826" w:type="dxa"/>
          </w:tcPr>
          <w:p w:rsidR="008652F9" w:rsidRPr="00F55576" w:rsidRDefault="008652F9" w:rsidP="00FD50E9">
            <w:pPr>
              <w:pStyle w:val="SCCAppellantInfoAppellantInfo"/>
              <w:rPr>
                <w:sz w:val="20"/>
                <w:szCs w:val="20"/>
              </w:rPr>
            </w:pPr>
            <w:r w:rsidRPr="00F55576">
              <w:rPr>
                <w:sz w:val="20"/>
                <w:szCs w:val="20"/>
              </w:rPr>
              <w:t>C.L., et al.</w:t>
            </w:r>
          </w:p>
        </w:tc>
      </w:tr>
      <w:tr w:rsidR="00D744BE" w:rsidRPr="008042C9" w:rsidTr="00FD50E9">
        <w:trPr>
          <w:cantSplit/>
        </w:trPr>
        <w:tc>
          <w:tcPr>
            <w:tcW w:w="9523" w:type="dxa"/>
            <w:gridSpan w:val="5"/>
          </w:tcPr>
          <w:p w:rsidR="00D744BE" w:rsidRPr="00F55576" w:rsidRDefault="00D744BE" w:rsidP="00FD50E9">
            <w:pPr>
              <w:widowControl w:val="0"/>
              <w:jc w:val="center"/>
              <w:rPr>
                <w:b/>
                <w:sz w:val="20"/>
                <w:szCs w:val="20"/>
              </w:rPr>
            </w:pPr>
            <w:r w:rsidRPr="00F55576">
              <w:rPr>
                <w:b/>
                <w:sz w:val="20"/>
                <w:szCs w:val="20"/>
              </w:rPr>
              <w:t>CORAM: Moldaver, Côté and Martin JJ.</w:t>
            </w:r>
          </w:p>
          <w:p w:rsidR="00D744BE" w:rsidRPr="00F55576" w:rsidRDefault="00D744BE" w:rsidP="00FD50E9">
            <w:pPr>
              <w:widowControl w:val="0"/>
              <w:jc w:val="center"/>
              <w:rPr>
                <w:sz w:val="20"/>
                <w:szCs w:val="20"/>
                <w:lang w:val="fr-CA"/>
              </w:rPr>
            </w:pPr>
            <w:r w:rsidRPr="00F55576">
              <w:rPr>
                <w:b/>
                <w:sz w:val="20"/>
                <w:szCs w:val="20"/>
                <w:lang w:val="fr-CA"/>
              </w:rPr>
              <w:t>Les juges Moldaver, Côté et Martin</w:t>
            </w:r>
          </w:p>
        </w:tc>
      </w:tr>
      <w:tr w:rsidR="0036482E" w:rsidRPr="00F55576" w:rsidTr="00FD50E9">
        <w:trPr>
          <w:cantSplit/>
        </w:trPr>
        <w:tc>
          <w:tcPr>
            <w:tcW w:w="505" w:type="dxa"/>
          </w:tcPr>
          <w:p w:rsidR="0036482E" w:rsidRPr="00F55576" w:rsidRDefault="0036482E" w:rsidP="00FD50E9">
            <w:pPr>
              <w:rPr>
                <w:sz w:val="20"/>
                <w:szCs w:val="20"/>
                <w:lang w:val="fr-CA"/>
              </w:rPr>
            </w:pPr>
          </w:p>
        </w:tc>
        <w:tc>
          <w:tcPr>
            <w:tcW w:w="806" w:type="dxa"/>
          </w:tcPr>
          <w:p w:rsidR="0036482E" w:rsidRPr="00F55576" w:rsidRDefault="0036482E" w:rsidP="00FD50E9">
            <w:pPr>
              <w:rPr>
                <w:sz w:val="20"/>
                <w:szCs w:val="20"/>
                <w:lang w:val="fr-CA"/>
              </w:rPr>
            </w:pPr>
          </w:p>
        </w:tc>
        <w:tc>
          <w:tcPr>
            <w:tcW w:w="4027" w:type="dxa"/>
          </w:tcPr>
          <w:p w:rsidR="0036482E" w:rsidRPr="00F55576" w:rsidRDefault="0036482E" w:rsidP="00FD50E9">
            <w:pPr>
              <w:pStyle w:val="SCCAppellantInfoTypeOfCase"/>
              <w:rPr>
                <w:sz w:val="20"/>
                <w:szCs w:val="20"/>
              </w:rPr>
            </w:pPr>
            <w:r w:rsidRPr="00F55576">
              <w:rPr>
                <w:sz w:val="20"/>
                <w:szCs w:val="20"/>
              </w:rPr>
              <w:t>Criminal / Criminelle</w:t>
            </w:r>
          </w:p>
        </w:tc>
        <w:tc>
          <w:tcPr>
            <w:tcW w:w="359" w:type="dxa"/>
          </w:tcPr>
          <w:p w:rsidR="0036482E" w:rsidRPr="00F55576" w:rsidRDefault="0036482E" w:rsidP="00FD50E9">
            <w:pPr>
              <w:rPr>
                <w:sz w:val="20"/>
                <w:szCs w:val="20"/>
              </w:rPr>
            </w:pPr>
          </w:p>
        </w:tc>
        <w:tc>
          <w:tcPr>
            <w:tcW w:w="3826" w:type="dxa"/>
          </w:tcPr>
          <w:p w:rsidR="0036482E" w:rsidRPr="00F55576" w:rsidRDefault="0036482E" w:rsidP="00FD50E9">
            <w:pPr>
              <w:rPr>
                <w:sz w:val="20"/>
                <w:szCs w:val="20"/>
              </w:rPr>
            </w:pPr>
          </w:p>
        </w:tc>
      </w:tr>
      <w:tr w:rsidR="0036482E" w:rsidRPr="00F55576" w:rsidTr="00FD50E9">
        <w:trPr>
          <w:cantSplit/>
        </w:trPr>
        <w:tc>
          <w:tcPr>
            <w:tcW w:w="505" w:type="dxa"/>
          </w:tcPr>
          <w:p w:rsidR="0036482E" w:rsidRPr="00F55576" w:rsidRDefault="0036482E" w:rsidP="00FD50E9">
            <w:pPr>
              <w:rPr>
                <w:sz w:val="20"/>
                <w:szCs w:val="20"/>
                <w:lang w:val="fr-CA"/>
              </w:rPr>
            </w:pPr>
            <w:r w:rsidRPr="00F55576">
              <w:rPr>
                <w:sz w:val="20"/>
                <w:szCs w:val="20"/>
                <w:lang w:val="fr-CA"/>
              </w:rPr>
              <w:t>9.</w:t>
            </w:r>
          </w:p>
        </w:tc>
        <w:tc>
          <w:tcPr>
            <w:tcW w:w="806" w:type="dxa"/>
          </w:tcPr>
          <w:p w:rsidR="0036482E" w:rsidRPr="00F55576" w:rsidRDefault="0036482E" w:rsidP="00FD50E9">
            <w:pPr>
              <w:rPr>
                <w:sz w:val="20"/>
                <w:szCs w:val="20"/>
                <w:lang w:val="fr-CA"/>
              </w:rPr>
            </w:pPr>
            <w:r w:rsidRPr="00F55576">
              <w:rPr>
                <w:sz w:val="20"/>
                <w:szCs w:val="20"/>
                <w:lang w:val="fr-CA"/>
              </w:rPr>
              <w:t>38889</w:t>
            </w:r>
          </w:p>
        </w:tc>
        <w:tc>
          <w:tcPr>
            <w:tcW w:w="4027" w:type="dxa"/>
          </w:tcPr>
          <w:p w:rsidR="0036482E" w:rsidRPr="00F55576" w:rsidRDefault="0036482E" w:rsidP="0036482E">
            <w:pPr>
              <w:pStyle w:val="SCCAppellantInfoTypeOfCase"/>
              <w:rPr>
                <w:b w:val="0"/>
                <w:sz w:val="20"/>
                <w:szCs w:val="20"/>
              </w:rPr>
            </w:pPr>
            <w:r w:rsidRPr="00F55576">
              <w:rPr>
                <w:b w:val="0"/>
                <w:sz w:val="20"/>
                <w:szCs w:val="20"/>
              </w:rPr>
              <w:t>Ivgeny Vorobiov</w:t>
            </w:r>
          </w:p>
          <w:p w:rsidR="0036482E" w:rsidRPr="00F55576" w:rsidRDefault="0036482E" w:rsidP="0036482E">
            <w:pPr>
              <w:pStyle w:val="SCCAppellantInfoTypeOfCase"/>
              <w:rPr>
                <w:b w:val="0"/>
                <w:sz w:val="20"/>
                <w:szCs w:val="20"/>
              </w:rPr>
            </w:pPr>
            <w:r w:rsidRPr="00F55576">
              <w:rPr>
                <w:b w:val="0"/>
                <w:sz w:val="20"/>
                <w:szCs w:val="20"/>
              </w:rPr>
              <w:t>(Ont.) (Criminal) (By Leave)</w:t>
            </w:r>
          </w:p>
        </w:tc>
        <w:tc>
          <w:tcPr>
            <w:tcW w:w="359" w:type="dxa"/>
          </w:tcPr>
          <w:p w:rsidR="0036482E" w:rsidRPr="00F55576" w:rsidRDefault="0036482E" w:rsidP="00FD50E9">
            <w:pPr>
              <w:rPr>
                <w:sz w:val="20"/>
                <w:szCs w:val="20"/>
              </w:rPr>
            </w:pPr>
            <w:r w:rsidRPr="00F55576">
              <w:rPr>
                <w:sz w:val="20"/>
                <w:szCs w:val="20"/>
              </w:rPr>
              <w:t>v.</w:t>
            </w:r>
          </w:p>
        </w:tc>
        <w:tc>
          <w:tcPr>
            <w:tcW w:w="3826" w:type="dxa"/>
          </w:tcPr>
          <w:p w:rsidR="0036482E" w:rsidRPr="00F55576" w:rsidRDefault="0036482E" w:rsidP="00FD50E9">
            <w:pPr>
              <w:rPr>
                <w:sz w:val="20"/>
                <w:szCs w:val="20"/>
              </w:rPr>
            </w:pPr>
            <w:r w:rsidRPr="00F55576">
              <w:rPr>
                <w:sz w:val="20"/>
                <w:szCs w:val="20"/>
              </w:rPr>
              <w:t>Her Majesty the Queen</w:t>
            </w:r>
          </w:p>
        </w:tc>
      </w:tr>
      <w:tr w:rsidR="00D744BE" w:rsidRPr="00F55576" w:rsidTr="00FD50E9">
        <w:trPr>
          <w:cantSplit/>
        </w:trPr>
        <w:tc>
          <w:tcPr>
            <w:tcW w:w="505" w:type="dxa"/>
          </w:tcPr>
          <w:p w:rsidR="00D744BE" w:rsidRPr="00F55576" w:rsidRDefault="00D744BE" w:rsidP="00FD50E9">
            <w:pPr>
              <w:rPr>
                <w:sz w:val="20"/>
                <w:szCs w:val="20"/>
                <w:lang w:val="fr-CA"/>
              </w:rPr>
            </w:pPr>
          </w:p>
        </w:tc>
        <w:tc>
          <w:tcPr>
            <w:tcW w:w="806" w:type="dxa"/>
          </w:tcPr>
          <w:p w:rsidR="00D744BE" w:rsidRPr="00F55576" w:rsidRDefault="00D744BE" w:rsidP="00FD50E9">
            <w:pPr>
              <w:rPr>
                <w:sz w:val="20"/>
                <w:szCs w:val="20"/>
                <w:lang w:val="fr-CA"/>
              </w:rPr>
            </w:pPr>
          </w:p>
        </w:tc>
        <w:tc>
          <w:tcPr>
            <w:tcW w:w="4027" w:type="dxa"/>
          </w:tcPr>
          <w:p w:rsidR="00D744BE" w:rsidRPr="00F55576" w:rsidRDefault="00D744BE" w:rsidP="00FD50E9">
            <w:pPr>
              <w:pStyle w:val="SCCAppellantInfoTypeOfCase"/>
              <w:rPr>
                <w:sz w:val="20"/>
                <w:szCs w:val="20"/>
              </w:rPr>
            </w:pPr>
            <w:r w:rsidRPr="00F55576">
              <w:rPr>
                <w:sz w:val="20"/>
                <w:szCs w:val="20"/>
              </w:rPr>
              <w:t>Civil / Civile</w:t>
            </w:r>
          </w:p>
        </w:tc>
        <w:tc>
          <w:tcPr>
            <w:tcW w:w="359" w:type="dxa"/>
          </w:tcPr>
          <w:p w:rsidR="00D744BE" w:rsidRPr="00F55576" w:rsidRDefault="00D744BE" w:rsidP="00FD50E9">
            <w:pPr>
              <w:rPr>
                <w:sz w:val="20"/>
                <w:szCs w:val="20"/>
              </w:rPr>
            </w:pPr>
          </w:p>
        </w:tc>
        <w:tc>
          <w:tcPr>
            <w:tcW w:w="3826" w:type="dxa"/>
          </w:tcPr>
          <w:p w:rsidR="00D744BE" w:rsidRPr="00F55576" w:rsidRDefault="00D744BE" w:rsidP="00FD50E9">
            <w:pPr>
              <w:rPr>
                <w:sz w:val="20"/>
                <w:szCs w:val="20"/>
              </w:rPr>
            </w:pPr>
          </w:p>
        </w:tc>
      </w:tr>
      <w:tr w:rsidR="00D744BE" w:rsidRPr="00F55576" w:rsidTr="00FD50E9">
        <w:trPr>
          <w:cantSplit/>
        </w:trPr>
        <w:tc>
          <w:tcPr>
            <w:tcW w:w="505" w:type="dxa"/>
          </w:tcPr>
          <w:p w:rsidR="00D744BE" w:rsidRPr="00F55576" w:rsidRDefault="0036482E" w:rsidP="0036482E">
            <w:pPr>
              <w:rPr>
                <w:sz w:val="20"/>
                <w:szCs w:val="20"/>
              </w:rPr>
            </w:pPr>
            <w:r w:rsidRPr="00F55576">
              <w:rPr>
                <w:sz w:val="20"/>
                <w:szCs w:val="20"/>
              </w:rPr>
              <w:t>10</w:t>
            </w:r>
            <w:r w:rsidR="00D744BE" w:rsidRPr="00F55576">
              <w:rPr>
                <w:sz w:val="20"/>
                <w:szCs w:val="20"/>
              </w:rPr>
              <w:t>.</w:t>
            </w:r>
          </w:p>
        </w:tc>
        <w:tc>
          <w:tcPr>
            <w:tcW w:w="806" w:type="dxa"/>
          </w:tcPr>
          <w:p w:rsidR="00D744BE" w:rsidRPr="00F55576" w:rsidRDefault="00D744BE" w:rsidP="008B12EF">
            <w:pPr>
              <w:rPr>
                <w:sz w:val="20"/>
                <w:szCs w:val="20"/>
              </w:rPr>
            </w:pPr>
            <w:r w:rsidRPr="00F55576">
              <w:rPr>
                <w:sz w:val="20"/>
                <w:szCs w:val="20"/>
              </w:rPr>
              <w:t>38</w:t>
            </w:r>
            <w:r w:rsidR="008B12EF" w:rsidRPr="00F55576">
              <w:rPr>
                <w:sz w:val="20"/>
                <w:szCs w:val="20"/>
              </w:rPr>
              <w:t>853</w:t>
            </w:r>
          </w:p>
        </w:tc>
        <w:tc>
          <w:tcPr>
            <w:tcW w:w="4027" w:type="dxa"/>
          </w:tcPr>
          <w:p w:rsidR="0036482E" w:rsidRPr="00F55576" w:rsidRDefault="0036482E" w:rsidP="0036482E">
            <w:pPr>
              <w:pStyle w:val="SCCAppellantInfoAppellantInfo"/>
              <w:rPr>
                <w:sz w:val="20"/>
                <w:szCs w:val="20"/>
                <w:lang w:val="en-US"/>
              </w:rPr>
            </w:pPr>
            <w:r w:rsidRPr="00F55576">
              <w:rPr>
                <w:sz w:val="20"/>
                <w:szCs w:val="20"/>
                <w:lang w:val="en-US"/>
              </w:rPr>
              <w:t>Marilyn Nelson</w:t>
            </w:r>
          </w:p>
          <w:p w:rsidR="00D744BE" w:rsidRPr="00F55576" w:rsidRDefault="0036482E" w:rsidP="0036482E">
            <w:pPr>
              <w:pStyle w:val="SCCAppellantInfoAppellantInfo"/>
              <w:rPr>
                <w:sz w:val="20"/>
                <w:szCs w:val="20"/>
                <w:lang w:val="en-US"/>
              </w:rPr>
            </w:pPr>
            <w:r w:rsidRPr="00F55576">
              <w:rPr>
                <w:sz w:val="20"/>
                <w:szCs w:val="20"/>
                <w:lang w:val="en-US"/>
              </w:rPr>
              <w:t>(F.C.) (Civil) (By Leave)</w:t>
            </w:r>
          </w:p>
        </w:tc>
        <w:tc>
          <w:tcPr>
            <w:tcW w:w="359" w:type="dxa"/>
          </w:tcPr>
          <w:p w:rsidR="00D744BE" w:rsidRPr="00F55576" w:rsidRDefault="0036482E" w:rsidP="0036482E">
            <w:pPr>
              <w:rPr>
                <w:sz w:val="20"/>
                <w:szCs w:val="20"/>
                <w:lang w:val="fr-CA"/>
              </w:rPr>
            </w:pPr>
            <w:r w:rsidRPr="00F55576">
              <w:rPr>
                <w:sz w:val="20"/>
                <w:szCs w:val="20"/>
                <w:lang w:val="fr-CA"/>
              </w:rPr>
              <w:t>v</w:t>
            </w:r>
            <w:r w:rsidR="00D744BE" w:rsidRPr="00F55576">
              <w:rPr>
                <w:sz w:val="20"/>
                <w:szCs w:val="20"/>
                <w:lang w:val="fr-CA"/>
              </w:rPr>
              <w:t>.</w:t>
            </w:r>
          </w:p>
        </w:tc>
        <w:tc>
          <w:tcPr>
            <w:tcW w:w="3826" w:type="dxa"/>
          </w:tcPr>
          <w:p w:rsidR="00D744BE" w:rsidRPr="00F55576" w:rsidRDefault="0036482E" w:rsidP="00FD50E9">
            <w:pPr>
              <w:pStyle w:val="SCCAppellantInfoAppellantInfo"/>
              <w:rPr>
                <w:sz w:val="20"/>
                <w:szCs w:val="20"/>
                <w:lang w:val="fr-CA"/>
              </w:rPr>
            </w:pPr>
            <w:r w:rsidRPr="00F55576">
              <w:rPr>
                <w:sz w:val="20"/>
                <w:szCs w:val="20"/>
                <w:lang w:val="fr-CA"/>
              </w:rPr>
              <w:t>Attorney General of Canada</w:t>
            </w:r>
          </w:p>
        </w:tc>
      </w:tr>
      <w:tr w:rsidR="0036482E" w:rsidRPr="00F55576" w:rsidTr="00FD50E9">
        <w:trPr>
          <w:cantSplit/>
        </w:trPr>
        <w:tc>
          <w:tcPr>
            <w:tcW w:w="505" w:type="dxa"/>
          </w:tcPr>
          <w:p w:rsidR="0036482E" w:rsidRPr="00F55576" w:rsidRDefault="0036482E" w:rsidP="00FD50E9">
            <w:pPr>
              <w:rPr>
                <w:sz w:val="20"/>
                <w:szCs w:val="20"/>
                <w:lang w:val="fr-CA"/>
              </w:rPr>
            </w:pPr>
            <w:r w:rsidRPr="00F55576">
              <w:rPr>
                <w:sz w:val="20"/>
                <w:szCs w:val="20"/>
                <w:lang w:val="fr-CA"/>
              </w:rPr>
              <w:t>11.</w:t>
            </w:r>
          </w:p>
        </w:tc>
        <w:tc>
          <w:tcPr>
            <w:tcW w:w="806" w:type="dxa"/>
          </w:tcPr>
          <w:p w:rsidR="0036482E" w:rsidRPr="00F55576" w:rsidRDefault="0036482E" w:rsidP="00FD50E9">
            <w:pPr>
              <w:rPr>
                <w:sz w:val="20"/>
                <w:szCs w:val="20"/>
                <w:lang w:val="fr-CA"/>
              </w:rPr>
            </w:pPr>
            <w:r w:rsidRPr="00F55576">
              <w:rPr>
                <w:sz w:val="20"/>
                <w:szCs w:val="20"/>
                <w:lang w:val="fr-CA"/>
              </w:rPr>
              <w:t>38855</w:t>
            </w:r>
          </w:p>
        </w:tc>
        <w:tc>
          <w:tcPr>
            <w:tcW w:w="4027" w:type="dxa"/>
          </w:tcPr>
          <w:p w:rsidR="008F2EA4" w:rsidRPr="00F55576" w:rsidRDefault="008F2EA4" w:rsidP="008F2EA4">
            <w:pPr>
              <w:pStyle w:val="SCCAppellantInfoAppellantInfo"/>
              <w:rPr>
                <w:sz w:val="20"/>
                <w:szCs w:val="20"/>
                <w:lang w:val="en-US"/>
              </w:rPr>
            </w:pPr>
            <w:r w:rsidRPr="00F55576">
              <w:rPr>
                <w:sz w:val="20"/>
                <w:szCs w:val="20"/>
                <w:lang w:val="en-US"/>
              </w:rPr>
              <w:t>Roger O’Neill</w:t>
            </w:r>
          </w:p>
          <w:p w:rsidR="0036482E" w:rsidRPr="00F55576" w:rsidRDefault="008F2EA4" w:rsidP="008F2EA4">
            <w:pPr>
              <w:pStyle w:val="SCCAppellantInfoAppellantInfo"/>
              <w:rPr>
                <w:sz w:val="20"/>
                <w:szCs w:val="20"/>
                <w:lang w:val="en-US"/>
              </w:rPr>
            </w:pPr>
            <w:r w:rsidRPr="00F55576">
              <w:rPr>
                <w:sz w:val="20"/>
                <w:szCs w:val="20"/>
                <w:lang w:val="en-US"/>
              </w:rPr>
              <w:t>(P.E.I.) (Civil) (By Leave)</w:t>
            </w:r>
          </w:p>
        </w:tc>
        <w:tc>
          <w:tcPr>
            <w:tcW w:w="359" w:type="dxa"/>
          </w:tcPr>
          <w:p w:rsidR="0036482E" w:rsidRPr="00F55576" w:rsidRDefault="008F2EA4" w:rsidP="00FD50E9">
            <w:pPr>
              <w:rPr>
                <w:sz w:val="20"/>
                <w:szCs w:val="20"/>
                <w:lang w:val="en-US"/>
              </w:rPr>
            </w:pPr>
            <w:r w:rsidRPr="00F55576">
              <w:rPr>
                <w:sz w:val="20"/>
                <w:szCs w:val="20"/>
                <w:lang w:val="en-US"/>
              </w:rPr>
              <w:t>v.</w:t>
            </w:r>
          </w:p>
        </w:tc>
        <w:tc>
          <w:tcPr>
            <w:tcW w:w="3826" w:type="dxa"/>
          </w:tcPr>
          <w:p w:rsidR="0036482E" w:rsidRPr="00F55576" w:rsidRDefault="008F2EA4" w:rsidP="00FD50E9">
            <w:pPr>
              <w:pStyle w:val="SCCAppellantInfoAppellantInfo"/>
              <w:rPr>
                <w:sz w:val="20"/>
                <w:szCs w:val="20"/>
                <w:lang w:val="en-US"/>
              </w:rPr>
            </w:pPr>
            <w:r w:rsidRPr="00F55576">
              <w:rPr>
                <w:sz w:val="20"/>
                <w:szCs w:val="20"/>
                <w:lang w:val="en-US"/>
              </w:rPr>
              <w:t>Kings County Construction Ltd., et al.</w:t>
            </w:r>
          </w:p>
        </w:tc>
      </w:tr>
      <w:tr w:rsidR="0036482E" w:rsidRPr="00F55576" w:rsidTr="00FD50E9">
        <w:trPr>
          <w:cantSplit/>
        </w:trPr>
        <w:tc>
          <w:tcPr>
            <w:tcW w:w="505" w:type="dxa"/>
          </w:tcPr>
          <w:p w:rsidR="0036482E" w:rsidRPr="00F55576" w:rsidRDefault="0036482E" w:rsidP="00FD50E9">
            <w:pPr>
              <w:rPr>
                <w:sz w:val="20"/>
                <w:szCs w:val="20"/>
                <w:lang w:val="fr-CA"/>
              </w:rPr>
            </w:pPr>
            <w:r w:rsidRPr="00F55576">
              <w:rPr>
                <w:sz w:val="20"/>
                <w:szCs w:val="20"/>
                <w:lang w:val="fr-CA"/>
              </w:rPr>
              <w:t>12.</w:t>
            </w:r>
          </w:p>
        </w:tc>
        <w:tc>
          <w:tcPr>
            <w:tcW w:w="806" w:type="dxa"/>
          </w:tcPr>
          <w:p w:rsidR="0036482E" w:rsidRPr="00F55576" w:rsidRDefault="0036482E" w:rsidP="00FD50E9">
            <w:pPr>
              <w:rPr>
                <w:sz w:val="20"/>
                <w:szCs w:val="20"/>
                <w:lang w:val="fr-CA"/>
              </w:rPr>
            </w:pPr>
            <w:r w:rsidRPr="00F55576">
              <w:rPr>
                <w:sz w:val="20"/>
                <w:szCs w:val="20"/>
                <w:lang w:val="fr-CA"/>
              </w:rPr>
              <w:t>38840</w:t>
            </w:r>
          </w:p>
        </w:tc>
        <w:tc>
          <w:tcPr>
            <w:tcW w:w="4027" w:type="dxa"/>
          </w:tcPr>
          <w:p w:rsidR="008F2EA4" w:rsidRPr="00F55576" w:rsidRDefault="008F2EA4" w:rsidP="008F2EA4">
            <w:pPr>
              <w:pStyle w:val="SCCAppellantInfoAppellantInfo"/>
              <w:rPr>
                <w:sz w:val="20"/>
                <w:szCs w:val="20"/>
                <w:lang w:val="en-US"/>
              </w:rPr>
            </w:pPr>
            <w:r w:rsidRPr="00F55576">
              <w:rPr>
                <w:sz w:val="20"/>
                <w:szCs w:val="20"/>
                <w:lang w:val="en-US"/>
              </w:rPr>
              <w:t>Diana Lynn Monk</w:t>
            </w:r>
          </w:p>
          <w:p w:rsidR="0036482E" w:rsidRPr="00F55576" w:rsidRDefault="008F2EA4" w:rsidP="008F2EA4">
            <w:pPr>
              <w:pStyle w:val="SCCAppellantInfoAppellantInfo"/>
              <w:rPr>
                <w:sz w:val="20"/>
                <w:szCs w:val="20"/>
                <w:lang w:val="en-US"/>
              </w:rPr>
            </w:pPr>
            <w:r w:rsidRPr="00F55576">
              <w:rPr>
                <w:sz w:val="20"/>
                <w:szCs w:val="20"/>
                <w:lang w:val="en-US"/>
              </w:rPr>
              <w:t>(Ont.) (Civil) (By Leave)</w:t>
            </w:r>
          </w:p>
        </w:tc>
        <w:tc>
          <w:tcPr>
            <w:tcW w:w="359" w:type="dxa"/>
          </w:tcPr>
          <w:p w:rsidR="0036482E" w:rsidRPr="00F55576" w:rsidRDefault="008F2EA4" w:rsidP="00FD50E9">
            <w:pPr>
              <w:rPr>
                <w:sz w:val="20"/>
                <w:szCs w:val="20"/>
                <w:lang w:val="fr-CA"/>
              </w:rPr>
            </w:pPr>
            <w:r w:rsidRPr="00F55576">
              <w:rPr>
                <w:sz w:val="20"/>
                <w:szCs w:val="20"/>
                <w:lang w:val="fr-CA"/>
              </w:rPr>
              <w:t>v.</w:t>
            </w:r>
          </w:p>
        </w:tc>
        <w:tc>
          <w:tcPr>
            <w:tcW w:w="3826" w:type="dxa"/>
          </w:tcPr>
          <w:p w:rsidR="0036482E" w:rsidRPr="00F55576" w:rsidRDefault="008F2EA4" w:rsidP="00FD50E9">
            <w:pPr>
              <w:pStyle w:val="SCCAppellantInfoAppellantInfo"/>
              <w:rPr>
                <w:sz w:val="20"/>
                <w:szCs w:val="20"/>
                <w:lang w:val="en-US"/>
              </w:rPr>
            </w:pPr>
            <w:r w:rsidRPr="00F55576">
              <w:rPr>
                <w:sz w:val="20"/>
                <w:szCs w:val="20"/>
                <w:lang w:val="en-US"/>
              </w:rPr>
              <w:t>Farmers’ Mutual Insurance Company (Lindsay), et al.</w:t>
            </w:r>
          </w:p>
        </w:tc>
      </w:tr>
    </w:tbl>
    <w:p w:rsidR="00D744BE" w:rsidRPr="00F55576" w:rsidRDefault="00D744BE" w:rsidP="00D744BE">
      <w:pPr>
        <w:widowControl w:val="0"/>
        <w:rPr>
          <w:sz w:val="20"/>
          <w:szCs w:val="20"/>
          <w:lang w:val="en-US"/>
        </w:rPr>
      </w:pPr>
    </w:p>
    <w:p w:rsidR="00D744BE" w:rsidRPr="00F55576" w:rsidRDefault="007B1953" w:rsidP="00D744BE">
      <w:pPr>
        <w:widowControl w:val="0"/>
        <w:rPr>
          <w:sz w:val="20"/>
          <w:szCs w:val="20"/>
        </w:rPr>
      </w:pPr>
      <w:r>
        <w:rPr>
          <w:sz w:val="20"/>
          <w:szCs w:val="20"/>
        </w:rPr>
        <w:pict>
          <v:rect id="_x0000_i1031" style="width:2in;height:1pt" o:hrpct="0" o:hralign="center" o:hrstd="t" o:hrnoshade="t" o:hr="t" fillcolor="black [3213]" stroked="f"/>
        </w:pict>
      </w:r>
    </w:p>
    <w:p w:rsidR="005967EF" w:rsidRPr="00F55576" w:rsidRDefault="005967EF" w:rsidP="002E2327">
      <w:pPr>
        <w:widowControl w:val="0"/>
        <w:rPr>
          <w:sz w:val="20"/>
          <w:szCs w:val="20"/>
        </w:rPr>
      </w:pPr>
    </w:p>
    <w:p w:rsidR="0044776A" w:rsidRPr="00F55576" w:rsidRDefault="0044776A" w:rsidP="002E2327">
      <w:pPr>
        <w:widowControl w:val="0"/>
        <w:spacing w:line="0" w:lineRule="atLeast"/>
        <w:rPr>
          <w:sz w:val="20"/>
          <w:szCs w:val="20"/>
        </w:rPr>
        <w:sectPr w:rsidR="0044776A" w:rsidRPr="00F55576"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F55576" w:rsidRDefault="00DD0BDC" w:rsidP="00567602">
      <w:pPr>
        <w:pStyle w:val="Header1StyleE"/>
        <w:pBdr>
          <w:bottom w:val="single" w:sz="12" w:space="1" w:color="auto"/>
        </w:pBdr>
        <w:rPr>
          <w:lang w:val="fr-CA"/>
        </w:rPr>
      </w:pPr>
      <w:bookmarkStart w:id="2" w:name="QuickMark_1"/>
      <w:bookmarkStart w:id="3" w:name="_Toc29890993"/>
      <w:bookmarkEnd w:id="2"/>
      <w:r w:rsidRPr="00F55576">
        <w:rPr>
          <w:lang w:val="fr-CA"/>
        </w:rPr>
        <w:lastRenderedPageBreak/>
        <w:t>Judgments on applications</w:t>
      </w:r>
      <w:r w:rsidR="000C1D9D" w:rsidRPr="00F55576">
        <w:rPr>
          <w:lang w:val="fr-CA"/>
        </w:rPr>
        <w:t xml:space="preserve"> </w:t>
      </w:r>
      <w:r w:rsidRPr="00F55576">
        <w:rPr>
          <w:lang w:val="fr-CA"/>
        </w:rPr>
        <w:t>for leave</w:t>
      </w:r>
      <w:r w:rsidR="00693C38" w:rsidRPr="00F55576">
        <w:rPr>
          <w:noProof/>
          <w:sz w:val="20"/>
          <w:lang w:val="fr-CA"/>
        </w:rPr>
        <w:t xml:space="preserve"> </w:t>
      </w:r>
      <w:r w:rsidR="00271E1E" w:rsidRPr="00F55576">
        <w:rPr>
          <w:noProof/>
          <w:sz w:val="20"/>
          <w:lang w:val="fr-CA"/>
        </w:rPr>
        <w:t xml:space="preserve">/ </w:t>
      </w:r>
      <w:r w:rsidR="00693C38" w:rsidRPr="00F55576">
        <w:rPr>
          <w:noProof/>
          <w:sz w:val="20"/>
          <w:lang w:val="fr-CA"/>
        </w:rPr>
        <w:br/>
      </w:r>
      <w:r w:rsidRPr="00F55576">
        <w:rPr>
          <w:lang w:val="fr-CA"/>
        </w:rPr>
        <w:t>Jugements rendus sur les demandes d’autorisation</w:t>
      </w:r>
      <w:bookmarkEnd w:id="3"/>
    </w:p>
    <w:p w:rsidR="00FB1DB6" w:rsidRPr="00F55576" w:rsidRDefault="00FB1DB6" w:rsidP="00693C38">
      <w:pPr>
        <w:rPr>
          <w:sz w:val="20"/>
          <w:szCs w:val="20"/>
          <w:lang w:val="fr-CA"/>
        </w:rPr>
      </w:pPr>
    </w:p>
    <w:p w:rsidR="00F16063" w:rsidRPr="00F55576" w:rsidRDefault="00F16063" w:rsidP="00F16063">
      <w:pPr>
        <w:rPr>
          <w:b/>
          <w:sz w:val="20"/>
          <w:szCs w:val="20"/>
        </w:rPr>
      </w:pPr>
      <w:r w:rsidRPr="00F55576">
        <w:rPr>
          <w:b/>
          <w:sz w:val="20"/>
          <w:szCs w:val="20"/>
        </w:rPr>
        <w:t xml:space="preserve">JANUARY </w:t>
      </w:r>
      <w:r w:rsidR="0053735D" w:rsidRPr="00F55576">
        <w:rPr>
          <w:b/>
          <w:sz w:val="20"/>
          <w:szCs w:val="20"/>
        </w:rPr>
        <w:t>16</w:t>
      </w:r>
      <w:r w:rsidRPr="00F55576">
        <w:rPr>
          <w:b/>
          <w:sz w:val="20"/>
          <w:szCs w:val="20"/>
        </w:rPr>
        <w:t xml:space="preserve">, </w:t>
      </w:r>
      <w:r w:rsidR="0034657E" w:rsidRPr="00F55576">
        <w:rPr>
          <w:b/>
          <w:sz w:val="20"/>
          <w:szCs w:val="20"/>
        </w:rPr>
        <w:t>20</w:t>
      </w:r>
      <w:r w:rsidR="005967EF" w:rsidRPr="00F55576">
        <w:rPr>
          <w:b/>
          <w:sz w:val="20"/>
          <w:szCs w:val="20"/>
        </w:rPr>
        <w:t>20</w:t>
      </w:r>
      <w:r w:rsidRPr="00F55576">
        <w:rPr>
          <w:b/>
          <w:sz w:val="20"/>
          <w:szCs w:val="20"/>
        </w:rPr>
        <w:t xml:space="preserve"> / LE </w:t>
      </w:r>
      <w:r w:rsidR="0053735D" w:rsidRPr="00F55576">
        <w:rPr>
          <w:b/>
          <w:sz w:val="20"/>
          <w:szCs w:val="20"/>
        </w:rPr>
        <w:t>16</w:t>
      </w:r>
      <w:r w:rsidRPr="00F55576">
        <w:rPr>
          <w:b/>
          <w:sz w:val="20"/>
          <w:szCs w:val="20"/>
        </w:rPr>
        <w:t xml:space="preserve"> JANVIER </w:t>
      </w:r>
      <w:r w:rsidR="0034657E" w:rsidRPr="00F55576">
        <w:rPr>
          <w:b/>
          <w:sz w:val="20"/>
          <w:szCs w:val="20"/>
        </w:rPr>
        <w:t>20</w:t>
      </w:r>
      <w:r w:rsidR="005967EF" w:rsidRPr="00F55576">
        <w:rPr>
          <w:b/>
          <w:sz w:val="20"/>
          <w:szCs w:val="20"/>
        </w:rPr>
        <w:t>20</w:t>
      </w:r>
    </w:p>
    <w:p w:rsidR="00F16063" w:rsidRPr="00F55576"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t>38672</w:t>
            </w:r>
          </w:p>
        </w:tc>
        <w:tc>
          <w:tcPr>
            <w:tcW w:w="4457" w:type="pct"/>
            <w:gridSpan w:val="3"/>
          </w:tcPr>
          <w:p w:rsidR="00AB75C1" w:rsidRPr="00F55576" w:rsidRDefault="00AB75C1" w:rsidP="00BA4C4D">
            <w:pPr>
              <w:pStyle w:val="SCCLsocParty"/>
              <w:jc w:val="both"/>
              <w:rPr>
                <w:b/>
                <w:sz w:val="20"/>
                <w:szCs w:val="20"/>
                <w:lang w:val="en-US"/>
              </w:rPr>
            </w:pPr>
            <w:r w:rsidRPr="00F55576">
              <w:rPr>
                <w:b/>
                <w:sz w:val="20"/>
                <w:szCs w:val="20"/>
                <w:lang w:val="en-US"/>
              </w:rPr>
              <w:t>Her Majesty the Queen v. Michael Philip Simard</w:t>
            </w:r>
          </w:p>
          <w:p w:rsidR="00AB75C1" w:rsidRPr="00F55576" w:rsidRDefault="00AB75C1" w:rsidP="00BA4C4D">
            <w:pPr>
              <w:jc w:val="both"/>
              <w:rPr>
                <w:sz w:val="20"/>
              </w:rPr>
            </w:pPr>
            <w:r w:rsidRPr="00F55576">
              <w:rPr>
                <w:sz w:val="20"/>
              </w:rPr>
              <w:t>(B.C.) (Criminal) (By Leave)</w:t>
            </w:r>
          </w:p>
        </w:tc>
      </w:tr>
      <w:tr w:rsidR="00834E76" w:rsidRPr="00F55576" w:rsidTr="00BA4C4D">
        <w:tc>
          <w:tcPr>
            <w:tcW w:w="5000" w:type="pct"/>
            <w:gridSpan w:val="4"/>
          </w:tcPr>
          <w:p w:rsidR="00834E76" w:rsidRPr="00F55576" w:rsidRDefault="00D913B1" w:rsidP="00BA4C4D">
            <w:pPr>
              <w:jc w:val="both"/>
              <w:rPr>
                <w:sz w:val="20"/>
                <w:szCs w:val="20"/>
              </w:rPr>
            </w:pPr>
            <w:r w:rsidRPr="00F55576">
              <w:rPr>
                <w:sz w:val="20"/>
                <w:szCs w:val="20"/>
              </w:rPr>
              <w:t>The motion for an extension of time to serve and file the application for leave to appeal is granted. The application for leave to appeal from the judgment of the Supreme Court of British Columbia, Number 40400-2, 2019 BCSC 531, dated April 10, 2019, is dismissed.</w:t>
            </w:r>
          </w:p>
          <w:p w:rsidR="00834E76" w:rsidRPr="00F55576" w:rsidRDefault="00834E76" w:rsidP="00BA4C4D">
            <w:pPr>
              <w:jc w:val="both"/>
              <w:rPr>
                <w:sz w:val="20"/>
              </w:rPr>
            </w:pPr>
          </w:p>
        </w:tc>
      </w:tr>
      <w:tr w:rsidR="00AB75C1" w:rsidRPr="00F55576" w:rsidTr="00BA4C4D">
        <w:tc>
          <w:tcPr>
            <w:tcW w:w="5000" w:type="pct"/>
            <w:gridSpan w:val="4"/>
          </w:tcPr>
          <w:p w:rsidR="00AB75C1" w:rsidRPr="00F55576" w:rsidRDefault="00AB75C1" w:rsidP="00BA4C4D">
            <w:pPr>
              <w:jc w:val="both"/>
              <w:rPr>
                <w:sz w:val="20"/>
              </w:rPr>
            </w:pPr>
            <w:r w:rsidRPr="00F55576">
              <w:rPr>
                <w:i/>
                <w:sz w:val="20"/>
              </w:rPr>
              <w:t xml:space="preserve">Charter of Rights and Freedoms </w:t>
            </w:r>
            <w:r w:rsidRPr="00F55576">
              <w:rPr>
                <w:sz w:val="20"/>
              </w:rPr>
              <w:t xml:space="preserve">— Right to liberty — Criminal law — Provocation — Definition of provocation — Whether amendments to </w:t>
            </w:r>
            <w:r w:rsidRPr="00F55576">
              <w:rPr>
                <w:i/>
                <w:sz w:val="20"/>
              </w:rPr>
              <w:t xml:space="preserve">Criminal Code </w:t>
            </w:r>
            <w:r w:rsidRPr="00F55576">
              <w:rPr>
                <w:sz w:val="20"/>
              </w:rPr>
              <w:t xml:space="preserve">limiting provocation provision to conduct by the victim that would constitute an indictable offence punishable by five or more years of imprisonment is contrary to s. 7 of the </w:t>
            </w:r>
            <w:r w:rsidRPr="00F55576">
              <w:rPr>
                <w:i/>
                <w:sz w:val="20"/>
              </w:rPr>
              <w:t>Charter</w:t>
            </w:r>
            <w:r w:rsidRPr="00F55576">
              <w:rPr>
                <w:sz w:val="20"/>
              </w:rPr>
              <w:t xml:space="preserve"> — Whether limit is overbroad, arbitrary and grossly disproportionate — Whether limit violates principle of fundamental justice that an act must be voluntary to attract criminal liability — </w:t>
            </w:r>
            <w:r w:rsidRPr="00F55576">
              <w:rPr>
                <w:i/>
                <w:sz w:val="20"/>
              </w:rPr>
              <w:t>Criminal Code</w:t>
            </w:r>
            <w:r w:rsidRPr="00F55576">
              <w:rPr>
                <w:sz w:val="20"/>
              </w:rPr>
              <w:t>, s. 232(2)</w:t>
            </w:r>
          </w:p>
        </w:tc>
      </w:tr>
      <w:tr w:rsidR="00AB75C1" w:rsidRPr="00F55576" w:rsidTr="00BA4C4D">
        <w:tc>
          <w:tcPr>
            <w:tcW w:w="5000" w:type="pct"/>
            <w:gridSpan w:val="4"/>
          </w:tcPr>
          <w:p w:rsidR="00AB75C1" w:rsidRPr="00F55576" w:rsidRDefault="00AB75C1" w:rsidP="00BA4C4D">
            <w:pPr>
              <w:jc w:val="both"/>
              <w:rPr>
                <w:sz w:val="20"/>
              </w:rPr>
            </w:pPr>
          </w:p>
        </w:tc>
      </w:tr>
      <w:tr w:rsidR="00AB75C1" w:rsidRPr="00F55576" w:rsidTr="00BA4C4D">
        <w:tc>
          <w:tcPr>
            <w:tcW w:w="5000" w:type="pct"/>
            <w:gridSpan w:val="4"/>
          </w:tcPr>
          <w:p w:rsidR="00AB75C1" w:rsidRPr="00F55576" w:rsidRDefault="00AB75C1" w:rsidP="00AB75C1">
            <w:pPr>
              <w:pStyle w:val="subsection"/>
              <w:numPr>
                <w:ilvl w:val="0"/>
                <w:numId w:val="33"/>
              </w:numPr>
              <w:spacing w:before="0" w:after="0"/>
              <w:ind w:left="0"/>
              <w:jc w:val="both"/>
              <w:rPr>
                <w:sz w:val="20"/>
                <w:szCs w:val="20"/>
              </w:rPr>
            </w:pPr>
            <w:r w:rsidRPr="00F55576">
              <w:rPr>
                <w:sz w:val="20"/>
                <w:szCs w:val="20"/>
              </w:rPr>
              <w:t xml:space="preserve">Mr. Simard fatally shot his girlfriend and her former boyfriend after she cancelled weekend plans with him so that she could spend the weekend with her former boyfriend. At his trial on two counts of second degree murder, Mr. Simard claimed provocation. Section 232 of the </w:t>
            </w:r>
            <w:r w:rsidRPr="00F55576">
              <w:rPr>
                <w:i/>
                <w:sz w:val="20"/>
                <w:szCs w:val="20"/>
              </w:rPr>
              <w:t xml:space="preserve">Criminal Code </w:t>
            </w:r>
            <w:r w:rsidRPr="00F55576">
              <w:rPr>
                <w:sz w:val="20"/>
                <w:szCs w:val="20"/>
              </w:rPr>
              <w:t>sets out that c</w:t>
            </w:r>
            <w:proofErr w:type="spellStart"/>
            <w:r w:rsidRPr="00F55576">
              <w:rPr>
                <w:sz w:val="20"/>
                <w:szCs w:val="20"/>
                <w:lang w:val="en"/>
              </w:rPr>
              <w:t>ulpable</w:t>
            </w:r>
            <w:proofErr w:type="spellEnd"/>
            <w:r w:rsidRPr="00F55576">
              <w:rPr>
                <w:sz w:val="20"/>
                <w:szCs w:val="20"/>
                <w:lang w:val="en"/>
              </w:rPr>
              <w:t xml:space="preserve"> homicide that otherwise would be murder may be reduced to manslaughter if the person who committed it did so in the heat of passion caused by sudden provocation.</w:t>
            </w:r>
            <w:r w:rsidRPr="00F55576">
              <w:rPr>
                <w:rFonts w:eastAsiaTheme="minorHAnsi" w:cstheme="minorBidi"/>
                <w:sz w:val="20"/>
                <w:szCs w:val="20"/>
                <w:lang w:val="en-CA"/>
              </w:rPr>
              <w:t xml:space="preserve"> However, </w:t>
            </w:r>
            <w:r w:rsidRPr="00F55576">
              <w:rPr>
                <w:sz w:val="20"/>
                <w:szCs w:val="20"/>
              </w:rPr>
              <w:t xml:space="preserve">s. 232(2) of the </w:t>
            </w:r>
            <w:r w:rsidRPr="00F55576">
              <w:rPr>
                <w:i/>
                <w:sz w:val="20"/>
                <w:szCs w:val="20"/>
              </w:rPr>
              <w:t xml:space="preserve">Criminal Code </w:t>
            </w:r>
            <w:r w:rsidRPr="00F55576">
              <w:rPr>
                <w:sz w:val="20"/>
                <w:szCs w:val="20"/>
              </w:rPr>
              <w:t xml:space="preserve">in part limits provocation to </w:t>
            </w:r>
            <w:r w:rsidRPr="00F55576">
              <w:rPr>
                <w:sz w:val="20"/>
                <w:szCs w:val="20"/>
                <w:lang w:val="en"/>
              </w:rPr>
              <w:t>conduct of the victim that would constitute an indictable offence punishable by five or more years of imprisonment</w:t>
            </w:r>
            <w:r w:rsidRPr="00F55576">
              <w:rPr>
                <w:sz w:val="20"/>
                <w:szCs w:val="20"/>
              </w:rPr>
              <w:t xml:space="preserve">. Mr. Simard applied for a declaration that this limitation breaches s. 7 of the </w:t>
            </w:r>
            <w:r w:rsidRPr="00F55576">
              <w:rPr>
                <w:i/>
                <w:sz w:val="20"/>
                <w:szCs w:val="20"/>
              </w:rPr>
              <w:t>Charter of Rights and Freedoms</w:t>
            </w:r>
            <w:r w:rsidRPr="00F55576">
              <w:rPr>
                <w:sz w:val="20"/>
                <w:szCs w:val="20"/>
              </w:rPr>
              <w:t xml:space="preserve"> and a constitutional remedy. The trial judge granted the motion and severed the words that set out the limitation. The trial judge rejected Mr. Simard’s claim of provocation and convicted Mr. Simard as charged on both counts of second degree murder. Mr. Simard did not appeal the convictions. Crown counsel seeks leave to appeal from the constitutional decision.</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December 28, 2018</w:t>
            </w:r>
          </w:p>
          <w:p w:rsidR="00AB75C1" w:rsidRPr="00F55576" w:rsidRDefault="00AB75C1" w:rsidP="00BA4C4D">
            <w:pPr>
              <w:jc w:val="both"/>
              <w:rPr>
                <w:sz w:val="20"/>
              </w:rPr>
            </w:pPr>
            <w:r w:rsidRPr="00F55576">
              <w:rPr>
                <w:sz w:val="20"/>
              </w:rPr>
              <w:t xml:space="preserve">Supreme Court of British Columbia </w:t>
            </w:r>
          </w:p>
          <w:p w:rsidR="00AB75C1" w:rsidRPr="00F55576" w:rsidRDefault="00AB75C1" w:rsidP="00BA4C4D">
            <w:pPr>
              <w:jc w:val="both"/>
              <w:rPr>
                <w:sz w:val="20"/>
              </w:rPr>
            </w:pPr>
            <w:r w:rsidRPr="00F55576">
              <w:rPr>
                <w:sz w:val="20"/>
              </w:rPr>
              <w:t>(Courtenay)</w:t>
            </w:r>
          </w:p>
          <w:p w:rsidR="00AB75C1" w:rsidRPr="00F55576" w:rsidRDefault="00AB75C1" w:rsidP="00BA4C4D">
            <w:pPr>
              <w:jc w:val="both"/>
              <w:rPr>
                <w:sz w:val="20"/>
              </w:rPr>
            </w:pPr>
            <w:r w:rsidRPr="00F55576">
              <w:rPr>
                <w:sz w:val="20"/>
              </w:rPr>
              <w:t xml:space="preserve">(Thompson J.) </w:t>
            </w:r>
          </w:p>
          <w:p w:rsidR="00AB75C1" w:rsidRPr="00F55576" w:rsidRDefault="007B1953" w:rsidP="00BA4C4D">
            <w:pPr>
              <w:jc w:val="both"/>
              <w:rPr>
                <w:sz w:val="20"/>
              </w:rPr>
            </w:pPr>
            <w:hyperlink r:id="rId19" w:history="1">
              <w:r w:rsidR="00AB75C1" w:rsidRPr="00F55576">
                <w:rPr>
                  <w:rStyle w:val="Hyperlink"/>
                  <w:sz w:val="20"/>
                </w:rPr>
                <w:t>2019 BCSC 531</w:t>
              </w:r>
            </w:hyperlink>
            <w:r w:rsidR="00AB75C1" w:rsidRPr="00F55576">
              <w:rPr>
                <w:sz w:val="20"/>
              </w:rPr>
              <w:t>; 40400</w:t>
            </w:r>
            <w:r w:rsidR="00AB75C1" w:rsidRPr="00F55576">
              <w:rPr>
                <w:sz w:val="20"/>
              </w:rPr>
              <w:noBreakHyphen/>
              <w:t>2</w:t>
            </w:r>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 xml:space="preserve">Ruling that amendments to s. 232(2) of </w:t>
            </w:r>
            <w:r w:rsidRPr="00F55576">
              <w:rPr>
                <w:i/>
                <w:sz w:val="20"/>
              </w:rPr>
              <w:t>Criminal Code</w:t>
            </w:r>
            <w:r w:rsidRPr="00F55576">
              <w:rPr>
                <w:sz w:val="20"/>
              </w:rPr>
              <w:t xml:space="preserve"> infringe s. 7 of </w:t>
            </w:r>
            <w:r w:rsidRPr="00F55576">
              <w:rPr>
                <w:i/>
                <w:sz w:val="20"/>
              </w:rPr>
              <w:t>Charter</w:t>
            </w:r>
            <w:r w:rsidRPr="00F55576">
              <w:rPr>
                <w:sz w:val="20"/>
              </w:rPr>
              <w:t xml:space="preserve"> and words severed from s. 232(2)</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March 18, 2019</w:t>
            </w:r>
          </w:p>
          <w:p w:rsidR="00AB75C1" w:rsidRPr="00F55576" w:rsidRDefault="00AB75C1" w:rsidP="00BA4C4D">
            <w:pPr>
              <w:jc w:val="both"/>
              <w:rPr>
                <w:sz w:val="20"/>
              </w:rPr>
            </w:pPr>
            <w:r w:rsidRPr="00F55576">
              <w:rPr>
                <w:sz w:val="20"/>
              </w:rPr>
              <w:t>Supreme Court of British Columbia</w:t>
            </w:r>
          </w:p>
          <w:p w:rsidR="00AB75C1" w:rsidRPr="00F55576" w:rsidRDefault="00AB75C1" w:rsidP="00BA4C4D">
            <w:pPr>
              <w:jc w:val="both"/>
              <w:rPr>
                <w:sz w:val="20"/>
              </w:rPr>
            </w:pPr>
            <w:r w:rsidRPr="00F55576">
              <w:rPr>
                <w:sz w:val="20"/>
              </w:rPr>
              <w:t>(Courtenay)</w:t>
            </w:r>
          </w:p>
          <w:p w:rsidR="00AB75C1" w:rsidRPr="00F55576" w:rsidRDefault="00AB75C1" w:rsidP="00BA4C4D">
            <w:pPr>
              <w:jc w:val="both"/>
              <w:rPr>
                <w:sz w:val="20"/>
              </w:rPr>
            </w:pPr>
            <w:r w:rsidRPr="00F55576">
              <w:rPr>
                <w:sz w:val="20"/>
              </w:rPr>
              <w:t>(Thompson J.)</w:t>
            </w:r>
          </w:p>
          <w:p w:rsidR="00AB75C1" w:rsidRPr="00F55576" w:rsidRDefault="007B1953" w:rsidP="00BA4C4D">
            <w:pPr>
              <w:jc w:val="both"/>
              <w:rPr>
                <w:sz w:val="20"/>
              </w:rPr>
            </w:pPr>
            <w:hyperlink r:id="rId20" w:history="1">
              <w:r w:rsidR="00AB75C1" w:rsidRPr="00F55576">
                <w:rPr>
                  <w:rStyle w:val="Hyperlink"/>
                  <w:sz w:val="20"/>
                </w:rPr>
                <w:t>2019 BCSC 532</w:t>
              </w:r>
            </w:hyperlink>
            <w:r w:rsidR="00AB75C1" w:rsidRPr="00F55576">
              <w:rPr>
                <w:sz w:val="20"/>
              </w:rPr>
              <w:t xml:space="preserve">; </w:t>
            </w:r>
            <w:r w:rsidR="00AB75C1" w:rsidRPr="00F55576">
              <w:rPr>
                <w:color w:val="000000"/>
                <w:sz w:val="20"/>
                <w:lang w:val="en"/>
              </w:rPr>
              <w:t>40400</w:t>
            </w:r>
            <w:r w:rsidR="00AB75C1" w:rsidRPr="00F55576">
              <w:rPr>
                <w:color w:val="000000"/>
                <w:sz w:val="20"/>
                <w:lang w:val="en"/>
              </w:rPr>
              <w:noBreakHyphen/>
              <w:t>2</w:t>
            </w:r>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Convictions on two counts second degree murder</w:t>
            </w:r>
          </w:p>
        </w:tc>
      </w:tr>
      <w:tr w:rsidR="00AB75C1" w:rsidRPr="00F55576" w:rsidTr="00BA4C4D">
        <w:tc>
          <w:tcPr>
            <w:tcW w:w="2427" w:type="pct"/>
            <w:gridSpan w:val="2"/>
          </w:tcPr>
          <w:p w:rsidR="00AB75C1" w:rsidRPr="00F55576" w:rsidRDefault="00AB75C1" w:rsidP="00BA4C4D">
            <w:pPr>
              <w:jc w:val="both"/>
              <w:rPr>
                <w:sz w:val="20"/>
              </w:rPr>
            </w:pPr>
            <w:r w:rsidRPr="00F55576">
              <w:rPr>
                <w:sz w:val="20"/>
              </w:rPr>
              <w:t>May 31, 2019</w:t>
            </w:r>
          </w:p>
          <w:p w:rsidR="00AB75C1" w:rsidRPr="00F55576" w:rsidRDefault="00AB75C1" w:rsidP="00BA4C4D">
            <w:pPr>
              <w:jc w:val="both"/>
              <w:rPr>
                <w:sz w:val="20"/>
              </w:rPr>
            </w:pPr>
            <w:r w:rsidRPr="00F55576">
              <w:rPr>
                <w:sz w:val="20"/>
              </w:rPr>
              <w:t>Supreme Court of Canada</w:t>
            </w: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Motion to extend time to serve and file application for leave to appeal and Application for leave to appeal filed</w:t>
            </w:r>
          </w:p>
        </w:tc>
      </w:tr>
    </w:tbl>
    <w:p w:rsidR="00AB75C1" w:rsidRPr="00F55576" w:rsidRDefault="00AB75C1" w:rsidP="00AB75C1">
      <w:pPr>
        <w:ind w:left="142" w:hanging="142"/>
        <w:jc w:val="both"/>
        <w:rPr>
          <w:sz w:val="20"/>
        </w:rPr>
      </w:pPr>
    </w:p>
    <w:p w:rsidR="00AB75C1" w:rsidRPr="00F55576" w:rsidRDefault="007B1953" w:rsidP="00AB75C1">
      <w:pPr>
        <w:ind w:left="142" w:hanging="142"/>
        <w:jc w:val="both"/>
        <w:rPr>
          <w:sz w:val="20"/>
        </w:rPr>
      </w:pPr>
      <w:r>
        <w:rPr>
          <w:sz w:val="20"/>
        </w:rPr>
        <w:pict>
          <v:rect id="_x0000_i1034" style="width:2in;height:1pt" o:hrpct="0" o:hralign="center" o:hrstd="t" o:hrnoshade="t" o:hr="t" fillcolor="black [3213]" stroked="f"/>
        </w:pict>
      </w:r>
    </w:p>
    <w:p w:rsidR="00AB75C1" w:rsidRPr="00F55576" w:rsidRDefault="00AB75C1" w:rsidP="00AB75C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lang w:val="fr-CA"/>
              </w:rPr>
            </w:pPr>
            <w:r w:rsidRPr="00F55576">
              <w:rPr>
                <w:rStyle w:val="SCCFileNumberChar"/>
                <w:sz w:val="20"/>
                <w:szCs w:val="20"/>
                <w:lang w:val="fr-CA"/>
              </w:rPr>
              <w:t>38672</w:t>
            </w:r>
          </w:p>
        </w:tc>
        <w:tc>
          <w:tcPr>
            <w:tcW w:w="4457" w:type="pct"/>
            <w:gridSpan w:val="3"/>
          </w:tcPr>
          <w:p w:rsidR="00AB75C1" w:rsidRPr="00F55576" w:rsidRDefault="00AB75C1" w:rsidP="00BA4C4D">
            <w:pPr>
              <w:pStyle w:val="SCCLsocParty"/>
              <w:jc w:val="both"/>
              <w:rPr>
                <w:b/>
                <w:sz w:val="20"/>
                <w:szCs w:val="20"/>
              </w:rPr>
            </w:pPr>
            <w:r w:rsidRPr="00F55576">
              <w:rPr>
                <w:b/>
                <w:sz w:val="20"/>
                <w:szCs w:val="20"/>
              </w:rPr>
              <w:t>Sa Majesté la Reine c. Michael Philip Simard</w:t>
            </w:r>
          </w:p>
          <w:p w:rsidR="00AB75C1" w:rsidRPr="00F55576" w:rsidRDefault="00AB75C1" w:rsidP="00BA4C4D">
            <w:pPr>
              <w:jc w:val="both"/>
              <w:rPr>
                <w:sz w:val="20"/>
                <w:lang w:val="fr-CA"/>
              </w:rPr>
            </w:pPr>
            <w:r w:rsidRPr="00F55576">
              <w:rPr>
                <w:sz w:val="20"/>
                <w:lang w:val="fr-CA"/>
              </w:rPr>
              <w:t>(C.</w:t>
            </w:r>
            <w:r w:rsidRPr="00F55576">
              <w:rPr>
                <w:sz w:val="20"/>
                <w:lang w:val="fr-CA"/>
              </w:rPr>
              <w:noBreakHyphen/>
              <w:t>B.) (Criminelle) (Autorisation)</w:t>
            </w:r>
          </w:p>
        </w:tc>
      </w:tr>
      <w:tr w:rsidR="00834E76" w:rsidRPr="008042C9" w:rsidTr="00BA4C4D">
        <w:tc>
          <w:tcPr>
            <w:tcW w:w="5000" w:type="pct"/>
            <w:gridSpan w:val="4"/>
          </w:tcPr>
          <w:p w:rsidR="00834E76" w:rsidRPr="00F55576" w:rsidRDefault="00D913B1" w:rsidP="00BA4C4D">
            <w:pPr>
              <w:jc w:val="both"/>
              <w:rPr>
                <w:sz w:val="20"/>
                <w:szCs w:val="20"/>
                <w:lang w:val="fr-CA"/>
              </w:rPr>
            </w:pPr>
            <w:r w:rsidRPr="00F55576">
              <w:rPr>
                <w:sz w:val="20"/>
                <w:szCs w:val="20"/>
                <w:lang w:val="fr-CA"/>
              </w:rPr>
              <w:t>La requ</w:t>
            </w:r>
            <w:r w:rsidRPr="00F55576">
              <w:rPr>
                <w:rFonts w:cs="Times New Roman"/>
                <w:sz w:val="20"/>
                <w:szCs w:val="20"/>
                <w:lang w:val="fr-CA"/>
              </w:rPr>
              <w:t>ê</w:t>
            </w:r>
            <w:r w:rsidRPr="00F55576">
              <w:rPr>
                <w:sz w:val="20"/>
                <w:szCs w:val="20"/>
                <w:lang w:val="fr-CA"/>
              </w:rPr>
              <w:t>te en prorogation du d</w:t>
            </w:r>
            <w:r w:rsidRPr="00F55576">
              <w:rPr>
                <w:rFonts w:cs="Times New Roman"/>
                <w:sz w:val="20"/>
                <w:szCs w:val="20"/>
                <w:lang w:val="fr-CA"/>
              </w:rPr>
              <w:t>é</w:t>
            </w:r>
            <w:r w:rsidRPr="00F55576">
              <w:rPr>
                <w:sz w:val="20"/>
                <w:szCs w:val="20"/>
                <w:lang w:val="fr-CA"/>
              </w:rPr>
              <w:t>lai de signification et de d</w:t>
            </w:r>
            <w:r w:rsidRPr="00F55576">
              <w:rPr>
                <w:rFonts w:cs="Times New Roman"/>
                <w:sz w:val="20"/>
                <w:szCs w:val="20"/>
                <w:lang w:val="fr-CA"/>
              </w:rPr>
              <w:t>é</w:t>
            </w:r>
            <w:r w:rsidRPr="00F55576">
              <w:rPr>
                <w:sz w:val="20"/>
                <w:szCs w:val="20"/>
                <w:lang w:val="fr-CA"/>
              </w:rPr>
              <w:t>p</w:t>
            </w:r>
            <w:r w:rsidRPr="00F55576">
              <w:rPr>
                <w:rFonts w:cs="Times New Roman"/>
                <w:sz w:val="20"/>
                <w:szCs w:val="20"/>
                <w:lang w:val="fr-CA"/>
              </w:rPr>
              <w:t>ô</w:t>
            </w:r>
            <w:r w:rsidRPr="00F55576">
              <w:rPr>
                <w:sz w:val="20"/>
                <w:szCs w:val="20"/>
                <w:lang w:val="fr-CA"/>
              </w:rPr>
              <w:t xml:space="preserve">t de la demande d’autorisation d’appel est accueillie. La demande d’autorisation d’appel de l’arrêt de la </w:t>
            </w:r>
            <w:r w:rsidRPr="00F55576">
              <w:rPr>
                <w:sz w:val="20"/>
                <w:szCs w:val="20"/>
                <w:lang w:val="fr-FR"/>
              </w:rPr>
              <w:t>Cour suprême de la Colombie-Britannique</w:t>
            </w:r>
            <w:r w:rsidRPr="00F55576">
              <w:rPr>
                <w:sz w:val="20"/>
                <w:szCs w:val="20"/>
                <w:lang w:val="fr-CA"/>
              </w:rPr>
              <w:t xml:space="preserve">, numéro </w:t>
            </w:r>
            <w:r w:rsidRPr="00F55576">
              <w:rPr>
                <w:sz w:val="20"/>
                <w:szCs w:val="20"/>
                <w:lang w:val="fr-FR"/>
              </w:rPr>
              <w:t>40400-2</w:t>
            </w:r>
            <w:r w:rsidRPr="00F55576">
              <w:rPr>
                <w:sz w:val="20"/>
                <w:szCs w:val="20"/>
                <w:lang w:val="fr-CA"/>
              </w:rPr>
              <w:t xml:space="preserve">, </w:t>
            </w:r>
            <w:r w:rsidRPr="00F55576">
              <w:rPr>
                <w:sz w:val="20"/>
                <w:szCs w:val="20"/>
                <w:lang w:val="fr-FR"/>
              </w:rPr>
              <w:t xml:space="preserve">2019 BCSC 531, </w:t>
            </w:r>
            <w:r w:rsidRPr="00F55576">
              <w:rPr>
                <w:sz w:val="20"/>
                <w:szCs w:val="20"/>
                <w:lang w:val="fr-CA"/>
              </w:rPr>
              <w:t xml:space="preserve">daté du </w:t>
            </w:r>
            <w:r w:rsidRPr="00F55576">
              <w:rPr>
                <w:sz w:val="20"/>
                <w:szCs w:val="20"/>
                <w:lang w:val="fr-FR"/>
              </w:rPr>
              <w:t>10 avril 2019</w:t>
            </w:r>
            <w:r w:rsidRPr="00F55576">
              <w:rPr>
                <w:sz w:val="20"/>
                <w:szCs w:val="20"/>
                <w:lang w:val="fr-CA"/>
              </w:rPr>
              <w:t>, est rejetée.</w:t>
            </w:r>
          </w:p>
          <w:p w:rsidR="00834E76" w:rsidRPr="00F55576" w:rsidRDefault="00834E76" w:rsidP="00BA4C4D">
            <w:pPr>
              <w:jc w:val="both"/>
              <w:rPr>
                <w:sz w:val="20"/>
                <w:lang w:val="fr-CA"/>
              </w:rPr>
            </w:pPr>
          </w:p>
        </w:tc>
      </w:tr>
      <w:tr w:rsidR="00AB75C1" w:rsidRPr="008042C9" w:rsidTr="00BA4C4D">
        <w:tc>
          <w:tcPr>
            <w:tcW w:w="5000" w:type="pct"/>
            <w:gridSpan w:val="4"/>
          </w:tcPr>
          <w:p w:rsidR="00AB75C1" w:rsidRPr="00F55576" w:rsidRDefault="00AB75C1" w:rsidP="00BA4C4D">
            <w:pPr>
              <w:jc w:val="both"/>
              <w:rPr>
                <w:sz w:val="20"/>
                <w:lang w:val="fr-CA"/>
              </w:rPr>
            </w:pPr>
            <w:r w:rsidRPr="00F55576">
              <w:rPr>
                <w:i/>
                <w:sz w:val="20"/>
                <w:lang w:val="fr-CA"/>
              </w:rPr>
              <w:lastRenderedPageBreak/>
              <w:t xml:space="preserve">Charte des droits et libertés </w:t>
            </w:r>
            <w:r w:rsidRPr="00F55576">
              <w:rPr>
                <w:sz w:val="20"/>
                <w:lang w:val="fr-CA"/>
              </w:rPr>
              <w:t xml:space="preserve">— Droit à la liberté — Droit criminel — Provocation — Définition de la provocation — Les modifications apportées au </w:t>
            </w:r>
            <w:r w:rsidRPr="00F55576">
              <w:rPr>
                <w:i/>
                <w:sz w:val="20"/>
                <w:lang w:val="fr-CA"/>
              </w:rPr>
              <w:t xml:space="preserve">Code criminel </w:t>
            </w:r>
            <w:r w:rsidRPr="00F55576">
              <w:rPr>
                <w:sz w:val="20"/>
                <w:lang w:val="fr-CA"/>
              </w:rPr>
              <w:t>limitant la disposition sur la provocation à la conduite de la victime, qui constituerait un acte criminel passible d’un emprisonnement de cinq ans ou plus, sont</w:t>
            </w:r>
            <w:r w:rsidRPr="00F55576">
              <w:rPr>
                <w:sz w:val="20"/>
                <w:lang w:val="fr-CA"/>
              </w:rPr>
              <w:noBreakHyphen/>
              <w:t xml:space="preserve">elles contraires à l’art. 7 de la </w:t>
            </w:r>
            <w:r w:rsidRPr="00F55576">
              <w:rPr>
                <w:i/>
                <w:sz w:val="20"/>
                <w:lang w:val="fr-CA"/>
              </w:rPr>
              <w:t>Charte</w:t>
            </w:r>
            <w:r w:rsidRPr="00F55576">
              <w:rPr>
                <w:sz w:val="20"/>
                <w:lang w:val="fr-CA"/>
              </w:rPr>
              <w:t>? — La limite est</w:t>
            </w:r>
            <w:r w:rsidRPr="00F55576">
              <w:rPr>
                <w:sz w:val="20"/>
                <w:lang w:val="fr-CA"/>
              </w:rPr>
              <w:noBreakHyphen/>
              <w:t>elle de portée excessive, arbitraire et exagérément disproportionnée? — La limite viole</w:t>
            </w:r>
            <w:r w:rsidRPr="00F55576">
              <w:rPr>
                <w:sz w:val="20"/>
                <w:lang w:val="fr-CA"/>
              </w:rPr>
              <w:noBreakHyphen/>
              <w:t>t</w:t>
            </w:r>
            <w:r w:rsidRPr="00F55576">
              <w:rPr>
                <w:sz w:val="20"/>
                <w:lang w:val="fr-CA"/>
              </w:rPr>
              <w:noBreakHyphen/>
              <w:t xml:space="preserve">elle le principe de justice fondamentale voulant qu’un acte doive être volontaire pour engager la responsabilité criminelle? — </w:t>
            </w:r>
            <w:r w:rsidRPr="00F55576">
              <w:rPr>
                <w:i/>
                <w:sz w:val="20"/>
                <w:lang w:val="fr-CA"/>
              </w:rPr>
              <w:t>Code criminel</w:t>
            </w:r>
            <w:r w:rsidRPr="00F55576">
              <w:rPr>
                <w:sz w:val="20"/>
                <w:lang w:val="fr-CA"/>
              </w:rPr>
              <w:t>, par. 232(2)</w:t>
            </w:r>
          </w:p>
        </w:tc>
      </w:tr>
      <w:tr w:rsidR="00AB75C1" w:rsidRPr="008042C9" w:rsidTr="00BA4C4D">
        <w:tc>
          <w:tcPr>
            <w:tcW w:w="5000" w:type="pct"/>
            <w:gridSpan w:val="4"/>
          </w:tcPr>
          <w:p w:rsidR="00AB75C1" w:rsidRPr="00F55576" w:rsidRDefault="00AB75C1" w:rsidP="00BA4C4D">
            <w:pPr>
              <w:jc w:val="both"/>
              <w:rPr>
                <w:sz w:val="20"/>
                <w:lang w:val="fr-CA"/>
              </w:rPr>
            </w:pPr>
          </w:p>
        </w:tc>
      </w:tr>
      <w:tr w:rsidR="00AB75C1" w:rsidRPr="008042C9" w:rsidTr="00BA4C4D">
        <w:tc>
          <w:tcPr>
            <w:tcW w:w="5000" w:type="pct"/>
            <w:gridSpan w:val="4"/>
          </w:tcPr>
          <w:p w:rsidR="00AB75C1" w:rsidRPr="00F55576" w:rsidRDefault="00AB75C1" w:rsidP="00AB75C1">
            <w:pPr>
              <w:pStyle w:val="subsection"/>
              <w:numPr>
                <w:ilvl w:val="0"/>
                <w:numId w:val="33"/>
              </w:numPr>
              <w:spacing w:before="0" w:after="0"/>
              <w:ind w:left="0"/>
              <w:jc w:val="both"/>
              <w:rPr>
                <w:sz w:val="20"/>
                <w:szCs w:val="20"/>
                <w:lang w:val="fr-CA"/>
              </w:rPr>
            </w:pPr>
            <w:r w:rsidRPr="00F55576">
              <w:rPr>
                <w:sz w:val="20"/>
                <w:szCs w:val="20"/>
                <w:lang w:val="fr-CA"/>
              </w:rPr>
              <w:t xml:space="preserve">Monsieur Simard a mortellement abattu sa petite amie et l’ancien petit ami de cette dernière après qu’elle eut annulé des projets de fin de semaine avec lui pour qu’elle puisse passer la fin de semaine avec son ancien petit ami. À son procès pour répondre à deux chefs de meurtre au deuxième degré, M. Simard a invoqué la provocation. L’article 232 du </w:t>
            </w:r>
            <w:r w:rsidRPr="00F55576">
              <w:rPr>
                <w:i/>
                <w:sz w:val="20"/>
                <w:szCs w:val="20"/>
                <w:lang w:val="fr-CA"/>
              </w:rPr>
              <w:t xml:space="preserve">Code criminel </w:t>
            </w:r>
            <w:r w:rsidRPr="00F55576">
              <w:rPr>
                <w:sz w:val="20"/>
                <w:szCs w:val="20"/>
                <w:lang w:val="fr-CA"/>
              </w:rPr>
              <w:t>prévoit qu’un homicide coupable qui autrement serait un meurtre peut être réduit à un homicide involontaire coupable si la personne qui l’a commis a ainsi agi dans un accès de colère causé par une provocation soudaine.</w:t>
            </w:r>
            <w:r w:rsidRPr="00F55576">
              <w:rPr>
                <w:rFonts w:eastAsiaTheme="minorHAnsi" w:cstheme="minorBidi"/>
                <w:sz w:val="20"/>
                <w:szCs w:val="20"/>
                <w:lang w:val="fr-CA"/>
              </w:rPr>
              <w:t xml:space="preserve"> Toutefois, </w:t>
            </w:r>
            <w:r w:rsidRPr="00F55576">
              <w:rPr>
                <w:sz w:val="20"/>
                <w:szCs w:val="20"/>
                <w:lang w:val="fr-CA"/>
              </w:rPr>
              <w:t xml:space="preserve">le par. 232(2) du </w:t>
            </w:r>
            <w:r w:rsidRPr="00F55576">
              <w:rPr>
                <w:i/>
                <w:sz w:val="20"/>
                <w:szCs w:val="20"/>
                <w:lang w:val="fr-CA"/>
              </w:rPr>
              <w:t xml:space="preserve">Code criminel </w:t>
            </w:r>
            <w:r w:rsidRPr="00F55576">
              <w:rPr>
                <w:sz w:val="20"/>
                <w:szCs w:val="20"/>
                <w:lang w:val="fr-CA"/>
              </w:rPr>
              <w:t xml:space="preserve">limite la provocation à une conduite de la victime, qui constituerait un acte criminel passible d’un emprisonnement de cinq ans ou plus. Monsieur Simard a demandé un jugement déclarant que cette restriction viole l’art. 7 de la </w:t>
            </w:r>
            <w:r w:rsidRPr="00F55576">
              <w:rPr>
                <w:i/>
                <w:sz w:val="20"/>
                <w:szCs w:val="20"/>
                <w:lang w:val="fr-CA"/>
              </w:rPr>
              <w:t>Charte des droits et libertés</w:t>
            </w:r>
            <w:r w:rsidRPr="00F55576">
              <w:rPr>
                <w:sz w:val="20"/>
                <w:szCs w:val="20"/>
                <w:lang w:val="fr-CA"/>
              </w:rPr>
              <w:t xml:space="preserve"> et une réparation d’ordre constitutionnel. Le juge du procès a accueilli la requête et a retranché les mots qui prévoyaient la restriction. Le juge du procès a rejeté l’allégation de provocation faite par M. Simard et a déclaré coupable M. Simard des accusations portées contre lui, à savoir deux chefs de meurtre au deuxième degré. Monsieur Simard n’a pas interjeté appel des déclarations de culpabilité. L’avocat de la Couronne demande l’autorisation d’appel de la décision en matière constitutionnelle.</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28 décembre 2018</w:t>
            </w:r>
          </w:p>
          <w:p w:rsidR="00AB75C1" w:rsidRPr="00F55576" w:rsidRDefault="00AB75C1" w:rsidP="00BA4C4D">
            <w:pPr>
              <w:jc w:val="both"/>
              <w:rPr>
                <w:sz w:val="20"/>
                <w:lang w:val="fr-CA"/>
              </w:rPr>
            </w:pPr>
            <w:r w:rsidRPr="00F55576">
              <w:rPr>
                <w:sz w:val="20"/>
                <w:lang w:val="fr-CA"/>
              </w:rPr>
              <w:t>Cour suprême de la Colombie</w:t>
            </w:r>
            <w:r w:rsidRPr="00F55576">
              <w:rPr>
                <w:sz w:val="20"/>
                <w:lang w:val="fr-CA"/>
              </w:rPr>
              <w:noBreakHyphen/>
              <w:t>Britannique</w:t>
            </w:r>
          </w:p>
          <w:p w:rsidR="00AB75C1" w:rsidRPr="00F55576" w:rsidRDefault="00AB75C1" w:rsidP="00BA4C4D">
            <w:pPr>
              <w:jc w:val="both"/>
              <w:rPr>
                <w:sz w:val="20"/>
                <w:lang w:val="fr-CA"/>
              </w:rPr>
            </w:pPr>
            <w:r w:rsidRPr="00F55576">
              <w:rPr>
                <w:sz w:val="20"/>
                <w:lang w:val="fr-CA"/>
              </w:rPr>
              <w:t>(Courtenay)</w:t>
            </w:r>
          </w:p>
          <w:p w:rsidR="00AB75C1" w:rsidRPr="00F55576" w:rsidRDefault="00AB75C1" w:rsidP="00BA4C4D">
            <w:pPr>
              <w:jc w:val="both"/>
              <w:rPr>
                <w:sz w:val="20"/>
                <w:lang w:val="fr-CA"/>
              </w:rPr>
            </w:pPr>
            <w:r w:rsidRPr="00F55576">
              <w:rPr>
                <w:sz w:val="20"/>
                <w:lang w:val="fr-CA"/>
              </w:rPr>
              <w:t xml:space="preserve">(Juge Thompson) </w:t>
            </w:r>
          </w:p>
          <w:p w:rsidR="00AB75C1" w:rsidRPr="00F55576" w:rsidRDefault="007B1953" w:rsidP="00BA4C4D">
            <w:pPr>
              <w:jc w:val="both"/>
              <w:rPr>
                <w:sz w:val="20"/>
                <w:lang w:val="fr-CA"/>
              </w:rPr>
            </w:pPr>
            <w:hyperlink r:id="rId21" w:history="1">
              <w:r w:rsidR="00AB75C1" w:rsidRPr="00F55576">
                <w:rPr>
                  <w:rStyle w:val="Hyperlink"/>
                  <w:sz w:val="20"/>
                  <w:lang w:val="fr-CA"/>
                </w:rPr>
                <w:t>2019 BCSC 531</w:t>
              </w:r>
            </w:hyperlink>
            <w:r w:rsidR="00AB75C1" w:rsidRPr="00F55576">
              <w:rPr>
                <w:sz w:val="20"/>
                <w:lang w:val="fr-CA"/>
              </w:rPr>
              <w:t>; 40400</w:t>
            </w:r>
            <w:r w:rsidR="00AB75C1" w:rsidRPr="00F55576">
              <w:rPr>
                <w:sz w:val="20"/>
                <w:lang w:val="fr-CA"/>
              </w:rPr>
              <w:noBreakHyphen/>
              <w:t>2</w:t>
            </w:r>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 xml:space="preserve">Jugement déclarant que les modifications apportées au </w:t>
            </w:r>
            <w:proofErr w:type="spellStart"/>
            <w:r w:rsidRPr="00F55576">
              <w:rPr>
                <w:sz w:val="20"/>
                <w:lang w:val="fr-CA"/>
              </w:rPr>
              <w:t>par</w:t>
            </w:r>
            <w:proofErr w:type="spellEnd"/>
            <w:r w:rsidRPr="00F55576">
              <w:rPr>
                <w:sz w:val="20"/>
                <w:lang w:val="fr-CA"/>
              </w:rPr>
              <w:t xml:space="preserve">. 232(2) du </w:t>
            </w:r>
            <w:r w:rsidRPr="00F55576">
              <w:rPr>
                <w:i/>
                <w:sz w:val="20"/>
                <w:lang w:val="fr-CA"/>
              </w:rPr>
              <w:t>Code criminel</w:t>
            </w:r>
            <w:r w:rsidRPr="00F55576">
              <w:rPr>
                <w:sz w:val="20"/>
                <w:lang w:val="fr-CA"/>
              </w:rPr>
              <w:t xml:space="preserve"> violent l’art. 7 de la </w:t>
            </w:r>
            <w:r w:rsidRPr="00F55576">
              <w:rPr>
                <w:i/>
                <w:sz w:val="20"/>
                <w:lang w:val="fr-CA"/>
              </w:rPr>
              <w:t>Charte</w:t>
            </w:r>
            <w:r w:rsidRPr="00F55576">
              <w:rPr>
                <w:sz w:val="20"/>
                <w:lang w:val="fr-CA"/>
              </w:rPr>
              <w:t xml:space="preserve"> et retranchant des mots du par. 232(2)</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18 mars 2019</w:t>
            </w:r>
          </w:p>
          <w:p w:rsidR="00AB75C1" w:rsidRPr="00F55576" w:rsidRDefault="00AB75C1" w:rsidP="00BA4C4D">
            <w:pPr>
              <w:jc w:val="both"/>
              <w:rPr>
                <w:sz w:val="20"/>
                <w:lang w:val="fr-CA"/>
              </w:rPr>
            </w:pPr>
            <w:r w:rsidRPr="00F55576">
              <w:rPr>
                <w:sz w:val="20"/>
                <w:lang w:val="fr-CA"/>
              </w:rPr>
              <w:t>Cour suprême de la Colombie</w:t>
            </w:r>
            <w:r w:rsidRPr="00F55576">
              <w:rPr>
                <w:sz w:val="20"/>
                <w:lang w:val="fr-CA"/>
              </w:rPr>
              <w:noBreakHyphen/>
              <w:t>Britannique</w:t>
            </w:r>
          </w:p>
          <w:p w:rsidR="00AB75C1" w:rsidRPr="00F55576" w:rsidRDefault="00AB75C1" w:rsidP="00BA4C4D">
            <w:pPr>
              <w:jc w:val="both"/>
              <w:rPr>
                <w:sz w:val="20"/>
                <w:lang w:val="fr-CA"/>
              </w:rPr>
            </w:pPr>
            <w:r w:rsidRPr="00F55576">
              <w:rPr>
                <w:sz w:val="20"/>
                <w:lang w:val="fr-CA"/>
              </w:rPr>
              <w:t>(Courtenay)</w:t>
            </w:r>
          </w:p>
          <w:p w:rsidR="00AB75C1" w:rsidRPr="00F55576" w:rsidRDefault="00AB75C1" w:rsidP="00BA4C4D">
            <w:pPr>
              <w:jc w:val="both"/>
              <w:rPr>
                <w:sz w:val="20"/>
                <w:lang w:val="fr-CA"/>
              </w:rPr>
            </w:pPr>
            <w:r w:rsidRPr="00F55576">
              <w:rPr>
                <w:sz w:val="20"/>
                <w:lang w:val="fr-CA"/>
              </w:rPr>
              <w:t>(Juge Thompson)</w:t>
            </w:r>
          </w:p>
          <w:p w:rsidR="00AB75C1" w:rsidRPr="00F55576" w:rsidRDefault="007B1953" w:rsidP="00BA4C4D">
            <w:pPr>
              <w:jc w:val="both"/>
              <w:rPr>
                <w:sz w:val="20"/>
                <w:lang w:val="fr-CA"/>
              </w:rPr>
            </w:pPr>
            <w:hyperlink r:id="rId22" w:history="1">
              <w:r w:rsidR="00AB75C1" w:rsidRPr="00F55576">
                <w:rPr>
                  <w:rStyle w:val="Hyperlink"/>
                  <w:sz w:val="20"/>
                  <w:lang w:val="fr-CA"/>
                </w:rPr>
                <w:t>2019 BCSC 532</w:t>
              </w:r>
            </w:hyperlink>
            <w:r w:rsidR="00AB75C1" w:rsidRPr="00F55576">
              <w:rPr>
                <w:sz w:val="20"/>
                <w:lang w:val="fr-CA"/>
              </w:rPr>
              <w:t xml:space="preserve">; </w:t>
            </w:r>
            <w:r w:rsidR="00AB75C1" w:rsidRPr="00F55576">
              <w:rPr>
                <w:color w:val="000000"/>
                <w:sz w:val="20"/>
                <w:lang w:val="fr-CA"/>
              </w:rPr>
              <w:t>40400</w:t>
            </w:r>
            <w:r w:rsidR="00AB75C1" w:rsidRPr="00F55576">
              <w:rPr>
                <w:color w:val="000000"/>
                <w:sz w:val="20"/>
                <w:lang w:val="fr-CA"/>
              </w:rPr>
              <w:noBreakHyphen/>
              <w:t>2</w:t>
            </w:r>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Déclarations de culpabilité relativement à deux chefs de meurtre au deuxième degré</w:t>
            </w: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31 mai 2019</w:t>
            </w:r>
          </w:p>
          <w:p w:rsidR="00AB75C1" w:rsidRPr="00F55576" w:rsidRDefault="00AB75C1" w:rsidP="00BA4C4D">
            <w:pPr>
              <w:jc w:val="both"/>
              <w:rPr>
                <w:sz w:val="20"/>
                <w:lang w:val="fr-CA"/>
              </w:rPr>
            </w:pPr>
            <w:r w:rsidRPr="00F55576">
              <w:rPr>
                <w:sz w:val="20"/>
                <w:lang w:val="fr-CA"/>
              </w:rPr>
              <w:t>Cour suprême du Canada</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Dépôt de la requête en prorogation du délai de signification et de dépôt de la demande d’autorisation d’appel et de la demande d’autorisation d’appel</w:t>
            </w:r>
          </w:p>
        </w:tc>
      </w:tr>
    </w:tbl>
    <w:p w:rsidR="00AB75C1" w:rsidRPr="00F55576" w:rsidRDefault="00AB75C1" w:rsidP="00AB75C1">
      <w:pPr>
        <w:jc w:val="both"/>
        <w:rPr>
          <w:sz w:val="20"/>
          <w:lang w:val="fr-CA"/>
        </w:rPr>
      </w:pPr>
    </w:p>
    <w:p w:rsidR="00AB75C1" w:rsidRPr="00F55576" w:rsidRDefault="007B1953" w:rsidP="00AB75C1">
      <w:pPr>
        <w:ind w:left="142" w:hanging="142"/>
        <w:jc w:val="both"/>
        <w:rPr>
          <w:sz w:val="20"/>
        </w:rPr>
      </w:pPr>
      <w:r>
        <w:rPr>
          <w:sz w:val="20"/>
        </w:rPr>
        <w:pict>
          <v:rect id="_x0000_i1035" style="width:2in;height:1pt" o:hrpct="0" o:hralign="center" o:hrstd="t" o:hrnoshade="t" o:hr="t" fillcolor="black [3213]" stroked="f"/>
        </w:pict>
      </w:r>
    </w:p>
    <w:p w:rsidR="00AB75C1" w:rsidRPr="00F55576" w:rsidRDefault="00AB75C1" w:rsidP="00AB75C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t>38769</w:t>
            </w:r>
          </w:p>
        </w:tc>
        <w:tc>
          <w:tcPr>
            <w:tcW w:w="4457" w:type="pct"/>
          </w:tcPr>
          <w:p w:rsidR="00AB75C1" w:rsidRPr="00F55576" w:rsidRDefault="00AB75C1" w:rsidP="00BA4C4D">
            <w:pPr>
              <w:pStyle w:val="SCCLsocParty"/>
              <w:jc w:val="both"/>
              <w:rPr>
                <w:b/>
                <w:sz w:val="20"/>
                <w:szCs w:val="20"/>
                <w:lang w:val="en-CA"/>
              </w:rPr>
            </w:pPr>
            <w:r w:rsidRPr="00F55576">
              <w:rPr>
                <w:b/>
                <w:sz w:val="20"/>
                <w:szCs w:val="20"/>
                <w:lang w:val="en-CA"/>
              </w:rPr>
              <w:t>Placements Antis inc. and Claudia Russo v. Raymond Chabot inc.</w:t>
            </w:r>
          </w:p>
          <w:p w:rsidR="00AB75C1" w:rsidRPr="00F55576" w:rsidRDefault="00AB75C1" w:rsidP="00BA4C4D">
            <w:pPr>
              <w:pStyle w:val="SCCLsocOtherPartySeparator"/>
              <w:rPr>
                <w:sz w:val="20"/>
                <w:szCs w:val="20"/>
                <w:lang w:val="en-CA"/>
              </w:rPr>
            </w:pPr>
            <w:r w:rsidRPr="00F55576">
              <w:rPr>
                <w:sz w:val="20"/>
                <w:szCs w:val="20"/>
                <w:lang w:val="en-CA"/>
              </w:rPr>
              <w:t>- and -</w:t>
            </w:r>
          </w:p>
          <w:p w:rsidR="00AB75C1" w:rsidRPr="00F55576" w:rsidRDefault="00AB75C1" w:rsidP="00BA4C4D">
            <w:pPr>
              <w:pStyle w:val="SCCLsocParty"/>
              <w:jc w:val="both"/>
              <w:rPr>
                <w:b/>
                <w:sz w:val="20"/>
                <w:szCs w:val="20"/>
                <w:lang w:val="en-CA"/>
              </w:rPr>
            </w:pPr>
            <w:r w:rsidRPr="00F55576">
              <w:rPr>
                <w:b/>
                <w:sz w:val="20"/>
                <w:szCs w:val="20"/>
                <w:lang w:val="en-CA"/>
              </w:rPr>
              <w:t>Royal Bank of Canada</w:t>
            </w:r>
            <w:r w:rsidR="000E3F13" w:rsidRPr="00F55576">
              <w:rPr>
                <w:b/>
                <w:sz w:val="20"/>
                <w:szCs w:val="20"/>
                <w:lang w:val="en-CA"/>
              </w:rPr>
              <w:t xml:space="preserve"> and</w:t>
            </w:r>
            <w:r w:rsidRPr="00F55576">
              <w:rPr>
                <w:b/>
                <w:sz w:val="20"/>
                <w:szCs w:val="20"/>
                <w:lang w:val="en-CA"/>
              </w:rPr>
              <w:t xml:space="preserve"> Toronto-Dominion Bank</w:t>
            </w:r>
          </w:p>
          <w:p w:rsidR="00AB75C1" w:rsidRPr="00F55576" w:rsidRDefault="00AB75C1" w:rsidP="00BA4C4D">
            <w:pPr>
              <w:jc w:val="both"/>
              <w:rPr>
                <w:sz w:val="20"/>
              </w:rPr>
            </w:pPr>
            <w:r w:rsidRPr="00F55576">
              <w:rPr>
                <w:sz w:val="20"/>
              </w:rPr>
              <w:t>(Que.) (Civil) (By Leave)</w:t>
            </w:r>
          </w:p>
        </w:tc>
      </w:tr>
      <w:tr w:rsidR="00834E76" w:rsidRPr="00F55576" w:rsidTr="00BA4C4D">
        <w:tc>
          <w:tcPr>
            <w:tcW w:w="5000" w:type="pct"/>
            <w:gridSpan w:val="2"/>
          </w:tcPr>
          <w:p w:rsidR="00834E76" w:rsidRPr="00F55576" w:rsidRDefault="00CD5B3A" w:rsidP="00BA4C4D">
            <w:pPr>
              <w:jc w:val="both"/>
              <w:rPr>
                <w:sz w:val="20"/>
                <w:szCs w:val="20"/>
              </w:rPr>
            </w:pPr>
            <w:r w:rsidRPr="00F55576">
              <w:rPr>
                <w:sz w:val="20"/>
                <w:szCs w:val="20"/>
              </w:rPr>
              <w:t xml:space="preserve">The motion for an extension of time to serve the response to the application for leave to appeal to the interveners is granted. The application for leave to appeal from the judgment of the </w:t>
            </w:r>
            <w:r w:rsidRPr="00F55576">
              <w:rPr>
                <w:sz w:val="20"/>
                <w:szCs w:val="20"/>
                <w:lang w:val="en-US"/>
              </w:rPr>
              <w:t>Court of Appeal of Quebec (Montréal)</w:t>
            </w:r>
            <w:r w:rsidRPr="00F55576">
              <w:rPr>
                <w:sz w:val="20"/>
                <w:szCs w:val="20"/>
              </w:rPr>
              <w:t xml:space="preserve">, Number </w:t>
            </w:r>
            <w:r w:rsidRPr="00F55576">
              <w:rPr>
                <w:sz w:val="20"/>
                <w:szCs w:val="20"/>
                <w:lang w:val="en-US"/>
              </w:rPr>
              <w:t>500-09-027198-175</w:t>
            </w:r>
            <w:r w:rsidRPr="00F55576">
              <w:rPr>
                <w:sz w:val="20"/>
                <w:szCs w:val="20"/>
              </w:rPr>
              <w:t xml:space="preserve">,  </w:t>
            </w:r>
            <w:r w:rsidRPr="00F55576">
              <w:rPr>
                <w:sz w:val="20"/>
                <w:szCs w:val="20"/>
                <w:lang w:val="en-US"/>
              </w:rPr>
              <w:t xml:space="preserve">2019 QCCA 963, </w:t>
            </w:r>
            <w:r w:rsidRPr="00F55576">
              <w:rPr>
                <w:sz w:val="20"/>
                <w:szCs w:val="20"/>
              </w:rPr>
              <w:t xml:space="preserve">dated </w:t>
            </w:r>
            <w:r w:rsidRPr="00F55576">
              <w:rPr>
                <w:sz w:val="20"/>
                <w:szCs w:val="20"/>
                <w:lang w:val="en-US"/>
              </w:rPr>
              <w:t>June 4, 2019,</w:t>
            </w:r>
            <w:r w:rsidRPr="00F55576">
              <w:rPr>
                <w:sz w:val="20"/>
                <w:szCs w:val="20"/>
              </w:rPr>
              <w:t xml:space="preserve"> is dismissed with costs to the respondent, Raymond Chabot inc.</w:t>
            </w:r>
          </w:p>
          <w:p w:rsidR="00834E76" w:rsidRPr="00F55576" w:rsidRDefault="00834E76" w:rsidP="00BA4C4D">
            <w:pPr>
              <w:jc w:val="both"/>
              <w:rPr>
                <w:sz w:val="20"/>
              </w:rPr>
            </w:pPr>
          </w:p>
        </w:tc>
      </w:tr>
    </w:tbl>
    <w:p w:rsidR="00AB5529" w:rsidRPr="00F55576" w:rsidRDefault="00AB5529">
      <w:r w:rsidRPr="00F5557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5C1" w:rsidRPr="00F55576" w:rsidTr="00BA4C4D">
        <w:tc>
          <w:tcPr>
            <w:tcW w:w="5000" w:type="pct"/>
            <w:gridSpan w:val="3"/>
          </w:tcPr>
          <w:p w:rsidR="00AB75C1" w:rsidRPr="00F55576" w:rsidRDefault="00AB75C1" w:rsidP="00BA4C4D">
            <w:pPr>
              <w:jc w:val="both"/>
              <w:rPr>
                <w:sz w:val="20"/>
              </w:rPr>
            </w:pPr>
            <w:r w:rsidRPr="00F55576">
              <w:rPr>
                <w:sz w:val="20"/>
              </w:rPr>
              <w:lastRenderedPageBreak/>
              <w:t xml:space="preserve">Bankruptcy and insolvency ⸺ Trustee ⸺ Bankrupt granting hypothecs in year preceding bankruptcy ⸺ Trustee applying for declaration that hypothecs could not be set up against it ⸺ Preference ⸺ Whether Court of Appeal erred in concluding that bankrupt became solidary debtor of Les Placements Antis inc. once promissory notes were signed ⸺ Whether Court of Appeal erred in concluding that hypothecs granted to Les Placements Antis inc. at same time that promissory notes were signed constituted preference within meaning of s. 95(1)(b) of </w:t>
            </w:r>
            <w:r w:rsidRPr="00F55576">
              <w:rPr>
                <w:i/>
                <w:sz w:val="20"/>
              </w:rPr>
              <w:t>Bankruptcy and Insolvency Act</w:t>
            </w:r>
            <w:r w:rsidRPr="00F55576">
              <w:rPr>
                <w:sz w:val="20"/>
              </w:rPr>
              <w:t>, R.S.C. 1985, c. B</w:t>
            </w:r>
            <w:r w:rsidRPr="00F55576">
              <w:rPr>
                <w:sz w:val="20"/>
              </w:rPr>
              <w:noBreakHyphen/>
              <w:t xml:space="preserve">3 ⸺ Sections 2, 4, 95 and 121 of </w:t>
            </w:r>
            <w:r w:rsidRPr="00F55576">
              <w:rPr>
                <w:i/>
                <w:sz w:val="20"/>
              </w:rPr>
              <w:t>Bankruptcy and Insolvency Act</w:t>
            </w:r>
            <w:r w:rsidRPr="00F55576">
              <w:rPr>
                <w:sz w:val="20"/>
              </w:rPr>
              <w:t>, R.S.C. 1985, c. B</w:t>
            </w:r>
            <w:r w:rsidRPr="00F55576">
              <w:rPr>
                <w:sz w:val="20"/>
              </w:rPr>
              <w:noBreakHyphen/>
              <w:t>3.</w:t>
            </w:r>
          </w:p>
        </w:tc>
      </w:tr>
      <w:tr w:rsidR="00AB75C1" w:rsidRPr="00F55576" w:rsidTr="00BA4C4D">
        <w:tc>
          <w:tcPr>
            <w:tcW w:w="5000" w:type="pct"/>
            <w:gridSpan w:val="3"/>
          </w:tcPr>
          <w:p w:rsidR="00AB75C1" w:rsidRPr="00F55576" w:rsidRDefault="00AB75C1" w:rsidP="00BA4C4D">
            <w:pPr>
              <w:jc w:val="both"/>
              <w:rPr>
                <w:sz w:val="20"/>
              </w:rPr>
            </w:pPr>
          </w:p>
        </w:tc>
      </w:tr>
      <w:tr w:rsidR="00AB75C1" w:rsidRPr="00F55576" w:rsidTr="00BA4C4D">
        <w:tc>
          <w:tcPr>
            <w:tcW w:w="5000" w:type="pct"/>
            <w:gridSpan w:val="3"/>
          </w:tcPr>
          <w:p w:rsidR="00AB75C1" w:rsidRPr="00F55576" w:rsidRDefault="00AB75C1" w:rsidP="00BA4C4D">
            <w:pPr>
              <w:jc w:val="both"/>
              <w:rPr>
                <w:sz w:val="20"/>
              </w:rPr>
            </w:pPr>
            <w:r w:rsidRPr="00F55576">
              <w:rPr>
                <w:sz w:val="20"/>
              </w:rPr>
              <w:t xml:space="preserve">Michael Mazzaferro, the bankrupt debtor in this case, was the principal shareholder and director of three companies specializing in the preparation of frozen pizza, which were declared bankrupt by judgment dated December 22, 2015. In December 2014, when the companies had already obtained, with their principal shareholder, several agreements for an extension of time in order to remedy defaults in payment, and when an application to appoint a receiver was pending before the courts, Mr. Mazzaferro was replaced as the president of the companies. At the same time, the applicant Les Placements Antis inc., which was controlled by the parents of Mr. Mazzaferro’s spouse, the applicant Claudia Russo, obtained two promissory notes: one for $5,656,255 issued by Les Placements Letizia inc. (a company controlled by Ms. Russo) and a second for $3,500,000 issued by Mazzaruss inc. (a company controlled by Mr. Mazzaferro). The two promissory notes were guaranteed personally by Mr. Mazzaferro and Ms. Russo, who agreed the same day to grant hypothecs on their properties in Senneville and Florida. The purpose of the notes was allegedly to safeguard advances of funds made to Les Placements Letizia inc. and Mazzaruss inc. On November 30, 2015, Mr. Mazzaferro declared bankruptcy and the respondent Raymond Chabot inc. was appointed trustee. The trustee then sought to exercise its </w:t>
            </w:r>
            <w:proofErr w:type="spellStart"/>
            <w:r w:rsidRPr="00F55576">
              <w:rPr>
                <w:sz w:val="20"/>
              </w:rPr>
              <w:t>seisin</w:t>
            </w:r>
            <w:proofErr w:type="spellEnd"/>
            <w:r w:rsidRPr="00F55576">
              <w:rPr>
                <w:sz w:val="20"/>
              </w:rPr>
              <w:t xml:space="preserve"> of Mr. Mazzaferro’s undivided share of the properties in Senneville and Florida. It applied for a declaration that the hypothecs granted by Mr. Mazzaferro to Les Placements Antis inc. could not be set up against it because they constituted a preference given to related persons pursuant to s. 95(1</w:t>
            </w:r>
            <w:proofErr w:type="gramStart"/>
            <w:r w:rsidRPr="00F55576">
              <w:rPr>
                <w:sz w:val="20"/>
              </w:rPr>
              <w:t>)(</w:t>
            </w:r>
            <w:proofErr w:type="gramEnd"/>
            <w:r w:rsidRPr="00F55576">
              <w:rPr>
                <w:sz w:val="20"/>
              </w:rPr>
              <w:t xml:space="preserve">b) of the </w:t>
            </w:r>
            <w:r w:rsidRPr="00F55576">
              <w:rPr>
                <w:i/>
                <w:sz w:val="20"/>
              </w:rPr>
              <w:t>Bankruptcy and Insolvency Act</w:t>
            </w:r>
            <w:r w:rsidRPr="00F55576">
              <w:rPr>
                <w:sz w:val="20"/>
              </w:rPr>
              <w:t>, R.S.C. 1985, c. B</w:t>
            </w:r>
            <w:r w:rsidRPr="00F55576">
              <w:rPr>
                <w:sz w:val="20"/>
              </w:rPr>
              <w:noBreakHyphen/>
              <w:t>3. The Superior Court dismissed the trustee’s application. The Court of Appeal allowed the appeal, set aside the trial decision and declared that the two deeds of hypothec on Mr. Mazzaferro’s properties could not be set up against the trustee.</w:t>
            </w:r>
          </w:p>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November 20, 2017</w:t>
            </w:r>
          </w:p>
          <w:p w:rsidR="00AB75C1" w:rsidRPr="00F55576" w:rsidRDefault="00AB75C1" w:rsidP="00BA4C4D">
            <w:pPr>
              <w:jc w:val="both"/>
              <w:rPr>
                <w:sz w:val="20"/>
              </w:rPr>
            </w:pPr>
            <w:r w:rsidRPr="00F55576">
              <w:rPr>
                <w:sz w:val="20"/>
              </w:rPr>
              <w:t>Quebec Superior Court</w:t>
            </w:r>
          </w:p>
          <w:p w:rsidR="00AB75C1" w:rsidRPr="00F55576" w:rsidRDefault="00AB75C1" w:rsidP="00BA4C4D">
            <w:pPr>
              <w:jc w:val="both"/>
              <w:rPr>
                <w:sz w:val="20"/>
              </w:rPr>
            </w:pPr>
            <w:r w:rsidRPr="00F55576">
              <w:rPr>
                <w:sz w:val="20"/>
              </w:rPr>
              <w:t>(Michaud J.)</w:t>
            </w:r>
          </w:p>
          <w:p w:rsidR="00AB75C1" w:rsidRPr="00F55576" w:rsidRDefault="007B1953" w:rsidP="00BA4C4D">
            <w:pPr>
              <w:jc w:val="both"/>
              <w:rPr>
                <w:sz w:val="20"/>
              </w:rPr>
            </w:pPr>
            <w:hyperlink r:id="rId23" w:history="1">
              <w:r w:rsidR="00AB75C1" w:rsidRPr="00F55576">
                <w:rPr>
                  <w:rStyle w:val="Hyperlink"/>
                  <w:sz w:val="20"/>
                </w:rPr>
                <w:t>2017 QCCS 5250</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Application for declaration that preference could not be set up against trustee and for order for partition of undivided immovable dismissed</w:t>
            </w:r>
          </w:p>
        </w:tc>
      </w:tr>
      <w:tr w:rsidR="00AB75C1" w:rsidRPr="00F55576" w:rsidTr="00BA4C4D">
        <w:tc>
          <w:tcPr>
            <w:tcW w:w="2427" w:type="pct"/>
          </w:tcPr>
          <w:p w:rsidR="00AB75C1" w:rsidRPr="00F55576" w:rsidRDefault="00AB75C1" w:rsidP="00BA4C4D">
            <w:pPr>
              <w:jc w:val="both"/>
              <w:rPr>
                <w:sz w:val="20"/>
              </w:rPr>
            </w:pPr>
            <w:r w:rsidRPr="00F55576">
              <w:rPr>
                <w:sz w:val="20"/>
              </w:rPr>
              <w:t>June 4, 2019</w:t>
            </w:r>
          </w:p>
          <w:p w:rsidR="00AB75C1" w:rsidRPr="00F55576" w:rsidRDefault="00AB75C1" w:rsidP="00BA4C4D">
            <w:pPr>
              <w:jc w:val="both"/>
              <w:rPr>
                <w:sz w:val="20"/>
              </w:rPr>
            </w:pPr>
            <w:r w:rsidRPr="00F55576">
              <w:rPr>
                <w:sz w:val="20"/>
              </w:rPr>
              <w:t>Quebec Court of Appeal (Montréal)</w:t>
            </w:r>
          </w:p>
          <w:p w:rsidR="00AB75C1" w:rsidRPr="00F55576" w:rsidRDefault="00AB75C1" w:rsidP="00BA4C4D">
            <w:pPr>
              <w:jc w:val="both"/>
              <w:rPr>
                <w:sz w:val="20"/>
              </w:rPr>
            </w:pPr>
            <w:r w:rsidRPr="00F55576">
              <w:rPr>
                <w:sz w:val="20"/>
              </w:rPr>
              <w:t xml:space="preserve">(Bélanger, </w:t>
            </w:r>
            <w:proofErr w:type="spellStart"/>
            <w:r w:rsidRPr="00F55576">
              <w:rPr>
                <w:sz w:val="20"/>
              </w:rPr>
              <w:t>Vauclair</w:t>
            </w:r>
            <w:proofErr w:type="spellEnd"/>
            <w:r w:rsidRPr="00F55576">
              <w:rPr>
                <w:sz w:val="20"/>
              </w:rPr>
              <w:t xml:space="preserve"> and Hamilton JJ.A.)</w:t>
            </w:r>
          </w:p>
          <w:p w:rsidR="00AB75C1" w:rsidRPr="00F55576" w:rsidRDefault="007B1953" w:rsidP="00BA4C4D">
            <w:pPr>
              <w:jc w:val="both"/>
              <w:rPr>
                <w:sz w:val="20"/>
              </w:rPr>
            </w:pPr>
            <w:hyperlink r:id="rId24" w:history="1">
              <w:r w:rsidR="00AB75C1" w:rsidRPr="00F55576">
                <w:rPr>
                  <w:rStyle w:val="Hyperlink"/>
                  <w:sz w:val="20"/>
                </w:rPr>
                <w:t>2019 QCCA 963</w:t>
              </w:r>
            </w:hyperlink>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Appeal allowed</w:t>
            </w:r>
          </w:p>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August 19, 2019</w:t>
            </w:r>
          </w:p>
          <w:p w:rsidR="00AB75C1" w:rsidRPr="00F55576" w:rsidRDefault="00AB75C1" w:rsidP="00BA4C4D">
            <w:pPr>
              <w:jc w:val="both"/>
              <w:rPr>
                <w:sz w:val="20"/>
              </w:rPr>
            </w:pPr>
            <w:r w:rsidRPr="00F55576">
              <w:rPr>
                <w:sz w:val="20"/>
              </w:rPr>
              <w:t>Supreme Court of Canada</w:t>
            </w: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Application for leave to appeal filed</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36" style="width:2in;height:1pt" o:hrpct="0" o:hralign="center" o:hrstd="t" o:hrnoshade="t" o:hr="t" fillcolor="black [3213]" stroked="f"/>
        </w:pict>
      </w:r>
    </w:p>
    <w:p w:rsidR="00AB75C1" w:rsidRPr="00F55576" w:rsidRDefault="00AB75C1" w:rsidP="00AB75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t>38769</w:t>
            </w:r>
          </w:p>
        </w:tc>
        <w:tc>
          <w:tcPr>
            <w:tcW w:w="4457" w:type="pct"/>
          </w:tcPr>
          <w:p w:rsidR="00AB75C1" w:rsidRPr="00F55576" w:rsidRDefault="00AB75C1" w:rsidP="00BA4C4D">
            <w:pPr>
              <w:pStyle w:val="SCCLsocParty"/>
              <w:jc w:val="both"/>
              <w:rPr>
                <w:b/>
                <w:sz w:val="20"/>
                <w:szCs w:val="20"/>
              </w:rPr>
            </w:pPr>
            <w:r w:rsidRPr="00F55576">
              <w:rPr>
                <w:b/>
                <w:sz w:val="20"/>
                <w:szCs w:val="20"/>
              </w:rPr>
              <w:t>Placements Antis inc. et Claudia Russo c. Raymond Chabot inc.</w:t>
            </w:r>
          </w:p>
          <w:p w:rsidR="00AB75C1" w:rsidRPr="00F55576" w:rsidRDefault="00AB75C1" w:rsidP="00BA4C4D">
            <w:pPr>
              <w:pStyle w:val="SCCLsocOtherPartySeparator"/>
              <w:rPr>
                <w:sz w:val="20"/>
                <w:szCs w:val="20"/>
                <w:lang w:val="fr-CA"/>
              </w:rPr>
            </w:pPr>
            <w:r w:rsidRPr="00F55576">
              <w:rPr>
                <w:sz w:val="20"/>
                <w:szCs w:val="20"/>
                <w:lang w:val="fr-CA"/>
              </w:rPr>
              <w:t>- et -</w:t>
            </w:r>
          </w:p>
          <w:p w:rsidR="00AB75C1" w:rsidRPr="00F55576" w:rsidRDefault="00AB75C1" w:rsidP="00BA4C4D">
            <w:pPr>
              <w:pStyle w:val="SCCLsocParty"/>
              <w:jc w:val="both"/>
              <w:rPr>
                <w:b/>
                <w:sz w:val="20"/>
                <w:szCs w:val="20"/>
              </w:rPr>
            </w:pPr>
            <w:r w:rsidRPr="00F55576">
              <w:rPr>
                <w:b/>
                <w:sz w:val="20"/>
                <w:szCs w:val="20"/>
              </w:rPr>
              <w:t>Banque Royale du Canada</w:t>
            </w:r>
            <w:r w:rsidR="000E3F13" w:rsidRPr="00F55576">
              <w:rPr>
                <w:b/>
                <w:sz w:val="20"/>
                <w:szCs w:val="20"/>
              </w:rPr>
              <w:t xml:space="preserve"> et</w:t>
            </w:r>
            <w:r w:rsidRPr="00F55576">
              <w:rPr>
                <w:b/>
                <w:sz w:val="20"/>
                <w:szCs w:val="20"/>
              </w:rPr>
              <w:t xml:space="preserve"> Banque Toronto-Dominion</w:t>
            </w:r>
          </w:p>
          <w:p w:rsidR="00AB75C1" w:rsidRPr="00F55576" w:rsidRDefault="00AB75C1" w:rsidP="00BA4C4D">
            <w:pPr>
              <w:jc w:val="both"/>
              <w:rPr>
                <w:sz w:val="20"/>
              </w:rPr>
            </w:pPr>
            <w:r w:rsidRPr="00F55576">
              <w:rPr>
                <w:sz w:val="20"/>
              </w:rPr>
              <w:t>(Qc) (Civile) (Autorisation)</w:t>
            </w:r>
          </w:p>
        </w:tc>
      </w:tr>
      <w:tr w:rsidR="00834E76" w:rsidRPr="008042C9" w:rsidTr="00BA4C4D">
        <w:tc>
          <w:tcPr>
            <w:tcW w:w="5000" w:type="pct"/>
            <w:gridSpan w:val="2"/>
          </w:tcPr>
          <w:p w:rsidR="00834E76" w:rsidRPr="00F55576" w:rsidRDefault="005C2BAE" w:rsidP="00BA4C4D">
            <w:pPr>
              <w:jc w:val="both"/>
              <w:rPr>
                <w:sz w:val="20"/>
                <w:szCs w:val="20"/>
                <w:lang w:val="fr-CA"/>
              </w:rPr>
            </w:pPr>
            <w:r w:rsidRPr="00F55576">
              <w:rPr>
                <w:sz w:val="20"/>
                <w:szCs w:val="20"/>
                <w:lang w:val="fr-CA"/>
              </w:rPr>
              <w:t>La requête en prorogation de délai de signification de la réponse à la demande d’autorisation d’appel aux intervenantes est accueillie. La demande d’autorisation d’appel de l’arrêt de la Cour d’appel du Québec (Montréal), numéro 500-09-027198-175, 2019 QCCA 963, daté du 4 juin 2019, est rejetée avec dépens en faveur de l’intimée, Raymond Chabot inc.</w:t>
            </w:r>
          </w:p>
          <w:p w:rsidR="00834E76" w:rsidRPr="00F55576" w:rsidRDefault="00834E76" w:rsidP="00BA4C4D">
            <w:pPr>
              <w:jc w:val="both"/>
              <w:rPr>
                <w:sz w:val="20"/>
                <w:lang w:val="fr-CA"/>
              </w:rPr>
            </w:pPr>
          </w:p>
        </w:tc>
      </w:tr>
    </w:tbl>
    <w:p w:rsidR="00E337D9" w:rsidRPr="00F55576" w:rsidRDefault="00E337D9">
      <w:pPr>
        <w:rPr>
          <w:lang w:val="fr-CA"/>
        </w:rPr>
      </w:pPr>
      <w:r w:rsidRPr="00F5557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5C1" w:rsidRPr="008042C9" w:rsidTr="00BA4C4D">
        <w:tc>
          <w:tcPr>
            <w:tcW w:w="5000" w:type="pct"/>
            <w:gridSpan w:val="3"/>
          </w:tcPr>
          <w:p w:rsidR="00AB75C1" w:rsidRPr="00F55576" w:rsidRDefault="00AB75C1" w:rsidP="00BA4C4D">
            <w:pPr>
              <w:jc w:val="both"/>
              <w:rPr>
                <w:sz w:val="20"/>
                <w:lang w:val="fr-CA"/>
              </w:rPr>
            </w:pPr>
            <w:r w:rsidRPr="00F55576">
              <w:rPr>
                <w:sz w:val="20"/>
                <w:lang w:val="fr-CA"/>
              </w:rPr>
              <w:lastRenderedPageBreak/>
              <w:t xml:space="preserve">Faillite et insolvabilité </w:t>
            </w:r>
            <w:r w:rsidRPr="00F55576">
              <w:rPr>
                <w:sz w:val="20"/>
              </w:rPr>
              <w:t>⸺</w:t>
            </w:r>
            <w:r w:rsidRPr="00F55576">
              <w:rPr>
                <w:sz w:val="20"/>
                <w:lang w:val="fr-CA"/>
              </w:rPr>
              <w:t xml:space="preserve"> Syndic </w:t>
            </w:r>
            <w:r w:rsidRPr="00F55576">
              <w:rPr>
                <w:sz w:val="20"/>
              </w:rPr>
              <w:t>⸺</w:t>
            </w:r>
            <w:r w:rsidRPr="00F55576">
              <w:rPr>
                <w:sz w:val="20"/>
                <w:lang w:val="fr-CA"/>
              </w:rPr>
              <w:t xml:space="preserve"> Hypothèques consenties par le failli dans l’année précédant sa faillite </w:t>
            </w:r>
            <w:r w:rsidRPr="00F55576">
              <w:rPr>
                <w:sz w:val="20"/>
              </w:rPr>
              <w:t>⸺</w:t>
            </w:r>
            <w:r w:rsidRPr="00F55576">
              <w:rPr>
                <w:sz w:val="20"/>
                <w:lang w:val="fr-CA"/>
              </w:rPr>
              <w:t xml:space="preserve"> Syndic demandant que ces hypothèques lui soient déclarées inopposables </w:t>
            </w:r>
            <w:r w:rsidRPr="00F55576">
              <w:rPr>
                <w:sz w:val="20"/>
              </w:rPr>
              <w:t>⸺</w:t>
            </w:r>
            <w:r w:rsidRPr="00F55576">
              <w:rPr>
                <w:sz w:val="20"/>
                <w:lang w:val="fr-CA"/>
              </w:rPr>
              <w:t xml:space="preserve"> Traitement préférentiel </w:t>
            </w:r>
            <w:r w:rsidRPr="00F55576">
              <w:rPr>
                <w:sz w:val="20"/>
              </w:rPr>
              <w:t>⸺</w:t>
            </w:r>
            <w:r w:rsidRPr="00F55576">
              <w:rPr>
                <w:sz w:val="20"/>
                <w:lang w:val="fr-CA"/>
              </w:rPr>
              <w:t xml:space="preserve"> La Cour d’appel a</w:t>
            </w:r>
            <w:r w:rsidRPr="00F55576">
              <w:rPr>
                <w:sz w:val="20"/>
                <w:lang w:val="fr-CA"/>
              </w:rPr>
              <w:noBreakHyphen/>
              <w:t>t</w:t>
            </w:r>
            <w:r w:rsidRPr="00F55576">
              <w:rPr>
                <w:sz w:val="20"/>
                <w:lang w:val="fr-CA"/>
              </w:rPr>
              <w:noBreakHyphen/>
              <w:t xml:space="preserve">elle erré en concluant que le failli est devenu débiteur solidaire de Les Placements Antis inc. dès la souscription des billets promissoires? </w:t>
            </w:r>
            <w:r w:rsidRPr="00F55576">
              <w:rPr>
                <w:sz w:val="20"/>
              </w:rPr>
              <w:t>⸺</w:t>
            </w:r>
            <w:r w:rsidRPr="00F55576">
              <w:rPr>
                <w:sz w:val="20"/>
                <w:lang w:val="fr-CA"/>
              </w:rPr>
              <w:t xml:space="preserve"> La Cour d’appel a</w:t>
            </w:r>
            <w:r w:rsidRPr="00F55576">
              <w:rPr>
                <w:sz w:val="20"/>
                <w:lang w:val="fr-CA"/>
              </w:rPr>
              <w:noBreakHyphen/>
              <w:t>t</w:t>
            </w:r>
            <w:r w:rsidRPr="00F55576">
              <w:rPr>
                <w:sz w:val="20"/>
                <w:lang w:val="fr-CA"/>
              </w:rPr>
              <w:noBreakHyphen/>
              <w:t xml:space="preserve">elle erré en concluant que les hypothèques consenties en faveur de Les Placements Antis inc. de façon contemporaine à la souscription des billets promissoires constituent un traitement préférentiel au sens de l’art. 95(1)b) de la </w:t>
            </w:r>
            <w:r w:rsidRPr="00F55576">
              <w:rPr>
                <w:i/>
                <w:sz w:val="20"/>
                <w:lang w:val="fr-CA"/>
              </w:rPr>
              <w:t>Loi sur la faillite et l'insolvabilité</w:t>
            </w:r>
            <w:r w:rsidRPr="00F55576">
              <w:rPr>
                <w:sz w:val="20"/>
                <w:lang w:val="fr-CA"/>
              </w:rPr>
              <w:t>, L.R.C. 1985, c B</w:t>
            </w:r>
            <w:r w:rsidRPr="00F55576">
              <w:rPr>
                <w:sz w:val="20"/>
                <w:lang w:val="fr-CA"/>
              </w:rPr>
              <w:noBreakHyphen/>
              <w:t xml:space="preserve">3? </w:t>
            </w:r>
            <w:r w:rsidRPr="00F55576">
              <w:rPr>
                <w:sz w:val="20"/>
              </w:rPr>
              <w:t>⸺</w:t>
            </w:r>
            <w:r w:rsidRPr="00F55576">
              <w:rPr>
                <w:sz w:val="20"/>
                <w:lang w:val="fr-CA"/>
              </w:rPr>
              <w:t xml:space="preserve"> Art. 2, 4, 95 et 121, </w:t>
            </w:r>
            <w:r w:rsidRPr="00F55576">
              <w:rPr>
                <w:i/>
                <w:sz w:val="20"/>
                <w:lang w:val="fr-CA"/>
              </w:rPr>
              <w:t>Loi sur la faillite et l'insolvabilité</w:t>
            </w:r>
            <w:r w:rsidRPr="00F55576">
              <w:rPr>
                <w:sz w:val="20"/>
                <w:lang w:val="fr-CA"/>
              </w:rPr>
              <w:t>, L.R.C. 1985, c B</w:t>
            </w:r>
            <w:r w:rsidRPr="00F55576">
              <w:rPr>
                <w:sz w:val="20"/>
                <w:lang w:val="fr-CA"/>
              </w:rPr>
              <w:noBreakHyphen/>
              <w:t>3.</w:t>
            </w:r>
          </w:p>
        </w:tc>
      </w:tr>
      <w:tr w:rsidR="00AB75C1" w:rsidRPr="008042C9" w:rsidTr="00BA4C4D">
        <w:tc>
          <w:tcPr>
            <w:tcW w:w="5000" w:type="pct"/>
            <w:gridSpan w:val="3"/>
          </w:tcPr>
          <w:p w:rsidR="00AB75C1" w:rsidRPr="00F55576" w:rsidRDefault="00AB75C1" w:rsidP="00BA4C4D">
            <w:pPr>
              <w:jc w:val="both"/>
              <w:rPr>
                <w:sz w:val="20"/>
                <w:lang w:val="fr-CA"/>
              </w:rPr>
            </w:pPr>
          </w:p>
        </w:tc>
      </w:tr>
      <w:tr w:rsidR="00AB75C1" w:rsidRPr="008042C9" w:rsidTr="00BA4C4D">
        <w:tc>
          <w:tcPr>
            <w:tcW w:w="5000" w:type="pct"/>
            <w:gridSpan w:val="3"/>
          </w:tcPr>
          <w:p w:rsidR="00AB75C1" w:rsidRPr="00F55576" w:rsidRDefault="00AB75C1" w:rsidP="00BA4C4D">
            <w:pPr>
              <w:jc w:val="both"/>
              <w:rPr>
                <w:sz w:val="20"/>
                <w:lang w:val="fr-CA"/>
              </w:rPr>
            </w:pPr>
            <w:r w:rsidRPr="00F55576">
              <w:rPr>
                <w:sz w:val="20"/>
                <w:lang w:val="fr-CA"/>
              </w:rPr>
              <w:t>M. Michael Mazzaferro, débiteur</w:t>
            </w:r>
            <w:r w:rsidRPr="00F55576">
              <w:rPr>
                <w:sz w:val="20"/>
                <w:lang w:val="fr-CA"/>
              </w:rPr>
              <w:noBreakHyphen/>
              <w:t xml:space="preserve">failli en l’espèce, était le principal actionnaire et administrateur de trois entreprises spécialisées dans la préparation de pizzas surgelées qui ont été déclarées en faillite par jugement daté du 22 décembre 2015. En décembre 2014, alors que ces entreprises avaient déjà obtenu plusieurs ententes s’atermoiement avec leur principal actionnaire afin de remédier aux défauts de paiement et qu’une demande de nomination d’un séquestre est pendante devant les tribunaux, M. Mazzaferro est remplacé à titre de président des compagnies. À la même époque, la demanderesse, Les Placements Antis inc., sous contrôle des parents de l’épouse de M. Mazzaferro, la demanderesse Mme Claudia Russo, obtient deux billets promissoires : un premier de 5 656 255$ accordé par Les Placements Letizia inc. (une entreprise sous le contrôle de Mme Russo) et un deuxième de 3 500 000$ accordé par Mazzaruss inc. (une entreprise sous le contrôle de M. Mazzaferro). Les deux billets promissoires sont personnellement cautionnés par M. Mazzaferro et Mme Russo qui consentent, la même journée, à ce que des hypothèques grèvent leurs propriétés de Senneville et de Floride. Ces billets viseraient à protéger des avances de fonds faites au bénéfice de Placements Letizia inc. et Mazzaruss inc. Le 30 novembre 2015, M. Mazzaferro fait faillite et l’intimée, Raymond Chabot inc. est nommé syndic. Le syndic cherche alors à exercer sa saisine sur la part indivise de M. Mazzaferro sur les propriétés de Senneville et de la Floride. Il demande que les hypothèques consenties à Les Placements Antis inc. par M. Mazzaferro soient déclarées inopposables au motif qu’il s’agit d’une préférence accordée à des personnes liées aux termes de l’art. 95(1)b) de la </w:t>
            </w:r>
            <w:r w:rsidRPr="00F55576">
              <w:rPr>
                <w:i/>
                <w:sz w:val="20"/>
                <w:lang w:val="fr-CA"/>
              </w:rPr>
              <w:t>Loi sur la faillite et l'insolvabilité</w:t>
            </w:r>
            <w:r w:rsidRPr="00F55576">
              <w:rPr>
                <w:sz w:val="20"/>
                <w:lang w:val="fr-CA"/>
              </w:rPr>
              <w:t>, L.R.C. 1985, c B</w:t>
            </w:r>
            <w:r w:rsidRPr="00F55576">
              <w:rPr>
                <w:sz w:val="20"/>
                <w:lang w:val="fr-CA"/>
              </w:rPr>
              <w:noBreakHyphen/>
              <w:t>3. La Cour supérieure rejette la demande du syndic. La Cour d’appel accueille l’appel, infirme le jugement de première instance et déclare inopposable au syndic les deux actes hypothèques grevant les propriétés de M. Mazzaferro.</w:t>
            </w:r>
          </w:p>
          <w:p w:rsidR="00AB75C1" w:rsidRPr="00F55576" w:rsidRDefault="00AB75C1" w:rsidP="00BA4C4D">
            <w:pPr>
              <w:jc w:val="both"/>
              <w:rPr>
                <w:sz w:val="20"/>
                <w:lang w:val="fr-CA"/>
              </w:rPr>
            </w:pPr>
          </w:p>
        </w:tc>
      </w:tr>
      <w:tr w:rsidR="00AB75C1" w:rsidRPr="008042C9" w:rsidTr="00BA4C4D">
        <w:tc>
          <w:tcPr>
            <w:tcW w:w="2427" w:type="pct"/>
          </w:tcPr>
          <w:p w:rsidR="00AB75C1" w:rsidRPr="00F55576" w:rsidRDefault="00AB75C1" w:rsidP="00BA4C4D">
            <w:pPr>
              <w:jc w:val="both"/>
              <w:rPr>
                <w:sz w:val="20"/>
                <w:lang w:val="fr-CA"/>
              </w:rPr>
            </w:pPr>
            <w:r w:rsidRPr="00F55576">
              <w:rPr>
                <w:sz w:val="20"/>
                <w:lang w:val="fr-CA"/>
              </w:rPr>
              <w:t>Le 20 novembre 2017</w:t>
            </w:r>
          </w:p>
          <w:p w:rsidR="00AB75C1" w:rsidRPr="00F55576" w:rsidRDefault="00AB75C1" w:rsidP="00BA4C4D">
            <w:pPr>
              <w:jc w:val="both"/>
              <w:rPr>
                <w:sz w:val="20"/>
                <w:lang w:val="fr-CA"/>
              </w:rPr>
            </w:pPr>
            <w:r w:rsidRPr="00F55576">
              <w:rPr>
                <w:sz w:val="20"/>
                <w:lang w:val="fr-CA"/>
              </w:rPr>
              <w:t>Cour supérieure du Québec</w:t>
            </w:r>
          </w:p>
          <w:p w:rsidR="00AB75C1" w:rsidRPr="00F55576" w:rsidRDefault="00AB75C1" w:rsidP="00BA4C4D">
            <w:pPr>
              <w:jc w:val="both"/>
              <w:rPr>
                <w:sz w:val="20"/>
              </w:rPr>
            </w:pPr>
            <w:r w:rsidRPr="00F55576">
              <w:rPr>
                <w:sz w:val="20"/>
              </w:rPr>
              <w:t>(Le juge Michaud)</w:t>
            </w:r>
          </w:p>
          <w:p w:rsidR="00AB75C1" w:rsidRPr="00F55576" w:rsidRDefault="007B1953" w:rsidP="00BA4C4D">
            <w:pPr>
              <w:jc w:val="both"/>
              <w:rPr>
                <w:sz w:val="20"/>
              </w:rPr>
            </w:pPr>
            <w:hyperlink r:id="rId25" w:history="1">
              <w:r w:rsidR="00AB75C1" w:rsidRPr="00F55576">
                <w:rPr>
                  <w:rStyle w:val="Hyperlink"/>
                  <w:sz w:val="20"/>
                </w:rPr>
                <w:t>2017 QCCS 5250</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lang w:val="fr-CA"/>
              </w:rPr>
            </w:pPr>
            <w:r w:rsidRPr="00F55576">
              <w:rPr>
                <w:sz w:val="20"/>
                <w:lang w:val="fr-CA"/>
              </w:rPr>
              <w:t>Demande visant à faire déclarer inopposable au syndic un traitement préférentiel et pour ordonner le partage d’un immeuble en indivision rejetée.</w:t>
            </w:r>
          </w:p>
        </w:tc>
      </w:tr>
      <w:tr w:rsidR="00AB75C1" w:rsidRPr="00F55576" w:rsidTr="00BA4C4D">
        <w:tc>
          <w:tcPr>
            <w:tcW w:w="2427" w:type="pct"/>
          </w:tcPr>
          <w:p w:rsidR="00AB75C1" w:rsidRPr="00F55576" w:rsidRDefault="00AB75C1" w:rsidP="00BA4C4D">
            <w:pPr>
              <w:jc w:val="both"/>
              <w:rPr>
                <w:sz w:val="20"/>
                <w:lang w:val="fr-CA"/>
              </w:rPr>
            </w:pPr>
            <w:r w:rsidRPr="00F55576">
              <w:rPr>
                <w:sz w:val="20"/>
                <w:lang w:val="fr-CA"/>
              </w:rPr>
              <w:t>Le 4 juin 2019</w:t>
            </w:r>
          </w:p>
          <w:p w:rsidR="00AB75C1" w:rsidRPr="00F55576" w:rsidRDefault="00AB75C1" w:rsidP="00BA4C4D">
            <w:pPr>
              <w:jc w:val="both"/>
              <w:rPr>
                <w:sz w:val="20"/>
                <w:lang w:val="fr-CA"/>
              </w:rPr>
            </w:pPr>
            <w:r w:rsidRPr="00F55576">
              <w:rPr>
                <w:sz w:val="20"/>
                <w:lang w:val="fr-CA"/>
              </w:rPr>
              <w:t>Cour d’appel du Québec (Montréal)</w:t>
            </w:r>
          </w:p>
          <w:p w:rsidR="00AB75C1" w:rsidRPr="00F55576" w:rsidRDefault="00AB75C1" w:rsidP="00BA4C4D">
            <w:pPr>
              <w:jc w:val="both"/>
              <w:rPr>
                <w:sz w:val="20"/>
                <w:lang w:val="fr-CA"/>
              </w:rPr>
            </w:pPr>
            <w:r w:rsidRPr="00F55576">
              <w:rPr>
                <w:sz w:val="20"/>
                <w:lang w:val="fr-CA"/>
              </w:rPr>
              <w:t xml:space="preserve">(Les juges Bélanger, </w:t>
            </w:r>
            <w:proofErr w:type="spellStart"/>
            <w:r w:rsidRPr="00F55576">
              <w:rPr>
                <w:sz w:val="20"/>
                <w:lang w:val="fr-CA"/>
              </w:rPr>
              <w:t>Vauclair</w:t>
            </w:r>
            <w:proofErr w:type="spellEnd"/>
            <w:r w:rsidRPr="00F55576">
              <w:rPr>
                <w:sz w:val="20"/>
                <w:lang w:val="fr-CA"/>
              </w:rPr>
              <w:t xml:space="preserve"> et Hamilton)</w:t>
            </w:r>
          </w:p>
          <w:p w:rsidR="00AB75C1" w:rsidRPr="00F55576" w:rsidRDefault="007B1953" w:rsidP="00BA4C4D">
            <w:pPr>
              <w:jc w:val="both"/>
              <w:rPr>
                <w:sz w:val="20"/>
              </w:rPr>
            </w:pPr>
            <w:hyperlink r:id="rId26" w:history="1">
              <w:r w:rsidR="00AB75C1" w:rsidRPr="00F55576">
                <w:rPr>
                  <w:rStyle w:val="Hyperlink"/>
                  <w:sz w:val="20"/>
                </w:rPr>
                <w:t>2019 QCCA 963</w:t>
              </w:r>
            </w:hyperlink>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 xml:space="preserve">Appel </w:t>
            </w:r>
            <w:proofErr w:type="spellStart"/>
            <w:r w:rsidRPr="00F55576">
              <w:rPr>
                <w:sz w:val="20"/>
              </w:rPr>
              <w:t>accueilli</w:t>
            </w:r>
            <w:proofErr w:type="spellEnd"/>
            <w:r w:rsidRPr="00F55576">
              <w:rPr>
                <w:sz w:val="20"/>
              </w:rPr>
              <w:t>.</w:t>
            </w:r>
          </w:p>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lang w:val="fr-CA"/>
              </w:rPr>
            </w:pPr>
            <w:r w:rsidRPr="00F55576">
              <w:rPr>
                <w:sz w:val="20"/>
                <w:lang w:val="fr-CA"/>
              </w:rPr>
              <w:t>Le 19 août 2019</w:t>
            </w:r>
          </w:p>
          <w:p w:rsidR="00AB75C1" w:rsidRPr="00F55576" w:rsidRDefault="00AB75C1" w:rsidP="00BA4C4D">
            <w:pPr>
              <w:jc w:val="both"/>
              <w:rPr>
                <w:sz w:val="20"/>
                <w:lang w:val="fr-CA"/>
              </w:rPr>
            </w:pPr>
            <w:r w:rsidRPr="00F55576">
              <w:rPr>
                <w:sz w:val="20"/>
                <w:lang w:val="fr-CA"/>
              </w:rPr>
              <w:t>Cour suprême du Canada</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rPr>
            </w:pPr>
            <w:r w:rsidRPr="00F55576">
              <w:rPr>
                <w:sz w:val="20"/>
              </w:rPr>
              <w:t>Demande d'autorisation d'appel déposée</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37" style="width:2in;height:1pt" o:hrpct="0" o:hralign="center" o:hrstd="t" o:hrnoshade="t" o:hr="t" fillcolor="black [3213]" stroked="f"/>
        </w:pict>
      </w:r>
    </w:p>
    <w:p w:rsidR="00AB75C1" w:rsidRPr="00F55576" w:rsidRDefault="00AB75C1" w:rsidP="00AB75C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t>38841</w:t>
            </w:r>
          </w:p>
        </w:tc>
        <w:tc>
          <w:tcPr>
            <w:tcW w:w="4457" w:type="pct"/>
            <w:gridSpan w:val="3"/>
          </w:tcPr>
          <w:p w:rsidR="00AB75C1" w:rsidRPr="00F55576" w:rsidRDefault="0067614C" w:rsidP="00BA4C4D">
            <w:pPr>
              <w:pStyle w:val="SCCLsocParty"/>
              <w:jc w:val="both"/>
              <w:rPr>
                <w:b/>
                <w:sz w:val="20"/>
                <w:szCs w:val="20"/>
                <w:lang w:val="en-US"/>
              </w:rPr>
            </w:pPr>
            <w:r w:rsidRPr="00F55576">
              <w:rPr>
                <w:b/>
                <w:sz w:val="20"/>
                <w:szCs w:val="20"/>
                <w:lang w:val="en-US"/>
              </w:rPr>
              <w:t>Cadine Boechler, Victor Brice, Corina Bye, Aaron Goodbaum, Brandon Gosnell, Diana Hardacher, Robert Allen Henrichsen, Judy Kalyan, Tavin Kemp, Sharon B. Kravitz, Louise Leclair, Quin Lawrence, Meeka Marsolais, Anneke Rotmeyer, Annemarie Mobach, Alexa Claire Wood, Carolyn (Frankie) McGee and Patricia White</w:t>
            </w:r>
            <w:r w:rsidR="00AB75C1" w:rsidRPr="00F55576">
              <w:rPr>
                <w:b/>
                <w:sz w:val="20"/>
                <w:szCs w:val="20"/>
                <w:lang w:val="en-US"/>
              </w:rPr>
              <w:t xml:space="preserve"> v. Regina</w:t>
            </w:r>
          </w:p>
          <w:p w:rsidR="00AB75C1" w:rsidRPr="00F55576" w:rsidRDefault="00AB75C1" w:rsidP="00BA4C4D">
            <w:pPr>
              <w:jc w:val="both"/>
              <w:rPr>
                <w:sz w:val="20"/>
              </w:rPr>
            </w:pPr>
            <w:r w:rsidRPr="00F55576">
              <w:rPr>
                <w:sz w:val="20"/>
              </w:rPr>
              <w:t>(B.C.) (Criminal) (By Leave)</w:t>
            </w:r>
          </w:p>
        </w:tc>
      </w:tr>
      <w:tr w:rsidR="00834E76" w:rsidRPr="00F55576" w:rsidTr="00BA4C4D">
        <w:tc>
          <w:tcPr>
            <w:tcW w:w="5000" w:type="pct"/>
            <w:gridSpan w:val="4"/>
          </w:tcPr>
          <w:p w:rsidR="00834E76" w:rsidRPr="00F55576" w:rsidRDefault="0067614C" w:rsidP="00BA4C4D">
            <w:pPr>
              <w:jc w:val="both"/>
              <w:rPr>
                <w:sz w:val="20"/>
                <w:szCs w:val="20"/>
              </w:rPr>
            </w:pPr>
            <w:r w:rsidRPr="00F55576">
              <w:rPr>
                <w:sz w:val="20"/>
                <w:szCs w:val="20"/>
              </w:rPr>
              <w:t>The application for leave to appeal from the judgment of the Court of Appeal for British Columbia (Vancouver), Numbers  CA45402, CA45403, CA45404, CA45405, CA45406, CA45407, CA45408, CA45409, CA45410, CA45411, CA45412, CA45413, CA45414, CA45415, CA45416, CA45417, CA45419 and CA45851, 2019 BCCA 267, dated July 23, 2019, is dismissed.</w:t>
            </w:r>
          </w:p>
          <w:p w:rsidR="00834E76" w:rsidRPr="00F55576" w:rsidRDefault="00834E76" w:rsidP="00BA4C4D">
            <w:pPr>
              <w:jc w:val="both"/>
              <w:rPr>
                <w:sz w:val="20"/>
              </w:rPr>
            </w:pPr>
          </w:p>
        </w:tc>
      </w:tr>
      <w:tr w:rsidR="00AB75C1" w:rsidRPr="00F55576" w:rsidTr="00BA4C4D">
        <w:tc>
          <w:tcPr>
            <w:tcW w:w="5000" w:type="pct"/>
            <w:gridSpan w:val="4"/>
          </w:tcPr>
          <w:p w:rsidR="00AB75C1" w:rsidRPr="00F55576" w:rsidRDefault="00AB75C1" w:rsidP="00BA4C4D">
            <w:pPr>
              <w:jc w:val="both"/>
              <w:rPr>
                <w:sz w:val="20"/>
              </w:rPr>
            </w:pPr>
            <w:r w:rsidRPr="00F55576">
              <w:rPr>
                <w:sz w:val="20"/>
              </w:rPr>
              <w:lastRenderedPageBreak/>
              <w:t xml:space="preserve">Criminal law — Criminal contempt of court — </w:t>
            </w:r>
            <w:r w:rsidRPr="00F55576">
              <w:rPr>
                <w:sz w:val="20"/>
                <w:lang w:val="en"/>
              </w:rPr>
              <w:t>Injunction enjoined all persons having notice of the injunction from continuing to blockade Trans Mountain Pipeline’s worksites</w:t>
            </w:r>
            <w:r w:rsidRPr="00F55576">
              <w:rPr>
                <w:sz w:val="20"/>
              </w:rPr>
              <w:t xml:space="preserve"> — Applicants breached injunction and held in criminal contempt — Whether s. 9 of the </w:t>
            </w:r>
            <w:r w:rsidRPr="00F55576">
              <w:rPr>
                <w:i/>
                <w:sz w:val="20"/>
              </w:rPr>
              <w:t>Criminal Code</w:t>
            </w:r>
            <w:r w:rsidRPr="00F55576">
              <w:rPr>
                <w:sz w:val="20"/>
              </w:rPr>
              <w:t xml:space="preserve"> imposes a substantive limit on what courses of conduct can be punished as criminal contempt — Whether conduct occurring in “public” remains a workable standard consistent with </w:t>
            </w:r>
            <w:r w:rsidRPr="00F55576">
              <w:rPr>
                <w:i/>
                <w:sz w:val="20"/>
              </w:rPr>
              <w:t>Charter</w:t>
            </w:r>
            <w:r w:rsidRPr="00F55576">
              <w:rPr>
                <w:sz w:val="20"/>
              </w:rPr>
              <w:t xml:space="preserve"> values for delineating criminal and civil </w:t>
            </w:r>
            <w:proofErr w:type="spellStart"/>
            <w:r w:rsidRPr="00F55576">
              <w:rPr>
                <w:sz w:val="20"/>
              </w:rPr>
              <w:t>contempts</w:t>
            </w:r>
            <w:proofErr w:type="spellEnd"/>
            <w:r w:rsidRPr="00F55576">
              <w:rPr>
                <w:sz w:val="20"/>
              </w:rPr>
              <w:t xml:space="preserve"> — s. </w:t>
            </w:r>
            <w:r w:rsidRPr="00F55576">
              <w:rPr>
                <w:sz w:val="20"/>
                <w:lang w:val="en"/>
              </w:rPr>
              <w:t xml:space="preserve">9 of the </w:t>
            </w:r>
            <w:r w:rsidRPr="00F55576">
              <w:rPr>
                <w:i/>
                <w:sz w:val="20"/>
                <w:lang w:val="en"/>
              </w:rPr>
              <w:t>Criminal Code</w:t>
            </w:r>
            <w:r w:rsidRPr="00F55576">
              <w:rPr>
                <w:sz w:val="20"/>
                <w:lang w:val="en"/>
              </w:rPr>
              <w:t>, R.S.C. 1985, c. C</w:t>
            </w:r>
            <w:r w:rsidRPr="00F55576">
              <w:rPr>
                <w:sz w:val="20"/>
                <w:lang w:val="en"/>
              </w:rPr>
              <w:noBreakHyphen/>
              <w:t>46.</w:t>
            </w:r>
          </w:p>
          <w:p w:rsidR="00AB75C1" w:rsidRPr="00F55576" w:rsidRDefault="00AB75C1" w:rsidP="00BA4C4D">
            <w:pPr>
              <w:jc w:val="both"/>
              <w:rPr>
                <w:sz w:val="20"/>
              </w:rPr>
            </w:pPr>
          </w:p>
        </w:tc>
      </w:tr>
      <w:tr w:rsidR="00AB75C1" w:rsidRPr="00F55576" w:rsidTr="00BA4C4D">
        <w:tc>
          <w:tcPr>
            <w:tcW w:w="5000" w:type="pct"/>
            <w:gridSpan w:val="4"/>
          </w:tcPr>
          <w:p w:rsidR="00AB75C1" w:rsidRPr="00F55576" w:rsidRDefault="00AB75C1" w:rsidP="00BA4C4D">
            <w:pPr>
              <w:jc w:val="both"/>
              <w:rPr>
                <w:sz w:val="20"/>
              </w:rPr>
            </w:pPr>
            <w:r w:rsidRPr="00F55576">
              <w:rPr>
                <w:sz w:val="20"/>
              </w:rPr>
              <w:t xml:space="preserve">The applicants were convicted of criminal contempt of court for having defied an injunction restraining protestors from blocking access to Trans Mountain Pipeline’s worksites. The applicants filed an application, seeking an opinion on the state of the law of criminal contempt of court. </w:t>
            </w:r>
            <w:r w:rsidRPr="00F55576">
              <w:rPr>
                <w:sz w:val="20"/>
                <w:lang w:val="en"/>
              </w:rPr>
              <w:t xml:space="preserve">The applicants took the position that the law on criminal contempt as set out in the majority judgment in </w:t>
            </w:r>
            <w:r w:rsidRPr="00F55576">
              <w:rPr>
                <w:i/>
                <w:iCs/>
                <w:sz w:val="20"/>
                <w:lang w:val="en"/>
              </w:rPr>
              <w:t>United Nurses of Alberta v. Alberta (Attorney General)</w:t>
            </w:r>
            <w:r w:rsidRPr="00F55576">
              <w:rPr>
                <w:sz w:val="20"/>
                <w:lang w:val="en"/>
              </w:rPr>
              <w:t xml:space="preserve">, </w:t>
            </w:r>
            <w:r w:rsidRPr="00F55576">
              <w:rPr>
                <w:rStyle w:val="reflex3-alt"/>
                <w:sz w:val="20"/>
                <w:lang w:val="en"/>
              </w:rPr>
              <w:t>[1992] 1 S.C.R. 901</w:t>
            </w:r>
            <w:r w:rsidRPr="00F55576">
              <w:rPr>
                <w:sz w:val="20"/>
                <w:lang w:val="en"/>
              </w:rPr>
              <w:t xml:space="preserve">, should not be followed. Crown counsel took the position that </w:t>
            </w:r>
            <w:r w:rsidRPr="00F55576">
              <w:rPr>
                <w:i/>
                <w:iCs/>
                <w:sz w:val="20"/>
                <w:lang w:val="en"/>
              </w:rPr>
              <w:t>United Nurses</w:t>
            </w:r>
            <w:r w:rsidRPr="00F55576">
              <w:rPr>
                <w:sz w:val="20"/>
                <w:lang w:val="en"/>
              </w:rPr>
              <w:t xml:space="preserve"> was a binding authority. The applicants’ application was dismissed. The appeals were dismissed by the Court of Appeal.</w:t>
            </w:r>
          </w:p>
        </w:tc>
      </w:tr>
      <w:tr w:rsidR="00AB75C1" w:rsidRPr="00F55576" w:rsidTr="00BA4C4D">
        <w:tc>
          <w:tcPr>
            <w:tcW w:w="5000" w:type="pct"/>
            <w:gridSpan w:val="4"/>
          </w:tcPr>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September 6, 2018</w:t>
            </w:r>
          </w:p>
          <w:p w:rsidR="00AB75C1" w:rsidRPr="00F55576" w:rsidRDefault="00AB75C1" w:rsidP="00BA4C4D">
            <w:pPr>
              <w:jc w:val="both"/>
              <w:rPr>
                <w:sz w:val="20"/>
              </w:rPr>
            </w:pPr>
            <w:r w:rsidRPr="00F55576">
              <w:rPr>
                <w:sz w:val="20"/>
              </w:rPr>
              <w:t>Supreme Court of British Columbia</w:t>
            </w:r>
          </w:p>
          <w:p w:rsidR="00AB75C1" w:rsidRPr="00F55576" w:rsidRDefault="00AB75C1" w:rsidP="00BA4C4D">
            <w:pPr>
              <w:jc w:val="both"/>
              <w:rPr>
                <w:sz w:val="20"/>
              </w:rPr>
            </w:pPr>
            <w:r w:rsidRPr="00F55576">
              <w:rPr>
                <w:sz w:val="20"/>
              </w:rPr>
              <w:t>(Affleck J.)</w:t>
            </w:r>
          </w:p>
          <w:p w:rsidR="00AB75C1" w:rsidRPr="00F55576" w:rsidRDefault="007B1953" w:rsidP="00BA4C4D">
            <w:pPr>
              <w:jc w:val="both"/>
              <w:rPr>
                <w:sz w:val="20"/>
              </w:rPr>
            </w:pPr>
            <w:hyperlink r:id="rId27" w:history="1">
              <w:r w:rsidR="00AB75C1" w:rsidRPr="00F55576">
                <w:rPr>
                  <w:rStyle w:val="Hyperlink"/>
                  <w:sz w:val="20"/>
                </w:rPr>
                <w:t>2018 BCSC 1530</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Applicants’ application dismissed</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July 20, 2018</w:t>
            </w:r>
          </w:p>
          <w:p w:rsidR="00AB75C1" w:rsidRPr="00F55576" w:rsidRDefault="00AB75C1" w:rsidP="00BA4C4D">
            <w:pPr>
              <w:jc w:val="both"/>
              <w:rPr>
                <w:sz w:val="20"/>
              </w:rPr>
            </w:pPr>
            <w:r w:rsidRPr="00F55576">
              <w:rPr>
                <w:sz w:val="20"/>
              </w:rPr>
              <w:t>Court of Appeal for British Columbia</w:t>
            </w:r>
          </w:p>
          <w:p w:rsidR="00AB75C1" w:rsidRPr="00F55576" w:rsidRDefault="00AB75C1" w:rsidP="00BA4C4D">
            <w:pPr>
              <w:jc w:val="both"/>
              <w:rPr>
                <w:sz w:val="20"/>
                <w:lang w:val="fr-CA"/>
              </w:rPr>
            </w:pPr>
            <w:r w:rsidRPr="00F55576">
              <w:rPr>
                <w:sz w:val="20"/>
                <w:lang w:val="fr-CA"/>
              </w:rPr>
              <w:t>(Vancouver)</w:t>
            </w:r>
          </w:p>
          <w:p w:rsidR="00AB75C1" w:rsidRPr="00F55576" w:rsidRDefault="00AB75C1" w:rsidP="00BA4C4D">
            <w:pPr>
              <w:jc w:val="both"/>
              <w:rPr>
                <w:sz w:val="20"/>
                <w:lang w:val="fr-CA"/>
              </w:rPr>
            </w:pPr>
            <w:r w:rsidRPr="00F55576">
              <w:rPr>
                <w:sz w:val="20"/>
                <w:lang w:val="fr-CA"/>
              </w:rPr>
              <w:t>(Savage J.A.)</w:t>
            </w:r>
          </w:p>
          <w:p w:rsidR="00AB75C1" w:rsidRPr="00F55576" w:rsidRDefault="007B1953" w:rsidP="00BA4C4D">
            <w:pPr>
              <w:jc w:val="both"/>
              <w:rPr>
                <w:sz w:val="20"/>
                <w:lang w:val="fr-CA"/>
              </w:rPr>
            </w:pPr>
            <w:hyperlink r:id="rId28" w:history="1">
              <w:r w:rsidR="00AB75C1" w:rsidRPr="00F55576">
                <w:rPr>
                  <w:rStyle w:val="Hyperlink"/>
                  <w:sz w:val="20"/>
                  <w:lang w:val="fr-CA"/>
                </w:rPr>
                <w:t>2018 BCCA 310</w:t>
              </w:r>
            </w:hyperlink>
            <w:r w:rsidR="00AB75C1" w:rsidRPr="00F55576">
              <w:rPr>
                <w:sz w:val="20"/>
                <w:lang w:val="fr-CA"/>
              </w:rPr>
              <w:t xml:space="preserve"> </w:t>
            </w:r>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rPr>
            </w:pPr>
            <w:r w:rsidRPr="00F55576">
              <w:rPr>
                <w:sz w:val="20"/>
              </w:rPr>
              <w:t>A</w:t>
            </w:r>
            <w:r w:rsidRPr="00F55576">
              <w:rPr>
                <w:sz w:val="20"/>
                <w:lang w:val="en"/>
              </w:rPr>
              <w:t xml:space="preserve">pplication to have appeals CA45402 through CA45417 heard together granted; parties directed to file one set of materials for all appeals; </w:t>
            </w:r>
            <w:r w:rsidRPr="00F55576">
              <w:rPr>
                <w:sz w:val="20"/>
              </w:rPr>
              <w:t>application for stay of proceedings dismissed</w:t>
            </w:r>
          </w:p>
        </w:tc>
      </w:tr>
      <w:tr w:rsidR="00AB75C1" w:rsidRPr="00F55576" w:rsidTr="00BA4C4D">
        <w:tc>
          <w:tcPr>
            <w:tcW w:w="2427" w:type="pct"/>
            <w:gridSpan w:val="2"/>
          </w:tcPr>
          <w:p w:rsidR="00AB75C1" w:rsidRPr="00F55576" w:rsidRDefault="00AB75C1" w:rsidP="00BA4C4D">
            <w:pPr>
              <w:jc w:val="both"/>
              <w:rPr>
                <w:sz w:val="20"/>
              </w:rPr>
            </w:pPr>
            <w:r w:rsidRPr="00F55576">
              <w:rPr>
                <w:sz w:val="20"/>
              </w:rPr>
              <w:t>July 23, 2019</w:t>
            </w:r>
          </w:p>
          <w:p w:rsidR="00AB75C1" w:rsidRPr="00F55576" w:rsidRDefault="00AB75C1" w:rsidP="00BA4C4D">
            <w:pPr>
              <w:jc w:val="both"/>
              <w:rPr>
                <w:sz w:val="20"/>
              </w:rPr>
            </w:pPr>
            <w:r w:rsidRPr="00F55576">
              <w:rPr>
                <w:sz w:val="20"/>
              </w:rPr>
              <w:t xml:space="preserve">Court of Appeal for British Columbia </w:t>
            </w:r>
          </w:p>
          <w:p w:rsidR="00AB75C1" w:rsidRPr="00F55576" w:rsidRDefault="00AB75C1" w:rsidP="00BA4C4D">
            <w:pPr>
              <w:jc w:val="both"/>
              <w:rPr>
                <w:sz w:val="20"/>
              </w:rPr>
            </w:pPr>
            <w:r w:rsidRPr="00F55576">
              <w:rPr>
                <w:sz w:val="20"/>
              </w:rPr>
              <w:t>(Vancouver)</w:t>
            </w:r>
          </w:p>
          <w:p w:rsidR="00AB75C1" w:rsidRPr="00F55576" w:rsidRDefault="00AB75C1" w:rsidP="00BA4C4D">
            <w:pPr>
              <w:jc w:val="both"/>
              <w:rPr>
                <w:sz w:val="20"/>
              </w:rPr>
            </w:pPr>
            <w:r w:rsidRPr="00F55576">
              <w:rPr>
                <w:sz w:val="20"/>
              </w:rPr>
              <w:t>(Frankel, Garson, Dickson JJ.A.)</w:t>
            </w:r>
          </w:p>
          <w:p w:rsidR="00AB75C1" w:rsidRPr="00F55576" w:rsidRDefault="007B1953" w:rsidP="00BA4C4D">
            <w:pPr>
              <w:jc w:val="both"/>
              <w:rPr>
                <w:sz w:val="20"/>
              </w:rPr>
            </w:pPr>
            <w:hyperlink r:id="rId29" w:history="1">
              <w:r w:rsidR="00AB75C1" w:rsidRPr="00F55576">
                <w:rPr>
                  <w:rStyle w:val="Hyperlink"/>
                  <w:sz w:val="20"/>
                </w:rPr>
                <w:t>2019 BCCA 267</w:t>
              </w:r>
            </w:hyperlink>
          </w:p>
          <w:p w:rsidR="00AB75C1" w:rsidRPr="00F55576" w:rsidRDefault="00AB75C1" w:rsidP="00BA4C4D">
            <w:pPr>
              <w:rPr>
                <w:sz w:val="20"/>
              </w:rPr>
            </w:pPr>
            <w:r w:rsidRPr="00F55576">
              <w:rPr>
                <w:sz w:val="20"/>
                <w:lang w:val="en"/>
              </w:rPr>
              <w:t>CA45402; CA45403; CA45404; CA45405;</w:t>
            </w:r>
            <w:r w:rsidRPr="00F55576">
              <w:rPr>
                <w:sz w:val="20"/>
                <w:lang w:val="en"/>
              </w:rPr>
              <w:br/>
              <w:t>CA45406; CA45407; CA45408 CA45409; CA45410; CA45411; CA45412; CA45413; CA45414; CA45415;CA45416; CA45417; CA45419; CA45851</w:t>
            </w:r>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 xml:space="preserve">Appeals dismissed </w:t>
            </w:r>
          </w:p>
        </w:tc>
      </w:tr>
      <w:tr w:rsidR="00AB75C1" w:rsidRPr="00F55576" w:rsidTr="00BA4C4D">
        <w:tc>
          <w:tcPr>
            <w:tcW w:w="2427" w:type="pct"/>
            <w:gridSpan w:val="2"/>
          </w:tcPr>
          <w:p w:rsidR="00AB75C1" w:rsidRPr="00F55576" w:rsidRDefault="00AB75C1" w:rsidP="00BA4C4D">
            <w:pPr>
              <w:jc w:val="both"/>
              <w:rPr>
                <w:sz w:val="20"/>
              </w:rPr>
            </w:pPr>
            <w:r w:rsidRPr="00F55576">
              <w:rPr>
                <w:sz w:val="20"/>
              </w:rPr>
              <w:t>September 30, 2019</w:t>
            </w:r>
          </w:p>
          <w:p w:rsidR="00AB75C1" w:rsidRPr="00F55576" w:rsidRDefault="00AB75C1" w:rsidP="00BA4C4D">
            <w:pPr>
              <w:jc w:val="both"/>
              <w:rPr>
                <w:sz w:val="20"/>
              </w:rPr>
            </w:pPr>
            <w:r w:rsidRPr="00F55576">
              <w:rPr>
                <w:sz w:val="20"/>
              </w:rPr>
              <w:t>Supreme Court of Canada</w:t>
            </w: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Application for leave to appeal filed</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38" style="width:2in;height:1pt" o:hrpct="0" o:hralign="center" o:hrstd="t" o:hrnoshade="t" o:hr="t" fillcolor="black [3213]" stroked="f"/>
        </w:pict>
      </w:r>
    </w:p>
    <w:p w:rsidR="00AB75C1" w:rsidRPr="00F55576" w:rsidRDefault="00AB75C1" w:rsidP="00AB75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B75C1" w:rsidRPr="00F55576" w:rsidTr="00BA4C4D">
        <w:tc>
          <w:tcPr>
            <w:tcW w:w="543" w:type="pct"/>
          </w:tcPr>
          <w:p w:rsidR="00AB75C1" w:rsidRPr="00F55576" w:rsidRDefault="00AB75C1" w:rsidP="00BA4C4D">
            <w:pPr>
              <w:jc w:val="both"/>
              <w:rPr>
                <w:sz w:val="20"/>
                <w:lang w:val="fr-CA"/>
              </w:rPr>
            </w:pPr>
            <w:r w:rsidRPr="00F55576">
              <w:rPr>
                <w:rStyle w:val="SCCFileNumberChar"/>
                <w:sz w:val="20"/>
                <w:szCs w:val="20"/>
                <w:lang w:val="fr-CA"/>
              </w:rPr>
              <w:t>38841</w:t>
            </w:r>
          </w:p>
        </w:tc>
        <w:tc>
          <w:tcPr>
            <w:tcW w:w="4457" w:type="pct"/>
          </w:tcPr>
          <w:p w:rsidR="00AB75C1" w:rsidRPr="00F55576" w:rsidRDefault="0048496F" w:rsidP="00BA4C4D">
            <w:pPr>
              <w:pStyle w:val="SCCLsocParty"/>
              <w:jc w:val="both"/>
              <w:rPr>
                <w:b/>
                <w:sz w:val="20"/>
                <w:szCs w:val="20"/>
              </w:rPr>
            </w:pPr>
            <w:r w:rsidRPr="00F55576">
              <w:rPr>
                <w:b/>
                <w:sz w:val="20"/>
                <w:szCs w:val="20"/>
              </w:rPr>
              <w:t>Cadine Boechler, Victor Brice, Corina Bye, Aaron Goodbaum, Brandon Gosnell, Diana Hardacher, Robert Allen Henrichsen, Judy Kalyan, Tavin Kemp, Sharon B. Kravitz, Louise Leclair, Quin Lawrence, Meeka Marsolais, Anneke Rotmeyer, Annemarie Mobach, Alexa Claire Wood, Carolyn (Frankie) McGee et Patricia White</w:t>
            </w:r>
            <w:r w:rsidR="00AB75C1" w:rsidRPr="00F55576">
              <w:rPr>
                <w:b/>
                <w:sz w:val="20"/>
                <w:szCs w:val="20"/>
              </w:rPr>
              <w:t xml:space="preserve"> c. Regina</w:t>
            </w:r>
          </w:p>
          <w:p w:rsidR="00AB75C1" w:rsidRPr="00F55576" w:rsidRDefault="00AB75C1" w:rsidP="00BA4C4D">
            <w:pPr>
              <w:jc w:val="both"/>
              <w:rPr>
                <w:sz w:val="20"/>
                <w:lang w:val="fr-CA"/>
              </w:rPr>
            </w:pPr>
            <w:r w:rsidRPr="00F55576">
              <w:rPr>
                <w:sz w:val="20"/>
                <w:lang w:val="fr-CA"/>
              </w:rPr>
              <w:t>(C.</w:t>
            </w:r>
            <w:r w:rsidRPr="00F55576">
              <w:rPr>
                <w:sz w:val="20"/>
                <w:lang w:val="fr-CA"/>
              </w:rPr>
              <w:noBreakHyphen/>
              <w:t>B.) (Criminelle) (Autorisation)</w:t>
            </w:r>
          </w:p>
        </w:tc>
      </w:tr>
      <w:tr w:rsidR="00834E76" w:rsidRPr="008042C9" w:rsidTr="00BA4C4D">
        <w:tc>
          <w:tcPr>
            <w:tcW w:w="5000" w:type="pct"/>
            <w:gridSpan w:val="2"/>
          </w:tcPr>
          <w:p w:rsidR="00834E76" w:rsidRPr="00F55576" w:rsidRDefault="0048496F" w:rsidP="00BA4C4D">
            <w:pPr>
              <w:jc w:val="both"/>
              <w:rPr>
                <w:sz w:val="20"/>
                <w:szCs w:val="20"/>
                <w:lang w:val="fr-CA"/>
              </w:rPr>
            </w:pPr>
            <w:r w:rsidRPr="00F55576">
              <w:rPr>
                <w:sz w:val="20"/>
                <w:szCs w:val="20"/>
                <w:lang w:val="fr-CA"/>
              </w:rPr>
              <w:t xml:space="preserve">La demande d’autorisation d’appel de l’arrêt de la </w:t>
            </w:r>
            <w:r w:rsidRPr="00F55576">
              <w:rPr>
                <w:sz w:val="20"/>
                <w:szCs w:val="20"/>
                <w:lang w:val="fr-FR"/>
              </w:rPr>
              <w:t>Cour d’appel de la Colombie-Britannique (Vancouver)</w:t>
            </w:r>
            <w:r w:rsidRPr="00F55576">
              <w:rPr>
                <w:sz w:val="20"/>
                <w:szCs w:val="20"/>
                <w:lang w:val="fr-CA"/>
              </w:rPr>
              <w:t xml:space="preserve">, numéros </w:t>
            </w:r>
            <w:r w:rsidRPr="00F55576">
              <w:rPr>
                <w:sz w:val="20"/>
                <w:szCs w:val="20"/>
                <w:lang w:val="fr-FR"/>
              </w:rPr>
              <w:t xml:space="preserve"> CA45402, CA45403, CA45404, CA45405, CA45406, CA45407, CA45408, CA45409, CA45410, CA45411, CA45412, CA45413, CA45414, CA45415, CA45416, CA45417, CA45419 et CA45851,</w:t>
            </w:r>
            <w:r w:rsidRPr="00F55576">
              <w:rPr>
                <w:sz w:val="20"/>
                <w:szCs w:val="20"/>
                <w:lang w:val="fr-CA"/>
              </w:rPr>
              <w:t xml:space="preserve"> </w:t>
            </w:r>
            <w:r w:rsidRPr="00F55576">
              <w:rPr>
                <w:sz w:val="20"/>
                <w:szCs w:val="20"/>
                <w:lang w:val="fr-FR"/>
              </w:rPr>
              <w:t xml:space="preserve">2019 BCCA 267, </w:t>
            </w:r>
            <w:r w:rsidRPr="00F55576">
              <w:rPr>
                <w:sz w:val="20"/>
                <w:szCs w:val="20"/>
                <w:lang w:val="fr-CA"/>
              </w:rPr>
              <w:t xml:space="preserve">daté du </w:t>
            </w:r>
            <w:r w:rsidRPr="00F55576">
              <w:rPr>
                <w:sz w:val="20"/>
                <w:szCs w:val="20"/>
                <w:lang w:val="fr-FR"/>
              </w:rPr>
              <w:t>23 juillet 2019</w:t>
            </w:r>
            <w:r w:rsidRPr="00F55576">
              <w:rPr>
                <w:sz w:val="20"/>
                <w:szCs w:val="20"/>
                <w:lang w:val="fr-CA"/>
              </w:rPr>
              <w:t>, est rejetée.</w:t>
            </w:r>
          </w:p>
          <w:p w:rsidR="00834E76" w:rsidRPr="00F55576" w:rsidRDefault="00834E76" w:rsidP="00BA4C4D">
            <w:pPr>
              <w:jc w:val="both"/>
              <w:rPr>
                <w:sz w:val="20"/>
                <w:lang w:val="fr-CA"/>
              </w:rPr>
            </w:pPr>
          </w:p>
        </w:tc>
      </w:tr>
    </w:tbl>
    <w:p w:rsidR="00E337D9" w:rsidRPr="00F55576" w:rsidRDefault="00E337D9">
      <w:pPr>
        <w:rPr>
          <w:lang w:val="fr-CA"/>
        </w:rPr>
      </w:pPr>
      <w:r w:rsidRPr="00F5557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5C1" w:rsidRPr="00F55576" w:rsidTr="00BA4C4D">
        <w:tc>
          <w:tcPr>
            <w:tcW w:w="5000" w:type="pct"/>
            <w:gridSpan w:val="3"/>
          </w:tcPr>
          <w:p w:rsidR="00AB75C1" w:rsidRPr="00F55576" w:rsidRDefault="00AB75C1" w:rsidP="00BA4C4D">
            <w:pPr>
              <w:jc w:val="both"/>
              <w:rPr>
                <w:sz w:val="20"/>
                <w:lang w:val="fr-CA"/>
              </w:rPr>
            </w:pPr>
            <w:r w:rsidRPr="00F55576">
              <w:rPr>
                <w:sz w:val="20"/>
                <w:lang w:val="fr-CA"/>
              </w:rPr>
              <w:lastRenderedPageBreak/>
              <w:t xml:space="preserve">Droit criminel — Outrage criminel au tribunal — Une injonction enjoignait à toutes les personnes avisées de l’injonction de mettre fin au blocus des chantiers de Trans Mountain Pipeline — Les demandeurs ont violé l’injonction et ont été reconnus coupables d’outrage criminel au tribunal — L’art. 9 du </w:t>
            </w:r>
            <w:r w:rsidRPr="00F55576">
              <w:rPr>
                <w:i/>
                <w:sz w:val="20"/>
                <w:lang w:val="fr-CA"/>
              </w:rPr>
              <w:t>Code criminel</w:t>
            </w:r>
            <w:r w:rsidRPr="00F55576">
              <w:rPr>
                <w:sz w:val="20"/>
                <w:lang w:val="fr-CA"/>
              </w:rPr>
              <w:t xml:space="preserve"> impose</w:t>
            </w:r>
            <w:r w:rsidRPr="00F55576">
              <w:rPr>
                <w:sz w:val="20"/>
                <w:lang w:val="fr-CA"/>
              </w:rPr>
              <w:noBreakHyphen/>
              <w:t>t</w:t>
            </w:r>
            <w:r w:rsidRPr="00F55576">
              <w:rPr>
                <w:sz w:val="20"/>
                <w:lang w:val="fr-CA"/>
              </w:rPr>
              <w:noBreakHyphen/>
              <w:t>il une limite substantielle aux comportements punissables en tant qu’outrage criminel au tribunal? — Un comportement qui a lieu en « public » demeure</w:t>
            </w:r>
            <w:r w:rsidRPr="00F55576">
              <w:rPr>
                <w:sz w:val="20"/>
                <w:lang w:val="fr-CA"/>
              </w:rPr>
              <w:noBreakHyphen/>
              <w:t>t</w:t>
            </w:r>
            <w:r w:rsidRPr="00F55576">
              <w:rPr>
                <w:sz w:val="20"/>
                <w:lang w:val="fr-CA"/>
              </w:rPr>
              <w:noBreakHyphen/>
              <w:t xml:space="preserve">il une norme pratique conforme aux valeurs de la </w:t>
            </w:r>
            <w:r w:rsidRPr="00F55576">
              <w:rPr>
                <w:i/>
                <w:sz w:val="20"/>
                <w:lang w:val="fr-CA"/>
              </w:rPr>
              <w:t>Charte</w:t>
            </w:r>
            <w:r w:rsidRPr="00F55576">
              <w:rPr>
                <w:sz w:val="20"/>
                <w:lang w:val="fr-CA"/>
              </w:rPr>
              <w:t xml:space="preserve"> pour faire la distinction entre l’outrage criminel au tribunal et l’outrage civil au tribunal? — Art. 9 du </w:t>
            </w:r>
            <w:r w:rsidRPr="00F55576">
              <w:rPr>
                <w:i/>
                <w:sz w:val="20"/>
                <w:lang w:val="fr-CA"/>
              </w:rPr>
              <w:t>Code criminel</w:t>
            </w:r>
            <w:r w:rsidRPr="00F55576">
              <w:rPr>
                <w:sz w:val="20"/>
                <w:lang w:val="fr-CA"/>
              </w:rPr>
              <w:t>, L.R.C. 1985, ch. C</w:t>
            </w:r>
            <w:r w:rsidRPr="00F55576">
              <w:rPr>
                <w:sz w:val="20"/>
                <w:lang w:val="fr-CA"/>
              </w:rPr>
              <w:noBreakHyphen/>
              <w:t>46.</w:t>
            </w:r>
          </w:p>
          <w:p w:rsidR="00AB75C1" w:rsidRPr="00F55576" w:rsidRDefault="00AB75C1" w:rsidP="00BA4C4D">
            <w:pPr>
              <w:jc w:val="both"/>
              <w:rPr>
                <w:sz w:val="20"/>
                <w:lang w:val="fr-CA"/>
              </w:rPr>
            </w:pPr>
          </w:p>
        </w:tc>
      </w:tr>
      <w:tr w:rsidR="00AB75C1" w:rsidRPr="008042C9" w:rsidTr="00BA4C4D">
        <w:tc>
          <w:tcPr>
            <w:tcW w:w="5000" w:type="pct"/>
            <w:gridSpan w:val="3"/>
          </w:tcPr>
          <w:p w:rsidR="00AB75C1" w:rsidRPr="00F55576" w:rsidRDefault="00AB75C1" w:rsidP="00BA4C4D">
            <w:pPr>
              <w:jc w:val="both"/>
              <w:rPr>
                <w:sz w:val="20"/>
                <w:lang w:val="fr-CA"/>
              </w:rPr>
            </w:pPr>
            <w:r w:rsidRPr="00F55576">
              <w:rPr>
                <w:sz w:val="20"/>
                <w:lang w:val="fr-CA"/>
              </w:rPr>
              <w:t xml:space="preserve">Les demandeurs ont été déclarés coupables d’outrage criminel au tribunal pour avoir désobéi à une injonction empêchant des manifestants de bloquer l’accès aux chantiers de Trans Mountain Pipeline. Les demandeurs ont présenté une requête en vue d’obtenir un avis sur l’état du droit relatif à l’outrage criminel au tribunal. Les demandeurs ont prétendu que le droit relatif à l’outrage criminel au tribunal tel qu’énoncé par les juges majoritaires dans l’arrêt </w:t>
            </w:r>
            <w:r w:rsidRPr="00F55576">
              <w:rPr>
                <w:i/>
                <w:iCs/>
                <w:sz w:val="20"/>
                <w:lang w:val="fr-CA"/>
              </w:rPr>
              <w:t>United Nurses of Alberta c. Alberta (Procureur général)</w:t>
            </w:r>
            <w:r w:rsidRPr="00F55576">
              <w:rPr>
                <w:sz w:val="20"/>
                <w:lang w:val="fr-CA"/>
              </w:rPr>
              <w:t xml:space="preserve">, </w:t>
            </w:r>
            <w:r w:rsidRPr="00F55576">
              <w:rPr>
                <w:rStyle w:val="reflex3-alt"/>
                <w:sz w:val="20"/>
                <w:lang w:val="fr-CA"/>
              </w:rPr>
              <w:t>[1992] 1 R.C.S. 901</w:t>
            </w:r>
            <w:r w:rsidRPr="00F55576">
              <w:rPr>
                <w:sz w:val="20"/>
                <w:lang w:val="fr-CA"/>
              </w:rPr>
              <w:t xml:space="preserve">, ne devrait pas être suivi. L’avocat de la Couronne a plaidé que </w:t>
            </w:r>
            <w:r w:rsidRPr="00F55576">
              <w:rPr>
                <w:i/>
                <w:iCs/>
                <w:sz w:val="20"/>
                <w:lang w:val="fr-CA"/>
              </w:rPr>
              <w:t>United Nurses</w:t>
            </w:r>
            <w:r w:rsidRPr="00F55576">
              <w:rPr>
                <w:sz w:val="20"/>
                <w:lang w:val="fr-CA"/>
              </w:rPr>
              <w:t xml:space="preserve"> faisait jurisprudence. La requête des demandeurs a été rejetée. La Cour d’appel a rejeté l’appel.</w:t>
            </w:r>
          </w:p>
        </w:tc>
      </w:tr>
      <w:tr w:rsidR="00AB75C1" w:rsidRPr="008042C9" w:rsidTr="00BA4C4D">
        <w:tc>
          <w:tcPr>
            <w:tcW w:w="5000" w:type="pct"/>
            <w:gridSpan w:val="3"/>
          </w:tcPr>
          <w:p w:rsidR="00AB75C1" w:rsidRPr="00F55576" w:rsidRDefault="00AB75C1" w:rsidP="00BA4C4D">
            <w:pPr>
              <w:jc w:val="both"/>
              <w:rPr>
                <w:sz w:val="20"/>
                <w:lang w:val="fr-CA"/>
              </w:rPr>
            </w:pPr>
          </w:p>
        </w:tc>
      </w:tr>
      <w:tr w:rsidR="00AB75C1" w:rsidRPr="008042C9" w:rsidTr="00BA4C4D">
        <w:tc>
          <w:tcPr>
            <w:tcW w:w="2427" w:type="pct"/>
          </w:tcPr>
          <w:p w:rsidR="00AB75C1" w:rsidRPr="00F55576" w:rsidRDefault="00AB75C1" w:rsidP="00BA4C4D">
            <w:pPr>
              <w:jc w:val="both"/>
              <w:rPr>
                <w:sz w:val="20"/>
                <w:lang w:val="fr-CA"/>
              </w:rPr>
            </w:pPr>
            <w:r w:rsidRPr="00F55576">
              <w:rPr>
                <w:sz w:val="20"/>
                <w:lang w:val="fr-CA"/>
              </w:rPr>
              <w:t>6 septembre 2018</w:t>
            </w:r>
          </w:p>
          <w:p w:rsidR="00AB75C1" w:rsidRPr="00F55576" w:rsidRDefault="00AB75C1" w:rsidP="00BA4C4D">
            <w:pPr>
              <w:jc w:val="both"/>
              <w:rPr>
                <w:sz w:val="20"/>
                <w:lang w:val="fr-CA"/>
              </w:rPr>
            </w:pPr>
            <w:r w:rsidRPr="00F55576">
              <w:rPr>
                <w:sz w:val="20"/>
                <w:lang w:val="fr-CA"/>
              </w:rPr>
              <w:t>Cour suprême de la Colombie</w:t>
            </w:r>
            <w:r w:rsidRPr="00F55576">
              <w:rPr>
                <w:sz w:val="20"/>
                <w:lang w:val="fr-CA"/>
              </w:rPr>
              <w:noBreakHyphen/>
              <w:t>Britannique</w:t>
            </w:r>
          </w:p>
          <w:p w:rsidR="00AB75C1" w:rsidRPr="00F55576" w:rsidRDefault="00AB75C1" w:rsidP="00BA4C4D">
            <w:pPr>
              <w:jc w:val="both"/>
              <w:rPr>
                <w:sz w:val="20"/>
                <w:lang w:val="fr-CA"/>
              </w:rPr>
            </w:pPr>
            <w:r w:rsidRPr="00F55576">
              <w:rPr>
                <w:sz w:val="20"/>
                <w:lang w:val="fr-CA"/>
              </w:rPr>
              <w:t xml:space="preserve">(Juge </w:t>
            </w:r>
            <w:proofErr w:type="spellStart"/>
            <w:r w:rsidRPr="00F55576">
              <w:rPr>
                <w:sz w:val="20"/>
                <w:lang w:val="fr-CA"/>
              </w:rPr>
              <w:t>Affleck</w:t>
            </w:r>
            <w:proofErr w:type="spellEnd"/>
            <w:r w:rsidRPr="00F55576">
              <w:rPr>
                <w:sz w:val="20"/>
                <w:lang w:val="fr-CA"/>
              </w:rPr>
              <w:t>)</w:t>
            </w:r>
          </w:p>
          <w:p w:rsidR="00AB75C1" w:rsidRPr="00F55576" w:rsidRDefault="007B1953" w:rsidP="00BA4C4D">
            <w:pPr>
              <w:jc w:val="both"/>
              <w:rPr>
                <w:sz w:val="20"/>
                <w:lang w:val="fr-CA"/>
              </w:rPr>
            </w:pPr>
            <w:hyperlink r:id="rId30" w:history="1">
              <w:r w:rsidR="00AB75C1" w:rsidRPr="00F55576">
                <w:rPr>
                  <w:rStyle w:val="Hyperlink"/>
                  <w:sz w:val="20"/>
                  <w:lang w:val="fr-CA"/>
                </w:rPr>
                <w:t>2018 BCSC 1530</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Rejet de la requête des demandeurs</w:t>
            </w:r>
          </w:p>
          <w:p w:rsidR="00AB75C1" w:rsidRPr="00F55576" w:rsidRDefault="00AB75C1" w:rsidP="00BA4C4D">
            <w:pPr>
              <w:jc w:val="both"/>
              <w:rPr>
                <w:sz w:val="20"/>
                <w:lang w:val="fr-CA"/>
              </w:rPr>
            </w:pPr>
          </w:p>
        </w:tc>
      </w:tr>
      <w:tr w:rsidR="00AB75C1" w:rsidRPr="008042C9" w:rsidTr="00BA4C4D">
        <w:tc>
          <w:tcPr>
            <w:tcW w:w="2427" w:type="pct"/>
          </w:tcPr>
          <w:p w:rsidR="00AB75C1" w:rsidRPr="00F55576" w:rsidRDefault="00AB75C1" w:rsidP="00BA4C4D">
            <w:pPr>
              <w:jc w:val="both"/>
              <w:rPr>
                <w:sz w:val="20"/>
                <w:lang w:val="fr-CA"/>
              </w:rPr>
            </w:pPr>
            <w:r w:rsidRPr="00F55576">
              <w:rPr>
                <w:sz w:val="20"/>
                <w:lang w:val="fr-CA"/>
              </w:rPr>
              <w:t>20 juillet 2018</w:t>
            </w:r>
          </w:p>
          <w:p w:rsidR="00AB75C1" w:rsidRPr="00F55576" w:rsidRDefault="00AB75C1" w:rsidP="00BA4C4D">
            <w:pPr>
              <w:jc w:val="both"/>
              <w:rPr>
                <w:sz w:val="20"/>
                <w:lang w:val="fr-CA"/>
              </w:rPr>
            </w:pPr>
            <w:r w:rsidRPr="00F55576">
              <w:rPr>
                <w:sz w:val="20"/>
                <w:lang w:val="fr-CA"/>
              </w:rPr>
              <w:t>Cour d’appel de la Colombie</w:t>
            </w:r>
            <w:r w:rsidRPr="00F55576">
              <w:rPr>
                <w:sz w:val="20"/>
                <w:lang w:val="fr-CA"/>
              </w:rPr>
              <w:noBreakHyphen/>
              <w:t>Britannique</w:t>
            </w:r>
          </w:p>
          <w:p w:rsidR="00AB75C1" w:rsidRPr="00F55576" w:rsidRDefault="00AB75C1" w:rsidP="00BA4C4D">
            <w:pPr>
              <w:jc w:val="both"/>
              <w:rPr>
                <w:sz w:val="20"/>
                <w:lang w:val="fr-CA"/>
              </w:rPr>
            </w:pPr>
            <w:r w:rsidRPr="00F55576">
              <w:rPr>
                <w:sz w:val="20"/>
                <w:lang w:val="fr-CA"/>
              </w:rPr>
              <w:t>(Vancouver)</w:t>
            </w:r>
          </w:p>
          <w:p w:rsidR="00AB75C1" w:rsidRPr="00F55576" w:rsidRDefault="00AB75C1" w:rsidP="00BA4C4D">
            <w:pPr>
              <w:jc w:val="both"/>
              <w:rPr>
                <w:sz w:val="20"/>
                <w:lang w:val="fr-CA"/>
              </w:rPr>
            </w:pPr>
            <w:r w:rsidRPr="00F55576">
              <w:rPr>
                <w:sz w:val="20"/>
                <w:lang w:val="fr-CA"/>
              </w:rPr>
              <w:t>(Juge Savage)</w:t>
            </w:r>
          </w:p>
          <w:p w:rsidR="00AB75C1" w:rsidRPr="00F55576" w:rsidRDefault="007B1953" w:rsidP="00BA4C4D">
            <w:pPr>
              <w:jc w:val="both"/>
              <w:rPr>
                <w:sz w:val="20"/>
                <w:lang w:val="fr-CA"/>
              </w:rPr>
            </w:pPr>
            <w:hyperlink r:id="rId31" w:history="1">
              <w:r w:rsidR="00AB75C1" w:rsidRPr="00F55576">
                <w:rPr>
                  <w:rStyle w:val="Hyperlink"/>
                  <w:sz w:val="20"/>
                  <w:lang w:val="fr-CA"/>
                </w:rPr>
                <w:t>2018 BCCA 310</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 xml:space="preserve">Jugement accueillant la requête pour que les appels CA45402 à CA45417 soient entendus ensemble, enjoignant aux parties de déposer un ensemble de documents pour tous les appels et rejetant la requête en arrêt des procédures </w:t>
            </w:r>
          </w:p>
        </w:tc>
      </w:tr>
      <w:tr w:rsidR="00AB75C1" w:rsidRPr="00F55576" w:rsidTr="00BA4C4D">
        <w:tc>
          <w:tcPr>
            <w:tcW w:w="2427" w:type="pct"/>
          </w:tcPr>
          <w:p w:rsidR="00AB75C1" w:rsidRPr="00F55576" w:rsidRDefault="00AB75C1" w:rsidP="00BA4C4D">
            <w:pPr>
              <w:jc w:val="both"/>
              <w:rPr>
                <w:sz w:val="20"/>
                <w:lang w:val="fr-CA"/>
              </w:rPr>
            </w:pPr>
            <w:r w:rsidRPr="00F55576">
              <w:rPr>
                <w:sz w:val="20"/>
                <w:lang w:val="fr-CA"/>
              </w:rPr>
              <w:t>23 juillet 2019</w:t>
            </w:r>
          </w:p>
          <w:p w:rsidR="00AB75C1" w:rsidRPr="00F55576" w:rsidRDefault="00AB75C1" w:rsidP="00BA4C4D">
            <w:pPr>
              <w:jc w:val="both"/>
              <w:rPr>
                <w:sz w:val="20"/>
                <w:lang w:val="fr-CA"/>
              </w:rPr>
            </w:pPr>
            <w:r w:rsidRPr="00F55576">
              <w:rPr>
                <w:sz w:val="20"/>
                <w:lang w:val="fr-CA"/>
              </w:rPr>
              <w:t>Cour d’appel de la Colombie</w:t>
            </w:r>
            <w:r w:rsidRPr="00F55576">
              <w:rPr>
                <w:sz w:val="20"/>
                <w:lang w:val="fr-CA"/>
              </w:rPr>
              <w:noBreakHyphen/>
              <w:t>Britannique</w:t>
            </w:r>
          </w:p>
          <w:p w:rsidR="00AB75C1" w:rsidRPr="00F55576" w:rsidRDefault="00AB75C1" w:rsidP="00BA4C4D">
            <w:pPr>
              <w:jc w:val="both"/>
              <w:rPr>
                <w:sz w:val="20"/>
                <w:lang w:val="fr-CA"/>
              </w:rPr>
            </w:pPr>
            <w:r w:rsidRPr="00F55576">
              <w:rPr>
                <w:sz w:val="20"/>
                <w:lang w:val="fr-CA"/>
              </w:rPr>
              <w:t>(Vancouver)</w:t>
            </w:r>
          </w:p>
          <w:p w:rsidR="00AB75C1" w:rsidRPr="00F55576" w:rsidRDefault="00AB75C1" w:rsidP="00BA4C4D">
            <w:pPr>
              <w:jc w:val="both"/>
              <w:rPr>
                <w:sz w:val="20"/>
                <w:lang w:val="fr-CA"/>
              </w:rPr>
            </w:pPr>
            <w:r w:rsidRPr="00F55576">
              <w:rPr>
                <w:sz w:val="20"/>
                <w:lang w:val="fr-CA"/>
              </w:rPr>
              <w:t xml:space="preserve">(Juges </w:t>
            </w:r>
            <w:proofErr w:type="spellStart"/>
            <w:r w:rsidRPr="00F55576">
              <w:rPr>
                <w:sz w:val="20"/>
                <w:lang w:val="fr-CA"/>
              </w:rPr>
              <w:t>Frankel</w:t>
            </w:r>
            <w:proofErr w:type="spellEnd"/>
            <w:r w:rsidRPr="00F55576">
              <w:rPr>
                <w:sz w:val="20"/>
                <w:lang w:val="fr-CA"/>
              </w:rPr>
              <w:t xml:space="preserve">, </w:t>
            </w:r>
            <w:proofErr w:type="spellStart"/>
            <w:r w:rsidRPr="00F55576">
              <w:rPr>
                <w:sz w:val="20"/>
                <w:lang w:val="fr-CA"/>
              </w:rPr>
              <w:t>Garson</w:t>
            </w:r>
            <w:proofErr w:type="spellEnd"/>
            <w:r w:rsidRPr="00F55576">
              <w:rPr>
                <w:sz w:val="20"/>
                <w:lang w:val="fr-CA"/>
              </w:rPr>
              <w:t xml:space="preserve"> et Dickson)</w:t>
            </w:r>
          </w:p>
          <w:p w:rsidR="00AB75C1" w:rsidRPr="00F55576" w:rsidRDefault="007B1953" w:rsidP="00BA4C4D">
            <w:pPr>
              <w:jc w:val="both"/>
              <w:rPr>
                <w:sz w:val="20"/>
              </w:rPr>
            </w:pPr>
            <w:hyperlink r:id="rId32" w:history="1">
              <w:r w:rsidR="00AB75C1" w:rsidRPr="00F55576">
                <w:rPr>
                  <w:rStyle w:val="Hyperlink"/>
                  <w:sz w:val="20"/>
                </w:rPr>
                <w:t>2019 BCCA 267</w:t>
              </w:r>
            </w:hyperlink>
          </w:p>
          <w:p w:rsidR="00AB75C1" w:rsidRPr="00F55576" w:rsidRDefault="00AB75C1" w:rsidP="00BA4C4D">
            <w:pPr>
              <w:rPr>
                <w:sz w:val="20"/>
              </w:rPr>
            </w:pPr>
            <w:r w:rsidRPr="00F55576">
              <w:rPr>
                <w:sz w:val="20"/>
              </w:rPr>
              <w:t>CA45402; CA45403; CA45404; CA45405;</w:t>
            </w:r>
            <w:r w:rsidRPr="00F55576">
              <w:rPr>
                <w:sz w:val="20"/>
              </w:rPr>
              <w:br/>
              <w:t>CA45406; CA45407; CA45408 CA45409; CA45410; CA45411; CA45412; CA45413; CA45414; CA45415;CA45416; CA45417; CA45419; CA45851</w:t>
            </w:r>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lang w:val="fr-CA"/>
              </w:rPr>
            </w:pPr>
            <w:r w:rsidRPr="00F55576">
              <w:rPr>
                <w:sz w:val="20"/>
                <w:lang w:val="fr-CA"/>
              </w:rPr>
              <w:t xml:space="preserve">Rejet des appels </w:t>
            </w:r>
          </w:p>
        </w:tc>
      </w:tr>
      <w:tr w:rsidR="00AB75C1" w:rsidRPr="008042C9" w:rsidTr="00BA4C4D">
        <w:tc>
          <w:tcPr>
            <w:tcW w:w="2427" w:type="pct"/>
          </w:tcPr>
          <w:p w:rsidR="00AB75C1" w:rsidRPr="00F55576" w:rsidRDefault="00AB75C1" w:rsidP="00BA4C4D">
            <w:pPr>
              <w:jc w:val="both"/>
              <w:rPr>
                <w:sz w:val="20"/>
                <w:lang w:val="fr-CA"/>
              </w:rPr>
            </w:pPr>
            <w:r w:rsidRPr="00F55576">
              <w:rPr>
                <w:sz w:val="20"/>
                <w:lang w:val="fr-CA"/>
              </w:rPr>
              <w:t>30 septembre 2019</w:t>
            </w:r>
          </w:p>
          <w:p w:rsidR="00AB75C1" w:rsidRPr="00F55576" w:rsidRDefault="00AB75C1" w:rsidP="00BA4C4D">
            <w:pPr>
              <w:jc w:val="both"/>
              <w:rPr>
                <w:sz w:val="20"/>
                <w:lang w:val="fr-CA"/>
              </w:rPr>
            </w:pPr>
            <w:r w:rsidRPr="00F55576">
              <w:rPr>
                <w:sz w:val="20"/>
                <w:lang w:val="fr-CA"/>
              </w:rPr>
              <w:t>Cour suprême du Canada</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Dépôt de la demande d’autorisation d’appel</w:t>
            </w:r>
          </w:p>
          <w:p w:rsidR="00AB75C1" w:rsidRPr="00F55576" w:rsidRDefault="00AB75C1" w:rsidP="00BA4C4D">
            <w:pPr>
              <w:jc w:val="both"/>
              <w:rPr>
                <w:sz w:val="20"/>
                <w:lang w:val="fr-CA"/>
              </w:rPr>
            </w:pPr>
          </w:p>
        </w:tc>
      </w:tr>
    </w:tbl>
    <w:p w:rsidR="00AB75C1" w:rsidRPr="00F55576" w:rsidRDefault="00AB75C1" w:rsidP="00AB75C1">
      <w:pPr>
        <w:jc w:val="both"/>
        <w:rPr>
          <w:sz w:val="20"/>
          <w:lang w:val="fr-CA"/>
        </w:rPr>
      </w:pPr>
    </w:p>
    <w:p w:rsidR="00AB75C1" w:rsidRPr="00F55576" w:rsidRDefault="007B1953" w:rsidP="00AB75C1">
      <w:pPr>
        <w:jc w:val="both"/>
        <w:rPr>
          <w:sz w:val="20"/>
          <w:lang w:val="fr-CA"/>
        </w:rPr>
      </w:pPr>
      <w:r>
        <w:rPr>
          <w:sz w:val="20"/>
        </w:rPr>
        <w:pict>
          <v:rect id="_x0000_i1039" style="width:2in;height:1pt" o:hrpct="0" o:hralign="center" o:hrstd="t" o:hrnoshade="t" o:hr="t" fillcolor="black [3213]" stroked="f"/>
        </w:pict>
      </w:r>
    </w:p>
    <w:p w:rsidR="00AB75C1" w:rsidRPr="00F55576" w:rsidRDefault="00AB75C1" w:rsidP="00AB75C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t>38742</w:t>
            </w:r>
          </w:p>
        </w:tc>
        <w:tc>
          <w:tcPr>
            <w:tcW w:w="4457" w:type="pct"/>
          </w:tcPr>
          <w:p w:rsidR="00AB75C1" w:rsidRPr="00F55576" w:rsidRDefault="00AB75C1" w:rsidP="00BA4C4D">
            <w:pPr>
              <w:pStyle w:val="SCCLsocParty"/>
              <w:jc w:val="both"/>
              <w:rPr>
                <w:b/>
                <w:sz w:val="20"/>
                <w:szCs w:val="20"/>
                <w:lang w:val="en-CA"/>
              </w:rPr>
            </w:pPr>
            <w:r w:rsidRPr="00F55576">
              <w:rPr>
                <w:b/>
                <w:sz w:val="20"/>
                <w:szCs w:val="20"/>
                <w:lang w:val="en-CA"/>
              </w:rPr>
              <w:t xml:space="preserve">Marc Bibeau v. </w:t>
            </w:r>
            <w:r w:rsidR="00BD42EA" w:rsidRPr="00F55576">
              <w:rPr>
                <w:b/>
                <w:sz w:val="20"/>
                <w:szCs w:val="20"/>
                <w:lang w:val="en-CA"/>
              </w:rPr>
              <w:t>La Presse Ltée, Media QMI inc., Montreal Gazette, a division of Postmedia Network Inc., Director of Criminal and Penal Prosecutions and Honourable Julie Riendeau, J.C.Q.</w:t>
            </w:r>
          </w:p>
          <w:p w:rsidR="00AB75C1" w:rsidRPr="00F55576" w:rsidRDefault="00AB75C1" w:rsidP="00BA4C4D">
            <w:pPr>
              <w:jc w:val="both"/>
              <w:rPr>
                <w:sz w:val="20"/>
              </w:rPr>
            </w:pPr>
            <w:r w:rsidRPr="00F55576">
              <w:rPr>
                <w:sz w:val="20"/>
              </w:rPr>
              <w:t>(Que.) (Civil) (By Leave)</w:t>
            </w:r>
          </w:p>
        </w:tc>
      </w:tr>
      <w:tr w:rsidR="00834E76" w:rsidRPr="00F55576" w:rsidTr="00BA4C4D">
        <w:tc>
          <w:tcPr>
            <w:tcW w:w="5000" w:type="pct"/>
            <w:gridSpan w:val="2"/>
          </w:tcPr>
          <w:p w:rsidR="00BD42EA" w:rsidRPr="00F55576" w:rsidRDefault="00BD42EA" w:rsidP="00BD42EA">
            <w:pPr>
              <w:jc w:val="both"/>
              <w:rPr>
                <w:sz w:val="20"/>
                <w:szCs w:val="20"/>
              </w:rPr>
            </w:pPr>
            <w:r w:rsidRPr="00F55576">
              <w:rPr>
                <w:sz w:val="20"/>
                <w:szCs w:val="20"/>
              </w:rPr>
              <w:t xml:space="preserve">The application for leave to appeal from the judgment of the </w:t>
            </w:r>
            <w:r w:rsidRPr="00F55576">
              <w:rPr>
                <w:sz w:val="20"/>
                <w:szCs w:val="20"/>
                <w:lang w:val="en-US"/>
              </w:rPr>
              <w:t>Court of Appeal of Quebec (Montréal)</w:t>
            </w:r>
            <w:r w:rsidRPr="00F55576">
              <w:rPr>
                <w:sz w:val="20"/>
                <w:szCs w:val="20"/>
              </w:rPr>
              <w:t xml:space="preserve">, Number </w:t>
            </w:r>
            <w:r w:rsidRPr="00F55576">
              <w:rPr>
                <w:sz w:val="20"/>
                <w:szCs w:val="20"/>
                <w:lang w:val="en-US"/>
              </w:rPr>
              <w:t>500-10-006673-188</w:t>
            </w:r>
            <w:r w:rsidRPr="00F55576">
              <w:rPr>
                <w:sz w:val="20"/>
                <w:szCs w:val="20"/>
              </w:rPr>
              <w:t xml:space="preserve">,  </w:t>
            </w:r>
            <w:r w:rsidRPr="00F55576">
              <w:rPr>
                <w:sz w:val="20"/>
                <w:szCs w:val="20"/>
                <w:lang w:val="en-US"/>
              </w:rPr>
              <w:t xml:space="preserve">2019 QCCA 756, </w:t>
            </w:r>
            <w:r w:rsidRPr="00F55576">
              <w:rPr>
                <w:sz w:val="20"/>
                <w:szCs w:val="20"/>
              </w:rPr>
              <w:t xml:space="preserve">dated </w:t>
            </w:r>
            <w:r w:rsidRPr="00F55576">
              <w:rPr>
                <w:sz w:val="20"/>
                <w:szCs w:val="20"/>
                <w:lang w:val="en-US"/>
              </w:rPr>
              <w:t>April 30, 2019,</w:t>
            </w:r>
            <w:r w:rsidRPr="00F55576">
              <w:rPr>
                <w:sz w:val="20"/>
                <w:szCs w:val="20"/>
              </w:rPr>
              <w:t xml:space="preserve"> is dismissed with costs to the respondents, La Presse Ltée, Media QMI inc. and Montreal Gazette, a division of Postmedia Network Inc.</w:t>
            </w:r>
          </w:p>
          <w:p w:rsidR="00BD42EA" w:rsidRPr="00F55576" w:rsidRDefault="00BD42EA" w:rsidP="00BD42EA">
            <w:pPr>
              <w:jc w:val="both"/>
              <w:rPr>
                <w:sz w:val="20"/>
                <w:szCs w:val="20"/>
                <w:lang w:val="en-US"/>
              </w:rPr>
            </w:pPr>
          </w:p>
          <w:p w:rsidR="00834E76" w:rsidRPr="00F55576" w:rsidRDefault="00BD42EA" w:rsidP="00BD42EA">
            <w:pPr>
              <w:pStyle w:val="SCCBanSummary0"/>
              <w:rPr>
                <w:smallCaps w:val="0"/>
                <w:sz w:val="20"/>
                <w:szCs w:val="20"/>
              </w:rPr>
            </w:pPr>
            <w:r w:rsidRPr="00F55576">
              <w:rPr>
                <w:smallCaps w:val="0"/>
                <w:sz w:val="20"/>
                <w:szCs w:val="20"/>
                <w:lang w:val="en-US"/>
              </w:rPr>
              <w:t>Côté J. took no part in the judgment.</w:t>
            </w:r>
          </w:p>
          <w:p w:rsidR="00834E76" w:rsidRPr="00F55576" w:rsidRDefault="00834E76" w:rsidP="00834E76"/>
        </w:tc>
      </w:tr>
    </w:tbl>
    <w:p w:rsidR="00E337D9" w:rsidRPr="00F55576" w:rsidRDefault="00E337D9">
      <w:r w:rsidRPr="00F55576">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5C1" w:rsidRPr="00F55576" w:rsidTr="00BA4C4D">
        <w:tc>
          <w:tcPr>
            <w:tcW w:w="5000" w:type="pct"/>
            <w:gridSpan w:val="3"/>
          </w:tcPr>
          <w:p w:rsidR="00AB75C1" w:rsidRPr="00F55576" w:rsidRDefault="00AB75C1" w:rsidP="00BA4C4D">
            <w:pPr>
              <w:pStyle w:val="SCCBanSummary0"/>
              <w:rPr>
                <w:sz w:val="20"/>
                <w:szCs w:val="20"/>
              </w:rPr>
            </w:pPr>
            <w:r w:rsidRPr="00F55576">
              <w:rPr>
                <w:sz w:val="20"/>
                <w:szCs w:val="20"/>
              </w:rPr>
              <w:lastRenderedPageBreak/>
              <w:t>(Publication Ban in Case)</w:t>
            </w:r>
          </w:p>
          <w:p w:rsidR="00AB75C1" w:rsidRPr="00F55576" w:rsidRDefault="00AB75C1" w:rsidP="00BA4C4D">
            <w:pPr>
              <w:jc w:val="both"/>
              <w:rPr>
                <w:sz w:val="20"/>
              </w:rPr>
            </w:pPr>
          </w:p>
          <w:p w:rsidR="00AB75C1" w:rsidRPr="00F55576" w:rsidRDefault="00AB75C1" w:rsidP="00BA4C4D">
            <w:pPr>
              <w:jc w:val="both"/>
              <w:rPr>
                <w:sz w:val="20"/>
              </w:rPr>
            </w:pPr>
            <w:r w:rsidRPr="00F55576">
              <w:rPr>
                <w:sz w:val="20"/>
              </w:rPr>
              <w:t xml:space="preserve">Criminal law ⸺ Publication ban on content of </w:t>
            </w:r>
            <w:proofErr w:type="spellStart"/>
            <w:r w:rsidRPr="00F55576">
              <w:rPr>
                <w:sz w:val="20"/>
              </w:rPr>
              <w:t>informations</w:t>
            </w:r>
            <w:proofErr w:type="spellEnd"/>
            <w:r w:rsidRPr="00F55576">
              <w:rPr>
                <w:sz w:val="20"/>
              </w:rPr>
              <w:t xml:space="preserve"> in support of applications for search warrants ⸺ Investigation into political financing and awarding of public contracts ⸺ Right to fair hearing ⸺ Prejudice to interests of innocent person — Open court principle ⸺ Whether Quebec Court of Appeal was correct to repudiate, by trivializing, </w:t>
            </w:r>
            <w:r w:rsidRPr="00F55576">
              <w:rPr>
                <w:i/>
                <w:sz w:val="20"/>
              </w:rPr>
              <w:t xml:space="preserve">MacIntyre </w:t>
            </w:r>
            <w:r w:rsidRPr="00F55576">
              <w:rPr>
                <w:sz w:val="20"/>
              </w:rPr>
              <w:t xml:space="preserve">exception to effect that innocent person affected by warrant that yields no result must be protected from unnecessary harm caused by publication of content of warrant ⸺ Whether Quebec Court of Appeal was correct to depart from </w:t>
            </w:r>
            <w:proofErr w:type="spellStart"/>
            <w:r w:rsidRPr="00F55576">
              <w:rPr>
                <w:i/>
                <w:sz w:val="20"/>
              </w:rPr>
              <w:t>Flahiff</w:t>
            </w:r>
            <w:proofErr w:type="spellEnd"/>
            <w:r w:rsidRPr="00F55576">
              <w:rPr>
                <w:i/>
                <w:sz w:val="20"/>
              </w:rPr>
              <w:t xml:space="preserve">/Savard </w:t>
            </w:r>
            <w:r w:rsidRPr="00F55576">
              <w:rPr>
                <w:sz w:val="20"/>
              </w:rPr>
              <w:t xml:space="preserve">principle to effect that future right to fair hearing of person under investigation must be safeguarded from prejudice, even objective prejudice, resulting from media coverage of untested allegations based on hearsay in support of warrant ⸺ </w:t>
            </w:r>
            <w:r w:rsidRPr="00F55576">
              <w:rPr>
                <w:i/>
                <w:sz w:val="20"/>
              </w:rPr>
              <w:t>Criminal Code</w:t>
            </w:r>
            <w:r w:rsidRPr="00F55576">
              <w:rPr>
                <w:sz w:val="20"/>
              </w:rPr>
              <w:t>, R.S.C. 1985, c. C</w:t>
            </w:r>
            <w:r w:rsidRPr="00F55576">
              <w:rPr>
                <w:sz w:val="20"/>
              </w:rPr>
              <w:noBreakHyphen/>
              <w:t>46, s. 487.3.</w:t>
            </w:r>
          </w:p>
          <w:p w:rsidR="00AB75C1" w:rsidRPr="00F55576" w:rsidRDefault="00AB75C1" w:rsidP="00BA4C4D">
            <w:pPr>
              <w:jc w:val="both"/>
              <w:rPr>
                <w:sz w:val="20"/>
              </w:rPr>
            </w:pPr>
          </w:p>
        </w:tc>
      </w:tr>
      <w:tr w:rsidR="00AB75C1" w:rsidRPr="00F55576" w:rsidTr="00BA4C4D">
        <w:tc>
          <w:tcPr>
            <w:tcW w:w="5000" w:type="pct"/>
            <w:gridSpan w:val="3"/>
          </w:tcPr>
          <w:p w:rsidR="00AB75C1" w:rsidRPr="00F55576" w:rsidRDefault="00AB75C1" w:rsidP="00BA4C4D">
            <w:pPr>
              <w:jc w:val="both"/>
              <w:rPr>
                <w:sz w:val="20"/>
              </w:rPr>
            </w:pPr>
            <w:r w:rsidRPr="00F55576">
              <w:rPr>
                <w:sz w:val="20"/>
              </w:rPr>
              <w:t xml:space="preserve">The applicant was a target of the </w:t>
            </w:r>
            <w:proofErr w:type="spellStart"/>
            <w:r w:rsidRPr="00F55576">
              <w:rPr>
                <w:i/>
                <w:sz w:val="20"/>
              </w:rPr>
              <w:t>Mâchurer</w:t>
            </w:r>
            <w:proofErr w:type="spellEnd"/>
            <w:r w:rsidRPr="00F55576">
              <w:rPr>
                <w:sz w:val="20"/>
              </w:rPr>
              <w:t xml:space="preserve"> criminal investigation initiated by the permanent anti</w:t>
            </w:r>
            <w:r w:rsidRPr="00F55576">
              <w:rPr>
                <w:sz w:val="20"/>
              </w:rPr>
              <w:noBreakHyphen/>
              <w:t xml:space="preserve">corruption unit in 2013, which was an investigation into political financing and the awarding of public contracts in Quebec. Two general warrants were issued concerning premises linked to the applicant, but nothing was seized and no charges had yet been laid against him. The parties originally applied for and obtained access to the warrants and to the </w:t>
            </w:r>
            <w:proofErr w:type="spellStart"/>
            <w:r w:rsidRPr="00F55576">
              <w:rPr>
                <w:sz w:val="20"/>
              </w:rPr>
              <w:t>informations</w:t>
            </w:r>
            <w:proofErr w:type="spellEnd"/>
            <w:r w:rsidRPr="00F55576">
              <w:rPr>
                <w:sz w:val="20"/>
              </w:rPr>
              <w:t xml:space="preserve"> that led to the issuance of general warrants. The applicant then applied for publication bans, at least until the Director of Criminal and Penal Prosecutions decided whether the applicant would be charged, to ensure that his right to a fair hearing was not jeopardized. The respondent media organizations opposed the application and intervened in order to have the general warrants and the </w:t>
            </w:r>
            <w:proofErr w:type="spellStart"/>
            <w:r w:rsidRPr="00F55576">
              <w:rPr>
                <w:sz w:val="20"/>
              </w:rPr>
              <w:t>informations</w:t>
            </w:r>
            <w:proofErr w:type="spellEnd"/>
            <w:r w:rsidRPr="00F55576">
              <w:rPr>
                <w:sz w:val="20"/>
              </w:rPr>
              <w:t xml:space="preserve"> made public. The Court of Québec dismissed the motion for a publication ban on the content of the </w:t>
            </w:r>
            <w:proofErr w:type="spellStart"/>
            <w:r w:rsidRPr="00F55576">
              <w:rPr>
                <w:sz w:val="20"/>
              </w:rPr>
              <w:t>informations</w:t>
            </w:r>
            <w:proofErr w:type="spellEnd"/>
            <w:r w:rsidRPr="00F55576">
              <w:rPr>
                <w:sz w:val="20"/>
              </w:rPr>
              <w:t xml:space="preserve"> and related documents in support of the applications for general warrants. It held that, in the circumstances of the case, greater openness concerning facts that were already public could not create a risk of prejudice requiring intervention to limit publication based on the tests established by the applicable jurisprudence. The Superior Court dismissed the applicant’s motion for a writ of </w:t>
            </w:r>
            <w:r w:rsidRPr="00F55576">
              <w:rPr>
                <w:i/>
                <w:iCs/>
                <w:sz w:val="20"/>
              </w:rPr>
              <w:t>certiorari</w:t>
            </w:r>
            <w:r w:rsidRPr="00F55576">
              <w:rPr>
                <w:sz w:val="20"/>
              </w:rPr>
              <w:t>, finding that the trial judge had not made any reviewable error in distinguishing the jurisprudence from the applicant’s situation. The Superior Court held that the trial judge had not made a reviewable error in finding that there was a presumption of openness because the applicant had not discharged his burden of displacing that presumption. It also found that the trial judge had not exceeded her jurisdiction. The Court of Appeal unanimously dismissed the appeal and found that the trial judge had not made any jurisdictional error or any error of law on the face of the record and that no intervention was warranted.</w:t>
            </w:r>
          </w:p>
        </w:tc>
      </w:tr>
      <w:tr w:rsidR="00AB75C1" w:rsidRPr="00F55576" w:rsidTr="00BA4C4D">
        <w:tc>
          <w:tcPr>
            <w:tcW w:w="5000" w:type="pct"/>
            <w:gridSpan w:val="3"/>
          </w:tcPr>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November 17, 2017</w:t>
            </w:r>
          </w:p>
          <w:p w:rsidR="00AB75C1" w:rsidRPr="00F55576" w:rsidRDefault="00AB75C1" w:rsidP="00BA4C4D">
            <w:pPr>
              <w:jc w:val="both"/>
              <w:rPr>
                <w:sz w:val="20"/>
              </w:rPr>
            </w:pPr>
            <w:r w:rsidRPr="00F55576">
              <w:rPr>
                <w:sz w:val="20"/>
              </w:rPr>
              <w:t>Court of Québec (Montréal)</w:t>
            </w:r>
          </w:p>
          <w:p w:rsidR="00AB75C1" w:rsidRPr="00F55576" w:rsidRDefault="00AB75C1" w:rsidP="00BA4C4D">
            <w:pPr>
              <w:jc w:val="both"/>
              <w:rPr>
                <w:sz w:val="20"/>
              </w:rPr>
            </w:pPr>
            <w:r w:rsidRPr="00F55576">
              <w:rPr>
                <w:sz w:val="20"/>
              </w:rPr>
              <w:t>(Judge Riendeau)</w:t>
            </w:r>
          </w:p>
          <w:p w:rsidR="00AB75C1" w:rsidRPr="00F55576" w:rsidRDefault="00AB75C1" w:rsidP="00BA4C4D">
            <w:pPr>
              <w:jc w:val="both"/>
              <w:rPr>
                <w:sz w:val="20"/>
              </w:rPr>
            </w:pPr>
            <w:r w:rsidRPr="00F55576">
              <w:rPr>
                <w:sz w:val="20"/>
              </w:rPr>
              <w:t>500</w:t>
            </w:r>
            <w:r w:rsidRPr="00F55576">
              <w:rPr>
                <w:sz w:val="20"/>
              </w:rPr>
              <w:noBreakHyphen/>
              <w:t>26</w:t>
            </w:r>
            <w:r w:rsidRPr="00F55576">
              <w:rPr>
                <w:sz w:val="20"/>
              </w:rPr>
              <w:noBreakHyphen/>
              <w:t>097439</w:t>
            </w:r>
            <w:r w:rsidRPr="00F55576">
              <w:rPr>
                <w:sz w:val="20"/>
              </w:rPr>
              <w:noBreakHyphen/>
              <w:t>164; 500</w:t>
            </w:r>
            <w:r w:rsidRPr="00F55576">
              <w:rPr>
                <w:sz w:val="20"/>
              </w:rPr>
              <w:noBreakHyphen/>
              <w:t>26</w:t>
            </w:r>
            <w:r w:rsidRPr="00F55576">
              <w:rPr>
                <w:sz w:val="20"/>
              </w:rPr>
              <w:noBreakHyphen/>
              <w:t>097414</w:t>
            </w:r>
            <w:r w:rsidRPr="00F55576">
              <w:rPr>
                <w:sz w:val="20"/>
              </w:rPr>
              <w:noBreakHyphen/>
              <w:t>167</w:t>
            </w:r>
          </w:p>
          <w:p w:rsidR="00AB75C1" w:rsidRPr="00F55576" w:rsidRDefault="007B1953" w:rsidP="00BA4C4D">
            <w:pPr>
              <w:jc w:val="both"/>
              <w:rPr>
                <w:sz w:val="20"/>
              </w:rPr>
            </w:pPr>
            <w:hyperlink r:id="rId33" w:history="1">
              <w:r w:rsidR="00AB75C1" w:rsidRPr="00F55576">
                <w:rPr>
                  <w:rStyle w:val="Hyperlink"/>
                  <w:sz w:val="20"/>
                </w:rPr>
                <w:t>2017 QCCQ 15082</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 xml:space="preserve">Motion for publication ban dismissed, interim publication bans partially lifted, partial publication or broadcasting or transmission of </w:t>
            </w:r>
            <w:proofErr w:type="spellStart"/>
            <w:r w:rsidRPr="00F55576">
              <w:rPr>
                <w:sz w:val="20"/>
              </w:rPr>
              <w:t>informations</w:t>
            </w:r>
            <w:proofErr w:type="spellEnd"/>
            <w:r w:rsidRPr="00F55576">
              <w:rPr>
                <w:sz w:val="20"/>
              </w:rPr>
              <w:t xml:space="preserve"> and documents authorized, publication or broadcasting or transmission of redacted passages banned and effects of judgment suspended</w:t>
            </w:r>
          </w:p>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February 14, 2018</w:t>
            </w:r>
          </w:p>
          <w:p w:rsidR="00AB75C1" w:rsidRPr="00F55576" w:rsidRDefault="00AB75C1" w:rsidP="00BA4C4D">
            <w:pPr>
              <w:jc w:val="both"/>
              <w:rPr>
                <w:sz w:val="20"/>
              </w:rPr>
            </w:pPr>
            <w:r w:rsidRPr="00F55576">
              <w:rPr>
                <w:sz w:val="20"/>
              </w:rPr>
              <w:t>Quebec Superior Court (Montréal)</w:t>
            </w:r>
          </w:p>
          <w:p w:rsidR="00AB75C1" w:rsidRPr="00F55576" w:rsidRDefault="00AB75C1" w:rsidP="00BA4C4D">
            <w:pPr>
              <w:jc w:val="both"/>
              <w:rPr>
                <w:sz w:val="20"/>
              </w:rPr>
            </w:pPr>
            <w:r w:rsidRPr="00F55576">
              <w:rPr>
                <w:sz w:val="20"/>
              </w:rPr>
              <w:t>(Di Salvo J.)</w:t>
            </w:r>
          </w:p>
          <w:p w:rsidR="00AB75C1" w:rsidRPr="00F55576" w:rsidRDefault="00AB75C1" w:rsidP="00BA4C4D">
            <w:pPr>
              <w:jc w:val="both"/>
              <w:rPr>
                <w:sz w:val="20"/>
              </w:rPr>
            </w:pPr>
            <w:r w:rsidRPr="00F55576">
              <w:rPr>
                <w:sz w:val="20"/>
              </w:rPr>
              <w:t>500</w:t>
            </w:r>
            <w:r w:rsidRPr="00F55576">
              <w:rPr>
                <w:sz w:val="20"/>
              </w:rPr>
              <w:noBreakHyphen/>
              <w:t>36</w:t>
            </w:r>
            <w:r w:rsidRPr="00F55576">
              <w:rPr>
                <w:sz w:val="20"/>
              </w:rPr>
              <w:noBreakHyphen/>
              <w:t>008633</w:t>
            </w:r>
            <w:r w:rsidRPr="00F55576">
              <w:rPr>
                <w:sz w:val="20"/>
              </w:rPr>
              <w:noBreakHyphen/>
              <w:t>177; 500</w:t>
            </w:r>
            <w:r w:rsidRPr="00F55576">
              <w:rPr>
                <w:sz w:val="20"/>
              </w:rPr>
              <w:noBreakHyphen/>
              <w:t>36</w:t>
            </w:r>
            <w:r w:rsidRPr="00F55576">
              <w:rPr>
                <w:sz w:val="20"/>
              </w:rPr>
              <w:noBreakHyphen/>
              <w:t>008765</w:t>
            </w:r>
            <w:r w:rsidRPr="00F55576">
              <w:rPr>
                <w:sz w:val="20"/>
              </w:rPr>
              <w:noBreakHyphen/>
              <w:t>177</w:t>
            </w:r>
          </w:p>
          <w:p w:rsidR="00AB75C1" w:rsidRPr="00F55576" w:rsidRDefault="007B1953" w:rsidP="00BA4C4D">
            <w:pPr>
              <w:jc w:val="both"/>
              <w:rPr>
                <w:sz w:val="20"/>
              </w:rPr>
            </w:pPr>
            <w:hyperlink r:id="rId34" w:history="1">
              <w:r w:rsidR="00AB75C1" w:rsidRPr="00F55576">
                <w:rPr>
                  <w:rStyle w:val="Hyperlink"/>
                  <w:sz w:val="20"/>
                </w:rPr>
                <w:t>2018 QCCS 1077</w:t>
              </w:r>
            </w:hyperlink>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 xml:space="preserve">Motion for </w:t>
            </w:r>
            <w:r w:rsidRPr="00F55576">
              <w:rPr>
                <w:i/>
                <w:sz w:val="20"/>
              </w:rPr>
              <w:t xml:space="preserve">certiorari </w:t>
            </w:r>
            <w:r w:rsidRPr="00F55576">
              <w:rPr>
                <w:sz w:val="20"/>
              </w:rPr>
              <w:t>dismissed, application for publication ban dismissed and effect of judgment suspended, without costs</w:t>
            </w:r>
          </w:p>
        </w:tc>
      </w:tr>
      <w:tr w:rsidR="00AB75C1" w:rsidRPr="00F55576" w:rsidTr="00BA4C4D">
        <w:tc>
          <w:tcPr>
            <w:tcW w:w="2427" w:type="pct"/>
          </w:tcPr>
          <w:p w:rsidR="00AB75C1" w:rsidRPr="00F55576" w:rsidRDefault="00AB75C1" w:rsidP="00BA4C4D">
            <w:pPr>
              <w:jc w:val="both"/>
              <w:rPr>
                <w:sz w:val="20"/>
              </w:rPr>
            </w:pPr>
            <w:r w:rsidRPr="00F55576">
              <w:rPr>
                <w:sz w:val="20"/>
              </w:rPr>
              <w:t>April 30, 2019</w:t>
            </w:r>
          </w:p>
          <w:p w:rsidR="00AB75C1" w:rsidRPr="00F55576" w:rsidRDefault="00AB75C1" w:rsidP="00BA4C4D">
            <w:pPr>
              <w:jc w:val="both"/>
              <w:rPr>
                <w:sz w:val="20"/>
              </w:rPr>
            </w:pPr>
            <w:r w:rsidRPr="00F55576">
              <w:rPr>
                <w:sz w:val="20"/>
              </w:rPr>
              <w:t>Quebec Court of Appeal (Montréal)</w:t>
            </w:r>
          </w:p>
          <w:p w:rsidR="00AB75C1" w:rsidRPr="00F55576" w:rsidRDefault="00AB75C1" w:rsidP="00BA4C4D">
            <w:pPr>
              <w:jc w:val="both"/>
              <w:rPr>
                <w:sz w:val="20"/>
              </w:rPr>
            </w:pPr>
            <w:r w:rsidRPr="00F55576">
              <w:rPr>
                <w:sz w:val="20"/>
              </w:rPr>
              <w:t xml:space="preserve">(Dufresne, </w:t>
            </w:r>
            <w:proofErr w:type="spellStart"/>
            <w:r w:rsidRPr="00F55576">
              <w:rPr>
                <w:sz w:val="20"/>
              </w:rPr>
              <w:t>Cotnam</w:t>
            </w:r>
            <w:proofErr w:type="spellEnd"/>
            <w:r w:rsidRPr="00F55576">
              <w:rPr>
                <w:sz w:val="20"/>
              </w:rPr>
              <w:t xml:space="preserve"> and Hamilton JJ.A.)</w:t>
            </w:r>
          </w:p>
          <w:p w:rsidR="00AB75C1" w:rsidRPr="00F55576" w:rsidRDefault="00AB75C1" w:rsidP="00BA4C4D">
            <w:pPr>
              <w:jc w:val="both"/>
              <w:rPr>
                <w:sz w:val="20"/>
              </w:rPr>
            </w:pPr>
            <w:r w:rsidRPr="00F55576">
              <w:rPr>
                <w:sz w:val="20"/>
              </w:rPr>
              <w:t>500</w:t>
            </w:r>
            <w:r w:rsidRPr="00F55576">
              <w:rPr>
                <w:sz w:val="20"/>
              </w:rPr>
              <w:noBreakHyphen/>
              <w:t>10</w:t>
            </w:r>
            <w:r w:rsidRPr="00F55576">
              <w:rPr>
                <w:sz w:val="20"/>
              </w:rPr>
              <w:noBreakHyphen/>
              <w:t>006673</w:t>
            </w:r>
            <w:r w:rsidRPr="00F55576">
              <w:rPr>
                <w:sz w:val="20"/>
              </w:rPr>
              <w:noBreakHyphen/>
              <w:t>188</w:t>
            </w:r>
          </w:p>
          <w:p w:rsidR="00AB75C1" w:rsidRPr="00F55576" w:rsidRDefault="007B1953" w:rsidP="00BA4C4D">
            <w:pPr>
              <w:jc w:val="both"/>
              <w:rPr>
                <w:sz w:val="20"/>
              </w:rPr>
            </w:pPr>
            <w:hyperlink r:id="rId35" w:history="1">
              <w:r w:rsidR="00AB75C1" w:rsidRPr="00F55576">
                <w:rPr>
                  <w:rStyle w:val="Hyperlink"/>
                  <w:sz w:val="20"/>
                </w:rPr>
                <w:t>2019 QCCA 756</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Appeal dismissed and judgment suspended</w:t>
            </w:r>
          </w:p>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July 31, 2019</w:t>
            </w:r>
          </w:p>
          <w:p w:rsidR="00AB75C1" w:rsidRPr="00F55576" w:rsidRDefault="00AB75C1" w:rsidP="00BA4C4D">
            <w:pPr>
              <w:jc w:val="both"/>
              <w:rPr>
                <w:sz w:val="20"/>
              </w:rPr>
            </w:pPr>
            <w:r w:rsidRPr="00F55576">
              <w:rPr>
                <w:sz w:val="20"/>
              </w:rPr>
              <w:t>Supreme Court of Canada</w:t>
            </w: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Application for leave to appeal filed</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40" style="width:2in;height:1pt" o:hrpct="0" o:hralign="center" o:hrstd="t" o:hrnoshade="t" o:hr="t" fillcolor="black [3213]" stroked="f"/>
        </w:pict>
      </w:r>
    </w:p>
    <w:p w:rsidR="00AB75C1" w:rsidRPr="00F55576" w:rsidRDefault="00AB75C1" w:rsidP="00AB75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lastRenderedPageBreak/>
              <w:t>38742</w:t>
            </w:r>
          </w:p>
        </w:tc>
        <w:tc>
          <w:tcPr>
            <w:tcW w:w="4457" w:type="pct"/>
            <w:gridSpan w:val="3"/>
          </w:tcPr>
          <w:p w:rsidR="00AB75C1" w:rsidRPr="00F55576" w:rsidRDefault="00AB75C1" w:rsidP="00BA4C4D">
            <w:pPr>
              <w:pStyle w:val="SCCLsocParty"/>
              <w:jc w:val="both"/>
              <w:rPr>
                <w:b/>
                <w:sz w:val="20"/>
                <w:szCs w:val="20"/>
              </w:rPr>
            </w:pPr>
            <w:r w:rsidRPr="00F55576">
              <w:rPr>
                <w:b/>
                <w:sz w:val="20"/>
                <w:szCs w:val="20"/>
              </w:rPr>
              <w:t xml:space="preserve">Marc Bibeau c. </w:t>
            </w:r>
            <w:r w:rsidR="00BD42EA" w:rsidRPr="00F55576">
              <w:rPr>
                <w:b/>
                <w:sz w:val="20"/>
                <w:szCs w:val="20"/>
              </w:rPr>
              <w:t>La Presse Ltée, Média QMI inc., Montreal Gazette, une division de Postmedia Network Inc., Directeur des poursuites criminelles et pénales et Honorable Julie Riendeau, J.C.Q.</w:t>
            </w:r>
          </w:p>
          <w:p w:rsidR="00AB75C1" w:rsidRPr="00F55576" w:rsidRDefault="00AB75C1" w:rsidP="00BA4C4D">
            <w:pPr>
              <w:jc w:val="both"/>
              <w:rPr>
                <w:sz w:val="20"/>
              </w:rPr>
            </w:pPr>
            <w:r w:rsidRPr="00F55576">
              <w:rPr>
                <w:sz w:val="20"/>
              </w:rPr>
              <w:t>(Qc) (Civile) (Autorisation)</w:t>
            </w:r>
          </w:p>
        </w:tc>
      </w:tr>
      <w:tr w:rsidR="00834E76" w:rsidRPr="008042C9" w:rsidTr="00BA4C4D">
        <w:tc>
          <w:tcPr>
            <w:tcW w:w="5000" w:type="pct"/>
            <w:gridSpan w:val="4"/>
          </w:tcPr>
          <w:p w:rsidR="00BD42EA" w:rsidRPr="00F55576" w:rsidRDefault="00BD42EA" w:rsidP="00BD42EA">
            <w:pPr>
              <w:jc w:val="both"/>
              <w:rPr>
                <w:sz w:val="20"/>
                <w:szCs w:val="20"/>
                <w:lang w:val="fr-CA"/>
              </w:rPr>
            </w:pPr>
            <w:r w:rsidRPr="00F55576">
              <w:rPr>
                <w:sz w:val="20"/>
                <w:szCs w:val="20"/>
                <w:lang w:val="fr-CA"/>
              </w:rPr>
              <w:t>La demande d’autorisation d’appel de l’arrêt de la Cour d’appel du Québec (Montréal), numéro 500-10-006673-188, 2019 QCCA 756, daté du 30 avril 2019, est rejetée avec dépens en faveur des intimées, La Presse Ltée, Média QMI inc. et Montreal Gazette, une division de Postmedia Network Inc.</w:t>
            </w:r>
          </w:p>
          <w:p w:rsidR="00BD42EA" w:rsidRPr="00F55576" w:rsidRDefault="00BD42EA" w:rsidP="00BD42EA">
            <w:pPr>
              <w:jc w:val="both"/>
              <w:rPr>
                <w:sz w:val="20"/>
                <w:szCs w:val="20"/>
                <w:lang w:val="fr-CA"/>
              </w:rPr>
            </w:pPr>
          </w:p>
          <w:p w:rsidR="00834E76" w:rsidRPr="00F55576" w:rsidRDefault="00BD42EA" w:rsidP="00BD42EA">
            <w:pPr>
              <w:pStyle w:val="SCCBanSummary0"/>
              <w:rPr>
                <w:smallCaps w:val="0"/>
                <w:sz w:val="20"/>
                <w:szCs w:val="20"/>
                <w:lang w:val="fr-CA"/>
              </w:rPr>
            </w:pPr>
            <w:r w:rsidRPr="00F55576">
              <w:rPr>
                <w:smallCaps w:val="0"/>
                <w:sz w:val="20"/>
                <w:szCs w:val="20"/>
                <w:lang w:val="fr-CA"/>
              </w:rPr>
              <w:t>La juge Côté n’a pas participé au jugement.</w:t>
            </w:r>
          </w:p>
          <w:p w:rsidR="00834E76" w:rsidRPr="00F55576" w:rsidRDefault="00834E76" w:rsidP="00834E76">
            <w:pPr>
              <w:rPr>
                <w:lang w:val="fr-CA"/>
              </w:rPr>
            </w:pPr>
          </w:p>
        </w:tc>
      </w:tr>
      <w:tr w:rsidR="00AB75C1" w:rsidRPr="00F55576" w:rsidTr="00BA4C4D">
        <w:tc>
          <w:tcPr>
            <w:tcW w:w="5000" w:type="pct"/>
            <w:gridSpan w:val="4"/>
          </w:tcPr>
          <w:p w:rsidR="00AB75C1" w:rsidRPr="00F55576" w:rsidRDefault="00AB75C1" w:rsidP="00BA4C4D">
            <w:pPr>
              <w:pStyle w:val="SCCBanSummary0"/>
              <w:rPr>
                <w:sz w:val="20"/>
                <w:szCs w:val="20"/>
                <w:lang w:val="fr-CA"/>
              </w:rPr>
            </w:pPr>
            <w:r w:rsidRPr="00F55576">
              <w:rPr>
                <w:sz w:val="20"/>
                <w:szCs w:val="20"/>
                <w:lang w:val="fr-CA"/>
              </w:rPr>
              <w:t>(Ordonnance de non</w:t>
            </w:r>
            <w:r w:rsidRPr="00F55576">
              <w:rPr>
                <w:sz w:val="20"/>
                <w:szCs w:val="20"/>
                <w:lang w:val="fr-CA"/>
              </w:rPr>
              <w:noBreakHyphen/>
              <w:t>publication dans le dossier)</w:t>
            </w:r>
          </w:p>
          <w:p w:rsidR="00AB75C1" w:rsidRPr="00F55576" w:rsidRDefault="00AB75C1" w:rsidP="00BA4C4D">
            <w:pPr>
              <w:jc w:val="both"/>
              <w:rPr>
                <w:sz w:val="20"/>
                <w:lang w:val="fr-CA"/>
              </w:rPr>
            </w:pPr>
          </w:p>
          <w:p w:rsidR="00AB75C1" w:rsidRPr="00F55576" w:rsidRDefault="00AB75C1" w:rsidP="00BA4C4D">
            <w:pPr>
              <w:jc w:val="both"/>
              <w:rPr>
                <w:sz w:val="20"/>
              </w:rPr>
            </w:pPr>
            <w:r w:rsidRPr="00F55576">
              <w:rPr>
                <w:sz w:val="20"/>
                <w:lang w:val="fr-CA"/>
              </w:rPr>
              <w:t xml:space="preserve">Droit criminel </w:t>
            </w:r>
            <w:r w:rsidRPr="00F55576">
              <w:rPr>
                <w:sz w:val="20"/>
              </w:rPr>
              <w:t>⸺</w:t>
            </w:r>
            <w:r w:rsidRPr="00F55576">
              <w:rPr>
                <w:sz w:val="20"/>
                <w:lang w:val="fr-CA"/>
              </w:rPr>
              <w:t xml:space="preserve"> Interdit de publication du contenu de dénonciations au soutien des demandes de mandats de perquisition </w:t>
            </w:r>
            <w:r w:rsidRPr="00F55576">
              <w:rPr>
                <w:sz w:val="20"/>
              </w:rPr>
              <w:t>⸺</w:t>
            </w:r>
            <w:r w:rsidRPr="00F55576">
              <w:rPr>
                <w:sz w:val="20"/>
                <w:lang w:val="fr-CA"/>
              </w:rPr>
              <w:t xml:space="preserve"> Enquête sur le financement politique et l’octroi de contrats publics </w:t>
            </w:r>
            <w:r w:rsidRPr="00F55576">
              <w:rPr>
                <w:sz w:val="20"/>
              </w:rPr>
              <w:t>⸺</w:t>
            </w:r>
            <w:r w:rsidRPr="00F55576">
              <w:rPr>
                <w:sz w:val="20"/>
                <w:lang w:val="fr-CA"/>
              </w:rPr>
              <w:t xml:space="preserve"> Droit à un procès équitable </w:t>
            </w:r>
            <w:r w:rsidRPr="00F55576">
              <w:rPr>
                <w:sz w:val="20"/>
              </w:rPr>
              <w:t>⸺</w:t>
            </w:r>
            <w:r w:rsidRPr="00F55576">
              <w:rPr>
                <w:sz w:val="20"/>
                <w:lang w:val="fr-CA"/>
              </w:rPr>
              <w:t xml:space="preserve"> Préjudice à un innocent </w:t>
            </w:r>
            <w:r w:rsidRPr="00F55576">
              <w:rPr>
                <w:sz w:val="20"/>
              </w:rPr>
              <w:t>⸺</w:t>
            </w:r>
            <w:r w:rsidRPr="00F55576">
              <w:rPr>
                <w:sz w:val="20"/>
                <w:lang w:val="fr-CA"/>
              </w:rPr>
              <w:t xml:space="preserve"> Publicité des débats judiciaires </w:t>
            </w:r>
            <w:r w:rsidRPr="00F55576">
              <w:rPr>
                <w:sz w:val="20"/>
              </w:rPr>
              <w:t>⸺</w:t>
            </w:r>
            <w:r w:rsidRPr="00F55576">
              <w:rPr>
                <w:sz w:val="20"/>
                <w:lang w:val="fr-CA"/>
              </w:rPr>
              <w:t xml:space="preserve"> </w:t>
            </w:r>
            <w:r w:rsidRPr="00F55576">
              <w:rPr>
                <w:sz w:val="20"/>
                <w:lang w:val="x-none"/>
              </w:rPr>
              <w:t>La Cour</w:t>
            </w:r>
            <w:r w:rsidRPr="00F55576">
              <w:rPr>
                <w:sz w:val="20"/>
                <w:lang w:val="fr-CA"/>
              </w:rPr>
              <w:t xml:space="preserve"> d’appel du </w:t>
            </w:r>
            <w:r w:rsidRPr="00F55576">
              <w:rPr>
                <w:sz w:val="20"/>
                <w:lang w:val="x-none"/>
              </w:rPr>
              <w:t>Q</w:t>
            </w:r>
            <w:r w:rsidRPr="00F55576">
              <w:rPr>
                <w:sz w:val="20"/>
                <w:lang w:val="fr-CA"/>
              </w:rPr>
              <w:t>uébec</w:t>
            </w:r>
            <w:r w:rsidRPr="00F55576">
              <w:rPr>
                <w:sz w:val="20"/>
                <w:lang w:val="x-none"/>
              </w:rPr>
              <w:t xml:space="preserve"> a</w:t>
            </w:r>
            <w:r w:rsidRPr="00F55576">
              <w:rPr>
                <w:sz w:val="20"/>
                <w:lang w:val="x-none"/>
              </w:rPr>
              <w:noBreakHyphen/>
              <w:t>t</w:t>
            </w:r>
            <w:r w:rsidRPr="00F55576">
              <w:rPr>
                <w:sz w:val="20"/>
                <w:lang w:val="x-none"/>
              </w:rPr>
              <w:noBreakHyphen/>
            </w:r>
            <w:proofErr w:type="spellStart"/>
            <w:r w:rsidRPr="00F55576">
              <w:rPr>
                <w:sz w:val="20"/>
                <w:lang w:val="x-none"/>
              </w:rPr>
              <w:t>elle</w:t>
            </w:r>
            <w:proofErr w:type="spellEnd"/>
            <w:r w:rsidRPr="00F55576">
              <w:rPr>
                <w:sz w:val="20"/>
                <w:lang w:val="x-none"/>
              </w:rPr>
              <w:t xml:space="preserve"> </w:t>
            </w:r>
            <w:proofErr w:type="spellStart"/>
            <w:r w:rsidRPr="00F55576">
              <w:rPr>
                <w:sz w:val="20"/>
                <w:lang w:val="x-none"/>
              </w:rPr>
              <w:t>eu</w:t>
            </w:r>
            <w:proofErr w:type="spellEnd"/>
            <w:r w:rsidRPr="00F55576">
              <w:rPr>
                <w:sz w:val="20"/>
                <w:lang w:val="x-none"/>
              </w:rPr>
              <w:t xml:space="preserve"> raison de </w:t>
            </w:r>
            <w:proofErr w:type="spellStart"/>
            <w:r w:rsidRPr="00F55576">
              <w:rPr>
                <w:sz w:val="20"/>
                <w:lang w:val="x-none"/>
              </w:rPr>
              <w:t>répudier</w:t>
            </w:r>
            <w:proofErr w:type="spellEnd"/>
            <w:r w:rsidRPr="00F55576">
              <w:rPr>
                <w:sz w:val="20"/>
                <w:lang w:val="x-none"/>
              </w:rPr>
              <w:t xml:space="preserve"> en la </w:t>
            </w:r>
            <w:proofErr w:type="spellStart"/>
            <w:r w:rsidRPr="00F55576">
              <w:rPr>
                <w:sz w:val="20"/>
                <w:lang w:val="x-none"/>
              </w:rPr>
              <w:t>banalisant</w:t>
            </w:r>
            <w:proofErr w:type="spellEnd"/>
            <w:r w:rsidRPr="00F55576">
              <w:rPr>
                <w:sz w:val="20"/>
                <w:lang w:val="x-none"/>
              </w:rPr>
              <w:t>,</w:t>
            </w:r>
            <w:r w:rsidRPr="00F55576">
              <w:rPr>
                <w:sz w:val="20"/>
                <w:lang w:val="fr-CA"/>
              </w:rPr>
              <w:t xml:space="preserve"> </w:t>
            </w:r>
            <w:proofErr w:type="spellStart"/>
            <w:r w:rsidRPr="00F55576">
              <w:rPr>
                <w:sz w:val="20"/>
                <w:lang w:val="x-none"/>
              </w:rPr>
              <w:t>l’exception</w:t>
            </w:r>
            <w:proofErr w:type="spellEnd"/>
            <w:r w:rsidRPr="00F55576">
              <w:rPr>
                <w:sz w:val="20"/>
                <w:lang w:val="x-none"/>
              </w:rPr>
              <w:t xml:space="preserve"> de </w:t>
            </w:r>
            <w:r w:rsidRPr="00F55576">
              <w:rPr>
                <w:i/>
                <w:sz w:val="20"/>
                <w:lang w:val="x-none"/>
              </w:rPr>
              <w:t xml:space="preserve">MacIntyre </w:t>
            </w:r>
            <w:r w:rsidRPr="00F55576">
              <w:rPr>
                <w:sz w:val="20"/>
                <w:lang w:val="x-none"/>
              </w:rPr>
              <w:t xml:space="preserve">à </w:t>
            </w:r>
            <w:proofErr w:type="spellStart"/>
            <w:r w:rsidRPr="00F55576">
              <w:rPr>
                <w:sz w:val="20"/>
                <w:lang w:val="x-none"/>
              </w:rPr>
              <w:t>l’effet</w:t>
            </w:r>
            <w:proofErr w:type="spellEnd"/>
            <w:r w:rsidRPr="00F55576">
              <w:rPr>
                <w:sz w:val="20"/>
                <w:lang w:val="x-none"/>
              </w:rPr>
              <w:t xml:space="preserve"> </w:t>
            </w:r>
            <w:proofErr w:type="spellStart"/>
            <w:r w:rsidRPr="00F55576">
              <w:rPr>
                <w:sz w:val="20"/>
                <w:lang w:val="x-none"/>
              </w:rPr>
              <w:t>qu’une</w:t>
            </w:r>
            <w:proofErr w:type="spellEnd"/>
            <w:r w:rsidRPr="00F55576">
              <w:rPr>
                <w:sz w:val="20"/>
                <w:lang w:val="x-none"/>
              </w:rPr>
              <w:t xml:space="preserve"> </w:t>
            </w:r>
            <w:proofErr w:type="spellStart"/>
            <w:r w:rsidRPr="00F55576">
              <w:rPr>
                <w:sz w:val="20"/>
                <w:lang w:val="x-none"/>
              </w:rPr>
              <w:t>personne</w:t>
            </w:r>
            <w:proofErr w:type="spellEnd"/>
            <w:r w:rsidRPr="00F55576">
              <w:rPr>
                <w:sz w:val="20"/>
                <w:lang w:val="x-none"/>
              </w:rPr>
              <w:t xml:space="preserve"> </w:t>
            </w:r>
            <w:proofErr w:type="spellStart"/>
            <w:r w:rsidRPr="00F55576">
              <w:rPr>
                <w:sz w:val="20"/>
                <w:lang w:val="x-none"/>
              </w:rPr>
              <w:t>innocente</w:t>
            </w:r>
            <w:proofErr w:type="spellEnd"/>
            <w:r w:rsidRPr="00F55576">
              <w:rPr>
                <w:sz w:val="20"/>
                <w:lang w:val="x-none"/>
              </w:rPr>
              <w:t xml:space="preserve"> </w:t>
            </w:r>
            <w:proofErr w:type="spellStart"/>
            <w:r w:rsidRPr="00F55576">
              <w:rPr>
                <w:sz w:val="20"/>
                <w:lang w:val="x-none"/>
              </w:rPr>
              <w:t>affectée</w:t>
            </w:r>
            <w:proofErr w:type="spellEnd"/>
            <w:r w:rsidRPr="00F55576">
              <w:rPr>
                <w:sz w:val="20"/>
                <w:lang w:val="x-none"/>
              </w:rPr>
              <w:t xml:space="preserve"> par un </w:t>
            </w:r>
            <w:proofErr w:type="spellStart"/>
            <w:r w:rsidRPr="00F55576">
              <w:rPr>
                <w:sz w:val="20"/>
                <w:lang w:val="x-none"/>
              </w:rPr>
              <w:t>mandat</w:t>
            </w:r>
            <w:proofErr w:type="spellEnd"/>
            <w:r w:rsidRPr="00F55576">
              <w:rPr>
                <w:sz w:val="20"/>
                <w:lang w:val="fr-CA"/>
              </w:rPr>
              <w:t xml:space="preserve"> </w:t>
            </w:r>
            <w:r w:rsidRPr="00F55576">
              <w:rPr>
                <w:sz w:val="20"/>
                <w:lang w:val="x-none"/>
              </w:rPr>
              <w:t xml:space="preserve">qui n’a </w:t>
            </w:r>
            <w:proofErr w:type="spellStart"/>
            <w:r w:rsidRPr="00F55576">
              <w:rPr>
                <w:sz w:val="20"/>
                <w:lang w:val="x-none"/>
              </w:rPr>
              <w:t>donné</w:t>
            </w:r>
            <w:proofErr w:type="spellEnd"/>
            <w:r w:rsidRPr="00F55576">
              <w:rPr>
                <w:sz w:val="20"/>
                <w:lang w:val="x-none"/>
              </w:rPr>
              <w:t xml:space="preserve"> </w:t>
            </w:r>
            <w:proofErr w:type="spellStart"/>
            <w:r w:rsidRPr="00F55576">
              <w:rPr>
                <w:sz w:val="20"/>
                <w:lang w:val="x-none"/>
              </w:rPr>
              <w:t>aucun</w:t>
            </w:r>
            <w:proofErr w:type="spellEnd"/>
            <w:r w:rsidRPr="00F55576">
              <w:rPr>
                <w:sz w:val="20"/>
                <w:lang w:val="x-none"/>
              </w:rPr>
              <w:t xml:space="preserve"> </w:t>
            </w:r>
            <w:proofErr w:type="spellStart"/>
            <w:r w:rsidRPr="00F55576">
              <w:rPr>
                <w:sz w:val="20"/>
                <w:lang w:val="x-none"/>
              </w:rPr>
              <w:t>résultat</w:t>
            </w:r>
            <w:proofErr w:type="spellEnd"/>
            <w:r w:rsidRPr="00F55576">
              <w:rPr>
                <w:sz w:val="20"/>
                <w:lang w:val="x-none"/>
              </w:rPr>
              <w:t xml:space="preserve"> </w:t>
            </w:r>
            <w:proofErr w:type="spellStart"/>
            <w:r w:rsidRPr="00F55576">
              <w:rPr>
                <w:sz w:val="20"/>
                <w:lang w:val="x-none"/>
              </w:rPr>
              <w:t>doit</w:t>
            </w:r>
            <w:proofErr w:type="spellEnd"/>
            <w:r w:rsidRPr="00F55576">
              <w:rPr>
                <w:sz w:val="20"/>
                <w:lang w:val="x-none"/>
              </w:rPr>
              <w:t xml:space="preserve"> être protégée contre le </w:t>
            </w:r>
            <w:proofErr w:type="spellStart"/>
            <w:r w:rsidRPr="00F55576">
              <w:rPr>
                <w:sz w:val="20"/>
                <w:lang w:val="x-none"/>
              </w:rPr>
              <w:t>préjudice</w:t>
            </w:r>
            <w:proofErr w:type="spellEnd"/>
            <w:r w:rsidRPr="00F55576">
              <w:rPr>
                <w:sz w:val="20"/>
                <w:lang w:val="x-none"/>
              </w:rPr>
              <w:t xml:space="preserve"> inutile </w:t>
            </w:r>
            <w:proofErr w:type="spellStart"/>
            <w:r w:rsidRPr="00F55576">
              <w:rPr>
                <w:sz w:val="20"/>
                <w:lang w:val="x-none"/>
              </w:rPr>
              <w:t>causé</w:t>
            </w:r>
            <w:proofErr w:type="spellEnd"/>
            <w:r w:rsidRPr="00F55576">
              <w:rPr>
                <w:sz w:val="20"/>
                <w:lang w:val="x-none"/>
              </w:rPr>
              <w:t xml:space="preserve"> </w:t>
            </w:r>
            <w:proofErr w:type="spellStart"/>
            <w:r w:rsidRPr="00F55576">
              <w:rPr>
                <w:sz w:val="20"/>
                <w:lang w:val="x-none"/>
              </w:rPr>
              <w:t>par</w:t>
            </w:r>
            <w:proofErr w:type="spellEnd"/>
            <w:r w:rsidRPr="00F55576">
              <w:rPr>
                <w:sz w:val="20"/>
                <w:lang w:val="x-none"/>
              </w:rPr>
              <w:t xml:space="preserve"> la</w:t>
            </w:r>
            <w:r w:rsidRPr="00F55576">
              <w:rPr>
                <w:sz w:val="20"/>
                <w:lang w:val="fr-CA"/>
              </w:rPr>
              <w:t xml:space="preserve"> </w:t>
            </w:r>
            <w:proofErr w:type="spellStart"/>
            <w:r w:rsidRPr="00F55576">
              <w:rPr>
                <w:sz w:val="20"/>
                <w:lang w:val="x-none"/>
              </w:rPr>
              <w:t>publicité</w:t>
            </w:r>
            <w:proofErr w:type="spellEnd"/>
            <w:r w:rsidRPr="00F55576">
              <w:rPr>
                <w:sz w:val="20"/>
                <w:lang w:val="x-none"/>
              </w:rPr>
              <w:t xml:space="preserve"> du </w:t>
            </w:r>
            <w:proofErr w:type="spellStart"/>
            <w:r w:rsidRPr="00F55576">
              <w:rPr>
                <w:sz w:val="20"/>
                <w:lang w:val="x-none"/>
              </w:rPr>
              <w:t>contenu</w:t>
            </w:r>
            <w:proofErr w:type="spellEnd"/>
            <w:r w:rsidRPr="00F55576">
              <w:rPr>
                <w:sz w:val="20"/>
                <w:lang w:val="x-none"/>
              </w:rPr>
              <w:t xml:space="preserve"> de ce </w:t>
            </w:r>
            <w:proofErr w:type="spellStart"/>
            <w:r w:rsidRPr="00F55576">
              <w:rPr>
                <w:sz w:val="20"/>
                <w:lang w:val="x-none"/>
              </w:rPr>
              <w:t>mandat</w:t>
            </w:r>
            <w:proofErr w:type="spellEnd"/>
            <w:r w:rsidRPr="00F55576">
              <w:rPr>
                <w:sz w:val="20"/>
                <w:lang w:val="x-none"/>
              </w:rPr>
              <w:t>?</w:t>
            </w:r>
            <w:r w:rsidRPr="00F55576">
              <w:rPr>
                <w:sz w:val="20"/>
                <w:lang w:val="fr-CA"/>
              </w:rPr>
              <w:t xml:space="preserve"> </w:t>
            </w:r>
            <w:r w:rsidRPr="00F55576">
              <w:rPr>
                <w:sz w:val="20"/>
              </w:rPr>
              <w:t>⸺</w:t>
            </w:r>
            <w:r w:rsidRPr="00F55576">
              <w:rPr>
                <w:sz w:val="20"/>
                <w:lang w:val="fr-CA"/>
              </w:rPr>
              <w:t xml:space="preserve"> </w:t>
            </w:r>
            <w:r w:rsidRPr="00F55576">
              <w:rPr>
                <w:sz w:val="20"/>
                <w:lang w:val="x-none"/>
              </w:rPr>
              <w:t>La C</w:t>
            </w:r>
            <w:r w:rsidRPr="00F55576">
              <w:rPr>
                <w:sz w:val="20"/>
                <w:lang w:val="fr-CA"/>
              </w:rPr>
              <w:t xml:space="preserve">our d’appel du </w:t>
            </w:r>
            <w:r w:rsidRPr="00F55576">
              <w:rPr>
                <w:sz w:val="20"/>
                <w:lang w:val="x-none"/>
              </w:rPr>
              <w:t>Q</w:t>
            </w:r>
            <w:r w:rsidRPr="00F55576">
              <w:rPr>
                <w:sz w:val="20"/>
                <w:lang w:val="fr-CA"/>
              </w:rPr>
              <w:t>uébec</w:t>
            </w:r>
            <w:r w:rsidRPr="00F55576">
              <w:rPr>
                <w:sz w:val="20"/>
                <w:lang w:val="x-none"/>
              </w:rPr>
              <w:t xml:space="preserve"> a</w:t>
            </w:r>
            <w:r w:rsidRPr="00F55576">
              <w:rPr>
                <w:sz w:val="20"/>
                <w:lang w:val="x-none"/>
              </w:rPr>
              <w:noBreakHyphen/>
              <w:t>t</w:t>
            </w:r>
            <w:r w:rsidRPr="00F55576">
              <w:rPr>
                <w:sz w:val="20"/>
                <w:lang w:val="x-none"/>
              </w:rPr>
              <w:noBreakHyphen/>
            </w:r>
            <w:proofErr w:type="spellStart"/>
            <w:r w:rsidRPr="00F55576">
              <w:rPr>
                <w:sz w:val="20"/>
                <w:lang w:val="x-none"/>
              </w:rPr>
              <w:t>elle</w:t>
            </w:r>
            <w:proofErr w:type="spellEnd"/>
            <w:r w:rsidRPr="00F55576">
              <w:rPr>
                <w:sz w:val="20"/>
                <w:lang w:val="x-none"/>
              </w:rPr>
              <w:t xml:space="preserve"> </w:t>
            </w:r>
            <w:proofErr w:type="spellStart"/>
            <w:r w:rsidRPr="00F55576">
              <w:rPr>
                <w:sz w:val="20"/>
                <w:lang w:val="x-none"/>
              </w:rPr>
              <w:t>eu</w:t>
            </w:r>
            <w:proofErr w:type="spellEnd"/>
            <w:r w:rsidRPr="00F55576">
              <w:rPr>
                <w:sz w:val="20"/>
                <w:lang w:val="x-none"/>
              </w:rPr>
              <w:t xml:space="preserve"> raison </w:t>
            </w:r>
            <w:proofErr w:type="spellStart"/>
            <w:r w:rsidRPr="00F55576">
              <w:rPr>
                <w:sz w:val="20"/>
                <w:lang w:val="x-none"/>
              </w:rPr>
              <w:t>d’écarter</w:t>
            </w:r>
            <w:proofErr w:type="spellEnd"/>
            <w:r w:rsidRPr="00F55576">
              <w:rPr>
                <w:sz w:val="20"/>
                <w:lang w:val="x-none"/>
              </w:rPr>
              <w:t xml:space="preserve"> le </w:t>
            </w:r>
            <w:proofErr w:type="spellStart"/>
            <w:r w:rsidRPr="00F55576">
              <w:rPr>
                <w:sz w:val="20"/>
                <w:lang w:val="x-none"/>
              </w:rPr>
              <w:t>principe</w:t>
            </w:r>
            <w:proofErr w:type="spellEnd"/>
            <w:r w:rsidRPr="00F55576">
              <w:rPr>
                <w:sz w:val="20"/>
                <w:lang w:val="fr-CA"/>
              </w:rPr>
              <w:t xml:space="preserve"> </w:t>
            </w:r>
            <w:proofErr w:type="spellStart"/>
            <w:r w:rsidRPr="00F55576">
              <w:rPr>
                <w:i/>
                <w:sz w:val="20"/>
                <w:lang w:val="x-none"/>
              </w:rPr>
              <w:t>Flahiff</w:t>
            </w:r>
            <w:proofErr w:type="spellEnd"/>
            <w:r w:rsidRPr="00F55576">
              <w:rPr>
                <w:i/>
                <w:sz w:val="20"/>
                <w:lang w:val="x-none"/>
              </w:rPr>
              <w:t xml:space="preserve">/Savard </w:t>
            </w:r>
            <w:r w:rsidRPr="00F55576">
              <w:rPr>
                <w:sz w:val="20"/>
                <w:lang w:val="x-none"/>
              </w:rPr>
              <w:t xml:space="preserve">à </w:t>
            </w:r>
            <w:proofErr w:type="spellStart"/>
            <w:r w:rsidRPr="00F55576">
              <w:rPr>
                <w:sz w:val="20"/>
                <w:lang w:val="x-none"/>
              </w:rPr>
              <w:t>l’effet</w:t>
            </w:r>
            <w:proofErr w:type="spellEnd"/>
            <w:r w:rsidRPr="00F55576">
              <w:rPr>
                <w:sz w:val="20"/>
                <w:lang w:val="x-none"/>
              </w:rPr>
              <w:t xml:space="preserve"> que le droit </w:t>
            </w:r>
            <w:proofErr w:type="spellStart"/>
            <w:r w:rsidRPr="00F55576">
              <w:rPr>
                <w:sz w:val="20"/>
                <w:lang w:val="x-none"/>
              </w:rPr>
              <w:t>éventuel</w:t>
            </w:r>
            <w:proofErr w:type="spellEnd"/>
            <w:r w:rsidRPr="00F55576">
              <w:rPr>
                <w:sz w:val="20"/>
                <w:lang w:val="x-none"/>
              </w:rPr>
              <w:t xml:space="preserve"> à un </w:t>
            </w:r>
            <w:proofErr w:type="spellStart"/>
            <w:r w:rsidRPr="00F55576">
              <w:rPr>
                <w:sz w:val="20"/>
                <w:lang w:val="x-none"/>
              </w:rPr>
              <w:t>procès</w:t>
            </w:r>
            <w:proofErr w:type="spellEnd"/>
            <w:r w:rsidRPr="00F55576">
              <w:rPr>
                <w:sz w:val="20"/>
                <w:lang w:val="x-none"/>
              </w:rPr>
              <w:t xml:space="preserve"> </w:t>
            </w:r>
            <w:proofErr w:type="spellStart"/>
            <w:r w:rsidRPr="00F55576">
              <w:rPr>
                <w:sz w:val="20"/>
                <w:lang w:val="x-none"/>
              </w:rPr>
              <w:t>équitable</w:t>
            </w:r>
            <w:proofErr w:type="spellEnd"/>
            <w:r w:rsidRPr="00F55576">
              <w:rPr>
                <w:sz w:val="20"/>
                <w:lang w:val="x-none"/>
              </w:rPr>
              <w:t xml:space="preserve"> </w:t>
            </w:r>
            <w:proofErr w:type="spellStart"/>
            <w:r w:rsidRPr="00F55576">
              <w:rPr>
                <w:sz w:val="20"/>
                <w:lang w:val="x-none"/>
              </w:rPr>
              <w:t>d’une</w:t>
            </w:r>
            <w:proofErr w:type="spellEnd"/>
            <w:r w:rsidRPr="00F55576">
              <w:rPr>
                <w:sz w:val="20"/>
                <w:lang w:val="x-none"/>
              </w:rPr>
              <w:t xml:space="preserve"> </w:t>
            </w:r>
            <w:proofErr w:type="spellStart"/>
            <w:r w:rsidRPr="00F55576">
              <w:rPr>
                <w:sz w:val="20"/>
                <w:lang w:val="x-none"/>
              </w:rPr>
              <w:t>personne</w:t>
            </w:r>
            <w:proofErr w:type="spellEnd"/>
            <w:r w:rsidRPr="00F55576">
              <w:rPr>
                <w:sz w:val="20"/>
                <w:lang w:val="x-none"/>
              </w:rPr>
              <w:t xml:space="preserve"> sous</w:t>
            </w:r>
            <w:r w:rsidRPr="00F55576">
              <w:rPr>
                <w:sz w:val="20"/>
                <w:lang w:val="fr-CA"/>
              </w:rPr>
              <w:t xml:space="preserve"> </w:t>
            </w:r>
            <w:proofErr w:type="spellStart"/>
            <w:r w:rsidRPr="00F55576">
              <w:rPr>
                <w:sz w:val="20"/>
                <w:lang w:val="x-none"/>
              </w:rPr>
              <w:t>enquête</w:t>
            </w:r>
            <w:proofErr w:type="spellEnd"/>
            <w:r w:rsidRPr="00F55576">
              <w:rPr>
                <w:sz w:val="20"/>
                <w:lang w:val="x-none"/>
              </w:rPr>
              <w:t xml:space="preserve"> </w:t>
            </w:r>
            <w:proofErr w:type="spellStart"/>
            <w:r w:rsidRPr="00F55576">
              <w:rPr>
                <w:sz w:val="20"/>
                <w:lang w:val="x-none"/>
              </w:rPr>
              <w:t>doit</w:t>
            </w:r>
            <w:proofErr w:type="spellEnd"/>
            <w:r w:rsidRPr="00F55576">
              <w:rPr>
                <w:sz w:val="20"/>
                <w:lang w:val="x-none"/>
              </w:rPr>
              <w:t xml:space="preserve"> être </w:t>
            </w:r>
            <w:proofErr w:type="spellStart"/>
            <w:r w:rsidRPr="00F55576">
              <w:rPr>
                <w:sz w:val="20"/>
                <w:lang w:val="x-none"/>
              </w:rPr>
              <w:t>préservé</w:t>
            </w:r>
            <w:proofErr w:type="spellEnd"/>
            <w:r w:rsidRPr="00F55576">
              <w:rPr>
                <w:sz w:val="20"/>
                <w:lang w:val="x-none"/>
              </w:rPr>
              <w:t xml:space="preserve"> contre le </w:t>
            </w:r>
            <w:proofErr w:type="spellStart"/>
            <w:r w:rsidRPr="00F55576">
              <w:rPr>
                <w:sz w:val="20"/>
                <w:lang w:val="x-none"/>
              </w:rPr>
              <w:t>préjudice</w:t>
            </w:r>
            <w:proofErr w:type="spellEnd"/>
            <w:r w:rsidRPr="00F55576">
              <w:rPr>
                <w:sz w:val="20"/>
                <w:lang w:val="x-none"/>
              </w:rPr>
              <w:t xml:space="preserve">, </w:t>
            </w:r>
            <w:proofErr w:type="spellStart"/>
            <w:r w:rsidRPr="00F55576">
              <w:rPr>
                <w:sz w:val="20"/>
                <w:lang w:val="x-none"/>
              </w:rPr>
              <w:t>même</w:t>
            </w:r>
            <w:proofErr w:type="spellEnd"/>
            <w:r w:rsidRPr="00F55576">
              <w:rPr>
                <w:sz w:val="20"/>
                <w:lang w:val="x-none"/>
              </w:rPr>
              <w:t xml:space="preserve"> </w:t>
            </w:r>
            <w:proofErr w:type="spellStart"/>
            <w:r w:rsidRPr="00F55576">
              <w:rPr>
                <w:sz w:val="20"/>
                <w:lang w:val="x-none"/>
              </w:rPr>
              <w:t>objectif</w:t>
            </w:r>
            <w:proofErr w:type="spellEnd"/>
            <w:r w:rsidRPr="00F55576">
              <w:rPr>
                <w:sz w:val="20"/>
                <w:lang w:val="x-none"/>
              </w:rPr>
              <w:t xml:space="preserve">, </w:t>
            </w:r>
            <w:proofErr w:type="spellStart"/>
            <w:r w:rsidRPr="00F55576">
              <w:rPr>
                <w:sz w:val="20"/>
                <w:lang w:val="x-none"/>
              </w:rPr>
              <w:t>découlant</w:t>
            </w:r>
            <w:proofErr w:type="spellEnd"/>
            <w:r w:rsidRPr="00F55576">
              <w:rPr>
                <w:sz w:val="20"/>
                <w:lang w:val="x-none"/>
              </w:rPr>
              <w:t xml:space="preserve"> de la</w:t>
            </w:r>
            <w:r w:rsidRPr="00F55576">
              <w:rPr>
                <w:sz w:val="20"/>
                <w:lang w:val="fr-CA"/>
              </w:rPr>
              <w:t xml:space="preserve"> </w:t>
            </w:r>
            <w:proofErr w:type="spellStart"/>
            <w:r w:rsidRPr="00F55576">
              <w:rPr>
                <w:sz w:val="20"/>
                <w:lang w:val="x-none"/>
              </w:rPr>
              <w:t>médiatisation</w:t>
            </w:r>
            <w:proofErr w:type="spellEnd"/>
            <w:r w:rsidRPr="00F55576">
              <w:rPr>
                <w:sz w:val="20"/>
                <w:lang w:val="x-none"/>
              </w:rPr>
              <w:t xml:space="preserve"> </w:t>
            </w:r>
            <w:proofErr w:type="spellStart"/>
            <w:r w:rsidRPr="00F55576">
              <w:rPr>
                <w:sz w:val="20"/>
                <w:lang w:val="x-none"/>
              </w:rPr>
              <w:t>d’allégations</w:t>
            </w:r>
            <w:proofErr w:type="spellEnd"/>
            <w:r w:rsidRPr="00F55576">
              <w:rPr>
                <w:sz w:val="20"/>
                <w:lang w:val="x-none"/>
              </w:rPr>
              <w:t xml:space="preserve"> non </w:t>
            </w:r>
            <w:proofErr w:type="spellStart"/>
            <w:r w:rsidRPr="00F55576">
              <w:rPr>
                <w:sz w:val="20"/>
                <w:lang w:val="x-none"/>
              </w:rPr>
              <w:t>vérifiées</w:t>
            </w:r>
            <w:proofErr w:type="spellEnd"/>
            <w:r w:rsidRPr="00F55576">
              <w:rPr>
                <w:sz w:val="20"/>
                <w:lang w:val="x-none"/>
              </w:rPr>
              <w:t xml:space="preserve"> et </w:t>
            </w:r>
            <w:proofErr w:type="spellStart"/>
            <w:r w:rsidRPr="00F55576">
              <w:rPr>
                <w:sz w:val="20"/>
                <w:lang w:val="x-none"/>
              </w:rPr>
              <w:t>basées</w:t>
            </w:r>
            <w:proofErr w:type="spellEnd"/>
            <w:r w:rsidRPr="00F55576">
              <w:rPr>
                <w:sz w:val="20"/>
                <w:lang w:val="x-none"/>
              </w:rPr>
              <w:t xml:space="preserve"> sur du </w:t>
            </w:r>
            <w:proofErr w:type="spellStart"/>
            <w:r w:rsidRPr="00F55576">
              <w:rPr>
                <w:sz w:val="20"/>
                <w:lang w:val="x-none"/>
              </w:rPr>
              <w:t>ouï</w:t>
            </w:r>
            <w:proofErr w:type="spellEnd"/>
            <w:r w:rsidRPr="00F55576">
              <w:rPr>
                <w:sz w:val="20"/>
                <w:lang w:val="x-none"/>
              </w:rPr>
              <w:t xml:space="preserve">-dire au </w:t>
            </w:r>
            <w:proofErr w:type="spellStart"/>
            <w:r w:rsidRPr="00F55576">
              <w:rPr>
                <w:sz w:val="20"/>
                <w:lang w:val="x-none"/>
              </w:rPr>
              <w:t>soutien</w:t>
            </w:r>
            <w:proofErr w:type="spellEnd"/>
            <w:r w:rsidRPr="00F55576">
              <w:rPr>
                <w:sz w:val="20"/>
                <w:lang w:val="x-none"/>
              </w:rPr>
              <w:t xml:space="preserve"> d’un</w:t>
            </w:r>
            <w:r w:rsidRPr="00F55576">
              <w:rPr>
                <w:sz w:val="20"/>
                <w:lang w:val="fr-CA"/>
              </w:rPr>
              <w:t xml:space="preserve"> </w:t>
            </w:r>
            <w:proofErr w:type="spellStart"/>
            <w:r w:rsidRPr="00F55576">
              <w:rPr>
                <w:sz w:val="20"/>
                <w:lang w:val="x-none"/>
              </w:rPr>
              <w:t>mandat</w:t>
            </w:r>
            <w:proofErr w:type="spellEnd"/>
            <w:r w:rsidRPr="00F55576">
              <w:rPr>
                <w:sz w:val="20"/>
                <w:lang w:val="x-none"/>
              </w:rPr>
              <w:t>?</w:t>
            </w:r>
            <w:r w:rsidRPr="00F55576">
              <w:rPr>
                <w:sz w:val="20"/>
                <w:lang w:val="fr-CA"/>
              </w:rPr>
              <w:t xml:space="preserve"> </w:t>
            </w:r>
            <w:r w:rsidRPr="00F55576">
              <w:rPr>
                <w:sz w:val="20"/>
              </w:rPr>
              <w:t xml:space="preserve">⸺ </w:t>
            </w:r>
            <w:r w:rsidRPr="00F55576">
              <w:rPr>
                <w:i/>
                <w:sz w:val="20"/>
              </w:rPr>
              <w:t xml:space="preserve">Code </w:t>
            </w:r>
            <w:proofErr w:type="spellStart"/>
            <w:r w:rsidRPr="00F55576">
              <w:rPr>
                <w:i/>
                <w:sz w:val="20"/>
              </w:rPr>
              <w:t>criminel</w:t>
            </w:r>
            <w:proofErr w:type="spellEnd"/>
            <w:r w:rsidRPr="00F55576">
              <w:rPr>
                <w:sz w:val="20"/>
              </w:rPr>
              <w:t xml:space="preserve">, L.R.C. 1985, </w:t>
            </w:r>
            <w:proofErr w:type="spellStart"/>
            <w:r w:rsidRPr="00F55576">
              <w:rPr>
                <w:sz w:val="20"/>
              </w:rPr>
              <w:t>ch.</w:t>
            </w:r>
            <w:proofErr w:type="spellEnd"/>
            <w:r w:rsidRPr="00F55576">
              <w:rPr>
                <w:sz w:val="20"/>
              </w:rPr>
              <w:t xml:space="preserve"> C</w:t>
            </w:r>
            <w:r w:rsidRPr="00F55576">
              <w:rPr>
                <w:sz w:val="20"/>
              </w:rPr>
              <w:noBreakHyphen/>
              <w:t>46, art. 487.3.</w:t>
            </w:r>
          </w:p>
          <w:p w:rsidR="00AB75C1" w:rsidRPr="00F55576" w:rsidRDefault="00AB75C1" w:rsidP="00BA4C4D">
            <w:pPr>
              <w:jc w:val="both"/>
              <w:rPr>
                <w:sz w:val="20"/>
              </w:rPr>
            </w:pPr>
          </w:p>
        </w:tc>
      </w:tr>
      <w:tr w:rsidR="00AB75C1" w:rsidRPr="008042C9" w:rsidTr="00BA4C4D">
        <w:tc>
          <w:tcPr>
            <w:tcW w:w="5000" w:type="pct"/>
            <w:gridSpan w:val="4"/>
          </w:tcPr>
          <w:p w:rsidR="00AB75C1" w:rsidRPr="00F55576" w:rsidRDefault="00AB75C1" w:rsidP="00BA4C4D">
            <w:pPr>
              <w:jc w:val="both"/>
              <w:rPr>
                <w:sz w:val="20"/>
                <w:lang w:val="fr-CA"/>
              </w:rPr>
            </w:pPr>
            <w:r w:rsidRPr="00F55576">
              <w:rPr>
                <w:sz w:val="20"/>
                <w:lang w:val="fr-CA"/>
              </w:rPr>
              <w:t xml:space="preserve">Le demandeur est ciblé par l’enquête criminelle </w:t>
            </w:r>
            <w:r w:rsidRPr="00F55576">
              <w:rPr>
                <w:i/>
                <w:sz w:val="20"/>
                <w:lang w:val="fr-CA"/>
              </w:rPr>
              <w:t>Mâchurer</w:t>
            </w:r>
            <w:r w:rsidRPr="00F55576">
              <w:rPr>
                <w:sz w:val="20"/>
                <w:lang w:val="fr-CA"/>
              </w:rPr>
              <w:t xml:space="preserve"> déclenchée en 2013, menée par l’Unité permanente anticorruption et ayant pour objet le financement politique et l’octroi de contrats publics au Québec. Deux mandats généraux concernant des lieux liés au demandeur sont émis, mais  rien n’a été saisi et aucune accusation n’a encore été portée contre lui. D’abord, les parties demandent et obtiennent accès aux mandats et aux dénonciations ayant mené à décerner les mandats généraux. Ensuite, le demandeur demande le prononcé d’ordonnances de non</w:t>
            </w:r>
            <w:r w:rsidRPr="00F55576">
              <w:rPr>
                <w:sz w:val="20"/>
                <w:lang w:val="fr-CA"/>
              </w:rPr>
              <w:noBreakHyphen/>
              <w:t>publication, au moins jusqu’à ce que le Directeur des poursuites criminelles et pénales décide s’il fera ou non l’objet d’accusations, afin de ne pas mettre en péril son droit à un procès équitable. Les médias, intimés, s’opposent à cette demande et interviennent afin que les mandats généraux et leurs dénonciations deviennent publics. La Cour du Québec rejette la requête visant à obtenir une ordonnance interdisant la publication du contenu des dénonciations et documents connexes au soutien des demandes de mandats généraux. Elle estime que dans les circonstances de l’affaire, un accroissement de la publicité relativement à des faits déjà publics ne saurait constituer un risque de préjudice exigeant une intervention pour limiter la publication selon les critères établis par la jurisprudence applicable. La Cour supérieure rejette la requête du demandeur pour l’émission d’un bref de </w:t>
            </w:r>
            <w:r w:rsidRPr="00F55576">
              <w:rPr>
                <w:i/>
                <w:iCs/>
                <w:sz w:val="20"/>
                <w:lang w:val="fr-CA"/>
              </w:rPr>
              <w:t>certiorari</w:t>
            </w:r>
            <w:r w:rsidRPr="00F55576">
              <w:rPr>
                <w:sz w:val="20"/>
                <w:lang w:val="fr-CA"/>
              </w:rPr>
              <w:t xml:space="preserve">, estimant que la première juge n’a commis aucune erreur révisable en distinguant la jurisprudence de la situation du demandeur. Elle conclut, d’une part, </w:t>
            </w:r>
            <w:r w:rsidRPr="00F55576">
              <w:rPr>
                <w:iCs/>
                <w:sz w:val="20"/>
                <w:lang w:val="fr-CA"/>
              </w:rPr>
              <w:t xml:space="preserve">que la juge d’instance ne commet pas d’erreur révisable lorsqu’elle conclut qu’il y a présomption de publicité puisque le demandeur n’a pas rempli son fardeau de justifier la dérogation, et, d’autre part, que la juge d’instance n’a pas excédé sa compétence juridictionnelle. </w:t>
            </w:r>
            <w:r w:rsidRPr="00F55576">
              <w:rPr>
                <w:sz w:val="20"/>
                <w:lang w:val="fr-CA"/>
              </w:rPr>
              <w:t>La Cour d’appel, dans un arrêt unanime, rejette l’appel et conclut que la juge de première instance n’a commis aucune erreur de compétence ou erreur de droit manifeste à la face même du dossier et qu’il n’y a pas lieu d’intervenir.</w:t>
            </w:r>
          </w:p>
        </w:tc>
      </w:tr>
      <w:tr w:rsidR="00AB75C1" w:rsidRPr="008042C9" w:rsidTr="00BA4C4D">
        <w:tc>
          <w:tcPr>
            <w:tcW w:w="5000" w:type="pct"/>
            <w:gridSpan w:val="4"/>
          </w:tcPr>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Le 17 novembre 2017</w:t>
            </w:r>
          </w:p>
          <w:p w:rsidR="00AB75C1" w:rsidRPr="00F55576" w:rsidRDefault="00AB75C1" w:rsidP="00BA4C4D">
            <w:pPr>
              <w:jc w:val="both"/>
              <w:rPr>
                <w:sz w:val="20"/>
                <w:lang w:val="fr-CA"/>
              </w:rPr>
            </w:pPr>
            <w:r w:rsidRPr="00F55576">
              <w:rPr>
                <w:sz w:val="20"/>
                <w:lang w:val="fr-CA"/>
              </w:rPr>
              <w:t>Cour du Québec (Montréal)</w:t>
            </w:r>
          </w:p>
          <w:p w:rsidR="00AB75C1" w:rsidRPr="00F55576" w:rsidRDefault="00AB75C1" w:rsidP="00BA4C4D">
            <w:pPr>
              <w:jc w:val="both"/>
              <w:rPr>
                <w:sz w:val="20"/>
              </w:rPr>
            </w:pPr>
            <w:r w:rsidRPr="00F55576">
              <w:rPr>
                <w:sz w:val="20"/>
              </w:rPr>
              <w:t>(La juge Riendeau)</w:t>
            </w:r>
          </w:p>
          <w:p w:rsidR="00AB75C1" w:rsidRPr="00F55576" w:rsidRDefault="00AB75C1" w:rsidP="00BA4C4D">
            <w:pPr>
              <w:jc w:val="both"/>
              <w:rPr>
                <w:sz w:val="20"/>
              </w:rPr>
            </w:pPr>
            <w:r w:rsidRPr="00F55576">
              <w:rPr>
                <w:sz w:val="20"/>
              </w:rPr>
              <w:t>500</w:t>
            </w:r>
            <w:r w:rsidRPr="00F55576">
              <w:rPr>
                <w:sz w:val="20"/>
              </w:rPr>
              <w:noBreakHyphen/>
              <w:t>26</w:t>
            </w:r>
            <w:r w:rsidRPr="00F55576">
              <w:rPr>
                <w:sz w:val="20"/>
              </w:rPr>
              <w:noBreakHyphen/>
              <w:t>097439</w:t>
            </w:r>
            <w:r w:rsidRPr="00F55576">
              <w:rPr>
                <w:sz w:val="20"/>
              </w:rPr>
              <w:noBreakHyphen/>
              <w:t>164; 500</w:t>
            </w:r>
            <w:r w:rsidRPr="00F55576">
              <w:rPr>
                <w:sz w:val="20"/>
              </w:rPr>
              <w:noBreakHyphen/>
              <w:t>26</w:t>
            </w:r>
            <w:r w:rsidRPr="00F55576">
              <w:rPr>
                <w:sz w:val="20"/>
              </w:rPr>
              <w:noBreakHyphen/>
              <w:t>097414</w:t>
            </w:r>
            <w:r w:rsidRPr="00F55576">
              <w:rPr>
                <w:sz w:val="20"/>
              </w:rPr>
              <w:noBreakHyphen/>
              <w:t>167</w:t>
            </w:r>
          </w:p>
          <w:p w:rsidR="00AB75C1" w:rsidRPr="00F55576" w:rsidRDefault="007B1953" w:rsidP="00BA4C4D">
            <w:pPr>
              <w:jc w:val="both"/>
              <w:rPr>
                <w:sz w:val="20"/>
              </w:rPr>
            </w:pPr>
            <w:hyperlink r:id="rId36" w:history="1">
              <w:r w:rsidR="00AB75C1" w:rsidRPr="00F55576">
                <w:rPr>
                  <w:rStyle w:val="Hyperlink"/>
                  <w:sz w:val="20"/>
                </w:rPr>
                <w:t>2017 QCCQ 15082</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lang w:val="fr-CA"/>
              </w:rPr>
            </w:pPr>
            <w:r w:rsidRPr="00F55576">
              <w:rPr>
                <w:sz w:val="20"/>
                <w:lang w:val="fr-CA"/>
              </w:rPr>
              <w:t>Requête visant l’obtention d’une ordonnance de non</w:t>
            </w:r>
            <w:r w:rsidRPr="00F55576">
              <w:rPr>
                <w:sz w:val="20"/>
                <w:lang w:val="fr-CA"/>
              </w:rPr>
              <w:noBreakHyphen/>
              <w:t>publication rejetée; ordonnances provisoires de non</w:t>
            </w:r>
            <w:r w:rsidRPr="00F55576">
              <w:rPr>
                <w:sz w:val="20"/>
                <w:lang w:val="fr-CA"/>
              </w:rPr>
              <w:noBreakHyphen/>
              <w:t>publication partiellement levées; publication partielle ou diffusion des dénonciations et documents permise; publication ou diffusion des passages caviardés interdite; effets du jugement suspendus.</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Le 14 février 2018</w:t>
            </w:r>
          </w:p>
          <w:p w:rsidR="00AB75C1" w:rsidRPr="00F55576" w:rsidRDefault="00AB75C1" w:rsidP="00BA4C4D">
            <w:pPr>
              <w:jc w:val="both"/>
              <w:rPr>
                <w:sz w:val="20"/>
                <w:lang w:val="fr-CA"/>
              </w:rPr>
            </w:pPr>
            <w:r w:rsidRPr="00F55576">
              <w:rPr>
                <w:sz w:val="20"/>
                <w:lang w:val="fr-CA"/>
              </w:rPr>
              <w:t>Cour supérieure du Québec (Montréal)</w:t>
            </w:r>
          </w:p>
          <w:p w:rsidR="00AB75C1" w:rsidRPr="00F55576" w:rsidRDefault="00AB75C1" w:rsidP="00BA4C4D">
            <w:pPr>
              <w:jc w:val="both"/>
              <w:rPr>
                <w:sz w:val="20"/>
                <w:lang w:val="fr-CA"/>
              </w:rPr>
            </w:pPr>
            <w:r w:rsidRPr="00F55576">
              <w:rPr>
                <w:sz w:val="20"/>
                <w:lang w:val="fr-CA"/>
              </w:rPr>
              <w:t xml:space="preserve">(La juge Di </w:t>
            </w:r>
            <w:proofErr w:type="spellStart"/>
            <w:r w:rsidRPr="00F55576">
              <w:rPr>
                <w:sz w:val="20"/>
                <w:lang w:val="fr-CA"/>
              </w:rPr>
              <w:t>Salvo</w:t>
            </w:r>
            <w:proofErr w:type="spellEnd"/>
            <w:r w:rsidRPr="00F55576">
              <w:rPr>
                <w:sz w:val="20"/>
                <w:lang w:val="fr-CA"/>
              </w:rPr>
              <w:t>)</w:t>
            </w:r>
          </w:p>
          <w:p w:rsidR="00AB75C1" w:rsidRPr="00F55576" w:rsidRDefault="00AB75C1" w:rsidP="00BA4C4D">
            <w:pPr>
              <w:jc w:val="both"/>
              <w:rPr>
                <w:sz w:val="20"/>
                <w:lang w:val="fr-CA"/>
              </w:rPr>
            </w:pPr>
            <w:r w:rsidRPr="00F55576">
              <w:rPr>
                <w:sz w:val="20"/>
                <w:lang w:val="fr-CA"/>
              </w:rPr>
              <w:t>500</w:t>
            </w:r>
            <w:r w:rsidRPr="00F55576">
              <w:rPr>
                <w:sz w:val="20"/>
                <w:lang w:val="fr-CA"/>
              </w:rPr>
              <w:noBreakHyphen/>
              <w:t>36</w:t>
            </w:r>
            <w:r w:rsidRPr="00F55576">
              <w:rPr>
                <w:sz w:val="20"/>
                <w:lang w:val="fr-CA"/>
              </w:rPr>
              <w:noBreakHyphen/>
              <w:t>008633</w:t>
            </w:r>
            <w:r w:rsidRPr="00F55576">
              <w:rPr>
                <w:sz w:val="20"/>
                <w:lang w:val="fr-CA"/>
              </w:rPr>
              <w:noBreakHyphen/>
              <w:t>177; 500</w:t>
            </w:r>
            <w:r w:rsidRPr="00F55576">
              <w:rPr>
                <w:sz w:val="20"/>
                <w:lang w:val="fr-CA"/>
              </w:rPr>
              <w:noBreakHyphen/>
              <w:t>36</w:t>
            </w:r>
            <w:r w:rsidRPr="00F55576">
              <w:rPr>
                <w:sz w:val="20"/>
                <w:lang w:val="fr-CA"/>
              </w:rPr>
              <w:noBreakHyphen/>
              <w:t>008765</w:t>
            </w:r>
            <w:r w:rsidRPr="00F55576">
              <w:rPr>
                <w:sz w:val="20"/>
                <w:lang w:val="fr-CA"/>
              </w:rPr>
              <w:noBreakHyphen/>
              <w:t>177</w:t>
            </w:r>
          </w:p>
          <w:p w:rsidR="00AB75C1" w:rsidRPr="00F55576" w:rsidRDefault="007B1953" w:rsidP="00BA4C4D">
            <w:pPr>
              <w:jc w:val="both"/>
              <w:rPr>
                <w:sz w:val="20"/>
                <w:lang w:val="fr-CA"/>
              </w:rPr>
            </w:pPr>
            <w:hyperlink r:id="rId37" w:history="1">
              <w:r w:rsidR="00AB75C1" w:rsidRPr="00F55576">
                <w:rPr>
                  <w:rStyle w:val="Hyperlink"/>
                  <w:sz w:val="20"/>
                  <w:lang w:val="fr-CA"/>
                </w:rPr>
                <w:t>2018 QCCS 1077</w:t>
              </w:r>
            </w:hyperlink>
            <w:r w:rsidR="00AB75C1" w:rsidRPr="00F55576">
              <w:rPr>
                <w:sz w:val="20"/>
                <w:lang w:val="fr-CA"/>
              </w:rPr>
              <w:t xml:space="preserve"> </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 xml:space="preserve">Requête en </w:t>
            </w:r>
            <w:r w:rsidRPr="00F55576">
              <w:rPr>
                <w:i/>
                <w:sz w:val="20"/>
                <w:lang w:val="fr-CA"/>
              </w:rPr>
              <w:t xml:space="preserve">certiorari </w:t>
            </w:r>
            <w:r w:rsidRPr="00F55576">
              <w:rPr>
                <w:sz w:val="20"/>
                <w:lang w:val="fr-CA"/>
              </w:rPr>
              <w:t>rejetée; demande d’ordonnance de non</w:t>
            </w:r>
            <w:r w:rsidRPr="00F55576">
              <w:rPr>
                <w:sz w:val="20"/>
                <w:lang w:val="fr-CA"/>
              </w:rPr>
              <w:noBreakHyphen/>
              <w:t>publication rejetée; effet du jugement suspendu; sans frais.</w:t>
            </w:r>
          </w:p>
        </w:tc>
      </w:tr>
      <w:tr w:rsidR="00AB75C1" w:rsidRPr="00F55576" w:rsidTr="00BA4C4D">
        <w:tc>
          <w:tcPr>
            <w:tcW w:w="2427" w:type="pct"/>
            <w:gridSpan w:val="2"/>
          </w:tcPr>
          <w:p w:rsidR="00AB75C1" w:rsidRPr="00F55576" w:rsidRDefault="00AB75C1" w:rsidP="00BA4C4D">
            <w:pPr>
              <w:jc w:val="both"/>
              <w:rPr>
                <w:sz w:val="20"/>
                <w:lang w:val="fr-CA"/>
              </w:rPr>
            </w:pPr>
            <w:r w:rsidRPr="00F55576">
              <w:rPr>
                <w:sz w:val="20"/>
                <w:lang w:val="fr-CA"/>
              </w:rPr>
              <w:lastRenderedPageBreak/>
              <w:t>Le 30 avril 2019</w:t>
            </w:r>
          </w:p>
          <w:p w:rsidR="00AB75C1" w:rsidRPr="00F55576" w:rsidRDefault="00AB75C1" w:rsidP="00BA4C4D">
            <w:pPr>
              <w:jc w:val="both"/>
              <w:rPr>
                <w:sz w:val="20"/>
                <w:lang w:val="fr-CA"/>
              </w:rPr>
            </w:pPr>
            <w:r w:rsidRPr="00F55576">
              <w:rPr>
                <w:sz w:val="20"/>
                <w:lang w:val="fr-CA"/>
              </w:rPr>
              <w:t>Cour d’appel du Québec (Montréal)</w:t>
            </w:r>
          </w:p>
          <w:p w:rsidR="00AB75C1" w:rsidRPr="00F55576" w:rsidRDefault="00AB75C1" w:rsidP="00BA4C4D">
            <w:pPr>
              <w:jc w:val="both"/>
              <w:rPr>
                <w:sz w:val="20"/>
                <w:lang w:val="fr-CA"/>
              </w:rPr>
            </w:pPr>
            <w:r w:rsidRPr="00F55576">
              <w:rPr>
                <w:sz w:val="20"/>
                <w:lang w:val="fr-CA"/>
              </w:rPr>
              <w:t xml:space="preserve">(Les juges Dufresne, </w:t>
            </w:r>
            <w:proofErr w:type="spellStart"/>
            <w:r w:rsidRPr="00F55576">
              <w:rPr>
                <w:sz w:val="20"/>
                <w:lang w:val="fr-CA"/>
              </w:rPr>
              <w:t>Cotnam</w:t>
            </w:r>
            <w:proofErr w:type="spellEnd"/>
            <w:r w:rsidRPr="00F55576">
              <w:rPr>
                <w:sz w:val="20"/>
                <w:lang w:val="fr-CA"/>
              </w:rPr>
              <w:t>, Hamilton)</w:t>
            </w:r>
          </w:p>
          <w:p w:rsidR="00AB75C1" w:rsidRPr="00F55576" w:rsidRDefault="00AB75C1" w:rsidP="00BA4C4D">
            <w:pPr>
              <w:jc w:val="both"/>
              <w:rPr>
                <w:sz w:val="20"/>
              </w:rPr>
            </w:pPr>
            <w:r w:rsidRPr="00F55576">
              <w:rPr>
                <w:sz w:val="20"/>
              </w:rPr>
              <w:t>500</w:t>
            </w:r>
            <w:r w:rsidRPr="00F55576">
              <w:rPr>
                <w:sz w:val="20"/>
              </w:rPr>
              <w:noBreakHyphen/>
              <w:t>10</w:t>
            </w:r>
            <w:r w:rsidRPr="00F55576">
              <w:rPr>
                <w:sz w:val="20"/>
              </w:rPr>
              <w:noBreakHyphen/>
              <w:t>006673</w:t>
            </w:r>
            <w:r w:rsidRPr="00F55576">
              <w:rPr>
                <w:sz w:val="20"/>
              </w:rPr>
              <w:noBreakHyphen/>
              <w:t>188</w:t>
            </w:r>
          </w:p>
          <w:p w:rsidR="00AB75C1" w:rsidRPr="00F55576" w:rsidRDefault="007B1953" w:rsidP="00BA4C4D">
            <w:pPr>
              <w:jc w:val="both"/>
              <w:rPr>
                <w:sz w:val="20"/>
              </w:rPr>
            </w:pPr>
            <w:hyperlink r:id="rId38" w:history="1">
              <w:r w:rsidR="00AB75C1" w:rsidRPr="00F55576">
                <w:rPr>
                  <w:rStyle w:val="Hyperlink"/>
                  <w:sz w:val="20"/>
                </w:rPr>
                <w:t>2019 QCCA 756</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 xml:space="preserve">Appel rejeté, </w:t>
            </w:r>
            <w:proofErr w:type="spellStart"/>
            <w:r w:rsidRPr="00F55576">
              <w:rPr>
                <w:sz w:val="20"/>
              </w:rPr>
              <w:t>arrêt</w:t>
            </w:r>
            <w:proofErr w:type="spellEnd"/>
            <w:r w:rsidRPr="00F55576">
              <w:rPr>
                <w:sz w:val="20"/>
              </w:rPr>
              <w:t xml:space="preserve"> </w:t>
            </w:r>
            <w:proofErr w:type="spellStart"/>
            <w:r w:rsidRPr="00F55576">
              <w:rPr>
                <w:sz w:val="20"/>
              </w:rPr>
              <w:t>suspendu</w:t>
            </w:r>
            <w:proofErr w:type="spellEnd"/>
            <w:r w:rsidRPr="00F55576">
              <w:rPr>
                <w:sz w:val="20"/>
              </w:rPr>
              <w:t>.</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lang w:val="fr-CA"/>
              </w:rPr>
            </w:pPr>
            <w:r w:rsidRPr="00F55576">
              <w:rPr>
                <w:sz w:val="20"/>
                <w:lang w:val="fr-CA"/>
              </w:rPr>
              <w:t>Le 31 juillet 2019</w:t>
            </w:r>
          </w:p>
          <w:p w:rsidR="00AB75C1" w:rsidRPr="00F55576" w:rsidRDefault="00AB75C1" w:rsidP="00BA4C4D">
            <w:pPr>
              <w:jc w:val="both"/>
              <w:rPr>
                <w:sz w:val="20"/>
                <w:lang w:val="fr-CA"/>
              </w:rPr>
            </w:pPr>
            <w:r w:rsidRPr="00F55576">
              <w:rPr>
                <w:sz w:val="20"/>
                <w:lang w:val="fr-CA"/>
              </w:rPr>
              <w:t>Cour suprême du Canada</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rPr>
            </w:pPr>
            <w:r w:rsidRPr="00F55576">
              <w:rPr>
                <w:sz w:val="20"/>
              </w:rPr>
              <w:t>Demande d’autorisation d’appel déposée.</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41" style="width:2in;height:1pt" o:hrpct="0" o:hralign="center" o:hrstd="t" o:hrnoshade="t" o:hr="t" fillcolor="black [3213]" stroked="f"/>
        </w:pict>
      </w:r>
    </w:p>
    <w:p w:rsidR="00AB75C1" w:rsidRPr="00F55576" w:rsidRDefault="00AB75C1" w:rsidP="00AB75C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t>38793</w:t>
            </w:r>
          </w:p>
        </w:tc>
        <w:tc>
          <w:tcPr>
            <w:tcW w:w="4457" w:type="pct"/>
            <w:gridSpan w:val="3"/>
          </w:tcPr>
          <w:p w:rsidR="00AB75C1" w:rsidRPr="00F55576" w:rsidRDefault="00AB75C1" w:rsidP="00BA4C4D">
            <w:pPr>
              <w:pStyle w:val="SCCLsocParty"/>
              <w:jc w:val="both"/>
              <w:rPr>
                <w:b/>
                <w:sz w:val="20"/>
                <w:szCs w:val="20"/>
                <w:lang w:val="en-US"/>
              </w:rPr>
            </w:pPr>
            <w:r w:rsidRPr="00F55576">
              <w:rPr>
                <w:b/>
                <w:sz w:val="20"/>
                <w:szCs w:val="20"/>
                <w:lang w:val="en-US"/>
              </w:rPr>
              <w:t xml:space="preserve">Betty Ann Wasylynuk v. </w:t>
            </w:r>
            <w:r w:rsidR="00B02362" w:rsidRPr="00F55576">
              <w:rPr>
                <w:b/>
                <w:sz w:val="20"/>
                <w:szCs w:val="20"/>
                <w:lang w:val="en-US"/>
              </w:rPr>
              <w:t>Bernie Bouma, Lori Lee Scheck, Rick Bouma, Lindy Hager and Estate of Tette (Ted) Bouma</w:t>
            </w:r>
          </w:p>
          <w:p w:rsidR="00AB75C1" w:rsidRPr="00F55576" w:rsidRDefault="00AB75C1" w:rsidP="00BA4C4D">
            <w:pPr>
              <w:jc w:val="both"/>
              <w:rPr>
                <w:sz w:val="20"/>
              </w:rPr>
            </w:pPr>
            <w:r w:rsidRPr="00F55576">
              <w:rPr>
                <w:sz w:val="20"/>
              </w:rPr>
              <w:t>(Alta.) (Civil) (By Leave)</w:t>
            </w:r>
          </w:p>
        </w:tc>
      </w:tr>
      <w:tr w:rsidR="00834E76" w:rsidRPr="00F55576" w:rsidTr="00BA4C4D">
        <w:tc>
          <w:tcPr>
            <w:tcW w:w="5000" w:type="pct"/>
            <w:gridSpan w:val="4"/>
          </w:tcPr>
          <w:p w:rsidR="00834E76" w:rsidRPr="00F55576" w:rsidRDefault="00B02362" w:rsidP="00BA4C4D">
            <w:pPr>
              <w:jc w:val="both"/>
              <w:rPr>
                <w:sz w:val="20"/>
                <w:szCs w:val="20"/>
              </w:rPr>
            </w:pPr>
            <w:r w:rsidRPr="00F55576">
              <w:rPr>
                <w:sz w:val="20"/>
                <w:szCs w:val="20"/>
              </w:rPr>
              <w:t>The application for leave to appeal from the judgment of the Court of Appeal of Alberta (Edmonton), Number 1803-0083-AC, 2019 ABCA 234, dated June 10, 2019, is dismissed with costs.</w:t>
            </w:r>
          </w:p>
          <w:p w:rsidR="00834E76" w:rsidRPr="00F55576" w:rsidRDefault="00834E76" w:rsidP="00BA4C4D">
            <w:pPr>
              <w:jc w:val="both"/>
              <w:rPr>
                <w:sz w:val="20"/>
              </w:rPr>
            </w:pPr>
          </w:p>
        </w:tc>
      </w:tr>
      <w:tr w:rsidR="00AB75C1" w:rsidRPr="00F55576" w:rsidTr="00BA4C4D">
        <w:tc>
          <w:tcPr>
            <w:tcW w:w="5000" w:type="pct"/>
            <w:gridSpan w:val="4"/>
          </w:tcPr>
          <w:p w:rsidR="00AB75C1" w:rsidRPr="00F55576" w:rsidRDefault="00AB75C1" w:rsidP="00BA4C4D">
            <w:pPr>
              <w:jc w:val="both"/>
              <w:rPr>
                <w:sz w:val="20"/>
              </w:rPr>
            </w:pPr>
            <w:r w:rsidRPr="00F55576">
              <w:rPr>
                <w:sz w:val="20"/>
              </w:rPr>
              <w:t xml:space="preserve">Wills and estates — Wills — Resulting trust — Testator leaving entire estate to one of five surviving children — What is the relationship between an </w:t>
            </w:r>
            <w:r w:rsidRPr="00F55576">
              <w:rPr>
                <w:i/>
                <w:sz w:val="20"/>
              </w:rPr>
              <w:t xml:space="preserve">inter </w:t>
            </w:r>
            <w:proofErr w:type="spellStart"/>
            <w:r w:rsidRPr="00F55576">
              <w:rPr>
                <w:i/>
                <w:sz w:val="20"/>
              </w:rPr>
              <w:t>vivos</w:t>
            </w:r>
            <w:proofErr w:type="spellEnd"/>
            <w:r w:rsidRPr="00F55576">
              <w:rPr>
                <w:sz w:val="20"/>
              </w:rPr>
              <w:t xml:space="preserve"> gift, an express trust, and a resulting trust? — When should Courts of Appeal decline to address “new issues”?</w:t>
            </w:r>
          </w:p>
          <w:p w:rsidR="00AB75C1" w:rsidRPr="00F55576" w:rsidRDefault="00AB75C1" w:rsidP="00BA4C4D">
            <w:pPr>
              <w:jc w:val="both"/>
              <w:rPr>
                <w:sz w:val="20"/>
              </w:rPr>
            </w:pPr>
          </w:p>
        </w:tc>
      </w:tr>
      <w:tr w:rsidR="00AB75C1" w:rsidRPr="00F55576" w:rsidTr="00BA4C4D">
        <w:tc>
          <w:tcPr>
            <w:tcW w:w="5000" w:type="pct"/>
            <w:gridSpan w:val="4"/>
          </w:tcPr>
          <w:p w:rsidR="00AB75C1" w:rsidRPr="00F55576" w:rsidRDefault="00AB75C1" w:rsidP="00BA4C4D">
            <w:pPr>
              <w:jc w:val="both"/>
              <w:rPr>
                <w:sz w:val="20"/>
              </w:rPr>
            </w:pPr>
            <w:r w:rsidRPr="00F55576">
              <w:rPr>
                <w:sz w:val="20"/>
              </w:rPr>
              <w:t>The testator, Mr. Bouma, died in 2007, leaving five surviving children. The applicant is one of Mr. </w:t>
            </w:r>
            <w:proofErr w:type="spellStart"/>
            <w:r w:rsidRPr="00F55576">
              <w:rPr>
                <w:sz w:val="20"/>
              </w:rPr>
              <w:t>Bouma’s</w:t>
            </w:r>
            <w:proofErr w:type="spellEnd"/>
            <w:r w:rsidRPr="00F55576">
              <w:rPr>
                <w:sz w:val="20"/>
              </w:rPr>
              <w:t xml:space="preserve"> daughters. The respondents are Mr. </w:t>
            </w:r>
            <w:proofErr w:type="spellStart"/>
            <w:r w:rsidRPr="00F55576">
              <w:rPr>
                <w:sz w:val="20"/>
              </w:rPr>
              <w:t>Bouma’s</w:t>
            </w:r>
            <w:proofErr w:type="spellEnd"/>
            <w:r w:rsidRPr="00F55576">
              <w:rPr>
                <w:sz w:val="20"/>
              </w:rPr>
              <w:t xml:space="preserve"> other children. Prior to his death, with the assistance of counsel and other professionals, Mr. Bouma executed the following documents:  four separate beneficiary documents in relation to insurance products; a1998 Will; a deed of gift in 2001; and a 2001 Will. </w:t>
            </w:r>
            <w:r w:rsidRPr="00F55576">
              <w:rPr>
                <w:sz w:val="20"/>
                <w:lang w:val="en"/>
              </w:rPr>
              <w:t>The insurance policies all named Mr. </w:t>
            </w:r>
            <w:proofErr w:type="spellStart"/>
            <w:r w:rsidRPr="00F55576">
              <w:rPr>
                <w:sz w:val="20"/>
                <w:lang w:val="en"/>
              </w:rPr>
              <w:t>Bouma’s</w:t>
            </w:r>
            <w:proofErr w:type="spellEnd"/>
            <w:r w:rsidRPr="00F55576">
              <w:rPr>
                <w:sz w:val="20"/>
                <w:lang w:val="en"/>
              </w:rPr>
              <w:t xml:space="preserve"> son, Bernie, as the sole beneficiary. The deed of gift transferred all of Mr. </w:t>
            </w:r>
            <w:proofErr w:type="spellStart"/>
            <w:r w:rsidRPr="00F55576">
              <w:rPr>
                <w:sz w:val="20"/>
                <w:lang w:val="en"/>
              </w:rPr>
              <w:t>Bouma’s</w:t>
            </w:r>
            <w:proofErr w:type="spellEnd"/>
            <w:r w:rsidRPr="00F55576">
              <w:rPr>
                <w:sz w:val="20"/>
                <w:lang w:val="en"/>
              </w:rPr>
              <w:t xml:space="preserve"> assets to Bernie. The 2001 Will also designated Bernie as the sole beneficiary of the estate. The lawyer who prepared the deed of gift and the 2001 Will had Mr. Bouma obtain independent legal advice. He also sent Mr. Bouma to see two medical doctors who conducted independent assessments of Mr. </w:t>
            </w:r>
            <w:proofErr w:type="spellStart"/>
            <w:r w:rsidRPr="00F55576">
              <w:rPr>
                <w:sz w:val="20"/>
                <w:lang w:val="en"/>
              </w:rPr>
              <w:t>Bouma’s</w:t>
            </w:r>
            <w:proofErr w:type="spellEnd"/>
            <w:r w:rsidRPr="00F55576">
              <w:rPr>
                <w:sz w:val="20"/>
                <w:lang w:val="en"/>
              </w:rPr>
              <w:t xml:space="preserve"> mental capacity and signed certificates of competency. </w:t>
            </w:r>
            <w:r w:rsidRPr="00F55576">
              <w:rPr>
                <w:sz w:val="20"/>
              </w:rPr>
              <w:t xml:space="preserve">Following her father’s death, the applicant </w:t>
            </w:r>
            <w:r w:rsidRPr="00F55576">
              <w:rPr>
                <w:sz w:val="20"/>
                <w:lang w:val="en"/>
              </w:rPr>
              <w:t>filed a statement of claim against the respondents alleging that Mr. Bouma lacked the requisite mental capacity to transfer his assets and that the transfers were unconscionably procured. She sought a share of Mr. </w:t>
            </w:r>
            <w:proofErr w:type="spellStart"/>
            <w:r w:rsidRPr="00F55576">
              <w:rPr>
                <w:sz w:val="20"/>
                <w:lang w:val="en"/>
              </w:rPr>
              <w:t>Bouma’s</w:t>
            </w:r>
            <w:proofErr w:type="spellEnd"/>
            <w:r w:rsidRPr="00F55576">
              <w:rPr>
                <w:sz w:val="20"/>
                <w:lang w:val="en"/>
              </w:rPr>
              <w:t xml:space="preserve"> estate and punitive damages. </w:t>
            </w:r>
            <w:r w:rsidRPr="00F55576">
              <w:rPr>
                <w:sz w:val="20"/>
              </w:rPr>
              <w:t>By way of summary judgment applications, the judge was asked to determine if the deed of gift, 2001 Will and beneficiary designations were valid. The application judge held that all documents executed by Mr. Bouma were valid. This decision was upheld on appeal.</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March 2, 2018</w:t>
            </w:r>
          </w:p>
          <w:p w:rsidR="00AB75C1" w:rsidRPr="00F55576" w:rsidRDefault="00AB75C1" w:rsidP="00BA4C4D">
            <w:pPr>
              <w:jc w:val="both"/>
              <w:rPr>
                <w:sz w:val="20"/>
              </w:rPr>
            </w:pPr>
            <w:r w:rsidRPr="00F55576">
              <w:rPr>
                <w:sz w:val="20"/>
              </w:rPr>
              <w:t>Court of Queen’s Bench of Alberta</w:t>
            </w:r>
          </w:p>
          <w:p w:rsidR="00AB75C1" w:rsidRPr="00F55576" w:rsidRDefault="00AB75C1" w:rsidP="00BA4C4D">
            <w:pPr>
              <w:jc w:val="both"/>
              <w:rPr>
                <w:sz w:val="20"/>
              </w:rPr>
            </w:pPr>
            <w:r w:rsidRPr="00F55576">
              <w:rPr>
                <w:sz w:val="20"/>
              </w:rPr>
              <w:t>(Nielsen J.)</w:t>
            </w:r>
          </w:p>
          <w:p w:rsidR="00AB75C1" w:rsidRPr="00F55576" w:rsidRDefault="007B1953" w:rsidP="00BA4C4D">
            <w:pPr>
              <w:jc w:val="both"/>
              <w:rPr>
                <w:sz w:val="20"/>
              </w:rPr>
            </w:pPr>
            <w:hyperlink r:id="rId39" w:history="1">
              <w:r w:rsidR="00AB75C1" w:rsidRPr="00F55576">
                <w:rPr>
                  <w:rStyle w:val="Hyperlink"/>
                  <w:sz w:val="20"/>
                </w:rPr>
                <w:t>2018 ABQB 159</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Applicant’s application for declaration that testator’s deed of gift and 2001 Will were invalid dismissed.</w:t>
            </w:r>
          </w:p>
          <w:p w:rsidR="00AB75C1" w:rsidRPr="00F55576" w:rsidRDefault="00AB75C1" w:rsidP="00BA4C4D">
            <w:pPr>
              <w:jc w:val="both"/>
              <w:rPr>
                <w:sz w:val="20"/>
              </w:rPr>
            </w:pP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June 10, 2019</w:t>
            </w:r>
          </w:p>
          <w:p w:rsidR="00AB75C1" w:rsidRPr="00F55576" w:rsidRDefault="00AB75C1" w:rsidP="00BA4C4D">
            <w:pPr>
              <w:jc w:val="both"/>
              <w:rPr>
                <w:sz w:val="20"/>
              </w:rPr>
            </w:pPr>
            <w:r w:rsidRPr="00F55576">
              <w:rPr>
                <w:sz w:val="20"/>
              </w:rPr>
              <w:t>Court of Appeal of Alberta (Edmonton)</w:t>
            </w:r>
          </w:p>
          <w:p w:rsidR="00AB75C1" w:rsidRPr="00F55576" w:rsidRDefault="00AB75C1" w:rsidP="00BA4C4D">
            <w:pPr>
              <w:jc w:val="both"/>
              <w:rPr>
                <w:sz w:val="20"/>
              </w:rPr>
            </w:pPr>
            <w:r w:rsidRPr="00F55576">
              <w:rPr>
                <w:sz w:val="20"/>
              </w:rPr>
              <w:t>(</w:t>
            </w:r>
            <w:proofErr w:type="spellStart"/>
            <w:r w:rsidRPr="00F55576">
              <w:rPr>
                <w:sz w:val="20"/>
              </w:rPr>
              <w:t>Costigan</w:t>
            </w:r>
            <w:proofErr w:type="spellEnd"/>
            <w:r w:rsidRPr="00F55576">
              <w:rPr>
                <w:sz w:val="20"/>
              </w:rPr>
              <w:t>, Veldhuis and Schutz JJ.A.)</w:t>
            </w:r>
          </w:p>
          <w:p w:rsidR="00AB75C1" w:rsidRPr="00F55576" w:rsidRDefault="007B1953" w:rsidP="00BA4C4D">
            <w:pPr>
              <w:jc w:val="both"/>
              <w:rPr>
                <w:sz w:val="20"/>
              </w:rPr>
            </w:pPr>
            <w:hyperlink r:id="rId40" w:history="1">
              <w:r w:rsidR="00AB75C1" w:rsidRPr="00F55576">
                <w:rPr>
                  <w:rStyle w:val="Hyperlink"/>
                  <w:sz w:val="20"/>
                </w:rPr>
                <w:t>2019 ABCA 234</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Applicant’s appeal dismissed</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September 6, 2019</w:t>
            </w:r>
          </w:p>
          <w:p w:rsidR="00AB75C1" w:rsidRPr="00F55576" w:rsidRDefault="00AB75C1" w:rsidP="00BA4C4D">
            <w:pPr>
              <w:jc w:val="both"/>
              <w:rPr>
                <w:sz w:val="20"/>
              </w:rPr>
            </w:pPr>
            <w:r w:rsidRPr="00F55576">
              <w:rPr>
                <w:sz w:val="20"/>
              </w:rPr>
              <w:t>Supreme Court of Canada</w:t>
            </w: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Application for leave to appeal filed</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42" style="width:2in;height:1pt" o:hrpct="0" o:hralign="center" o:hrstd="t" o:hrnoshade="t" o:hr="t" fillcolor="black [3213]" stroked="f"/>
        </w:pict>
      </w:r>
    </w:p>
    <w:p w:rsidR="00AB75C1" w:rsidRPr="00F55576" w:rsidRDefault="00AB75C1" w:rsidP="00AB75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8042C9" w:rsidTr="00BA4C4D">
        <w:tc>
          <w:tcPr>
            <w:tcW w:w="543" w:type="pct"/>
          </w:tcPr>
          <w:p w:rsidR="00AB75C1" w:rsidRPr="00F55576" w:rsidRDefault="00AB75C1" w:rsidP="00BA4C4D">
            <w:pPr>
              <w:jc w:val="both"/>
              <w:rPr>
                <w:sz w:val="20"/>
                <w:lang w:val="fr-CA"/>
              </w:rPr>
            </w:pPr>
            <w:r w:rsidRPr="00F55576">
              <w:rPr>
                <w:rStyle w:val="SCCFileNumberChar"/>
                <w:sz w:val="20"/>
                <w:szCs w:val="20"/>
                <w:lang w:val="fr-CA"/>
              </w:rPr>
              <w:lastRenderedPageBreak/>
              <w:t>38793</w:t>
            </w:r>
          </w:p>
        </w:tc>
        <w:tc>
          <w:tcPr>
            <w:tcW w:w="4457" w:type="pct"/>
            <w:gridSpan w:val="3"/>
          </w:tcPr>
          <w:p w:rsidR="00AB75C1" w:rsidRPr="00F55576" w:rsidRDefault="00AB75C1" w:rsidP="00BA4C4D">
            <w:pPr>
              <w:pStyle w:val="SCCLsocParty"/>
              <w:jc w:val="both"/>
              <w:rPr>
                <w:b/>
                <w:sz w:val="20"/>
                <w:szCs w:val="20"/>
              </w:rPr>
            </w:pPr>
            <w:r w:rsidRPr="00F55576">
              <w:rPr>
                <w:b/>
                <w:sz w:val="20"/>
                <w:szCs w:val="20"/>
              </w:rPr>
              <w:t xml:space="preserve">Betty Ann Wasylynuk c. </w:t>
            </w:r>
            <w:r w:rsidR="00B02362" w:rsidRPr="00F55576">
              <w:rPr>
                <w:b/>
                <w:sz w:val="20"/>
                <w:szCs w:val="20"/>
              </w:rPr>
              <w:t>Bernie Bouma, Lori Lee Scheck, Rick Bouma, Lindy Hager et succession de Tette (Ted) Bouma</w:t>
            </w:r>
          </w:p>
          <w:p w:rsidR="00AB75C1" w:rsidRPr="00F55576" w:rsidRDefault="00AB75C1" w:rsidP="00BA4C4D">
            <w:pPr>
              <w:jc w:val="both"/>
              <w:rPr>
                <w:sz w:val="20"/>
                <w:lang w:val="fr-CA"/>
              </w:rPr>
            </w:pPr>
            <w:r w:rsidRPr="00F55576">
              <w:rPr>
                <w:sz w:val="20"/>
                <w:lang w:val="fr-CA"/>
              </w:rPr>
              <w:t>(Alb.) (Civile) (Autorisation)</w:t>
            </w:r>
          </w:p>
        </w:tc>
      </w:tr>
      <w:tr w:rsidR="00834E76" w:rsidRPr="008042C9" w:rsidTr="00BA4C4D">
        <w:tc>
          <w:tcPr>
            <w:tcW w:w="5000" w:type="pct"/>
            <w:gridSpan w:val="4"/>
          </w:tcPr>
          <w:p w:rsidR="00834E76" w:rsidRPr="00F55576" w:rsidRDefault="00B02362" w:rsidP="00BA4C4D">
            <w:pPr>
              <w:jc w:val="both"/>
              <w:rPr>
                <w:sz w:val="20"/>
                <w:szCs w:val="20"/>
                <w:lang w:val="fr-CA"/>
              </w:rPr>
            </w:pPr>
            <w:r w:rsidRPr="00F55576">
              <w:rPr>
                <w:sz w:val="20"/>
                <w:szCs w:val="20"/>
                <w:lang w:val="fr-CA"/>
              </w:rPr>
              <w:t>La demande d’autorisation d’appel de l’arrêt de la Cour d’appel de l’Alberta (Edmonton), numéro 1803-0083-AC, 2019 ABCA 234, daté du 10 juin 2019, est rejetée avec dépens.</w:t>
            </w:r>
          </w:p>
          <w:p w:rsidR="00834E76" w:rsidRPr="00F55576" w:rsidRDefault="00834E76" w:rsidP="00BA4C4D">
            <w:pPr>
              <w:jc w:val="both"/>
              <w:rPr>
                <w:sz w:val="20"/>
                <w:lang w:val="fr-CA"/>
              </w:rPr>
            </w:pPr>
          </w:p>
        </w:tc>
      </w:tr>
      <w:tr w:rsidR="00AB75C1" w:rsidRPr="008042C9" w:rsidTr="00BA4C4D">
        <w:tc>
          <w:tcPr>
            <w:tcW w:w="5000" w:type="pct"/>
            <w:gridSpan w:val="4"/>
          </w:tcPr>
          <w:p w:rsidR="00AB75C1" w:rsidRPr="00F55576" w:rsidRDefault="00AB75C1" w:rsidP="00BA4C4D">
            <w:pPr>
              <w:jc w:val="both"/>
              <w:rPr>
                <w:sz w:val="20"/>
                <w:lang w:val="fr-CA"/>
              </w:rPr>
            </w:pPr>
            <w:r w:rsidRPr="00F55576">
              <w:rPr>
                <w:sz w:val="20"/>
                <w:lang w:val="fr-CA"/>
              </w:rPr>
              <w:t xml:space="preserve">Successions — Testaments — Fiducie </w:t>
            </w:r>
            <w:proofErr w:type="spellStart"/>
            <w:r w:rsidRPr="00F55576">
              <w:rPr>
                <w:sz w:val="20"/>
                <w:lang w:val="fr-CA"/>
              </w:rPr>
              <w:t>résultoire</w:t>
            </w:r>
            <w:proofErr w:type="spellEnd"/>
            <w:r w:rsidRPr="00F55576">
              <w:rPr>
                <w:sz w:val="20"/>
                <w:lang w:val="fr-CA"/>
              </w:rPr>
              <w:t xml:space="preserve"> — Le testateur a légué la totalité de ses biens à un de ses cinq enfants survivants — Quel est le lien entre une donation entre vifs, une fiducie expresse et une fiducie </w:t>
            </w:r>
            <w:proofErr w:type="spellStart"/>
            <w:r w:rsidRPr="00F55576">
              <w:rPr>
                <w:sz w:val="20"/>
                <w:lang w:val="fr-CA"/>
              </w:rPr>
              <w:t>résultoire</w:t>
            </w:r>
            <w:proofErr w:type="spellEnd"/>
            <w:r w:rsidRPr="00F55576">
              <w:rPr>
                <w:sz w:val="20"/>
                <w:lang w:val="fr-CA"/>
              </w:rPr>
              <w:t>? — Dans quelles situations les juridictions d’appel doivent</w:t>
            </w:r>
            <w:r w:rsidRPr="00F55576">
              <w:rPr>
                <w:sz w:val="20"/>
                <w:lang w:val="fr-CA"/>
              </w:rPr>
              <w:noBreakHyphen/>
              <w:t>elles refuser d’aborder de « nouvelles questions »?</w:t>
            </w:r>
          </w:p>
          <w:p w:rsidR="00AB75C1" w:rsidRPr="00F55576" w:rsidRDefault="00AB75C1" w:rsidP="00BA4C4D">
            <w:pPr>
              <w:jc w:val="both"/>
              <w:rPr>
                <w:sz w:val="20"/>
                <w:lang w:val="fr-CA"/>
              </w:rPr>
            </w:pPr>
          </w:p>
        </w:tc>
      </w:tr>
      <w:tr w:rsidR="00AB75C1" w:rsidRPr="00F55576" w:rsidTr="00BA4C4D">
        <w:tc>
          <w:tcPr>
            <w:tcW w:w="5000" w:type="pct"/>
            <w:gridSpan w:val="4"/>
          </w:tcPr>
          <w:p w:rsidR="00AB75C1" w:rsidRPr="00F55576" w:rsidRDefault="00AB75C1" w:rsidP="00BA4C4D">
            <w:pPr>
              <w:jc w:val="both"/>
              <w:rPr>
                <w:sz w:val="20"/>
                <w:lang w:val="fr-CA"/>
              </w:rPr>
            </w:pPr>
            <w:r w:rsidRPr="00F55576">
              <w:rPr>
                <w:sz w:val="20"/>
                <w:lang w:val="fr-CA"/>
              </w:rPr>
              <w:t>Le testateur, M. Bouma, est décédé en 2007, laissant cinq enfants survivants. La demanderesse est une des filles de M. Bouma. Les intimés sont les autres enfants de M. Bouma. Avant son décès, avec l’aide d’un conseiller juridique et d’autres professionnels, M. Bouma a signé les documents suivants : quatre documents distincts désignant des bénéficiaires en lien avec des produits d’assurance; un testament en 1998; une donation entre vifs en 2001 et un testament en 2001. Toutes les polices d’assurance constituaient le fils de M. Bouma, Bernie, seul bénéficiaire. L’acte de donation entre vifs transférait tous les biens de M. Bouma à Bernie. Le testament de 2001 désignait en outre Bernie comme unique bénéficiaire de la succession. L’avocat qui avait rédigé l’acte de donation et le testament de 2001 avait fait en sorte que M. Bouma obtienne l’avis d’un conseiller juridique indépendant. Il a en outre fait en sorte que M. Bouma consulte deux médecins qui ont fait des évaluations indépendantes de la capacité mentale de M. Bouma et qui ont signé des certificats d’aptitude. Après le décès de son père, la demanderesse a déposé une demande introductive d’instance contre les intimés, alléguant que M. Bouma n’avait pas la capacité mentale nécessaire pour transférer ses biens et que les transferts avaient été obtenus abusivement. Elle a réclamé une part de la succession de M. Bouma et des dommages</w:t>
            </w:r>
            <w:r w:rsidRPr="00F55576">
              <w:rPr>
                <w:sz w:val="20"/>
                <w:lang w:val="fr-CA"/>
              </w:rPr>
              <w:noBreakHyphen/>
              <w:t>intérêts punitifs. Par voie de requêtes en jugements sommaires, le juge a été appelé à déterminer si l’acte de donation, la succession de 2001 et les désignations de bénéficiaire étaient valides. Le juge saisi de la requête a statué que tous les documents signés par M. Bouma étaient valides. Cette décision a été confirmée en appel.</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2 mars 2018</w:t>
            </w:r>
          </w:p>
          <w:p w:rsidR="00AB75C1" w:rsidRPr="00F55576" w:rsidRDefault="00AB75C1" w:rsidP="00BA4C4D">
            <w:pPr>
              <w:jc w:val="both"/>
              <w:rPr>
                <w:sz w:val="20"/>
                <w:lang w:val="fr-CA"/>
              </w:rPr>
            </w:pPr>
            <w:r w:rsidRPr="00F55576">
              <w:rPr>
                <w:sz w:val="20"/>
                <w:lang w:val="fr-CA"/>
              </w:rPr>
              <w:t>Cour du Banc de la Reine de l’Alberta</w:t>
            </w:r>
          </w:p>
          <w:p w:rsidR="00AB75C1" w:rsidRPr="00F55576" w:rsidRDefault="00AB75C1" w:rsidP="00BA4C4D">
            <w:pPr>
              <w:jc w:val="both"/>
              <w:rPr>
                <w:sz w:val="20"/>
                <w:lang w:val="fr-CA"/>
              </w:rPr>
            </w:pPr>
            <w:r w:rsidRPr="00F55576">
              <w:rPr>
                <w:sz w:val="20"/>
                <w:lang w:val="fr-CA"/>
              </w:rPr>
              <w:t>(Juge Nielsen)</w:t>
            </w:r>
          </w:p>
          <w:p w:rsidR="00AB75C1" w:rsidRPr="00F55576" w:rsidRDefault="007B1953" w:rsidP="00BA4C4D">
            <w:pPr>
              <w:jc w:val="both"/>
              <w:rPr>
                <w:sz w:val="20"/>
                <w:lang w:val="fr-CA"/>
              </w:rPr>
            </w:pPr>
            <w:hyperlink r:id="rId41" w:history="1">
              <w:r w:rsidR="00AB75C1" w:rsidRPr="00F55576">
                <w:rPr>
                  <w:rStyle w:val="Hyperlink"/>
                  <w:sz w:val="20"/>
                  <w:lang w:val="fr-CA"/>
                </w:rPr>
                <w:t>2018 ABQB 159</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Rejet de la requête de la demanderesse en jugement déclarant que l’acte de donation et le testament de 2001 du testateur sont invalides.</w:t>
            </w:r>
          </w:p>
          <w:p w:rsidR="00AB75C1" w:rsidRPr="00F55576" w:rsidRDefault="00AB75C1" w:rsidP="00BA4C4D">
            <w:pPr>
              <w:jc w:val="both"/>
              <w:rPr>
                <w:sz w:val="20"/>
                <w:lang w:val="fr-CA"/>
              </w:rPr>
            </w:pP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10 juin 2019</w:t>
            </w:r>
          </w:p>
          <w:p w:rsidR="00AB75C1" w:rsidRPr="00F55576" w:rsidRDefault="00AB75C1" w:rsidP="00BA4C4D">
            <w:pPr>
              <w:jc w:val="both"/>
              <w:rPr>
                <w:sz w:val="20"/>
                <w:lang w:val="fr-CA"/>
              </w:rPr>
            </w:pPr>
            <w:r w:rsidRPr="00F55576">
              <w:rPr>
                <w:sz w:val="20"/>
                <w:lang w:val="fr-CA"/>
              </w:rPr>
              <w:t>Cour d’appel de l’Alberta (Edmonton)</w:t>
            </w:r>
          </w:p>
          <w:p w:rsidR="00AB75C1" w:rsidRPr="00F55576" w:rsidRDefault="00AB75C1" w:rsidP="00BA4C4D">
            <w:pPr>
              <w:jc w:val="both"/>
              <w:rPr>
                <w:sz w:val="20"/>
                <w:lang w:val="fr-CA"/>
              </w:rPr>
            </w:pPr>
            <w:r w:rsidRPr="00F55576">
              <w:rPr>
                <w:sz w:val="20"/>
                <w:lang w:val="fr-CA"/>
              </w:rPr>
              <w:t xml:space="preserve">(Juges </w:t>
            </w:r>
            <w:proofErr w:type="spellStart"/>
            <w:r w:rsidRPr="00F55576">
              <w:rPr>
                <w:sz w:val="20"/>
                <w:lang w:val="fr-CA"/>
              </w:rPr>
              <w:t>Costigan</w:t>
            </w:r>
            <w:proofErr w:type="spellEnd"/>
            <w:r w:rsidRPr="00F55576">
              <w:rPr>
                <w:sz w:val="20"/>
                <w:lang w:val="fr-CA"/>
              </w:rPr>
              <w:t>, Veldhuis et Schutz)</w:t>
            </w:r>
          </w:p>
          <w:p w:rsidR="00AB75C1" w:rsidRPr="00F55576" w:rsidRDefault="007B1953" w:rsidP="00BA4C4D">
            <w:pPr>
              <w:jc w:val="both"/>
              <w:rPr>
                <w:sz w:val="20"/>
                <w:lang w:val="fr-CA"/>
              </w:rPr>
            </w:pPr>
            <w:hyperlink r:id="rId42" w:history="1">
              <w:r w:rsidR="00AB75C1" w:rsidRPr="00F55576">
                <w:rPr>
                  <w:rStyle w:val="Hyperlink"/>
                  <w:sz w:val="20"/>
                  <w:lang w:val="fr-CA"/>
                </w:rPr>
                <w:t>2019 ABCA 234</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Rejet de l’appel de la demanderesse</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6 septembre 2019</w:t>
            </w:r>
          </w:p>
          <w:p w:rsidR="00AB75C1" w:rsidRPr="00F55576" w:rsidRDefault="00AB75C1" w:rsidP="00BA4C4D">
            <w:pPr>
              <w:jc w:val="both"/>
              <w:rPr>
                <w:sz w:val="20"/>
                <w:lang w:val="fr-CA"/>
              </w:rPr>
            </w:pPr>
            <w:r w:rsidRPr="00F55576">
              <w:rPr>
                <w:sz w:val="20"/>
                <w:lang w:val="fr-CA"/>
              </w:rPr>
              <w:t>Cour suprême du Canada</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Dépôt de la demande d’autorisation d’appel</w:t>
            </w:r>
          </w:p>
          <w:p w:rsidR="00AB75C1" w:rsidRPr="00F55576" w:rsidRDefault="00AB75C1" w:rsidP="00BA4C4D">
            <w:pPr>
              <w:jc w:val="both"/>
              <w:rPr>
                <w:sz w:val="20"/>
                <w:lang w:val="fr-CA"/>
              </w:rPr>
            </w:pPr>
          </w:p>
        </w:tc>
      </w:tr>
    </w:tbl>
    <w:p w:rsidR="00AB75C1" w:rsidRPr="00F55576" w:rsidRDefault="00AB75C1" w:rsidP="00AB75C1">
      <w:pPr>
        <w:jc w:val="both"/>
        <w:rPr>
          <w:sz w:val="20"/>
          <w:lang w:val="fr-CA"/>
        </w:rPr>
      </w:pPr>
    </w:p>
    <w:p w:rsidR="00AB75C1" w:rsidRPr="00F55576" w:rsidRDefault="007B1953" w:rsidP="00AB75C1">
      <w:pPr>
        <w:jc w:val="both"/>
        <w:rPr>
          <w:sz w:val="20"/>
          <w:lang w:val="fr-CA"/>
        </w:rPr>
      </w:pPr>
      <w:r>
        <w:rPr>
          <w:sz w:val="20"/>
        </w:rPr>
        <w:pict>
          <v:rect id="_x0000_i1043" style="width:2in;height:1pt" o:hrpct="0" o:hralign="center" o:hrstd="t" o:hrnoshade="t" o:hr="t" fillcolor="black [3213]" stroked="f"/>
        </w:pict>
      </w:r>
    </w:p>
    <w:p w:rsidR="00AB75C1" w:rsidRPr="00F55576" w:rsidRDefault="00AB75C1" w:rsidP="00AB75C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t>38810</w:t>
            </w:r>
          </w:p>
        </w:tc>
        <w:tc>
          <w:tcPr>
            <w:tcW w:w="4457" w:type="pct"/>
            <w:gridSpan w:val="3"/>
          </w:tcPr>
          <w:p w:rsidR="00AB75C1" w:rsidRPr="00F55576" w:rsidRDefault="00AB75C1" w:rsidP="00BA4C4D">
            <w:pPr>
              <w:pStyle w:val="SCCLsocParty"/>
              <w:jc w:val="both"/>
              <w:rPr>
                <w:b/>
                <w:sz w:val="20"/>
                <w:szCs w:val="20"/>
                <w:lang w:val="en-US"/>
              </w:rPr>
            </w:pPr>
            <w:r w:rsidRPr="00F55576">
              <w:rPr>
                <w:b/>
                <w:sz w:val="20"/>
                <w:szCs w:val="20"/>
                <w:lang w:val="en-US"/>
              </w:rPr>
              <w:t>Michael Davies v. Her Majesty the Queen</w:t>
            </w:r>
          </w:p>
          <w:p w:rsidR="00AB75C1" w:rsidRPr="00F55576" w:rsidRDefault="00AB75C1" w:rsidP="00BA4C4D">
            <w:pPr>
              <w:jc w:val="both"/>
              <w:rPr>
                <w:sz w:val="20"/>
              </w:rPr>
            </w:pPr>
            <w:r w:rsidRPr="00F55576">
              <w:rPr>
                <w:sz w:val="20"/>
              </w:rPr>
              <w:t>(F.C.) (Civil) (By Leave)</w:t>
            </w:r>
          </w:p>
        </w:tc>
      </w:tr>
      <w:tr w:rsidR="00834E76" w:rsidRPr="00F55576" w:rsidTr="00BA4C4D">
        <w:tc>
          <w:tcPr>
            <w:tcW w:w="5000" w:type="pct"/>
            <w:gridSpan w:val="4"/>
          </w:tcPr>
          <w:p w:rsidR="00834E76" w:rsidRPr="00F55576" w:rsidRDefault="003C7249" w:rsidP="00BA4C4D">
            <w:pPr>
              <w:jc w:val="both"/>
              <w:rPr>
                <w:sz w:val="20"/>
                <w:szCs w:val="20"/>
              </w:rPr>
            </w:pPr>
            <w:r w:rsidRPr="00F55576">
              <w:rPr>
                <w:sz w:val="20"/>
                <w:szCs w:val="20"/>
              </w:rPr>
              <w:t>The application for leave to appeal from the judgment of the Federal Court of Appeal, Number A-171-16, 2019 FCA 191, dated June 25, 2019, is dismissed with costs.</w:t>
            </w:r>
          </w:p>
          <w:p w:rsidR="00834E76" w:rsidRPr="00F55576" w:rsidRDefault="00834E76" w:rsidP="00BA4C4D">
            <w:pPr>
              <w:jc w:val="both"/>
              <w:rPr>
                <w:sz w:val="20"/>
              </w:rPr>
            </w:pPr>
          </w:p>
        </w:tc>
      </w:tr>
      <w:tr w:rsidR="00AB75C1" w:rsidRPr="00F55576" w:rsidTr="00BA4C4D">
        <w:tc>
          <w:tcPr>
            <w:tcW w:w="5000" w:type="pct"/>
            <w:gridSpan w:val="4"/>
          </w:tcPr>
          <w:p w:rsidR="00AB75C1" w:rsidRPr="00F55576" w:rsidRDefault="00AB75C1" w:rsidP="00BA4C4D">
            <w:pPr>
              <w:jc w:val="both"/>
              <w:rPr>
                <w:sz w:val="20"/>
              </w:rPr>
            </w:pPr>
            <w:r w:rsidRPr="00F55576">
              <w:rPr>
                <w:sz w:val="20"/>
              </w:rPr>
              <w:t xml:space="preserve">Taxation — Appeals — Discontinuance — Whether Parliament intended that the protections afforded to a taxpayer in the </w:t>
            </w:r>
            <w:r w:rsidRPr="00F55576">
              <w:rPr>
                <w:i/>
                <w:sz w:val="20"/>
              </w:rPr>
              <w:t>Income Tax Act</w:t>
            </w:r>
            <w:r w:rsidRPr="00F55576">
              <w:rPr>
                <w:sz w:val="20"/>
              </w:rPr>
              <w:t xml:space="preserve"> could be waived, altered, assigned or given to a taxpayer’s solicitor so as to allow a taxpayer’s solicitor to execute documents in writing for the taxpayer — Whether the existing common law which allows solicitors to bind their clients without the actual specific written authority of the client should still be the law of Canada in view of modern communications — </w:t>
            </w:r>
            <w:r w:rsidRPr="00F55576">
              <w:rPr>
                <w:i/>
                <w:sz w:val="20"/>
              </w:rPr>
              <w:t>Income Tax Act</w:t>
            </w:r>
            <w:r w:rsidRPr="00F55576">
              <w:rPr>
                <w:sz w:val="20"/>
              </w:rPr>
              <w:t>, R.S.C. 1985, c. 1 (5th supp.).</w:t>
            </w:r>
          </w:p>
        </w:tc>
      </w:tr>
      <w:tr w:rsidR="00AB75C1" w:rsidRPr="00F55576" w:rsidTr="00BA4C4D">
        <w:trPr>
          <w:trHeight w:val="4121"/>
        </w:trPr>
        <w:tc>
          <w:tcPr>
            <w:tcW w:w="5000" w:type="pct"/>
            <w:gridSpan w:val="4"/>
          </w:tcPr>
          <w:p w:rsidR="00AB75C1" w:rsidRPr="00F55576" w:rsidRDefault="00AB75C1" w:rsidP="00BA4C4D">
            <w:pPr>
              <w:jc w:val="both"/>
              <w:rPr>
                <w:sz w:val="20"/>
              </w:rPr>
            </w:pPr>
          </w:p>
          <w:p w:rsidR="00AB75C1" w:rsidRPr="00F55576" w:rsidRDefault="00AB75C1" w:rsidP="00BA4C4D">
            <w:pPr>
              <w:jc w:val="both"/>
              <w:rPr>
                <w:sz w:val="20"/>
              </w:rPr>
            </w:pPr>
            <w:r w:rsidRPr="00F55576">
              <w:rPr>
                <w:sz w:val="20"/>
              </w:rPr>
              <w:t>The applicant, Mr. Davies, was part of a group of appeals involving approximately 25 to 30 taxpayers.  The initial appeal concerned Mr. Davies’ 2005, 2006 and 2007 taxation years and involved the deductibility of certain capital cost allowance in respect of a purchased software licence. Mr. Davies was reassessed in 2009 and his claimed capital cost allowance was disallowed. He and certain other investors retained counsel to file appeals. Shortly after the appeals were filed, a meeting was held between the investors’ counsel and the group the investors. Mr. Davies attended the conference call and general parameters of settlement were discussed. Authority was given to resolve the appeals within the range of 20</w:t>
            </w:r>
            <w:r w:rsidRPr="00F55576">
              <w:rPr>
                <w:sz w:val="20"/>
              </w:rPr>
              <w:noBreakHyphen/>
              <w:t>40 percent of deductibility of the capital cost. The investors’ counsel was to pursue resolution, the usual litigation steps and report periodically to the clients. From early December 2010 until September 2013, Mr. Davies had no communication with the investors’ counsel. The investors’ counsel and respondent’s counsel executed minutes of settlement and notices of discontinuance and the respondent issued notices of reassessments to Mr. Davies and the others based on the settlement reached.  Mr. Davies was not in agreement with the settlement. The respondent’s counsel proceeded to file the notices of discontinuance.</w:t>
            </w:r>
          </w:p>
          <w:p w:rsidR="00AB75C1" w:rsidRPr="00F55576" w:rsidRDefault="00AB75C1" w:rsidP="00BA4C4D">
            <w:pPr>
              <w:jc w:val="both"/>
              <w:rPr>
                <w:sz w:val="20"/>
              </w:rPr>
            </w:pPr>
          </w:p>
          <w:p w:rsidR="00AB75C1" w:rsidRPr="00F55576" w:rsidRDefault="00AB75C1" w:rsidP="00BA4C4D">
            <w:pPr>
              <w:jc w:val="both"/>
              <w:rPr>
                <w:sz w:val="20"/>
              </w:rPr>
            </w:pPr>
            <w:r w:rsidRPr="00F55576">
              <w:rPr>
                <w:sz w:val="20"/>
              </w:rPr>
              <w:t>Mr. Davies sought to set aside the minutes of settlement and prevent the filing of the notice of discontinuance. The motions judge dismissed Mr. Davies’ request to set aside the notice of discontinuance and to reinstate his appeals. The respondent’s motion to dismiss the appeals was granted.  The Federal Court of Appeal dismissed Mr. Davies’ appeal.</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April 27, 2016</w:t>
            </w:r>
          </w:p>
          <w:p w:rsidR="00AB75C1" w:rsidRPr="00F55576" w:rsidRDefault="00AB75C1" w:rsidP="00BA4C4D">
            <w:pPr>
              <w:jc w:val="both"/>
              <w:rPr>
                <w:sz w:val="20"/>
              </w:rPr>
            </w:pPr>
            <w:r w:rsidRPr="00F55576">
              <w:rPr>
                <w:sz w:val="20"/>
              </w:rPr>
              <w:t>Tax Court of Canada</w:t>
            </w:r>
          </w:p>
          <w:p w:rsidR="00AB75C1" w:rsidRPr="00F55576" w:rsidRDefault="00AB75C1" w:rsidP="00BA4C4D">
            <w:pPr>
              <w:jc w:val="both"/>
              <w:rPr>
                <w:sz w:val="20"/>
              </w:rPr>
            </w:pPr>
            <w:r w:rsidRPr="00F55576">
              <w:rPr>
                <w:sz w:val="20"/>
              </w:rPr>
              <w:t>(</w:t>
            </w:r>
            <w:proofErr w:type="spellStart"/>
            <w:r w:rsidRPr="00F55576">
              <w:rPr>
                <w:sz w:val="20"/>
              </w:rPr>
              <w:t>Bocock</w:t>
            </w:r>
            <w:proofErr w:type="spellEnd"/>
            <w:r w:rsidRPr="00F55576">
              <w:rPr>
                <w:sz w:val="20"/>
              </w:rPr>
              <w:t xml:space="preserve"> J.)</w:t>
            </w:r>
          </w:p>
          <w:p w:rsidR="00AB75C1" w:rsidRPr="00F55576" w:rsidRDefault="007B1953" w:rsidP="00BA4C4D">
            <w:pPr>
              <w:jc w:val="both"/>
              <w:rPr>
                <w:sz w:val="20"/>
              </w:rPr>
            </w:pPr>
            <w:hyperlink r:id="rId43" w:history="1">
              <w:r w:rsidR="00AB75C1" w:rsidRPr="00F55576">
                <w:rPr>
                  <w:rStyle w:val="Hyperlink"/>
                  <w:sz w:val="20"/>
                </w:rPr>
                <w:t>2016 TCC 104</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Applicant’s motion to set aside notice of discontinuance and to reinstate related appeals, dismissed; respondent’s motion to dismiss the appeals, granted</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June 25, 2019</w:t>
            </w:r>
          </w:p>
          <w:p w:rsidR="00AB75C1" w:rsidRPr="00F55576" w:rsidRDefault="00AB75C1" w:rsidP="00BA4C4D">
            <w:pPr>
              <w:jc w:val="both"/>
              <w:rPr>
                <w:sz w:val="20"/>
              </w:rPr>
            </w:pPr>
            <w:r w:rsidRPr="00F55576">
              <w:rPr>
                <w:sz w:val="20"/>
              </w:rPr>
              <w:t>Federal Court of Appeal</w:t>
            </w:r>
          </w:p>
          <w:p w:rsidR="00AB75C1" w:rsidRPr="00F55576" w:rsidRDefault="00AB75C1" w:rsidP="00BA4C4D">
            <w:pPr>
              <w:jc w:val="both"/>
              <w:rPr>
                <w:sz w:val="20"/>
              </w:rPr>
            </w:pPr>
            <w:r w:rsidRPr="00F55576">
              <w:rPr>
                <w:sz w:val="20"/>
              </w:rPr>
              <w:t xml:space="preserve">(Gauthier, </w:t>
            </w:r>
            <w:proofErr w:type="spellStart"/>
            <w:r w:rsidRPr="00F55576">
              <w:rPr>
                <w:sz w:val="20"/>
              </w:rPr>
              <w:t>Stratas</w:t>
            </w:r>
            <w:proofErr w:type="spellEnd"/>
            <w:r w:rsidRPr="00F55576">
              <w:rPr>
                <w:sz w:val="20"/>
              </w:rPr>
              <w:t xml:space="preserve"> and </w:t>
            </w:r>
            <w:proofErr w:type="spellStart"/>
            <w:r w:rsidRPr="00F55576">
              <w:rPr>
                <w:sz w:val="20"/>
              </w:rPr>
              <w:t>Laskin</w:t>
            </w:r>
            <w:proofErr w:type="spellEnd"/>
            <w:r w:rsidRPr="00F55576">
              <w:rPr>
                <w:sz w:val="20"/>
              </w:rPr>
              <w:t xml:space="preserve"> JJ.A.)</w:t>
            </w:r>
          </w:p>
          <w:p w:rsidR="00AB75C1" w:rsidRPr="00F55576" w:rsidRDefault="007B1953" w:rsidP="00BA4C4D">
            <w:pPr>
              <w:jc w:val="both"/>
              <w:rPr>
                <w:sz w:val="20"/>
              </w:rPr>
            </w:pPr>
            <w:hyperlink r:id="rId44" w:history="1">
              <w:r w:rsidR="00AB75C1" w:rsidRPr="00F55576">
                <w:rPr>
                  <w:rStyle w:val="Hyperlink"/>
                  <w:sz w:val="20"/>
                </w:rPr>
                <w:t>2019 FCA 191</w:t>
              </w:r>
            </w:hyperlink>
            <w:r w:rsidR="00AB75C1" w:rsidRPr="00F55576">
              <w:rPr>
                <w:sz w:val="20"/>
              </w:rPr>
              <w:t>; A</w:t>
            </w:r>
            <w:r w:rsidR="00AB75C1" w:rsidRPr="00F55576">
              <w:rPr>
                <w:sz w:val="20"/>
              </w:rPr>
              <w:noBreakHyphen/>
              <w:t>171</w:t>
            </w:r>
            <w:r w:rsidR="00AB75C1" w:rsidRPr="00F55576">
              <w:rPr>
                <w:sz w:val="20"/>
              </w:rPr>
              <w:noBreakHyphen/>
              <w:t>16</w:t>
            </w:r>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Appeal dismissed</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September 20, 2019</w:t>
            </w:r>
          </w:p>
          <w:p w:rsidR="00AB75C1" w:rsidRPr="00F55576" w:rsidRDefault="00AB75C1" w:rsidP="00BA4C4D">
            <w:pPr>
              <w:jc w:val="both"/>
              <w:rPr>
                <w:sz w:val="20"/>
              </w:rPr>
            </w:pPr>
            <w:r w:rsidRPr="00F55576">
              <w:rPr>
                <w:sz w:val="20"/>
              </w:rPr>
              <w:t>Supreme Court of Canada</w:t>
            </w: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Application for leave to appeal filed</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44" style="width:2in;height:1pt" o:hrpct="0" o:hralign="center" o:hrstd="t" o:hrnoshade="t" o:hr="t" fillcolor="black [3213]" stroked="f"/>
        </w:pict>
      </w:r>
    </w:p>
    <w:p w:rsidR="00AB75C1" w:rsidRPr="00F55576" w:rsidRDefault="00AB75C1" w:rsidP="00AB75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lang w:val="fr-CA"/>
              </w:rPr>
            </w:pPr>
            <w:r w:rsidRPr="00F55576">
              <w:rPr>
                <w:rStyle w:val="SCCFileNumberChar"/>
                <w:sz w:val="20"/>
                <w:szCs w:val="20"/>
                <w:lang w:val="fr-CA"/>
              </w:rPr>
              <w:t>38810</w:t>
            </w:r>
          </w:p>
        </w:tc>
        <w:tc>
          <w:tcPr>
            <w:tcW w:w="4457" w:type="pct"/>
            <w:gridSpan w:val="3"/>
          </w:tcPr>
          <w:p w:rsidR="00AB75C1" w:rsidRPr="00F55576" w:rsidRDefault="00AB75C1" w:rsidP="00BA4C4D">
            <w:pPr>
              <w:pStyle w:val="SCCLsocParty"/>
              <w:jc w:val="both"/>
              <w:rPr>
                <w:b/>
                <w:sz w:val="20"/>
                <w:szCs w:val="20"/>
              </w:rPr>
            </w:pPr>
            <w:r w:rsidRPr="00F55576">
              <w:rPr>
                <w:b/>
                <w:sz w:val="20"/>
                <w:szCs w:val="20"/>
              </w:rPr>
              <w:t>Michael Davies c. Sa Majesté la Reine</w:t>
            </w:r>
          </w:p>
          <w:p w:rsidR="00AB75C1" w:rsidRPr="00F55576" w:rsidRDefault="00AB75C1" w:rsidP="00BA4C4D">
            <w:pPr>
              <w:jc w:val="both"/>
              <w:rPr>
                <w:sz w:val="20"/>
                <w:lang w:val="fr-CA"/>
              </w:rPr>
            </w:pPr>
            <w:r w:rsidRPr="00F55576">
              <w:rPr>
                <w:sz w:val="20"/>
                <w:lang w:val="fr-CA"/>
              </w:rPr>
              <w:t>(C.F.) (Civile) (Autorisation)</w:t>
            </w:r>
          </w:p>
        </w:tc>
      </w:tr>
      <w:tr w:rsidR="00834E76" w:rsidRPr="008042C9" w:rsidTr="00BA4C4D">
        <w:tc>
          <w:tcPr>
            <w:tcW w:w="5000" w:type="pct"/>
            <w:gridSpan w:val="4"/>
          </w:tcPr>
          <w:p w:rsidR="00834E76" w:rsidRPr="00F55576" w:rsidRDefault="003C7249" w:rsidP="00BA4C4D">
            <w:pPr>
              <w:jc w:val="both"/>
              <w:rPr>
                <w:sz w:val="20"/>
                <w:szCs w:val="20"/>
                <w:lang w:val="fr-CA"/>
              </w:rPr>
            </w:pPr>
            <w:r w:rsidRPr="00F55576">
              <w:rPr>
                <w:sz w:val="20"/>
                <w:szCs w:val="20"/>
                <w:lang w:val="fr-CA"/>
              </w:rPr>
              <w:t>La demande d’autorisation d’appel de l’arrêt de la Cour d’appel fédérale, numéro A-171-16, 2019 FCA 191, daté du 25 juin 2019, est rejetée avec dépens.</w:t>
            </w:r>
          </w:p>
          <w:p w:rsidR="00834E76" w:rsidRPr="00F55576" w:rsidRDefault="00834E76" w:rsidP="00BA4C4D">
            <w:pPr>
              <w:jc w:val="both"/>
              <w:rPr>
                <w:sz w:val="20"/>
                <w:lang w:val="fr-CA"/>
              </w:rPr>
            </w:pPr>
          </w:p>
        </w:tc>
      </w:tr>
      <w:tr w:rsidR="00AB75C1" w:rsidRPr="008042C9" w:rsidTr="00BA4C4D">
        <w:tc>
          <w:tcPr>
            <w:tcW w:w="5000" w:type="pct"/>
            <w:gridSpan w:val="4"/>
          </w:tcPr>
          <w:p w:rsidR="00AB75C1" w:rsidRPr="00F55576" w:rsidRDefault="00AB75C1" w:rsidP="00BA4C4D">
            <w:pPr>
              <w:jc w:val="both"/>
              <w:rPr>
                <w:sz w:val="20"/>
                <w:lang w:val="fr-CA"/>
              </w:rPr>
            </w:pPr>
            <w:r w:rsidRPr="00F55576">
              <w:rPr>
                <w:sz w:val="20"/>
                <w:lang w:val="fr-CA"/>
              </w:rPr>
              <w:t xml:space="preserve">Droit fiscal — Appels — Désistement — Le Parlement entendait-il faire en sorte que les protections accordées à un contribuable dans la </w:t>
            </w:r>
            <w:r w:rsidRPr="00F55576">
              <w:rPr>
                <w:i/>
                <w:sz w:val="20"/>
                <w:lang w:val="fr-CA"/>
              </w:rPr>
              <w:t>Loi de l’impôt sur le revenu</w:t>
            </w:r>
            <w:r w:rsidRPr="00F55576">
              <w:rPr>
                <w:sz w:val="20"/>
                <w:lang w:val="fr-CA"/>
              </w:rPr>
              <w:t xml:space="preserve"> puissent faire l’objet d’une renonciation, être modifiées, cédées ou conférées au procureur du contribuable pour permettre au procureur de signer des documents pour le contribuable? — La common law existante qui permet aux procureurs de lier leurs clients sans leur autorisation expresse par écrit devrait-elle toujours être la règle de droit applicable au Canada, vu les communications modernes? — </w:t>
            </w:r>
            <w:r w:rsidRPr="00F55576">
              <w:rPr>
                <w:i/>
                <w:sz w:val="20"/>
                <w:lang w:val="fr-CA"/>
              </w:rPr>
              <w:t>Loi de l’impôt sur le revenu</w:t>
            </w:r>
            <w:r w:rsidRPr="00F55576">
              <w:rPr>
                <w:sz w:val="20"/>
                <w:lang w:val="fr-CA"/>
              </w:rPr>
              <w:t>, L.R.C. 1985, ch. 1 (5</w:t>
            </w:r>
            <w:r w:rsidRPr="00F55576">
              <w:rPr>
                <w:sz w:val="20"/>
                <w:vertAlign w:val="superscript"/>
                <w:lang w:val="fr-CA"/>
              </w:rPr>
              <w:t>e</w:t>
            </w:r>
            <w:r w:rsidRPr="00F55576">
              <w:rPr>
                <w:sz w:val="20"/>
                <w:lang w:val="fr-CA"/>
              </w:rPr>
              <w:t xml:space="preserve"> suppl.).</w:t>
            </w:r>
          </w:p>
        </w:tc>
      </w:tr>
      <w:tr w:rsidR="00AB75C1" w:rsidRPr="008042C9" w:rsidTr="00BA4C4D">
        <w:trPr>
          <w:trHeight w:val="4822"/>
        </w:trPr>
        <w:tc>
          <w:tcPr>
            <w:tcW w:w="5000" w:type="pct"/>
            <w:gridSpan w:val="4"/>
          </w:tcPr>
          <w:p w:rsidR="00AB75C1" w:rsidRPr="00F55576" w:rsidRDefault="00AB75C1" w:rsidP="00BA4C4D">
            <w:pPr>
              <w:jc w:val="both"/>
              <w:rPr>
                <w:sz w:val="20"/>
                <w:lang w:val="fr-CA"/>
              </w:rPr>
            </w:pPr>
          </w:p>
          <w:p w:rsidR="00AB75C1" w:rsidRPr="00F55576" w:rsidRDefault="00AB75C1" w:rsidP="00BA4C4D">
            <w:pPr>
              <w:jc w:val="both"/>
              <w:rPr>
                <w:sz w:val="20"/>
                <w:lang w:val="fr-CA"/>
              </w:rPr>
            </w:pPr>
            <w:r w:rsidRPr="00F55576">
              <w:rPr>
                <w:sz w:val="20"/>
                <w:lang w:val="fr-CA"/>
              </w:rPr>
              <w:t>L’appel du demandeur, M. Davies, faisait partie d’un groupe d’appels auxquels prenaient part de 25 à 30 contribuables environ. L’appel initial concernait les années d’imposition 2005, 2006 et 2007 de l’appelant et se rapportait à la déductibilité de certaines déductions pour amortissement à l’égard de l’achat d’une licence d’utilisation d’un logiciel. Une nouvelle cotisation avait été établie pour M. Davis en 2009 et la déduction pour amortissement qu’il avait demandée lui avait été refusée. Certains investisseurs et lui avaient retenu les services d’un cabinet d’avocats en vue d’interjeter des appels. Peu après le dépôt des appels, les avocats des investisseurs le groupe d’investisseurs s’étaient réunis. Monsieur Davis a participé à la conférence téléphonique et les paramètres généraux du règlement y avaient été discutés. L’autorisation de régler les appels en établissant la déduction pour amortissement à un taux de 20 à 40 % a été donnée. Les avocats des investisseurs avaient pour mandat de chercher à régler le litige, de prendre les mesures habituelles à cette fin et de rendre des comptes périodiquement aux clients. Du début du mois de décembre 2010 au 23 septembre 2013, M. Davis n’avait eu aucune communication avec les avocats des investisseurs. Les avocats des investisseurs et l’avocate de l’intimée ont signé un procès</w:t>
            </w:r>
            <w:r w:rsidRPr="00F55576">
              <w:rPr>
                <w:sz w:val="20"/>
                <w:lang w:val="fr-CA"/>
              </w:rPr>
              <w:noBreakHyphen/>
              <w:t>verbal de règlement et des avis de désistement et l’intimée a délivré des avis de nouvelles cotisations à M. Davies et à d’autres sur le fondement du règlement conclu. Monsieur Davies n’était pas d’accord avec le règlement. L’avocate de l’intimée a alors déposé les avis de désistement.</w:t>
            </w:r>
          </w:p>
          <w:p w:rsidR="00AB75C1" w:rsidRPr="00F55576" w:rsidRDefault="00AB75C1" w:rsidP="00BA4C4D">
            <w:pPr>
              <w:jc w:val="both"/>
              <w:rPr>
                <w:sz w:val="20"/>
                <w:lang w:val="fr-CA"/>
              </w:rPr>
            </w:pPr>
          </w:p>
          <w:p w:rsidR="00AB75C1" w:rsidRPr="00F55576" w:rsidRDefault="00AB75C1" w:rsidP="00BA4C4D">
            <w:pPr>
              <w:jc w:val="both"/>
              <w:rPr>
                <w:sz w:val="20"/>
                <w:lang w:val="fr-CA"/>
              </w:rPr>
            </w:pPr>
            <w:r w:rsidRPr="00F55576">
              <w:rPr>
                <w:sz w:val="20"/>
                <w:lang w:val="fr-CA"/>
              </w:rPr>
              <w:t>Monsieur Davies a tenté de faire annuler le procès-verbal du règlement et d’empêcher le dépôt de l’avis de désistement. Le juge de première instance a rejeté la requête de M. Davies en annulation de l’avis de désistement et en rétablissement de ses appels. La requête de l’intimée en rejet des appels a été accueillie. La Cour d’appel fédérale a rejeté l’appel de M. Davies.</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27 avril 2016</w:t>
            </w:r>
          </w:p>
          <w:p w:rsidR="00AB75C1" w:rsidRPr="00F55576" w:rsidRDefault="00AB75C1" w:rsidP="00BA4C4D">
            <w:pPr>
              <w:jc w:val="both"/>
              <w:rPr>
                <w:sz w:val="20"/>
                <w:lang w:val="fr-CA"/>
              </w:rPr>
            </w:pPr>
            <w:r w:rsidRPr="00F55576">
              <w:rPr>
                <w:sz w:val="20"/>
                <w:lang w:val="fr-CA"/>
              </w:rPr>
              <w:t>Cour canadienne de l’impôt</w:t>
            </w:r>
          </w:p>
          <w:p w:rsidR="00AB75C1" w:rsidRPr="00F55576" w:rsidRDefault="00AB75C1" w:rsidP="00BA4C4D">
            <w:pPr>
              <w:jc w:val="both"/>
              <w:rPr>
                <w:sz w:val="20"/>
                <w:lang w:val="fr-CA"/>
              </w:rPr>
            </w:pPr>
            <w:r w:rsidRPr="00F55576">
              <w:rPr>
                <w:sz w:val="20"/>
                <w:lang w:val="fr-CA"/>
              </w:rPr>
              <w:t xml:space="preserve">(Juge </w:t>
            </w:r>
            <w:proofErr w:type="spellStart"/>
            <w:r w:rsidRPr="00F55576">
              <w:rPr>
                <w:sz w:val="20"/>
                <w:lang w:val="fr-CA"/>
              </w:rPr>
              <w:t>Bocock</w:t>
            </w:r>
            <w:proofErr w:type="spellEnd"/>
            <w:r w:rsidRPr="00F55576">
              <w:rPr>
                <w:sz w:val="20"/>
                <w:lang w:val="fr-CA"/>
              </w:rPr>
              <w:t>)</w:t>
            </w:r>
          </w:p>
          <w:p w:rsidR="00AB75C1" w:rsidRPr="00F55576" w:rsidRDefault="007B1953" w:rsidP="00BA4C4D">
            <w:pPr>
              <w:jc w:val="both"/>
              <w:rPr>
                <w:sz w:val="20"/>
                <w:lang w:val="fr-CA"/>
              </w:rPr>
            </w:pPr>
            <w:hyperlink r:id="rId45" w:history="1">
              <w:r w:rsidR="00AB75C1" w:rsidRPr="00F55576">
                <w:rPr>
                  <w:rStyle w:val="Hyperlink"/>
                  <w:sz w:val="20"/>
                  <w:lang w:val="fr-CA"/>
                </w:rPr>
                <w:t>2016 TCC 104</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 xml:space="preserve">Jugement rejetant la requête du demandeur en annulation de l’avis de désistement et en rétablissement d’appels connexes, et accueillant la requête de l’intimée en rejet des appels </w:t>
            </w:r>
          </w:p>
          <w:p w:rsidR="00AB75C1" w:rsidRPr="00F55576" w:rsidRDefault="00AB75C1" w:rsidP="00BA4C4D">
            <w:pPr>
              <w:jc w:val="both"/>
              <w:rPr>
                <w:sz w:val="20"/>
                <w:lang w:val="fr-CA"/>
              </w:rPr>
            </w:pPr>
          </w:p>
        </w:tc>
      </w:tr>
      <w:tr w:rsidR="00AB75C1" w:rsidRPr="00F55576" w:rsidTr="00BA4C4D">
        <w:tc>
          <w:tcPr>
            <w:tcW w:w="2427" w:type="pct"/>
            <w:gridSpan w:val="2"/>
          </w:tcPr>
          <w:p w:rsidR="00AB75C1" w:rsidRPr="00F55576" w:rsidRDefault="00AB75C1" w:rsidP="00BA4C4D">
            <w:pPr>
              <w:jc w:val="both"/>
              <w:rPr>
                <w:sz w:val="20"/>
                <w:lang w:val="fr-CA"/>
              </w:rPr>
            </w:pPr>
            <w:r w:rsidRPr="00F55576">
              <w:rPr>
                <w:sz w:val="20"/>
                <w:lang w:val="fr-CA"/>
              </w:rPr>
              <w:t>25 juin 2019</w:t>
            </w:r>
          </w:p>
          <w:p w:rsidR="00AB75C1" w:rsidRPr="00F55576" w:rsidRDefault="00AB75C1" w:rsidP="00BA4C4D">
            <w:pPr>
              <w:jc w:val="both"/>
              <w:rPr>
                <w:sz w:val="20"/>
                <w:lang w:val="fr-CA"/>
              </w:rPr>
            </w:pPr>
            <w:r w:rsidRPr="00F55576">
              <w:rPr>
                <w:sz w:val="20"/>
                <w:lang w:val="fr-CA"/>
              </w:rPr>
              <w:t>Cour d’appel fédérale</w:t>
            </w:r>
          </w:p>
          <w:p w:rsidR="00AB75C1" w:rsidRPr="00F55576" w:rsidRDefault="00AB75C1" w:rsidP="00BA4C4D">
            <w:pPr>
              <w:jc w:val="both"/>
              <w:rPr>
                <w:sz w:val="20"/>
                <w:lang w:val="fr-CA"/>
              </w:rPr>
            </w:pPr>
            <w:r w:rsidRPr="00F55576">
              <w:rPr>
                <w:sz w:val="20"/>
                <w:lang w:val="fr-CA"/>
              </w:rPr>
              <w:t xml:space="preserve">(Juges Gauthier, </w:t>
            </w:r>
            <w:proofErr w:type="spellStart"/>
            <w:r w:rsidRPr="00F55576">
              <w:rPr>
                <w:sz w:val="20"/>
                <w:lang w:val="fr-CA"/>
              </w:rPr>
              <w:t>Stratas</w:t>
            </w:r>
            <w:proofErr w:type="spellEnd"/>
            <w:r w:rsidRPr="00F55576">
              <w:rPr>
                <w:sz w:val="20"/>
                <w:lang w:val="fr-CA"/>
              </w:rPr>
              <w:t xml:space="preserve"> et </w:t>
            </w:r>
            <w:proofErr w:type="spellStart"/>
            <w:r w:rsidRPr="00F55576">
              <w:rPr>
                <w:sz w:val="20"/>
                <w:lang w:val="fr-CA"/>
              </w:rPr>
              <w:t>Laskin</w:t>
            </w:r>
            <w:proofErr w:type="spellEnd"/>
            <w:r w:rsidRPr="00F55576">
              <w:rPr>
                <w:sz w:val="20"/>
                <w:lang w:val="fr-CA"/>
              </w:rPr>
              <w:t>)</w:t>
            </w:r>
          </w:p>
          <w:p w:rsidR="00AB75C1" w:rsidRPr="00F55576" w:rsidRDefault="007B1953" w:rsidP="00BA4C4D">
            <w:pPr>
              <w:jc w:val="both"/>
              <w:rPr>
                <w:sz w:val="20"/>
                <w:lang w:val="fr-CA"/>
              </w:rPr>
            </w:pPr>
            <w:hyperlink r:id="rId46" w:history="1">
              <w:r w:rsidR="00AB75C1" w:rsidRPr="00F55576">
                <w:rPr>
                  <w:rStyle w:val="Hyperlink"/>
                  <w:sz w:val="20"/>
                  <w:lang w:val="fr-CA"/>
                </w:rPr>
                <w:t>2019 FCA 191</w:t>
              </w:r>
            </w:hyperlink>
            <w:r w:rsidR="00AB75C1" w:rsidRPr="00F55576">
              <w:rPr>
                <w:sz w:val="20"/>
                <w:lang w:val="fr-CA"/>
              </w:rPr>
              <w:t>; A</w:t>
            </w:r>
            <w:r w:rsidR="00AB75C1" w:rsidRPr="00F55576">
              <w:rPr>
                <w:sz w:val="20"/>
                <w:lang w:val="fr-CA"/>
              </w:rPr>
              <w:noBreakHyphen/>
              <w:t>171</w:t>
            </w:r>
            <w:r w:rsidR="00AB75C1" w:rsidRPr="00F55576">
              <w:rPr>
                <w:sz w:val="20"/>
                <w:lang w:val="fr-CA"/>
              </w:rPr>
              <w:noBreakHyphen/>
              <w:t>16</w:t>
            </w:r>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Rejet de l’appel</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20 septembre 2019</w:t>
            </w:r>
          </w:p>
          <w:p w:rsidR="00AB75C1" w:rsidRPr="00F55576" w:rsidRDefault="00AB75C1" w:rsidP="00BA4C4D">
            <w:pPr>
              <w:jc w:val="both"/>
              <w:rPr>
                <w:sz w:val="20"/>
                <w:lang w:val="fr-CA"/>
              </w:rPr>
            </w:pPr>
            <w:r w:rsidRPr="00F55576">
              <w:rPr>
                <w:sz w:val="20"/>
                <w:lang w:val="fr-CA"/>
              </w:rPr>
              <w:t>Cour suprême du Canada</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Dépôt de la demande d’autorisation d’appel</w:t>
            </w:r>
          </w:p>
          <w:p w:rsidR="00AB75C1" w:rsidRPr="00F55576" w:rsidRDefault="00AB75C1" w:rsidP="00BA4C4D">
            <w:pPr>
              <w:jc w:val="both"/>
              <w:rPr>
                <w:sz w:val="20"/>
                <w:lang w:val="fr-CA"/>
              </w:rPr>
            </w:pPr>
          </w:p>
        </w:tc>
      </w:tr>
    </w:tbl>
    <w:p w:rsidR="00AB75C1" w:rsidRPr="00F55576" w:rsidRDefault="00AB75C1" w:rsidP="00AB75C1">
      <w:pPr>
        <w:jc w:val="both"/>
        <w:rPr>
          <w:sz w:val="20"/>
          <w:lang w:val="fr-CA"/>
        </w:rPr>
      </w:pPr>
    </w:p>
    <w:p w:rsidR="00AB75C1" w:rsidRPr="00F55576" w:rsidRDefault="007B1953" w:rsidP="00AB75C1">
      <w:pPr>
        <w:jc w:val="both"/>
        <w:rPr>
          <w:sz w:val="20"/>
          <w:lang w:val="fr-CA"/>
        </w:rPr>
      </w:pPr>
      <w:r>
        <w:rPr>
          <w:sz w:val="20"/>
        </w:rPr>
        <w:pict>
          <v:rect id="_x0000_i1045" style="width:2in;height:1pt" o:hrpct="0" o:hralign="center" o:hrstd="t" o:hrnoshade="t" o:hr="t" fillcolor="black [3213]" stroked="f"/>
        </w:pict>
      </w:r>
    </w:p>
    <w:p w:rsidR="00AB75C1" w:rsidRPr="00F55576" w:rsidRDefault="00AB75C1" w:rsidP="00AB75C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t>38843</w:t>
            </w:r>
          </w:p>
        </w:tc>
        <w:tc>
          <w:tcPr>
            <w:tcW w:w="4457" w:type="pct"/>
          </w:tcPr>
          <w:p w:rsidR="00AB75C1" w:rsidRPr="00F55576" w:rsidRDefault="00AB75C1" w:rsidP="00BA4C4D">
            <w:pPr>
              <w:pStyle w:val="SCCLsocParty"/>
              <w:jc w:val="both"/>
              <w:rPr>
                <w:b/>
                <w:sz w:val="20"/>
                <w:szCs w:val="20"/>
                <w:lang w:val="en-US"/>
              </w:rPr>
            </w:pPr>
            <w:r w:rsidRPr="00F55576">
              <w:rPr>
                <w:b/>
                <w:sz w:val="20"/>
                <w:szCs w:val="20"/>
                <w:lang w:val="en-US"/>
              </w:rPr>
              <w:t>Tonu Elmar Petersoo v. Karinna Margaret Gerda Petersoo</w:t>
            </w:r>
          </w:p>
          <w:p w:rsidR="00AB75C1" w:rsidRPr="00F55576" w:rsidRDefault="00AB75C1" w:rsidP="00BA4C4D">
            <w:pPr>
              <w:jc w:val="both"/>
              <w:rPr>
                <w:sz w:val="20"/>
              </w:rPr>
            </w:pPr>
            <w:r w:rsidRPr="00F55576">
              <w:rPr>
                <w:sz w:val="20"/>
              </w:rPr>
              <w:t>(Ont.) (Civil) (By Leave)</w:t>
            </w:r>
          </w:p>
        </w:tc>
      </w:tr>
      <w:tr w:rsidR="00834E76" w:rsidRPr="00F55576" w:rsidTr="00BA4C4D">
        <w:tc>
          <w:tcPr>
            <w:tcW w:w="5000" w:type="pct"/>
            <w:gridSpan w:val="2"/>
          </w:tcPr>
          <w:p w:rsidR="00834E76" w:rsidRPr="00F55576" w:rsidRDefault="00523B71" w:rsidP="00BA4C4D">
            <w:pPr>
              <w:jc w:val="both"/>
              <w:rPr>
                <w:sz w:val="20"/>
                <w:szCs w:val="20"/>
              </w:rPr>
            </w:pPr>
            <w:r w:rsidRPr="00F55576">
              <w:rPr>
                <w:sz w:val="20"/>
                <w:szCs w:val="20"/>
              </w:rPr>
              <w:t>The application for leave to appeal from the judgment of the Court of Appeal for Ontario, Number C66775, 2019 ONCA 624, dated July 23, 2019, is dismissed with costs.</w:t>
            </w:r>
          </w:p>
          <w:p w:rsidR="00834E76" w:rsidRPr="00F55576" w:rsidRDefault="00834E76" w:rsidP="00BA4C4D">
            <w:pPr>
              <w:jc w:val="both"/>
              <w:rPr>
                <w:sz w:val="20"/>
              </w:rPr>
            </w:pPr>
          </w:p>
        </w:tc>
      </w:tr>
      <w:tr w:rsidR="00AB75C1" w:rsidRPr="00F55576" w:rsidTr="00BA4C4D">
        <w:tc>
          <w:tcPr>
            <w:tcW w:w="5000" w:type="pct"/>
            <w:gridSpan w:val="2"/>
          </w:tcPr>
          <w:p w:rsidR="00AB75C1" w:rsidRPr="00F55576" w:rsidRDefault="00AB75C1" w:rsidP="00BA4C4D">
            <w:pPr>
              <w:jc w:val="both"/>
              <w:rPr>
                <w:sz w:val="20"/>
              </w:rPr>
            </w:pPr>
            <w:r w:rsidRPr="00F55576">
              <w:rPr>
                <w:sz w:val="20"/>
              </w:rPr>
              <w:t xml:space="preserve">Family law — Custody — Mobility rights — Administrative law — Natural justice — Arbitrator deciding custody issue in favour of mother and permitting her to move with children to city where their educational needs could be met — Reviewing judge determining that father’s right to natural justice had been violated — Can a party’s right to natural justice be abrogated in cases involving children? — Does a family law arbitrator have duty to ensure procedural fairness in absence of specific objections pursuant to s. 19 of </w:t>
            </w:r>
            <w:r w:rsidRPr="00F55576">
              <w:rPr>
                <w:i/>
                <w:sz w:val="20"/>
              </w:rPr>
              <w:t>Arbitration Act</w:t>
            </w:r>
            <w:r w:rsidRPr="00F55576">
              <w:rPr>
                <w:sz w:val="20"/>
              </w:rPr>
              <w:t xml:space="preserve">, S.O. 1991, </w:t>
            </w:r>
            <w:proofErr w:type="gramStart"/>
            <w:r w:rsidRPr="00F55576">
              <w:rPr>
                <w:sz w:val="20"/>
              </w:rPr>
              <w:t>c</w:t>
            </w:r>
            <w:proofErr w:type="gramEnd"/>
            <w:r w:rsidRPr="00F55576">
              <w:rPr>
                <w:sz w:val="20"/>
              </w:rPr>
              <w:t>. 17? — When dealing with allegations of denial of natural justice, does a more deferential standard of review apply to family law arbitration awards than decisions made within a court process?</w:t>
            </w:r>
          </w:p>
          <w:p w:rsidR="00AB75C1" w:rsidRPr="00F55576" w:rsidRDefault="00AB75C1" w:rsidP="00BA4C4D">
            <w:pPr>
              <w:jc w:val="both"/>
              <w:rPr>
                <w:sz w:val="20"/>
              </w:rPr>
            </w:pPr>
          </w:p>
        </w:tc>
      </w:tr>
    </w:tbl>
    <w:p w:rsidR="00E337D9" w:rsidRPr="00F55576" w:rsidRDefault="00E337D9">
      <w:r w:rsidRPr="00F5557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5C1" w:rsidRPr="00F55576" w:rsidTr="00BA4C4D">
        <w:tc>
          <w:tcPr>
            <w:tcW w:w="5000" w:type="pct"/>
            <w:gridSpan w:val="3"/>
          </w:tcPr>
          <w:p w:rsidR="00AB75C1" w:rsidRPr="00F55576" w:rsidRDefault="00AB75C1" w:rsidP="00BA4C4D">
            <w:pPr>
              <w:jc w:val="both"/>
              <w:rPr>
                <w:sz w:val="20"/>
              </w:rPr>
            </w:pPr>
            <w:r w:rsidRPr="00F55576">
              <w:rPr>
                <w:sz w:val="20"/>
                <w:lang w:val="en"/>
              </w:rPr>
              <w:lastRenderedPageBreak/>
              <w:t xml:space="preserve">The parties were married in 2003 and have three children: a daughter born in 2007, and twin boys in 2009. The parents separated in 2011. They agreed to joint custody in a separation agreement with the children residing primarily with the mother and parenting time for the father on alternate weekends and sometime midweek. The children suffered emotionally and academically under this arrangement.  According to the mother, they were in crisis. She initiated the custody review procedure under the separation agreement. It was recommended by a physician that the children be enrolled in a school that offered a “direct instruction” system to address their educational needs. Unable to find an affordable and suitable place in Toronto, the mother found an appropriate school in Kitchener. The father did not agree that the children were having difficulties at school. He wanted them to stay at their current school and he wanted more time with them. The parties appeared before the lawyer for an arbitration. Shortly before the arbitration began, the mother gave notice that she wished to move from Toronto to Guelph so that the children could attend the school that she had found. The father did not object to the short notice nor did he request an adjournment at the arbitration hearing. </w:t>
            </w:r>
            <w:r w:rsidRPr="00F55576">
              <w:rPr>
                <w:sz w:val="20"/>
              </w:rPr>
              <w:t>The mother was awarded custody and was permitted to move from Toronto to Guelph with the children. The arbitrator awarded the father parenting time on a scheduled basis that eliminated his midweek parenting time. On appeal, the arbitration award was set aside on the basis that the short notice the father received on the mobility issue resulted in procedural unfairness. A re</w:t>
            </w:r>
            <w:r w:rsidRPr="00F55576">
              <w:rPr>
                <w:sz w:val="20"/>
              </w:rPr>
              <w:noBreakHyphen/>
              <w:t>hearing of the parenting issues was ordered. The mother’s appeal from that decision was allowed and the arbitration award was restored.</w:t>
            </w:r>
          </w:p>
        </w:tc>
      </w:tr>
      <w:tr w:rsidR="00AB75C1" w:rsidRPr="00F55576" w:rsidTr="00BA4C4D">
        <w:tc>
          <w:tcPr>
            <w:tcW w:w="5000" w:type="pct"/>
            <w:gridSpan w:val="3"/>
          </w:tcPr>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August 21, 2017</w:t>
            </w:r>
          </w:p>
          <w:p w:rsidR="00AB75C1" w:rsidRPr="00F55576" w:rsidRDefault="00AB75C1" w:rsidP="00BA4C4D">
            <w:pPr>
              <w:jc w:val="both"/>
              <w:rPr>
                <w:sz w:val="20"/>
              </w:rPr>
            </w:pPr>
            <w:r w:rsidRPr="00F55576">
              <w:rPr>
                <w:sz w:val="20"/>
              </w:rPr>
              <w:t>Arbitration Award</w:t>
            </w:r>
          </w:p>
          <w:p w:rsidR="00AB75C1" w:rsidRPr="00F55576" w:rsidRDefault="00AB75C1" w:rsidP="00BA4C4D">
            <w:pPr>
              <w:jc w:val="both"/>
              <w:rPr>
                <w:sz w:val="20"/>
              </w:rPr>
            </w:pPr>
            <w:r w:rsidRPr="00F55576">
              <w:rPr>
                <w:sz w:val="20"/>
              </w:rPr>
              <w:t>(Arbitrator Cooper)</w:t>
            </w:r>
          </w:p>
          <w:p w:rsidR="00AB75C1" w:rsidRPr="00F55576" w:rsidRDefault="00AB75C1" w:rsidP="00BA4C4D">
            <w:pPr>
              <w:jc w:val="both"/>
              <w:rPr>
                <w:sz w:val="20"/>
              </w:rPr>
            </w:pPr>
            <w:r w:rsidRPr="00F55576">
              <w:rPr>
                <w:sz w:val="20"/>
              </w:rPr>
              <w:t>Unreported</w:t>
            </w:r>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Mother awarded custody of children; father awarded scheduled access. Mother permitted to relocate with children</w:t>
            </w:r>
          </w:p>
        </w:tc>
      </w:tr>
      <w:tr w:rsidR="00AB75C1" w:rsidRPr="00F55576" w:rsidTr="00BA4C4D">
        <w:tc>
          <w:tcPr>
            <w:tcW w:w="2427" w:type="pct"/>
          </w:tcPr>
          <w:p w:rsidR="00AB75C1" w:rsidRPr="00F55576" w:rsidRDefault="00AB75C1" w:rsidP="00BA4C4D">
            <w:pPr>
              <w:jc w:val="both"/>
              <w:rPr>
                <w:sz w:val="20"/>
              </w:rPr>
            </w:pPr>
            <w:r w:rsidRPr="00F55576">
              <w:rPr>
                <w:sz w:val="20"/>
              </w:rPr>
              <w:t>November 1, 2018</w:t>
            </w:r>
          </w:p>
          <w:p w:rsidR="00AB75C1" w:rsidRPr="00F55576" w:rsidRDefault="00AB75C1" w:rsidP="00BA4C4D">
            <w:pPr>
              <w:jc w:val="both"/>
              <w:rPr>
                <w:sz w:val="20"/>
              </w:rPr>
            </w:pPr>
            <w:r w:rsidRPr="00F55576">
              <w:rPr>
                <w:sz w:val="20"/>
              </w:rPr>
              <w:t>Ontario Superior Court of Justice</w:t>
            </w:r>
          </w:p>
          <w:p w:rsidR="00AB75C1" w:rsidRPr="00F55576" w:rsidRDefault="00AB75C1" w:rsidP="00BA4C4D">
            <w:pPr>
              <w:jc w:val="both"/>
              <w:rPr>
                <w:sz w:val="20"/>
              </w:rPr>
            </w:pPr>
            <w:r w:rsidRPr="00F55576">
              <w:rPr>
                <w:sz w:val="20"/>
              </w:rPr>
              <w:t>(</w:t>
            </w:r>
            <w:proofErr w:type="spellStart"/>
            <w:r w:rsidRPr="00F55576">
              <w:rPr>
                <w:sz w:val="20"/>
              </w:rPr>
              <w:t>Akbarali</w:t>
            </w:r>
            <w:proofErr w:type="spellEnd"/>
            <w:r w:rsidRPr="00F55576">
              <w:rPr>
                <w:sz w:val="20"/>
              </w:rPr>
              <w:t xml:space="preserve"> J.)</w:t>
            </w:r>
          </w:p>
          <w:p w:rsidR="00AB75C1" w:rsidRPr="00F55576" w:rsidRDefault="007B1953" w:rsidP="00BA4C4D">
            <w:pPr>
              <w:jc w:val="both"/>
              <w:rPr>
                <w:rStyle w:val="Hyperlink"/>
                <w:sz w:val="20"/>
              </w:rPr>
            </w:pPr>
            <w:hyperlink r:id="rId47" w:history="1">
              <w:r w:rsidR="00AB75C1" w:rsidRPr="00F55576">
                <w:rPr>
                  <w:rStyle w:val="Hyperlink"/>
                  <w:sz w:val="20"/>
                </w:rPr>
                <w:t>2018 ONSC 6519</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Arbitration award set aside; new arbitration on parenting issues ordered. Appeal on financial issues costs dismissed</w:t>
            </w:r>
          </w:p>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July 23, 2019</w:t>
            </w:r>
          </w:p>
          <w:p w:rsidR="00AB75C1" w:rsidRPr="00F55576" w:rsidRDefault="00AB75C1" w:rsidP="00BA4C4D">
            <w:pPr>
              <w:jc w:val="both"/>
              <w:rPr>
                <w:sz w:val="20"/>
              </w:rPr>
            </w:pPr>
            <w:r w:rsidRPr="00F55576">
              <w:rPr>
                <w:sz w:val="20"/>
              </w:rPr>
              <w:t>Court of Appeal for Ontario</w:t>
            </w:r>
          </w:p>
          <w:p w:rsidR="00AB75C1" w:rsidRPr="00F55576" w:rsidRDefault="00AB75C1" w:rsidP="00BA4C4D">
            <w:pPr>
              <w:jc w:val="both"/>
              <w:rPr>
                <w:sz w:val="20"/>
              </w:rPr>
            </w:pPr>
            <w:r w:rsidRPr="00F55576">
              <w:rPr>
                <w:sz w:val="20"/>
              </w:rPr>
              <w:t xml:space="preserve">(Tulloch Michael H., </w:t>
            </w:r>
            <w:proofErr w:type="spellStart"/>
            <w:r w:rsidRPr="00F55576">
              <w:rPr>
                <w:sz w:val="20"/>
              </w:rPr>
              <w:t>Benotto</w:t>
            </w:r>
            <w:proofErr w:type="spellEnd"/>
            <w:r w:rsidRPr="00F55576">
              <w:rPr>
                <w:sz w:val="20"/>
              </w:rPr>
              <w:t xml:space="preserve">, </w:t>
            </w:r>
            <w:proofErr w:type="spellStart"/>
            <w:r w:rsidRPr="00F55576">
              <w:rPr>
                <w:sz w:val="20"/>
              </w:rPr>
              <w:t>Huscroft</w:t>
            </w:r>
            <w:proofErr w:type="spellEnd"/>
            <w:r w:rsidRPr="00F55576">
              <w:rPr>
                <w:sz w:val="20"/>
              </w:rPr>
              <w:t xml:space="preserve"> Grant)</w:t>
            </w:r>
          </w:p>
          <w:p w:rsidR="00AB75C1" w:rsidRPr="00F55576" w:rsidRDefault="007B1953" w:rsidP="00BA4C4D">
            <w:pPr>
              <w:jc w:val="both"/>
              <w:rPr>
                <w:rStyle w:val="Hyperlink"/>
                <w:sz w:val="20"/>
              </w:rPr>
            </w:pPr>
            <w:hyperlink r:id="rId48" w:history="1">
              <w:r w:rsidR="00AB75C1" w:rsidRPr="00F55576">
                <w:rPr>
                  <w:rStyle w:val="Hyperlink"/>
                  <w:sz w:val="20"/>
                </w:rPr>
                <w:t>2019 ONCA 624</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Mother’s appeal allowed; arbitration award reinstated</w:t>
            </w:r>
          </w:p>
          <w:p w:rsidR="00AB75C1" w:rsidRPr="00F55576" w:rsidRDefault="00AB75C1" w:rsidP="00BA4C4D">
            <w:pPr>
              <w:jc w:val="both"/>
              <w:rPr>
                <w:sz w:val="20"/>
              </w:rPr>
            </w:pPr>
          </w:p>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September 30, 2019</w:t>
            </w:r>
          </w:p>
          <w:p w:rsidR="00AB75C1" w:rsidRPr="00F55576" w:rsidRDefault="00AB75C1" w:rsidP="00BA4C4D">
            <w:pPr>
              <w:jc w:val="both"/>
              <w:rPr>
                <w:sz w:val="20"/>
              </w:rPr>
            </w:pPr>
            <w:r w:rsidRPr="00F55576">
              <w:rPr>
                <w:sz w:val="20"/>
              </w:rPr>
              <w:t>Supreme Court of Canada</w:t>
            </w: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Application for leave to appeal filed</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46" style="width:2in;height:1pt" o:hrpct="0" o:hralign="center" o:hrstd="t" o:hrnoshade="t" o:hr="t" fillcolor="black [3213]" stroked="f"/>
        </w:pict>
      </w:r>
    </w:p>
    <w:p w:rsidR="00AB75C1" w:rsidRPr="00F55576" w:rsidRDefault="00AB75C1" w:rsidP="00AB75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lang w:val="fr-CA"/>
              </w:rPr>
            </w:pPr>
            <w:r w:rsidRPr="00F55576">
              <w:rPr>
                <w:rStyle w:val="SCCFileNumberChar"/>
                <w:sz w:val="20"/>
                <w:szCs w:val="20"/>
                <w:lang w:val="fr-CA"/>
              </w:rPr>
              <w:t>38843</w:t>
            </w:r>
          </w:p>
        </w:tc>
        <w:tc>
          <w:tcPr>
            <w:tcW w:w="4457" w:type="pct"/>
            <w:gridSpan w:val="3"/>
          </w:tcPr>
          <w:p w:rsidR="00AB75C1" w:rsidRPr="00F55576" w:rsidRDefault="00AB75C1" w:rsidP="00BA4C4D">
            <w:pPr>
              <w:pStyle w:val="SCCLsocParty"/>
              <w:jc w:val="both"/>
              <w:rPr>
                <w:b/>
                <w:sz w:val="20"/>
                <w:szCs w:val="20"/>
                <w:lang w:val="en-US"/>
              </w:rPr>
            </w:pPr>
            <w:r w:rsidRPr="00F55576">
              <w:rPr>
                <w:b/>
                <w:sz w:val="20"/>
                <w:szCs w:val="20"/>
                <w:lang w:val="en-US"/>
              </w:rPr>
              <w:t>Tonu Elmar Petersoo c. Karinna Margaret Gerda Petersoo</w:t>
            </w:r>
          </w:p>
          <w:p w:rsidR="00AB75C1" w:rsidRPr="00F55576" w:rsidRDefault="00AB75C1" w:rsidP="00BA4C4D">
            <w:pPr>
              <w:jc w:val="both"/>
              <w:rPr>
                <w:sz w:val="20"/>
                <w:lang w:val="fr-CA"/>
              </w:rPr>
            </w:pPr>
            <w:r w:rsidRPr="00F55576">
              <w:rPr>
                <w:sz w:val="20"/>
                <w:lang w:val="fr-CA"/>
              </w:rPr>
              <w:t>(Ont.) (Civile) (Autorisation)</w:t>
            </w:r>
          </w:p>
        </w:tc>
      </w:tr>
      <w:tr w:rsidR="00834E76" w:rsidRPr="008042C9" w:rsidTr="00BA4C4D">
        <w:tc>
          <w:tcPr>
            <w:tcW w:w="5000" w:type="pct"/>
            <w:gridSpan w:val="4"/>
          </w:tcPr>
          <w:p w:rsidR="00834E76" w:rsidRPr="00F55576" w:rsidRDefault="00523B71" w:rsidP="00BA4C4D">
            <w:pPr>
              <w:jc w:val="both"/>
              <w:rPr>
                <w:sz w:val="20"/>
                <w:szCs w:val="20"/>
                <w:lang w:val="fr-CA"/>
              </w:rPr>
            </w:pPr>
            <w:r w:rsidRPr="00F55576">
              <w:rPr>
                <w:sz w:val="20"/>
                <w:szCs w:val="20"/>
                <w:lang w:val="fr-CA"/>
              </w:rPr>
              <w:t>La demande d’autorisation d’appel de l’arrêt de la Cour d’appel de l’Ontario, numéro C66775, 2019 ONCA 624, daté du 23 juillet 2019, est rejetée avec dépens.</w:t>
            </w:r>
          </w:p>
          <w:p w:rsidR="00834E76" w:rsidRPr="00F55576" w:rsidRDefault="00834E76" w:rsidP="00BA4C4D">
            <w:pPr>
              <w:jc w:val="both"/>
              <w:rPr>
                <w:sz w:val="20"/>
                <w:lang w:val="fr-CA"/>
              </w:rPr>
            </w:pPr>
          </w:p>
        </w:tc>
      </w:tr>
      <w:tr w:rsidR="00AB75C1" w:rsidRPr="008042C9" w:rsidTr="00BA4C4D">
        <w:tc>
          <w:tcPr>
            <w:tcW w:w="5000" w:type="pct"/>
            <w:gridSpan w:val="4"/>
          </w:tcPr>
          <w:p w:rsidR="00AB75C1" w:rsidRPr="00F55576" w:rsidRDefault="00AB75C1" w:rsidP="00BA4C4D">
            <w:pPr>
              <w:jc w:val="both"/>
              <w:rPr>
                <w:sz w:val="20"/>
                <w:lang w:val="fr-CA"/>
              </w:rPr>
            </w:pPr>
            <w:r w:rsidRPr="00F55576">
              <w:rPr>
                <w:sz w:val="20"/>
                <w:lang w:val="fr-CA"/>
              </w:rPr>
              <w:t>Droit de la famille — Garde — Liberté de circulation et d’établissement — Droit administratif — Justice naturelle — Un arbitre a tranché une question de garde en faveur de la mère et lui a permis de déménager avec les enfants dans une ville où il serait possible de répondre aux besoins de ces derniers en matière d’éducation — La juge saisie de la demande de révision judiciaire a conclu que le droit du père à la justice naturelle avait été violé — Est</w:t>
            </w:r>
            <w:r w:rsidRPr="00F55576">
              <w:rPr>
                <w:sz w:val="20"/>
                <w:lang w:val="fr-CA"/>
              </w:rPr>
              <w:noBreakHyphen/>
              <w:t>il possible d’abroger le droit d’une partie à la justice naturelle dans des affaires intéressant des enfants? — L’arbitre de droit de la famille a</w:t>
            </w:r>
            <w:r w:rsidRPr="00F55576">
              <w:rPr>
                <w:sz w:val="20"/>
                <w:lang w:val="fr-CA"/>
              </w:rPr>
              <w:noBreakHyphen/>
              <w:t>t</w:t>
            </w:r>
            <w:r w:rsidRPr="00F55576">
              <w:rPr>
                <w:sz w:val="20"/>
                <w:lang w:val="fr-CA"/>
              </w:rPr>
              <w:noBreakHyphen/>
              <w:t xml:space="preserve">il le devoir d’assurer l’équité procédurale en l’absence d’objections précises en application de l’art. 19 de la </w:t>
            </w:r>
            <w:r w:rsidRPr="00F55576">
              <w:rPr>
                <w:i/>
                <w:sz w:val="20"/>
                <w:lang w:val="fr-CA"/>
              </w:rPr>
              <w:t>Loi sur l’arbitrage</w:t>
            </w:r>
            <w:r w:rsidRPr="00F55576">
              <w:rPr>
                <w:sz w:val="20"/>
                <w:lang w:val="fr-CA"/>
              </w:rPr>
              <w:t>, L.O. 1991, ch. 17? — En traitant d’allégations de déni de justice naturelle, une norme de contrôle plus déférente s’applique</w:t>
            </w:r>
            <w:r w:rsidRPr="00F55576">
              <w:rPr>
                <w:sz w:val="20"/>
                <w:lang w:val="fr-CA"/>
              </w:rPr>
              <w:noBreakHyphen/>
              <w:t>t</w:t>
            </w:r>
            <w:r w:rsidRPr="00F55576">
              <w:rPr>
                <w:sz w:val="20"/>
                <w:lang w:val="fr-CA"/>
              </w:rPr>
              <w:noBreakHyphen/>
              <w:t>elle aux sentences arbitrales en droit de la famille qu’aux décisions prises dans une procédure judiciaire?</w:t>
            </w:r>
          </w:p>
          <w:p w:rsidR="00AB75C1" w:rsidRPr="00F55576" w:rsidRDefault="00AB75C1" w:rsidP="00BA4C4D">
            <w:pPr>
              <w:jc w:val="both"/>
              <w:rPr>
                <w:sz w:val="20"/>
                <w:lang w:val="fr-CA"/>
              </w:rPr>
            </w:pPr>
          </w:p>
        </w:tc>
      </w:tr>
      <w:tr w:rsidR="00AB75C1" w:rsidRPr="008042C9" w:rsidTr="00BA4C4D">
        <w:tc>
          <w:tcPr>
            <w:tcW w:w="5000" w:type="pct"/>
            <w:gridSpan w:val="4"/>
          </w:tcPr>
          <w:p w:rsidR="00AB75C1" w:rsidRPr="00F55576" w:rsidRDefault="00AB75C1" w:rsidP="00BA4C4D">
            <w:pPr>
              <w:jc w:val="both"/>
              <w:rPr>
                <w:sz w:val="20"/>
                <w:lang w:val="fr-CA"/>
              </w:rPr>
            </w:pPr>
            <w:r w:rsidRPr="00F55576">
              <w:rPr>
                <w:sz w:val="20"/>
                <w:lang w:val="fr-CA"/>
              </w:rPr>
              <w:lastRenderedPageBreak/>
              <w:t>Les parties se sont mariées en 2003 et ont trois enfants : une fille née en 2007, et deux jumeaux nés en 2009. Les parents se sont séparés en 2011. Ils ont convenu de la garde partagée dans un accord de séparation en vertu duquel les enfants vivraient principalement avec la mère et le père aurait du temps de parentage une fin de semaine sur deux et en milieu de semaine. Les enfants ont souffert sur les plans émotif et scolaire à cause de cet arrangement. D’après la mère, ils étaient en crise. Elle a entrepris la procédure de révision de la garde prévue dans l’accord de séparation. Un médecin a recommandé que les enfants soient inscrits dans une école offrant un système d’« enseignement direct » pour répondre à leurs besoins en matière d’éducation. Incapable de trouver un établissement abordable et convenable à Toronto, la mère a trouvé une école appropriée à Kitchener. Le père n’était pas d’accord pour dire que les enfants avaient des difficultés à l’école. Il voulait qu’ils demeurent à leur école actuelle et voulait passer plus de temps avec eux. Les parties ont comparu devant un avocat pour un arbitrage. Peu de temps avant le début de l’arbitrage, la mère a donné avis comme quoi elle souhaitait déménager de Toronto à Guelph pour que les enfants puissent fréquenter l’école qu’elle avait trouvée. Le père ne s’est pas opposé à ce court délai de préavis et n’a pas demandé l’ajournement de l’audience d’arbitrage. La mère s’est vu accorder la garde et elle a été autorisée à déménager de Toronto à Guelph avec les enfants. L’arbitre a accordé au père du temps de parentage suivant un calendrier qui éliminait son temps de parentage en milieu de semaine. En appel, la sentence arbitrale a été annulée au motif que le court délai de préavis que le père avait reçu au sujet de la question touchant à la liberté de circulation avait été source de manquement à l’équité procédurale. Une nouvelle audition des questions en matière de parentage a été ordonnée. L’appel interjeté par la mère de cette décision a été accueilli et la sentence arbitrale a été rétablie.</w:t>
            </w:r>
          </w:p>
        </w:tc>
      </w:tr>
      <w:tr w:rsidR="00AB75C1" w:rsidRPr="008042C9" w:rsidTr="00BA4C4D">
        <w:tc>
          <w:tcPr>
            <w:tcW w:w="5000" w:type="pct"/>
            <w:gridSpan w:val="4"/>
          </w:tcPr>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21 août 2017</w:t>
            </w:r>
          </w:p>
          <w:p w:rsidR="00AB75C1" w:rsidRPr="00F55576" w:rsidRDefault="00AB75C1" w:rsidP="00BA4C4D">
            <w:pPr>
              <w:jc w:val="both"/>
              <w:rPr>
                <w:sz w:val="20"/>
                <w:lang w:val="fr-CA"/>
              </w:rPr>
            </w:pPr>
            <w:r w:rsidRPr="00F55576">
              <w:rPr>
                <w:sz w:val="20"/>
                <w:lang w:val="fr-CA"/>
              </w:rPr>
              <w:t>Sentence arbitrale</w:t>
            </w:r>
          </w:p>
          <w:p w:rsidR="00AB75C1" w:rsidRPr="00F55576" w:rsidRDefault="00AB75C1" w:rsidP="00BA4C4D">
            <w:pPr>
              <w:jc w:val="both"/>
              <w:rPr>
                <w:sz w:val="20"/>
                <w:lang w:val="fr-CA"/>
              </w:rPr>
            </w:pPr>
            <w:r w:rsidRPr="00F55576">
              <w:rPr>
                <w:sz w:val="20"/>
                <w:lang w:val="fr-CA"/>
              </w:rPr>
              <w:t>(Arbitre Cooper)</w:t>
            </w:r>
          </w:p>
          <w:p w:rsidR="00AB75C1" w:rsidRPr="00F55576" w:rsidRDefault="00AB75C1" w:rsidP="00BA4C4D">
            <w:pPr>
              <w:jc w:val="both"/>
              <w:rPr>
                <w:sz w:val="20"/>
                <w:lang w:val="fr-CA"/>
              </w:rPr>
            </w:pPr>
            <w:r w:rsidRPr="00F55576">
              <w:rPr>
                <w:sz w:val="20"/>
                <w:lang w:val="fr-CA"/>
              </w:rPr>
              <w:t>Non publié</w:t>
            </w:r>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Sentence accordant la garde des enfants à la mère et un droit de visites programmées au père, autorisant la mère à déménager avec les enfants</w:t>
            </w: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1</w:t>
            </w:r>
            <w:r w:rsidRPr="00F55576">
              <w:rPr>
                <w:sz w:val="20"/>
                <w:vertAlign w:val="superscript"/>
                <w:lang w:val="fr-CA"/>
              </w:rPr>
              <w:t>er</w:t>
            </w:r>
            <w:r w:rsidRPr="00F55576">
              <w:rPr>
                <w:sz w:val="20"/>
                <w:lang w:val="fr-CA"/>
              </w:rPr>
              <w:t> novembre 2018</w:t>
            </w:r>
          </w:p>
          <w:p w:rsidR="00AB75C1" w:rsidRPr="00F55576" w:rsidRDefault="00AB75C1" w:rsidP="00BA4C4D">
            <w:pPr>
              <w:jc w:val="both"/>
              <w:rPr>
                <w:sz w:val="20"/>
                <w:lang w:val="fr-CA"/>
              </w:rPr>
            </w:pPr>
            <w:r w:rsidRPr="00F55576">
              <w:rPr>
                <w:sz w:val="20"/>
                <w:lang w:val="fr-CA"/>
              </w:rPr>
              <w:t>Cour supérieure de justice de l’Ontario</w:t>
            </w:r>
          </w:p>
          <w:p w:rsidR="00AB75C1" w:rsidRPr="00F55576" w:rsidRDefault="00AB75C1" w:rsidP="00BA4C4D">
            <w:pPr>
              <w:jc w:val="both"/>
              <w:rPr>
                <w:sz w:val="20"/>
                <w:lang w:val="fr-CA"/>
              </w:rPr>
            </w:pPr>
            <w:r w:rsidRPr="00F55576">
              <w:rPr>
                <w:sz w:val="20"/>
                <w:lang w:val="fr-CA"/>
              </w:rPr>
              <w:t xml:space="preserve">(Juge </w:t>
            </w:r>
            <w:proofErr w:type="spellStart"/>
            <w:r w:rsidRPr="00F55576">
              <w:rPr>
                <w:sz w:val="20"/>
                <w:lang w:val="fr-CA"/>
              </w:rPr>
              <w:t>Akbarali</w:t>
            </w:r>
            <w:proofErr w:type="spellEnd"/>
            <w:r w:rsidRPr="00F55576">
              <w:rPr>
                <w:sz w:val="20"/>
                <w:lang w:val="fr-CA"/>
              </w:rPr>
              <w:t>)</w:t>
            </w:r>
          </w:p>
          <w:p w:rsidR="00AB75C1" w:rsidRPr="00F55576" w:rsidRDefault="007B1953" w:rsidP="00BA4C4D">
            <w:pPr>
              <w:jc w:val="both"/>
              <w:rPr>
                <w:rStyle w:val="Hyperlink"/>
                <w:sz w:val="20"/>
                <w:lang w:val="fr-CA"/>
              </w:rPr>
            </w:pPr>
            <w:hyperlink r:id="rId49" w:history="1">
              <w:r w:rsidR="00AB75C1" w:rsidRPr="00F55576">
                <w:rPr>
                  <w:rStyle w:val="Hyperlink"/>
                  <w:sz w:val="20"/>
                  <w:lang w:val="fr-CA"/>
                </w:rPr>
                <w:t>2018 ONSC 6519</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Jugement annulant la sentence arbitrale, ordonnant la tenue d’un nouvel arbitrage sur les questions de parentage et rejetant l’appel des dépens sur les questions financières</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23 juillet 2019</w:t>
            </w:r>
          </w:p>
          <w:p w:rsidR="00AB75C1" w:rsidRPr="00F55576" w:rsidRDefault="00AB75C1" w:rsidP="00BA4C4D">
            <w:pPr>
              <w:jc w:val="both"/>
              <w:rPr>
                <w:sz w:val="20"/>
                <w:lang w:val="fr-CA"/>
              </w:rPr>
            </w:pPr>
            <w:r w:rsidRPr="00F55576">
              <w:rPr>
                <w:sz w:val="20"/>
                <w:lang w:val="fr-CA"/>
              </w:rPr>
              <w:t>Cour d’appel de l’Ontario</w:t>
            </w:r>
          </w:p>
          <w:p w:rsidR="00AB75C1" w:rsidRPr="00F55576" w:rsidRDefault="00AB75C1" w:rsidP="00BA4C4D">
            <w:pPr>
              <w:jc w:val="both"/>
              <w:rPr>
                <w:sz w:val="20"/>
                <w:lang w:val="fr-CA"/>
              </w:rPr>
            </w:pPr>
            <w:r w:rsidRPr="00F55576">
              <w:rPr>
                <w:sz w:val="20"/>
                <w:lang w:val="fr-CA"/>
              </w:rPr>
              <w:t xml:space="preserve">(Juges </w:t>
            </w:r>
            <w:proofErr w:type="spellStart"/>
            <w:r w:rsidRPr="00F55576">
              <w:rPr>
                <w:sz w:val="20"/>
                <w:lang w:val="fr-CA"/>
              </w:rPr>
              <w:t>Tulloch</w:t>
            </w:r>
            <w:proofErr w:type="spellEnd"/>
            <w:r w:rsidRPr="00F55576">
              <w:rPr>
                <w:sz w:val="20"/>
                <w:lang w:val="fr-CA"/>
              </w:rPr>
              <w:t xml:space="preserve">, </w:t>
            </w:r>
            <w:proofErr w:type="spellStart"/>
            <w:r w:rsidRPr="00F55576">
              <w:rPr>
                <w:sz w:val="20"/>
                <w:lang w:val="fr-CA"/>
              </w:rPr>
              <w:t>Benotto</w:t>
            </w:r>
            <w:proofErr w:type="spellEnd"/>
            <w:r w:rsidRPr="00F55576">
              <w:rPr>
                <w:sz w:val="20"/>
                <w:lang w:val="fr-CA"/>
              </w:rPr>
              <w:t xml:space="preserve"> et </w:t>
            </w:r>
            <w:proofErr w:type="spellStart"/>
            <w:r w:rsidRPr="00F55576">
              <w:rPr>
                <w:sz w:val="20"/>
                <w:lang w:val="fr-CA"/>
              </w:rPr>
              <w:t>Huscroft</w:t>
            </w:r>
            <w:proofErr w:type="spellEnd"/>
            <w:r w:rsidRPr="00F55576">
              <w:rPr>
                <w:sz w:val="20"/>
                <w:lang w:val="fr-CA"/>
              </w:rPr>
              <w:t>)</w:t>
            </w:r>
          </w:p>
          <w:p w:rsidR="00AB75C1" w:rsidRPr="00F55576" w:rsidRDefault="007B1953" w:rsidP="00BA4C4D">
            <w:pPr>
              <w:jc w:val="both"/>
              <w:rPr>
                <w:rStyle w:val="Hyperlink"/>
                <w:sz w:val="20"/>
                <w:lang w:val="fr-CA"/>
              </w:rPr>
            </w:pPr>
            <w:hyperlink r:id="rId50" w:history="1">
              <w:r w:rsidR="00AB75C1" w:rsidRPr="00F55576">
                <w:rPr>
                  <w:rStyle w:val="Hyperlink"/>
                  <w:sz w:val="20"/>
                  <w:lang w:val="fr-CA"/>
                </w:rPr>
                <w:t>2019 ONCA 624</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Arrêt accueillant l’appel de la mère et rétablissant la sentence arbitrale</w:t>
            </w:r>
          </w:p>
          <w:p w:rsidR="00AB75C1" w:rsidRPr="00F55576" w:rsidRDefault="00AB75C1" w:rsidP="00BA4C4D">
            <w:pPr>
              <w:jc w:val="both"/>
              <w:rPr>
                <w:sz w:val="20"/>
                <w:lang w:val="fr-CA"/>
              </w:rPr>
            </w:pP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30 septembre 2019</w:t>
            </w:r>
          </w:p>
          <w:p w:rsidR="00AB75C1" w:rsidRPr="00F55576" w:rsidRDefault="00AB75C1" w:rsidP="00BA4C4D">
            <w:pPr>
              <w:jc w:val="both"/>
              <w:rPr>
                <w:sz w:val="20"/>
                <w:lang w:val="fr-CA"/>
              </w:rPr>
            </w:pPr>
            <w:r w:rsidRPr="00F55576">
              <w:rPr>
                <w:sz w:val="20"/>
                <w:lang w:val="fr-CA"/>
              </w:rPr>
              <w:t>Cour suprême du Canada</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Dépôt de la demande d’autorisation d’appel</w:t>
            </w:r>
          </w:p>
          <w:p w:rsidR="00AB75C1" w:rsidRPr="00F55576" w:rsidRDefault="00AB75C1" w:rsidP="00BA4C4D">
            <w:pPr>
              <w:jc w:val="both"/>
              <w:rPr>
                <w:sz w:val="20"/>
                <w:lang w:val="fr-CA"/>
              </w:rPr>
            </w:pPr>
          </w:p>
        </w:tc>
      </w:tr>
    </w:tbl>
    <w:p w:rsidR="00AB75C1" w:rsidRPr="00F55576" w:rsidRDefault="00AB75C1" w:rsidP="00AB75C1">
      <w:pPr>
        <w:jc w:val="both"/>
        <w:rPr>
          <w:sz w:val="20"/>
          <w:lang w:val="fr-CA"/>
        </w:rPr>
      </w:pPr>
    </w:p>
    <w:p w:rsidR="00AB75C1" w:rsidRPr="00F55576" w:rsidRDefault="007B1953" w:rsidP="00AB75C1">
      <w:pPr>
        <w:jc w:val="both"/>
        <w:rPr>
          <w:sz w:val="20"/>
          <w:lang w:val="fr-CA"/>
        </w:rPr>
      </w:pPr>
      <w:r>
        <w:rPr>
          <w:sz w:val="20"/>
        </w:rPr>
        <w:pict>
          <v:rect id="_x0000_i1047" style="width:2in;height:1pt" o:hrpct="0" o:hralign="center" o:hrstd="t" o:hrnoshade="t" o:hr="t" fillcolor="black [3213]" stroked="f"/>
        </w:pict>
      </w:r>
    </w:p>
    <w:p w:rsidR="00AB75C1" w:rsidRPr="00F55576" w:rsidRDefault="00AB75C1" w:rsidP="00AB75C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t>38792</w:t>
            </w:r>
          </w:p>
        </w:tc>
        <w:tc>
          <w:tcPr>
            <w:tcW w:w="4457" w:type="pct"/>
          </w:tcPr>
          <w:p w:rsidR="00AB75C1" w:rsidRPr="00F55576" w:rsidRDefault="00AB75C1" w:rsidP="00BA4C4D">
            <w:pPr>
              <w:pStyle w:val="SCCLsocParty"/>
              <w:jc w:val="both"/>
              <w:rPr>
                <w:b/>
                <w:sz w:val="20"/>
                <w:szCs w:val="20"/>
                <w:lang w:val="en-US"/>
              </w:rPr>
            </w:pPr>
            <w:r w:rsidRPr="00F55576">
              <w:rPr>
                <w:b/>
                <w:sz w:val="20"/>
                <w:szCs w:val="20"/>
                <w:lang w:val="en-US"/>
              </w:rPr>
              <w:t>Kenneth Hill v. Brittany Beaver</w:t>
            </w:r>
          </w:p>
          <w:p w:rsidR="00AB75C1" w:rsidRPr="00F55576" w:rsidRDefault="00AB75C1" w:rsidP="00BA4C4D">
            <w:pPr>
              <w:jc w:val="both"/>
              <w:rPr>
                <w:sz w:val="20"/>
              </w:rPr>
            </w:pPr>
            <w:r w:rsidRPr="00F55576">
              <w:rPr>
                <w:sz w:val="20"/>
              </w:rPr>
              <w:t>(Ont.) (Civil) (By Leave)</w:t>
            </w:r>
          </w:p>
        </w:tc>
      </w:tr>
      <w:tr w:rsidR="00834E76" w:rsidRPr="00F55576" w:rsidTr="00BA4C4D">
        <w:tc>
          <w:tcPr>
            <w:tcW w:w="5000" w:type="pct"/>
            <w:gridSpan w:val="2"/>
          </w:tcPr>
          <w:p w:rsidR="00834E76" w:rsidRPr="00F55576" w:rsidRDefault="00856EA7" w:rsidP="00BA4C4D">
            <w:pPr>
              <w:autoSpaceDE w:val="0"/>
              <w:autoSpaceDN w:val="0"/>
              <w:adjustRightInd w:val="0"/>
              <w:jc w:val="both"/>
              <w:rPr>
                <w:sz w:val="20"/>
                <w:szCs w:val="20"/>
              </w:rPr>
            </w:pPr>
            <w:r w:rsidRPr="00F55576">
              <w:rPr>
                <w:sz w:val="20"/>
                <w:szCs w:val="20"/>
              </w:rPr>
              <w:t>The application for leave to appeal from the judgment of the Court of Appeal for Ontario, Number C66285/M50431, 2019 ONCA 520, dated June 21, 2019, is dismissed with costs.</w:t>
            </w:r>
          </w:p>
          <w:p w:rsidR="00834E76" w:rsidRPr="00F55576" w:rsidRDefault="00834E76" w:rsidP="00BA4C4D">
            <w:pPr>
              <w:autoSpaceDE w:val="0"/>
              <w:autoSpaceDN w:val="0"/>
              <w:adjustRightInd w:val="0"/>
              <w:jc w:val="both"/>
              <w:rPr>
                <w:sz w:val="20"/>
              </w:rPr>
            </w:pPr>
          </w:p>
        </w:tc>
      </w:tr>
    </w:tbl>
    <w:p w:rsidR="00E337D9" w:rsidRPr="00F55576" w:rsidRDefault="00E337D9">
      <w:r w:rsidRPr="00F5557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5C1" w:rsidRPr="00F55576" w:rsidTr="00BA4C4D">
        <w:tc>
          <w:tcPr>
            <w:tcW w:w="5000" w:type="pct"/>
            <w:gridSpan w:val="3"/>
          </w:tcPr>
          <w:p w:rsidR="00AB75C1" w:rsidRPr="00F55576" w:rsidRDefault="00AB75C1" w:rsidP="00BA4C4D">
            <w:pPr>
              <w:autoSpaceDE w:val="0"/>
              <w:autoSpaceDN w:val="0"/>
              <w:adjustRightInd w:val="0"/>
              <w:jc w:val="both"/>
              <w:rPr>
                <w:sz w:val="20"/>
              </w:rPr>
            </w:pPr>
            <w:r w:rsidRPr="00F55576">
              <w:rPr>
                <w:sz w:val="20"/>
              </w:rPr>
              <w:lastRenderedPageBreak/>
              <w:t>Civil procedure — Case management — Aboriginal law — Provincial law of general application — Aboriginal applicant seeking to have case management judge schedule recusal motion before judge who made previous orders — Is main purpose of recusal application to uphold public confidence in integrity of administration of justice? — Should legal test to be applied when determining whether to schedule a hearing to recuse a judge include the perception of informed and reasonable person, who must be deemed to be cognizant of local Aboriginal community and its racial dynamics, traditions, customs and history of conflict and discrimination? — Is refusal to schedule a recusal application a failure to follow the principles of procedural fairness, by indirectly dealing with merits without applying required legal test of the informed and reasonable person? — Should successful recusal application result in a court setting aside all prior orders made by disqualified judge?</w:t>
            </w:r>
          </w:p>
          <w:p w:rsidR="00AB75C1" w:rsidRPr="00F55576" w:rsidRDefault="00AB75C1" w:rsidP="00BA4C4D">
            <w:pPr>
              <w:autoSpaceDE w:val="0"/>
              <w:autoSpaceDN w:val="0"/>
              <w:adjustRightInd w:val="0"/>
              <w:jc w:val="both"/>
              <w:rPr>
                <w:sz w:val="20"/>
              </w:rPr>
            </w:pPr>
          </w:p>
        </w:tc>
      </w:tr>
      <w:tr w:rsidR="00AB75C1" w:rsidRPr="00F55576" w:rsidTr="00BA4C4D">
        <w:tc>
          <w:tcPr>
            <w:tcW w:w="5000" w:type="pct"/>
            <w:gridSpan w:val="3"/>
          </w:tcPr>
          <w:p w:rsidR="00AB75C1" w:rsidRPr="00F55576" w:rsidRDefault="00AB75C1" w:rsidP="00BA4C4D">
            <w:pPr>
              <w:jc w:val="both"/>
              <w:rPr>
                <w:sz w:val="20"/>
              </w:rPr>
            </w:pPr>
            <w:r w:rsidRPr="00F55576">
              <w:rPr>
                <w:sz w:val="20"/>
                <w:lang w:val="en"/>
              </w:rPr>
              <w:t xml:space="preserve">In late 2015, Ms. Beaver commenced an application against Mr. Hill, pursuant to the </w:t>
            </w:r>
            <w:hyperlink r:id="rId51" w:history="1">
              <w:r w:rsidRPr="00F55576">
                <w:rPr>
                  <w:i/>
                  <w:iCs/>
                  <w:sz w:val="20"/>
                  <w:lang w:val="en"/>
                </w:rPr>
                <w:t>Family Law Rules</w:t>
              </w:r>
            </w:hyperlink>
            <w:r w:rsidRPr="00F55576">
              <w:rPr>
                <w:sz w:val="20"/>
                <w:lang w:val="en"/>
              </w:rPr>
              <w:t xml:space="preserve">, seeking relief under the </w:t>
            </w:r>
            <w:hyperlink r:id="rId52" w:history="1">
              <w:r w:rsidRPr="00F55576">
                <w:rPr>
                  <w:i/>
                  <w:iCs/>
                  <w:sz w:val="20"/>
                  <w:lang w:val="en"/>
                </w:rPr>
                <w:t xml:space="preserve">Family Law Act, </w:t>
              </w:r>
              <w:r w:rsidRPr="00F55576">
                <w:rPr>
                  <w:sz w:val="20"/>
                  <w:lang w:val="en"/>
                </w:rPr>
                <w:t>R.S.O. 1990, c. F.3</w:t>
              </w:r>
            </w:hyperlink>
            <w:r w:rsidRPr="00F55576">
              <w:rPr>
                <w:sz w:val="20"/>
                <w:lang w:val="en"/>
              </w:rPr>
              <w:t xml:space="preserve">, and </w:t>
            </w:r>
            <w:hyperlink r:id="rId53" w:history="1">
              <w:r w:rsidRPr="00F55576">
                <w:rPr>
                  <w:i/>
                  <w:iCs/>
                  <w:sz w:val="20"/>
                  <w:lang w:val="en"/>
                </w:rPr>
                <w:t>Children’s Law Reform Act</w:t>
              </w:r>
              <w:r w:rsidRPr="00F55576">
                <w:rPr>
                  <w:sz w:val="20"/>
                  <w:lang w:val="en"/>
                </w:rPr>
                <w:t>, R.S.O. 1990, c. C.12</w:t>
              </w:r>
            </w:hyperlink>
            <w:r w:rsidRPr="00F55576">
              <w:rPr>
                <w:sz w:val="20"/>
                <w:lang w:val="en"/>
              </w:rPr>
              <w:t>. In July 2018, Mr. Hill issued a notice of application for an order to have a certain judge “recuse himself from presiding over any further matters in relation to” Ms. Beaver’s family law proceeding. At a subsequent case conference, the case management judge was asked by Mr. Hill’s counsel to schedule a hearing for the recusal application.</w:t>
            </w:r>
          </w:p>
        </w:tc>
      </w:tr>
      <w:tr w:rsidR="00AB75C1" w:rsidRPr="00F55576" w:rsidTr="00BA4C4D">
        <w:trPr>
          <w:trHeight w:val="211"/>
        </w:trPr>
        <w:tc>
          <w:tcPr>
            <w:tcW w:w="5000" w:type="pct"/>
            <w:gridSpan w:val="3"/>
          </w:tcPr>
          <w:p w:rsidR="00AB75C1" w:rsidRPr="00F55576" w:rsidRDefault="00AB75C1" w:rsidP="00BA4C4D">
            <w:pPr>
              <w:shd w:val="clear" w:color="auto" w:fill="FFFFFF"/>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November 28, 2018</w:t>
            </w:r>
          </w:p>
          <w:p w:rsidR="00AB75C1" w:rsidRPr="00F55576" w:rsidRDefault="00AB75C1" w:rsidP="00BA4C4D">
            <w:pPr>
              <w:jc w:val="both"/>
              <w:rPr>
                <w:sz w:val="20"/>
              </w:rPr>
            </w:pPr>
            <w:r w:rsidRPr="00F55576">
              <w:rPr>
                <w:sz w:val="20"/>
              </w:rPr>
              <w:t>Ontario Superior Court of Justice</w:t>
            </w:r>
          </w:p>
          <w:p w:rsidR="00AB75C1" w:rsidRPr="00F55576" w:rsidRDefault="00AB75C1" w:rsidP="00BA4C4D">
            <w:pPr>
              <w:jc w:val="both"/>
              <w:rPr>
                <w:sz w:val="20"/>
              </w:rPr>
            </w:pPr>
            <w:r w:rsidRPr="00F55576">
              <w:rPr>
                <w:sz w:val="20"/>
              </w:rPr>
              <w:t>(</w:t>
            </w:r>
            <w:proofErr w:type="spellStart"/>
            <w:r w:rsidRPr="00F55576">
              <w:rPr>
                <w:sz w:val="20"/>
              </w:rPr>
              <w:t>Pazaratz</w:t>
            </w:r>
            <w:proofErr w:type="spellEnd"/>
            <w:r w:rsidRPr="00F55576">
              <w:rPr>
                <w:sz w:val="20"/>
              </w:rPr>
              <w:t xml:space="preserve"> J.)</w:t>
            </w:r>
          </w:p>
          <w:p w:rsidR="00AB75C1" w:rsidRPr="00F55576" w:rsidRDefault="007B1953" w:rsidP="00BA4C4D">
            <w:pPr>
              <w:jc w:val="both"/>
              <w:rPr>
                <w:sz w:val="20"/>
              </w:rPr>
            </w:pPr>
            <w:hyperlink r:id="rId54" w:history="1">
              <w:r w:rsidR="00AB75C1" w:rsidRPr="00F55576">
                <w:rPr>
                  <w:rStyle w:val="Hyperlink"/>
                  <w:sz w:val="20"/>
                </w:rPr>
                <w:t>2018 ONSC 7138</w:t>
              </w:r>
            </w:hyperlink>
            <w:r w:rsidR="00AB75C1" w:rsidRPr="00F55576">
              <w:rPr>
                <w:sz w:val="20"/>
              </w:rPr>
              <w:t xml:space="preserve"> </w:t>
            </w:r>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Applicant’s motion to schedule recusal motion dismissed without prejudice to motion being returned</w:t>
            </w:r>
          </w:p>
          <w:p w:rsidR="00AB75C1" w:rsidRPr="00F55576" w:rsidRDefault="00AB75C1" w:rsidP="00BA4C4D">
            <w:pPr>
              <w:jc w:val="both"/>
              <w:rPr>
                <w:sz w:val="20"/>
              </w:rPr>
            </w:pPr>
          </w:p>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June 21, 2019</w:t>
            </w:r>
          </w:p>
          <w:p w:rsidR="00AB75C1" w:rsidRPr="00F55576" w:rsidRDefault="00AB75C1" w:rsidP="00BA4C4D">
            <w:pPr>
              <w:jc w:val="both"/>
              <w:rPr>
                <w:sz w:val="20"/>
              </w:rPr>
            </w:pPr>
            <w:r w:rsidRPr="00F55576">
              <w:rPr>
                <w:sz w:val="20"/>
              </w:rPr>
              <w:t>Court of Appeal for Ontario</w:t>
            </w:r>
          </w:p>
          <w:p w:rsidR="00AB75C1" w:rsidRPr="00F55576" w:rsidRDefault="00AB75C1" w:rsidP="00BA4C4D">
            <w:pPr>
              <w:jc w:val="both"/>
              <w:rPr>
                <w:sz w:val="20"/>
              </w:rPr>
            </w:pPr>
            <w:r w:rsidRPr="00F55576">
              <w:rPr>
                <w:sz w:val="20"/>
              </w:rPr>
              <w:t>(Brown, Roberts and Miller JJ.A.)</w:t>
            </w:r>
          </w:p>
          <w:p w:rsidR="00AB75C1" w:rsidRPr="00F55576" w:rsidRDefault="007B1953" w:rsidP="00BA4C4D">
            <w:pPr>
              <w:jc w:val="both"/>
              <w:rPr>
                <w:sz w:val="20"/>
              </w:rPr>
            </w:pPr>
            <w:hyperlink r:id="rId55" w:history="1">
              <w:r w:rsidR="00AB75C1" w:rsidRPr="00F55576">
                <w:rPr>
                  <w:rStyle w:val="Hyperlink"/>
                  <w:sz w:val="20"/>
                </w:rPr>
                <w:t>2019 ONCA 520</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Applicant’s appeal dismissed</w:t>
            </w:r>
          </w:p>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September 6, 2019</w:t>
            </w:r>
          </w:p>
          <w:p w:rsidR="00AB75C1" w:rsidRPr="00F55576" w:rsidRDefault="00AB75C1" w:rsidP="00BA4C4D">
            <w:pPr>
              <w:jc w:val="both"/>
              <w:rPr>
                <w:sz w:val="20"/>
              </w:rPr>
            </w:pPr>
            <w:r w:rsidRPr="00F55576">
              <w:rPr>
                <w:sz w:val="20"/>
              </w:rPr>
              <w:t>Supreme Court of Canada</w:t>
            </w: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Application for leave to appeal filed</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48" style="width:2in;height:1pt" o:hrpct="0" o:hralign="center" o:hrstd="t" o:hrnoshade="t" o:hr="t" fillcolor="black [3213]" stroked="f"/>
        </w:pict>
      </w:r>
    </w:p>
    <w:p w:rsidR="00AB75C1" w:rsidRPr="00F55576" w:rsidRDefault="00AB75C1" w:rsidP="00AB75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B75C1" w:rsidRPr="00F55576" w:rsidTr="00BA4C4D">
        <w:tc>
          <w:tcPr>
            <w:tcW w:w="543" w:type="pct"/>
          </w:tcPr>
          <w:p w:rsidR="00AB75C1" w:rsidRPr="00F55576" w:rsidRDefault="00AB75C1" w:rsidP="00BA4C4D">
            <w:pPr>
              <w:jc w:val="both"/>
              <w:rPr>
                <w:sz w:val="20"/>
                <w:lang w:val="fr-CA"/>
              </w:rPr>
            </w:pPr>
            <w:r w:rsidRPr="00F55576">
              <w:rPr>
                <w:rStyle w:val="SCCFileNumberChar"/>
                <w:sz w:val="20"/>
                <w:szCs w:val="20"/>
                <w:lang w:val="fr-CA"/>
              </w:rPr>
              <w:t>38792</w:t>
            </w:r>
          </w:p>
        </w:tc>
        <w:tc>
          <w:tcPr>
            <w:tcW w:w="4457" w:type="pct"/>
          </w:tcPr>
          <w:p w:rsidR="00AB75C1" w:rsidRPr="00F55576" w:rsidRDefault="00AB75C1" w:rsidP="00BA4C4D">
            <w:pPr>
              <w:pStyle w:val="SCCLsocParty"/>
              <w:jc w:val="both"/>
              <w:rPr>
                <w:b/>
                <w:sz w:val="20"/>
                <w:szCs w:val="20"/>
              </w:rPr>
            </w:pPr>
            <w:r w:rsidRPr="00F55576">
              <w:rPr>
                <w:b/>
                <w:sz w:val="20"/>
                <w:szCs w:val="20"/>
              </w:rPr>
              <w:t>Kenneth Hill c. Brittany Beaver</w:t>
            </w:r>
          </w:p>
          <w:p w:rsidR="00AB75C1" w:rsidRPr="00F55576" w:rsidRDefault="00AB75C1" w:rsidP="00BA4C4D">
            <w:pPr>
              <w:jc w:val="both"/>
              <w:rPr>
                <w:sz w:val="20"/>
                <w:lang w:val="fr-CA"/>
              </w:rPr>
            </w:pPr>
            <w:r w:rsidRPr="00F55576">
              <w:rPr>
                <w:sz w:val="20"/>
                <w:lang w:val="fr-CA"/>
              </w:rPr>
              <w:t>(Ont.) (Civile) (Autorisation)</w:t>
            </w:r>
          </w:p>
        </w:tc>
      </w:tr>
      <w:tr w:rsidR="00834E76" w:rsidRPr="008042C9" w:rsidTr="00BA4C4D">
        <w:tc>
          <w:tcPr>
            <w:tcW w:w="5000" w:type="pct"/>
            <w:gridSpan w:val="2"/>
          </w:tcPr>
          <w:p w:rsidR="00834E76" w:rsidRPr="00F55576" w:rsidRDefault="00856EA7" w:rsidP="00BA4C4D">
            <w:pPr>
              <w:autoSpaceDE w:val="0"/>
              <w:autoSpaceDN w:val="0"/>
              <w:adjustRightInd w:val="0"/>
              <w:jc w:val="both"/>
              <w:rPr>
                <w:sz w:val="20"/>
                <w:szCs w:val="20"/>
                <w:lang w:val="fr-CA"/>
              </w:rPr>
            </w:pPr>
            <w:r w:rsidRPr="00F55576">
              <w:rPr>
                <w:sz w:val="20"/>
                <w:szCs w:val="20"/>
                <w:lang w:val="fr-CA"/>
              </w:rPr>
              <w:t>La demande d’autorisation d’appel de l’arrêt de la Cour d’appel de l’Ontario, numéro C66285/M50431, 2019 ONCA 520, daté du 21 juin 2019, est rejetée avec dépens.</w:t>
            </w:r>
          </w:p>
          <w:p w:rsidR="00834E76" w:rsidRPr="00F55576" w:rsidRDefault="00834E76" w:rsidP="00BA4C4D">
            <w:pPr>
              <w:autoSpaceDE w:val="0"/>
              <w:autoSpaceDN w:val="0"/>
              <w:adjustRightInd w:val="0"/>
              <w:jc w:val="both"/>
              <w:rPr>
                <w:sz w:val="20"/>
                <w:lang w:val="fr-CA"/>
              </w:rPr>
            </w:pPr>
          </w:p>
        </w:tc>
      </w:tr>
      <w:tr w:rsidR="00AB75C1" w:rsidRPr="008042C9" w:rsidTr="00BA4C4D">
        <w:tc>
          <w:tcPr>
            <w:tcW w:w="5000" w:type="pct"/>
            <w:gridSpan w:val="2"/>
          </w:tcPr>
          <w:p w:rsidR="00AB75C1" w:rsidRPr="00F55576" w:rsidRDefault="00AB75C1" w:rsidP="00BA4C4D">
            <w:pPr>
              <w:autoSpaceDE w:val="0"/>
              <w:autoSpaceDN w:val="0"/>
              <w:adjustRightInd w:val="0"/>
              <w:jc w:val="both"/>
              <w:rPr>
                <w:sz w:val="20"/>
                <w:lang w:val="fr-CA"/>
              </w:rPr>
            </w:pPr>
            <w:r w:rsidRPr="00F55576">
              <w:rPr>
                <w:sz w:val="20"/>
                <w:lang w:val="fr-CA"/>
              </w:rPr>
              <w:t>Procédure civile — Gestion de l’instance — Droit des Autochtones — Loi provinciale d’application générale — Le demandeur autochtone demande que le juge de gestion de l’instance mette au rôle une motion en récusation devant un juge qui a rendu des ordonnances antérieures — L’objectif principal de la demande de récusation consiste</w:t>
            </w:r>
            <w:r w:rsidRPr="00F55576">
              <w:rPr>
                <w:sz w:val="20"/>
                <w:lang w:val="fr-CA"/>
              </w:rPr>
              <w:noBreakHyphen/>
              <w:t>t</w:t>
            </w:r>
            <w:r w:rsidRPr="00F55576">
              <w:rPr>
                <w:sz w:val="20"/>
                <w:lang w:val="fr-CA"/>
              </w:rPr>
              <w:noBreakHyphen/>
              <w:t>il à maintenir la confiance du public envers l’intégrité de l’administration de la justice? — Le critère juridique à appliquer lorsqu’il s’agit de déterminer s’il y a lieu de mettre au rôle une audience pour récuser un juge doit</w:t>
            </w:r>
            <w:r w:rsidRPr="00F55576">
              <w:rPr>
                <w:sz w:val="20"/>
                <w:lang w:val="fr-CA"/>
              </w:rPr>
              <w:noBreakHyphen/>
              <w:t>il comprendre la perception de la personne renseignée et raisonnable qui doit être réputée connaître la communauté autochtone locale et sa dynamique raciale, ses traditions, ses coutumes et ses antécédents de conflit et de discrimination? — Le refus de mettre au rôle une demande de récusation équivaut</w:t>
            </w:r>
            <w:r w:rsidRPr="00F55576">
              <w:rPr>
                <w:sz w:val="20"/>
                <w:lang w:val="fr-CA"/>
              </w:rPr>
              <w:noBreakHyphen/>
              <w:t>il à un défaut de respecter les principes d’équité procédurale, en traitant indirectement du fond sans appliquer le critère juridique requis, c’est</w:t>
            </w:r>
            <w:r w:rsidRPr="00F55576">
              <w:rPr>
                <w:sz w:val="20"/>
                <w:lang w:val="fr-CA"/>
              </w:rPr>
              <w:noBreakHyphen/>
              <w:t>à</w:t>
            </w:r>
            <w:r w:rsidRPr="00F55576">
              <w:rPr>
                <w:sz w:val="20"/>
                <w:lang w:val="fr-CA"/>
              </w:rPr>
              <w:noBreakHyphen/>
              <w:t>dire celui de la personne renseignée et raisonnable? — À la suite d’une demande de récusation accueillie, le tribunal doit</w:t>
            </w:r>
            <w:r w:rsidRPr="00F55576">
              <w:rPr>
                <w:sz w:val="20"/>
                <w:lang w:val="fr-CA"/>
              </w:rPr>
              <w:noBreakHyphen/>
              <w:t>il annuler toutes les ordonnances antérieures rendues par le juge déclaré inhabile?</w:t>
            </w:r>
          </w:p>
          <w:p w:rsidR="00AB75C1" w:rsidRPr="00F55576" w:rsidRDefault="00AB75C1" w:rsidP="00BA4C4D">
            <w:pPr>
              <w:autoSpaceDE w:val="0"/>
              <w:autoSpaceDN w:val="0"/>
              <w:adjustRightInd w:val="0"/>
              <w:jc w:val="both"/>
              <w:rPr>
                <w:sz w:val="20"/>
                <w:lang w:val="fr-CA"/>
              </w:rPr>
            </w:pPr>
          </w:p>
        </w:tc>
      </w:tr>
    </w:tbl>
    <w:p w:rsidR="00E337D9" w:rsidRPr="00F55576" w:rsidRDefault="00E337D9">
      <w:pPr>
        <w:rPr>
          <w:lang w:val="fr-CA"/>
        </w:rPr>
      </w:pPr>
      <w:r w:rsidRPr="00F5557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5C1" w:rsidRPr="008042C9" w:rsidTr="00BA4C4D">
        <w:tc>
          <w:tcPr>
            <w:tcW w:w="5000" w:type="pct"/>
            <w:gridSpan w:val="3"/>
          </w:tcPr>
          <w:p w:rsidR="00AB75C1" w:rsidRPr="00F55576" w:rsidRDefault="00AB75C1" w:rsidP="00BA4C4D">
            <w:pPr>
              <w:jc w:val="both"/>
              <w:rPr>
                <w:sz w:val="20"/>
                <w:lang w:val="fr-CA"/>
              </w:rPr>
            </w:pPr>
            <w:r w:rsidRPr="00F55576">
              <w:rPr>
                <w:sz w:val="20"/>
                <w:lang w:val="fr-CA"/>
              </w:rPr>
              <w:lastRenderedPageBreak/>
              <w:t xml:space="preserve">À la fin de 2015, Mme Beaver a intenté une action contre M. Hill, sous le régime du </w:t>
            </w:r>
            <w:hyperlink r:id="rId56" w:history="1">
              <w:r w:rsidRPr="00F55576">
                <w:rPr>
                  <w:i/>
                  <w:iCs/>
                  <w:sz w:val="20"/>
                  <w:lang w:val="fr-CA"/>
                </w:rPr>
                <w:t>Règlement</w:t>
              </w:r>
            </w:hyperlink>
            <w:r w:rsidRPr="00F55576">
              <w:rPr>
                <w:i/>
                <w:iCs/>
                <w:sz w:val="20"/>
                <w:lang w:val="fr-CA"/>
              </w:rPr>
              <w:t xml:space="preserve"> en matière de droit de la famille</w:t>
            </w:r>
            <w:r w:rsidRPr="00F55576">
              <w:rPr>
                <w:sz w:val="20"/>
                <w:lang w:val="fr-CA"/>
              </w:rPr>
              <w:t xml:space="preserve">, sollicitant une réparation en application de la </w:t>
            </w:r>
            <w:hyperlink r:id="rId57" w:history="1">
              <w:r w:rsidRPr="00F55576">
                <w:rPr>
                  <w:i/>
                  <w:iCs/>
                  <w:sz w:val="20"/>
                  <w:lang w:val="fr-CA"/>
                </w:rPr>
                <w:t xml:space="preserve">Loi sur le droit de la famille, </w:t>
              </w:r>
              <w:r w:rsidRPr="00F55576">
                <w:rPr>
                  <w:sz w:val="20"/>
                  <w:lang w:val="fr-CA"/>
                </w:rPr>
                <w:t>L.R.O. 1990, ch. F.3</w:t>
              </w:r>
            </w:hyperlink>
            <w:r w:rsidRPr="00F55576">
              <w:rPr>
                <w:sz w:val="20"/>
                <w:lang w:val="fr-CA"/>
              </w:rPr>
              <w:t xml:space="preserve">, et de la </w:t>
            </w:r>
            <w:hyperlink r:id="rId58" w:history="1">
              <w:r w:rsidRPr="00F55576">
                <w:rPr>
                  <w:i/>
                  <w:iCs/>
                  <w:sz w:val="20"/>
                  <w:lang w:val="fr-CA"/>
                </w:rPr>
                <w:t>Loi portant réforme du droit de l’enfance</w:t>
              </w:r>
              <w:r w:rsidRPr="00F55576">
                <w:rPr>
                  <w:sz w:val="20"/>
                  <w:lang w:val="fr-CA"/>
                </w:rPr>
                <w:t>, L.R.O. 1990, ch. C.12</w:t>
              </w:r>
            </w:hyperlink>
            <w:r w:rsidRPr="00F55576">
              <w:rPr>
                <w:sz w:val="20"/>
                <w:lang w:val="fr-CA"/>
              </w:rPr>
              <w:t>. En juillet 2018, M. Hill a déposé un avis de demande pour obtenir une ordonnance portant qu’un certain juge [</w:t>
            </w:r>
            <w:r w:rsidRPr="00F55576">
              <w:rPr>
                <w:smallCaps/>
                <w:sz w:val="20"/>
                <w:lang w:val="fr-CA"/>
              </w:rPr>
              <w:t>traduction</w:t>
            </w:r>
            <w:r w:rsidRPr="00F55576">
              <w:rPr>
                <w:sz w:val="20"/>
                <w:lang w:val="fr-CA"/>
              </w:rPr>
              <w:t>] « se récuse de présider sur quelque matière que ce soit en lien avec » l’instance en matière familiale de Mme Beaver. À une conférence préparatoire subséquente, l’avocat de M. Hill a demandé au juge chargé de la gestion de l’instance de mettre au rôle une audience pour la demande de récusation.</w:t>
            </w:r>
          </w:p>
        </w:tc>
      </w:tr>
      <w:tr w:rsidR="00AB75C1" w:rsidRPr="008042C9" w:rsidTr="00BA4C4D">
        <w:tc>
          <w:tcPr>
            <w:tcW w:w="5000" w:type="pct"/>
            <w:gridSpan w:val="3"/>
          </w:tcPr>
          <w:p w:rsidR="00AB75C1" w:rsidRPr="00F55576" w:rsidRDefault="00AB75C1" w:rsidP="00BA4C4D">
            <w:pPr>
              <w:shd w:val="clear" w:color="auto" w:fill="FFFFFF"/>
              <w:jc w:val="both"/>
              <w:rPr>
                <w:sz w:val="20"/>
                <w:lang w:val="fr-CA"/>
              </w:rPr>
            </w:pPr>
          </w:p>
        </w:tc>
      </w:tr>
      <w:tr w:rsidR="00AB75C1" w:rsidRPr="008042C9" w:rsidTr="00BA4C4D">
        <w:tc>
          <w:tcPr>
            <w:tcW w:w="2427" w:type="pct"/>
          </w:tcPr>
          <w:p w:rsidR="00AB75C1" w:rsidRPr="00F55576" w:rsidRDefault="00AB75C1" w:rsidP="00BA4C4D">
            <w:pPr>
              <w:jc w:val="both"/>
              <w:rPr>
                <w:sz w:val="20"/>
                <w:lang w:val="fr-CA"/>
              </w:rPr>
            </w:pPr>
            <w:r w:rsidRPr="00F55576">
              <w:rPr>
                <w:sz w:val="20"/>
                <w:lang w:val="fr-CA"/>
              </w:rPr>
              <w:t>28 novembre 2018</w:t>
            </w:r>
          </w:p>
          <w:p w:rsidR="00AB75C1" w:rsidRPr="00F55576" w:rsidRDefault="00AB75C1" w:rsidP="00BA4C4D">
            <w:pPr>
              <w:jc w:val="both"/>
              <w:rPr>
                <w:sz w:val="20"/>
                <w:lang w:val="fr-CA"/>
              </w:rPr>
            </w:pPr>
            <w:r w:rsidRPr="00F55576">
              <w:rPr>
                <w:sz w:val="20"/>
                <w:lang w:val="fr-CA"/>
              </w:rPr>
              <w:t>Cour supérieure de justice de l’Ontario</w:t>
            </w:r>
          </w:p>
          <w:p w:rsidR="00AB75C1" w:rsidRPr="00F55576" w:rsidRDefault="00AB75C1" w:rsidP="00BA4C4D">
            <w:pPr>
              <w:jc w:val="both"/>
              <w:rPr>
                <w:sz w:val="20"/>
                <w:lang w:val="fr-CA"/>
              </w:rPr>
            </w:pPr>
            <w:r w:rsidRPr="00F55576">
              <w:rPr>
                <w:sz w:val="20"/>
                <w:lang w:val="fr-CA"/>
              </w:rPr>
              <w:t xml:space="preserve">(Juge </w:t>
            </w:r>
            <w:proofErr w:type="spellStart"/>
            <w:r w:rsidRPr="00F55576">
              <w:rPr>
                <w:sz w:val="20"/>
                <w:lang w:val="fr-CA"/>
              </w:rPr>
              <w:t>Pazaratz</w:t>
            </w:r>
            <w:proofErr w:type="spellEnd"/>
            <w:r w:rsidRPr="00F55576">
              <w:rPr>
                <w:sz w:val="20"/>
                <w:lang w:val="fr-CA"/>
              </w:rPr>
              <w:t>)</w:t>
            </w:r>
          </w:p>
          <w:p w:rsidR="00AB75C1" w:rsidRPr="00F55576" w:rsidRDefault="007B1953" w:rsidP="00BA4C4D">
            <w:pPr>
              <w:jc w:val="both"/>
              <w:rPr>
                <w:sz w:val="20"/>
                <w:lang w:val="fr-CA"/>
              </w:rPr>
            </w:pPr>
            <w:hyperlink r:id="rId59" w:history="1">
              <w:r w:rsidR="00AB75C1" w:rsidRPr="00F55576">
                <w:rPr>
                  <w:rStyle w:val="Hyperlink"/>
                  <w:sz w:val="20"/>
                  <w:lang w:val="fr-CA"/>
                </w:rPr>
                <w:t>2018 ONSC 7138</w:t>
              </w:r>
            </w:hyperlink>
            <w:r w:rsidR="00AB75C1" w:rsidRPr="00F55576">
              <w:rPr>
                <w:sz w:val="20"/>
                <w:lang w:val="fr-CA"/>
              </w:rPr>
              <w:t xml:space="preserve"> </w:t>
            </w:r>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Rejet de la motion de l’intimée pour mettre au rôle la motion en récusation sous réserve de la possibilité de présenter de nouveau la motion</w:t>
            </w:r>
          </w:p>
          <w:p w:rsidR="00AB75C1" w:rsidRPr="00F55576" w:rsidRDefault="00AB75C1" w:rsidP="00BA4C4D">
            <w:pPr>
              <w:jc w:val="both"/>
              <w:rPr>
                <w:sz w:val="20"/>
                <w:lang w:val="fr-CA"/>
              </w:rPr>
            </w:pPr>
          </w:p>
          <w:p w:rsidR="00AB75C1" w:rsidRPr="00F55576" w:rsidRDefault="00AB75C1" w:rsidP="00BA4C4D">
            <w:pPr>
              <w:jc w:val="both"/>
              <w:rPr>
                <w:sz w:val="20"/>
                <w:lang w:val="fr-CA"/>
              </w:rPr>
            </w:pPr>
          </w:p>
        </w:tc>
      </w:tr>
      <w:tr w:rsidR="00AB75C1" w:rsidRPr="00F55576" w:rsidTr="00BA4C4D">
        <w:tc>
          <w:tcPr>
            <w:tcW w:w="2427" w:type="pct"/>
          </w:tcPr>
          <w:p w:rsidR="00AB75C1" w:rsidRPr="00F55576" w:rsidRDefault="00AB75C1" w:rsidP="00BA4C4D">
            <w:pPr>
              <w:jc w:val="both"/>
              <w:rPr>
                <w:sz w:val="20"/>
                <w:lang w:val="fr-CA"/>
              </w:rPr>
            </w:pPr>
            <w:r w:rsidRPr="00F55576">
              <w:rPr>
                <w:sz w:val="20"/>
                <w:lang w:val="fr-CA"/>
              </w:rPr>
              <w:t>21 juin 2019</w:t>
            </w:r>
          </w:p>
          <w:p w:rsidR="00AB75C1" w:rsidRPr="00F55576" w:rsidRDefault="00AB75C1" w:rsidP="00BA4C4D">
            <w:pPr>
              <w:jc w:val="both"/>
              <w:rPr>
                <w:sz w:val="20"/>
                <w:lang w:val="fr-CA"/>
              </w:rPr>
            </w:pPr>
            <w:r w:rsidRPr="00F55576">
              <w:rPr>
                <w:sz w:val="20"/>
                <w:lang w:val="fr-CA"/>
              </w:rPr>
              <w:t>Cour d’appel de l’Ontario</w:t>
            </w:r>
          </w:p>
          <w:p w:rsidR="00AB75C1" w:rsidRPr="00F55576" w:rsidRDefault="00AB75C1" w:rsidP="00BA4C4D">
            <w:pPr>
              <w:jc w:val="both"/>
              <w:rPr>
                <w:sz w:val="20"/>
                <w:lang w:val="fr-CA"/>
              </w:rPr>
            </w:pPr>
            <w:r w:rsidRPr="00F55576">
              <w:rPr>
                <w:sz w:val="20"/>
                <w:lang w:val="fr-CA"/>
              </w:rPr>
              <w:t>(Juges Brown, Roberts et Miller)</w:t>
            </w:r>
          </w:p>
          <w:p w:rsidR="00AB75C1" w:rsidRPr="00F55576" w:rsidRDefault="007B1953" w:rsidP="00BA4C4D">
            <w:pPr>
              <w:jc w:val="both"/>
              <w:rPr>
                <w:sz w:val="20"/>
                <w:lang w:val="fr-CA"/>
              </w:rPr>
            </w:pPr>
            <w:hyperlink r:id="rId60" w:history="1">
              <w:r w:rsidR="00AB75C1" w:rsidRPr="00F55576">
                <w:rPr>
                  <w:rStyle w:val="Hyperlink"/>
                  <w:sz w:val="20"/>
                  <w:lang w:val="fr-CA"/>
                </w:rPr>
                <w:t>2019 ONCA 520</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Rejet de l’appel du demandeur</w:t>
            </w:r>
          </w:p>
          <w:p w:rsidR="00AB75C1" w:rsidRPr="00F55576" w:rsidRDefault="00AB75C1" w:rsidP="00BA4C4D">
            <w:pPr>
              <w:jc w:val="both"/>
              <w:rPr>
                <w:sz w:val="20"/>
                <w:lang w:val="fr-CA"/>
              </w:rPr>
            </w:pPr>
          </w:p>
        </w:tc>
      </w:tr>
      <w:tr w:rsidR="00AB75C1" w:rsidRPr="008042C9" w:rsidTr="00BA4C4D">
        <w:tc>
          <w:tcPr>
            <w:tcW w:w="2427" w:type="pct"/>
          </w:tcPr>
          <w:p w:rsidR="00AB75C1" w:rsidRPr="00F55576" w:rsidRDefault="00AB75C1" w:rsidP="00BA4C4D">
            <w:pPr>
              <w:jc w:val="both"/>
              <w:rPr>
                <w:sz w:val="20"/>
                <w:lang w:val="fr-CA"/>
              </w:rPr>
            </w:pPr>
            <w:r w:rsidRPr="00F55576">
              <w:rPr>
                <w:sz w:val="20"/>
                <w:lang w:val="fr-CA"/>
              </w:rPr>
              <w:t>6 septembre 2019</w:t>
            </w:r>
          </w:p>
          <w:p w:rsidR="00AB75C1" w:rsidRPr="00F55576" w:rsidRDefault="00AB75C1" w:rsidP="00BA4C4D">
            <w:pPr>
              <w:jc w:val="both"/>
              <w:rPr>
                <w:sz w:val="20"/>
                <w:lang w:val="fr-CA"/>
              </w:rPr>
            </w:pPr>
            <w:r w:rsidRPr="00F55576">
              <w:rPr>
                <w:sz w:val="20"/>
                <w:lang w:val="fr-CA"/>
              </w:rPr>
              <w:t>Cour suprême du Canada</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Dépôt de la demande d’autorisation d’appel</w:t>
            </w:r>
          </w:p>
          <w:p w:rsidR="00AB75C1" w:rsidRPr="00F55576" w:rsidRDefault="00AB75C1" w:rsidP="00BA4C4D">
            <w:pPr>
              <w:jc w:val="both"/>
              <w:rPr>
                <w:sz w:val="20"/>
                <w:lang w:val="fr-CA"/>
              </w:rPr>
            </w:pPr>
          </w:p>
        </w:tc>
      </w:tr>
    </w:tbl>
    <w:p w:rsidR="00AB75C1" w:rsidRPr="00F55576" w:rsidRDefault="00AB75C1" w:rsidP="00AB75C1">
      <w:pPr>
        <w:jc w:val="both"/>
        <w:rPr>
          <w:sz w:val="20"/>
          <w:lang w:val="fr-CA"/>
        </w:rPr>
      </w:pPr>
    </w:p>
    <w:p w:rsidR="00AB75C1" w:rsidRPr="00F55576" w:rsidRDefault="007B1953" w:rsidP="00AB75C1">
      <w:pPr>
        <w:jc w:val="both"/>
        <w:rPr>
          <w:sz w:val="20"/>
          <w:lang w:val="fr-CA"/>
        </w:rPr>
      </w:pPr>
      <w:r>
        <w:rPr>
          <w:sz w:val="20"/>
        </w:rPr>
        <w:pict>
          <v:rect id="_x0000_i1049" style="width:2in;height:1pt" o:hrpct="0" o:hralign="center" o:hrstd="t" o:hrnoshade="t" o:hr="t" fillcolor="black [3213]" stroked="f"/>
        </w:pict>
      </w:r>
    </w:p>
    <w:p w:rsidR="00AB75C1" w:rsidRPr="00F55576" w:rsidRDefault="00AB75C1" w:rsidP="00AB75C1">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AB75C1" w:rsidRPr="00F55576" w:rsidTr="00BA4C4D">
        <w:trPr>
          <w:gridAfter w:val="1"/>
          <w:wAfter w:w="48" w:type="pct"/>
        </w:trPr>
        <w:tc>
          <w:tcPr>
            <w:tcW w:w="538" w:type="pct"/>
          </w:tcPr>
          <w:p w:rsidR="00AB75C1" w:rsidRPr="00F55576" w:rsidRDefault="00AB75C1" w:rsidP="00BA4C4D">
            <w:pPr>
              <w:jc w:val="both"/>
              <w:rPr>
                <w:sz w:val="20"/>
              </w:rPr>
            </w:pPr>
            <w:r w:rsidRPr="00F55576">
              <w:rPr>
                <w:rStyle w:val="SCCFileNumberChar"/>
                <w:sz w:val="20"/>
                <w:szCs w:val="20"/>
              </w:rPr>
              <w:t>38706</w:t>
            </w:r>
          </w:p>
        </w:tc>
        <w:tc>
          <w:tcPr>
            <w:tcW w:w="4414" w:type="pct"/>
            <w:gridSpan w:val="3"/>
          </w:tcPr>
          <w:p w:rsidR="00AB75C1" w:rsidRPr="00F55576" w:rsidRDefault="00AB75C1" w:rsidP="00BA4C4D">
            <w:pPr>
              <w:pStyle w:val="SCCLsocParty"/>
              <w:jc w:val="both"/>
              <w:rPr>
                <w:b/>
                <w:sz w:val="20"/>
                <w:szCs w:val="20"/>
                <w:lang w:val="en-US"/>
              </w:rPr>
            </w:pPr>
            <w:r w:rsidRPr="00F55576">
              <w:rPr>
                <w:b/>
                <w:sz w:val="20"/>
                <w:szCs w:val="20"/>
                <w:lang w:val="en-US"/>
              </w:rPr>
              <w:t>Roger Townsend v. Her Majesty the Queen</w:t>
            </w:r>
          </w:p>
          <w:p w:rsidR="00AB75C1" w:rsidRPr="00F55576" w:rsidRDefault="00AB75C1" w:rsidP="00BA4C4D">
            <w:pPr>
              <w:jc w:val="both"/>
              <w:rPr>
                <w:sz w:val="20"/>
              </w:rPr>
            </w:pPr>
            <w:r w:rsidRPr="00F55576">
              <w:rPr>
                <w:sz w:val="20"/>
              </w:rPr>
              <w:t>(Ont.) (Criminal) (By Leave)</w:t>
            </w:r>
          </w:p>
        </w:tc>
      </w:tr>
      <w:tr w:rsidR="00834E76" w:rsidRPr="00F55576" w:rsidTr="00BA4C4D">
        <w:trPr>
          <w:gridAfter w:val="1"/>
          <w:wAfter w:w="48" w:type="pct"/>
        </w:trPr>
        <w:tc>
          <w:tcPr>
            <w:tcW w:w="4952" w:type="pct"/>
            <w:gridSpan w:val="4"/>
          </w:tcPr>
          <w:p w:rsidR="00834E76" w:rsidRPr="00F55576" w:rsidRDefault="0096659C" w:rsidP="00BA4C4D">
            <w:pPr>
              <w:jc w:val="both"/>
              <w:rPr>
                <w:sz w:val="20"/>
                <w:szCs w:val="20"/>
              </w:rPr>
            </w:pPr>
            <w:r w:rsidRPr="00F55576">
              <w:rPr>
                <w:sz w:val="20"/>
                <w:szCs w:val="20"/>
              </w:rPr>
              <w:t>The motion to appoint counsel is dismissed. The motion to adduce new evidence is dismissed. The application for leave to appeal from the judgment of the Court of Appeal for Ontario, Number M48477, dated April 4, 2018, is dismissed.</w:t>
            </w:r>
          </w:p>
          <w:p w:rsidR="00834E76" w:rsidRPr="00F55576" w:rsidRDefault="00834E76" w:rsidP="00BA4C4D">
            <w:pPr>
              <w:jc w:val="both"/>
              <w:rPr>
                <w:sz w:val="20"/>
              </w:rPr>
            </w:pPr>
          </w:p>
        </w:tc>
      </w:tr>
      <w:tr w:rsidR="00AB75C1" w:rsidRPr="00F55576" w:rsidTr="00BA4C4D">
        <w:trPr>
          <w:gridAfter w:val="1"/>
          <w:wAfter w:w="48" w:type="pct"/>
        </w:trPr>
        <w:tc>
          <w:tcPr>
            <w:tcW w:w="4952" w:type="pct"/>
            <w:gridSpan w:val="4"/>
          </w:tcPr>
          <w:p w:rsidR="00AB75C1" w:rsidRPr="00F55576" w:rsidRDefault="00AB75C1" w:rsidP="00BA4C4D">
            <w:pPr>
              <w:jc w:val="both"/>
              <w:rPr>
                <w:sz w:val="20"/>
              </w:rPr>
            </w:pPr>
            <w:r w:rsidRPr="00F55576">
              <w:rPr>
                <w:i/>
                <w:sz w:val="20"/>
              </w:rPr>
              <w:t>Charter of Rights</w:t>
            </w:r>
            <w:r w:rsidRPr="00F55576">
              <w:rPr>
                <w:sz w:val="20"/>
              </w:rPr>
              <w:t xml:space="preserve"> – Right to a fair trial – Applicant’s application for legal aid denied – Whether the applicant’s right to adequate legal representation was infringed – Whether the applicant’s constitutional right to a fair trial was infringed – Whether the assistance of counsel is essential to a fair criminal trial – s. 11(d) of the </w:t>
            </w:r>
            <w:r w:rsidRPr="00F55576">
              <w:rPr>
                <w:i/>
                <w:sz w:val="20"/>
              </w:rPr>
              <w:t>Charter of Rights and Freedoms</w:t>
            </w:r>
            <w:r w:rsidRPr="00F55576">
              <w:rPr>
                <w:sz w:val="20"/>
              </w:rPr>
              <w:t>.</w:t>
            </w:r>
          </w:p>
          <w:p w:rsidR="00AB75C1" w:rsidRPr="00F55576" w:rsidRDefault="00AB75C1" w:rsidP="00BA4C4D">
            <w:pPr>
              <w:jc w:val="both"/>
              <w:rPr>
                <w:sz w:val="20"/>
              </w:rPr>
            </w:pPr>
          </w:p>
        </w:tc>
      </w:tr>
      <w:tr w:rsidR="00AB75C1" w:rsidRPr="00F55576" w:rsidTr="00BA4C4D">
        <w:trPr>
          <w:gridAfter w:val="1"/>
          <w:wAfter w:w="48" w:type="pct"/>
        </w:trPr>
        <w:tc>
          <w:tcPr>
            <w:tcW w:w="4952" w:type="pct"/>
            <w:gridSpan w:val="4"/>
          </w:tcPr>
          <w:p w:rsidR="00AB75C1" w:rsidRPr="00F55576" w:rsidRDefault="00AB75C1" w:rsidP="00BA4C4D">
            <w:pPr>
              <w:jc w:val="both"/>
              <w:rPr>
                <w:sz w:val="20"/>
              </w:rPr>
            </w:pPr>
            <w:r w:rsidRPr="00F55576">
              <w:rPr>
                <w:sz w:val="20"/>
              </w:rPr>
              <w:t>The applicant and his wife were married in 2004. They had one son together. They had a very tumultuous relationship. The wife brought a motion for a restraining order. A motions judge granted the restraining order. The applicant was convicted of two counts of breaching a court order, and one count of criminal harassment. The applicant’s appeal was dismissed. The applicant’s motion for leave to appeal was dismissed by the Court of Appeal.</w:t>
            </w:r>
          </w:p>
        </w:tc>
      </w:tr>
      <w:tr w:rsidR="00AB75C1" w:rsidRPr="00F55576" w:rsidTr="00BA4C4D">
        <w:trPr>
          <w:gridAfter w:val="1"/>
          <w:wAfter w:w="48" w:type="pct"/>
        </w:trPr>
        <w:tc>
          <w:tcPr>
            <w:tcW w:w="4952" w:type="pct"/>
            <w:gridSpan w:val="4"/>
          </w:tcPr>
          <w:p w:rsidR="00AB75C1" w:rsidRPr="00F55576" w:rsidRDefault="00AB75C1" w:rsidP="00BA4C4D">
            <w:pPr>
              <w:jc w:val="both"/>
              <w:rPr>
                <w:sz w:val="20"/>
              </w:rPr>
            </w:pPr>
          </w:p>
        </w:tc>
      </w:tr>
      <w:tr w:rsidR="00AB75C1" w:rsidRPr="00F55576" w:rsidTr="00BA4C4D">
        <w:tblPrEx>
          <w:tblCellMar>
            <w:bottom w:w="0" w:type="dxa"/>
          </w:tblCellMar>
        </w:tblPrEx>
        <w:tc>
          <w:tcPr>
            <w:tcW w:w="2367" w:type="pct"/>
            <w:gridSpan w:val="2"/>
          </w:tcPr>
          <w:p w:rsidR="00AB75C1" w:rsidRPr="00F55576" w:rsidRDefault="00AB75C1" w:rsidP="00BA4C4D">
            <w:pPr>
              <w:jc w:val="both"/>
              <w:rPr>
                <w:sz w:val="20"/>
              </w:rPr>
            </w:pPr>
            <w:r w:rsidRPr="00F55576">
              <w:rPr>
                <w:sz w:val="20"/>
              </w:rPr>
              <w:t>March 3, 2015</w:t>
            </w:r>
          </w:p>
          <w:p w:rsidR="00AB75C1" w:rsidRPr="00F55576" w:rsidRDefault="00AB75C1" w:rsidP="00BA4C4D">
            <w:pPr>
              <w:jc w:val="both"/>
              <w:rPr>
                <w:sz w:val="20"/>
              </w:rPr>
            </w:pPr>
            <w:r w:rsidRPr="00F55576">
              <w:rPr>
                <w:sz w:val="20"/>
              </w:rPr>
              <w:t>Ontario Court of Justice</w:t>
            </w:r>
          </w:p>
          <w:p w:rsidR="00AB75C1" w:rsidRPr="00F55576" w:rsidRDefault="00AB75C1" w:rsidP="00BA4C4D">
            <w:pPr>
              <w:jc w:val="both"/>
              <w:rPr>
                <w:sz w:val="20"/>
              </w:rPr>
            </w:pPr>
            <w:r w:rsidRPr="00F55576">
              <w:rPr>
                <w:sz w:val="20"/>
              </w:rPr>
              <w:t>(</w:t>
            </w:r>
            <w:proofErr w:type="spellStart"/>
            <w:r w:rsidRPr="00F55576">
              <w:rPr>
                <w:sz w:val="20"/>
              </w:rPr>
              <w:t>Lahaie</w:t>
            </w:r>
            <w:proofErr w:type="spellEnd"/>
            <w:r w:rsidRPr="00F55576">
              <w:rPr>
                <w:sz w:val="20"/>
              </w:rPr>
              <w:t xml:space="preserve"> J.) </w:t>
            </w:r>
          </w:p>
          <w:p w:rsidR="00AB75C1" w:rsidRPr="00F55576" w:rsidRDefault="00AB75C1" w:rsidP="00BA4C4D">
            <w:pPr>
              <w:jc w:val="both"/>
              <w:rPr>
                <w:sz w:val="20"/>
              </w:rPr>
            </w:pPr>
            <w:r w:rsidRPr="00F55576">
              <w:rPr>
                <w:sz w:val="20"/>
              </w:rPr>
              <w:t>(unreported)</w:t>
            </w:r>
          </w:p>
          <w:p w:rsidR="00AB75C1" w:rsidRPr="00F55576" w:rsidRDefault="00AB75C1" w:rsidP="00BA4C4D">
            <w:pPr>
              <w:jc w:val="both"/>
              <w:rPr>
                <w:sz w:val="20"/>
              </w:rPr>
            </w:pPr>
          </w:p>
        </w:tc>
        <w:tc>
          <w:tcPr>
            <w:tcW w:w="267" w:type="pct"/>
          </w:tcPr>
          <w:p w:rsidR="00AB75C1" w:rsidRPr="00F55576" w:rsidRDefault="00AB75C1" w:rsidP="00BA4C4D">
            <w:pPr>
              <w:jc w:val="both"/>
              <w:rPr>
                <w:sz w:val="20"/>
              </w:rPr>
            </w:pPr>
          </w:p>
        </w:tc>
        <w:tc>
          <w:tcPr>
            <w:tcW w:w="2366" w:type="pct"/>
            <w:gridSpan w:val="2"/>
          </w:tcPr>
          <w:p w:rsidR="00AB75C1" w:rsidRPr="00F55576" w:rsidRDefault="00AB75C1" w:rsidP="00BA4C4D">
            <w:pPr>
              <w:jc w:val="both"/>
              <w:rPr>
                <w:sz w:val="20"/>
              </w:rPr>
            </w:pPr>
            <w:r w:rsidRPr="00F55576">
              <w:rPr>
                <w:sz w:val="20"/>
              </w:rPr>
              <w:t>Convictions: two counts of breaching a court order, one count of criminal harassment</w:t>
            </w:r>
          </w:p>
          <w:p w:rsidR="00AB75C1" w:rsidRPr="00F55576" w:rsidRDefault="00AB75C1" w:rsidP="00BA4C4D">
            <w:pPr>
              <w:jc w:val="both"/>
              <w:rPr>
                <w:sz w:val="20"/>
              </w:rPr>
            </w:pPr>
          </w:p>
          <w:p w:rsidR="00AB75C1" w:rsidRPr="00F55576" w:rsidRDefault="00AB75C1" w:rsidP="00BA4C4D">
            <w:pPr>
              <w:jc w:val="both"/>
              <w:rPr>
                <w:sz w:val="20"/>
              </w:rPr>
            </w:pPr>
          </w:p>
        </w:tc>
      </w:tr>
      <w:tr w:rsidR="00AB75C1" w:rsidRPr="00F55576" w:rsidTr="00BA4C4D">
        <w:tblPrEx>
          <w:tblCellMar>
            <w:bottom w:w="0" w:type="dxa"/>
          </w:tblCellMar>
        </w:tblPrEx>
        <w:tc>
          <w:tcPr>
            <w:tcW w:w="2367" w:type="pct"/>
            <w:gridSpan w:val="2"/>
          </w:tcPr>
          <w:p w:rsidR="00AB75C1" w:rsidRPr="00F55576" w:rsidRDefault="00AB75C1" w:rsidP="00BA4C4D">
            <w:pPr>
              <w:jc w:val="both"/>
              <w:rPr>
                <w:sz w:val="20"/>
              </w:rPr>
            </w:pPr>
            <w:r w:rsidRPr="00F55576">
              <w:rPr>
                <w:sz w:val="20"/>
              </w:rPr>
              <w:t>April 10, 2017</w:t>
            </w:r>
          </w:p>
          <w:p w:rsidR="00AB75C1" w:rsidRPr="00F55576" w:rsidRDefault="00AB75C1" w:rsidP="00BA4C4D">
            <w:pPr>
              <w:jc w:val="both"/>
              <w:rPr>
                <w:sz w:val="20"/>
              </w:rPr>
            </w:pPr>
            <w:r w:rsidRPr="00F55576">
              <w:rPr>
                <w:sz w:val="20"/>
              </w:rPr>
              <w:t>Ontario Superior Court of Justice</w:t>
            </w:r>
          </w:p>
          <w:p w:rsidR="00AB75C1" w:rsidRPr="00F55576" w:rsidRDefault="00AB75C1" w:rsidP="00BA4C4D">
            <w:pPr>
              <w:jc w:val="both"/>
              <w:rPr>
                <w:sz w:val="20"/>
              </w:rPr>
            </w:pPr>
            <w:r w:rsidRPr="00F55576">
              <w:rPr>
                <w:sz w:val="20"/>
              </w:rPr>
              <w:t>(</w:t>
            </w:r>
            <w:proofErr w:type="spellStart"/>
            <w:r w:rsidRPr="00F55576">
              <w:rPr>
                <w:sz w:val="20"/>
              </w:rPr>
              <w:t>Parfett</w:t>
            </w:r>
            <w:proofErr w:type="spellEnd"/>
            <w:r w:rsidRPr="00F55576">
              <w:rPr>
                <w:sz w:val="20"/>
              </w:rPr>
              <w:t xml:space="preserve"> J.)</w:t>
            </w:r>
          </w:p>
          <w:p w:rsidR="00AB75C1" w:rsidRPr="00F55576" w:rsidRDefault="00AB75C1" w:rsidP="00BA4C4D">
            <w:pPr>
              <w:jc w:val="both"/>
              <w:rPr>
                <w:sz w:val="20"/>
              </w:rPr>
            </w:pPr>
            <w:r w:rsidRPr="00F55576">
              <w:rPr>
                <w:sz w:val="20"/>
              </w:rPr>
              <w:t>2017 ONSC 5920 (unreported)</w:t>
            </w:r>
          </w:p>
          <w:p w:rsidR="00AB75C1" w:rsidRPr="00F55576" w:rsidRDefault="00AB75C1" w:rsidP="00BA4C4D">
            <w:pPr>
              <w:jc w:val="both"/>
              <w:rPr>
                <w:sz w:val="20"/>
              </w:rPr>
            </w:pPr>
          </w:p>
        </w:tc>
        <w:tc>
          <w:tcPr>
            <w:tcW w:w="267" w:type="pct"/>
          </w:tcPr>
          <w:p w:rsidR="00AB75C1" w:rsidRPr="00F55576" w:rsidRDefault="00AB75C1" w:rsidP="00BA4C4D">
            <w:pPr>
              <w:jc w:val="both"/>
              <w:rPr>
                <w:sz w:val="20"/>
              </w:rPr>
            </w:pPr>
          </w:p>
        </w:tc>
        <w:tc>
          <w:tcPr>
            <w:tcW w:w="2366" w:type="pct"/>
            <w:gridSpan w:val="2"/>
          </w:tcPr>
          <w:p w:rsidR="00AB75C1" w:rsidRPr="00F55576" w:rsidRDefault="00AB75C1" w:rsidP="00BA4C4D">
            <w:pPr>
              <w:jc w:val="both"/>
              <w:rPr>
                <w:sz w:val="20"/>
              </w:rPr>
            </w:pPr>
            <w:r w:rsidRPr="00F55576">
              <w:rPr>
                <w:sz w:val="20"/>
              </w:rPr>
              <w:t>Appeal dismissed</w:t>
            </w:r>
          </w:p>
          <w:p w:rsidR="00AB75C1" w:rsidRPr="00F55576" w:rsidRDefault="00AB75C1" w:rsidP="00BA4C4D">
            <w:pPr>
              <w:jc w:val="both"/>
              <w:rPr>
                <w:sz w:val="20"/>
              </w:rPr>
            </w:pPr>
          </w:p>
        </w:tc>
      </w:tr>
    </w:tbl>
    <w:p w:rsidR="00E337D9" w:rsidRPr="00F55576" w:rsidRDefault="00E337D9">
      <w:r w:rsidRPr="00F55576">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AB75C1" w:rsidRPr="00F55576" w:rsidTr="00BA4C4D">
        <w:tc>
          <w:tcPr>
            <w:tcW w:w="2367" w:type="pct"/>
          </w:tcPr>
          <w:p w:rsidR="00AB75C1" w:rsidRPr="00F55576" w:rsidRDefault="00AB75C1" w:rsidP="00BA4C4D">
            <w:pPr>
              <w:jc w:val="both"/>
              <w:rPr>
                <w:sz w:val="20"/>
              </w:rPr>
            </w:pPr>
            <w:r w:rsidRPr="00F55576">
              <w:rPr>
                <w:sz w:val="20"/>
              </w:rPr>
              <w:lastRenderedPageBreak/>
              <w:t>April 4, 2018</w:t>
            </w:r>
          </w:p>
          <w:p w:rsidR="00AB75C1" w:rsidRPr="00F55576" w:rsidRDefault="00AB75C1" w:rsidP="00BA4C4D">
            <w:pPr>
              <w:jc w:val="both"/>
              <w:rPr>
                <w:sz w:val="20"/>
              </w:rPr>
            </w:pPr>
            <w:r w:rsidRPr="00F55576">
              <w:rPr>
                <w:sz w:val="20"/>
              </w:rPr>
              <w:t>Court of Appeal for Ontario</w:t>
            </w:r>
          </w:p>
          <w:p w:rsidR="00AB75C1" w:rsidRPr="00F55576" w:rsidRDefault="00AB75C1" w:rsidP="00BA4C4D">
            <w:pPr>
              <w:jc w:val="both"/>
              <w:rPr>
                <w:sz w:val="20"/>
              </w:rPr>
            </w:pPr>
            <w:r w:rsidRPr="00F55576">
              <w:rPr>
                <w:sz w:val="20"/>
              </w:rPr>
              <w:t xml:space="preserve">(Doherty, van </w:t>
            </w:r>
            <w:proofErr w:type="spellStart"/>
            <w:r w:rsidRPr="00F55576">
              <w:rPr>
                <w:sz w:val="20"/>
              </w:rPr>
              <w:t>Rensburg</w:t>
            </w:r>
            <w:proofErr w:type="spellEnd"/>
            <w:r w:rsidRPr="00F55576">
              <w:rPr>
                <w:sz w:val="20"/>
              </w:rPr>
              <w:t>, Nordheimer JJ.A.)</w:t>
            </w:r>
          </w:p>
          <w:p w:rsidR="00AB75C1" w:rsidRPr="00F55576" w:rsidRDefault="00AB75C1" w:rsidP="00BA4C4D">
            <w:pPr>
              <w:jc w:val="both"/>
              <w:rPr>
                <w:sz w:val="20"/>
              </w:rPr>
            </w:pPr>
            <w:r w:rsidRPr="00F55576">
              <w:rPr>
                <w:sz w:val="20"/>
              </w:rPr>
              <w:t>M48477</w:t>
            </w:r>
          </w:p>
          <w:p w:rsidR="00AB75C1" w:rsidRPr="00F55576" w:rsidRDefault="00AB75C1" w:rsidP="00BA4C4D">
            <w:pPr>
              <w:jc w:val="both"/>
              <w:rPr>
                <w:sz w:val="20"/>
              </w:rPr>
            </w:pPr>
            <w:r w:rsidRPr="00F55576">
              <w:rPr>
                <w:sz w:val="20"/>
              </w:rPr>
              <w:t>(unreported)</w:t>
            </w:r>
          </w:p>
          <w:p w:rsidR="00AB75C1" w:rsidRPr="00F55576" w:rsidRDefault="00AB75C1" w:rsidP="00BA4C4D">
            <w:pPr>
              <w:jc w:val="both"/>
              <w:rPr>
                <w:sz w:val="20"/>
              </w:rPr>
            </w:pPr>
          </w:p>
        </w:tc>
        <w:tc>
          <w:tcPr>
            <w:tcW w:w="267" w:type="pct"/>
          </w:tcPr>
          <w:p w:rsidR="00AB75C1" w:rsidRPr="00F55576" w:rsidRDefault="00AB75C1" w:rsidP="00BA4C4D">
            <w:pPr>
              <w:jc w:val="both"/>
              <w:rPr>
                <w:sz w:val="20"/>
              </w:rPr>
            </w:pPr>
          </w:p>
        </w:tc>
        <w:tc>
          <w:tcPr>
            <w:tcW w:w="2366" w:type="pct"/>
          </w:tcPr>
          <w:p w:rsidR="00AB75C1" w:rsidRPr="00F55576" w:rsidRDefault="00AB75C1" w:rsidP="00BA4C4D">
            <w:pPr>
              <w:jc w:val="both"/>
              <w:rPr>
                <w:sz w:val="20"/>
              </w:rPr>
            </w:pPr>
            <w:r w:rsidRPr="00F55576">
              <w:rPr>
                <w:sz w:val="20"/>
              </w:rPr>
              <w:t>Motion for leave to appeal dismissed</w:t>
            </w:r>
          </w:p>
          <w:p w:rsidR="00AB75C1" w:rsidRPr="00F55576" w:rsidRDefault="00AB75C1" w:rsidP="00BA4C4D">
            <w:pPr>
              <w:jc w:val="both"/>
              <w:rPr>
                <w:sz w:val="20"/>
              </w:rPr>
            </w:pPr>
          </w:p>
        </w:tc>
      </w:tr>
      <w:tr w:rsidR="00AB75C1" w:rsidRPr="00F55576" w:rsidTr="00BA4C4D">
        <w:tc>
          <w:tcPr>
            <w:tcW w:w="2367" w:type="pct"/>
          </w:tcPr>
          <w:p w:rsidR="00AB75C1" w:rsidRPr="00F55576" w:rsidRDefault="00AB75C1" w:rsidP="00BA4C4D">
            <w:pPr>
              <w:jc w:val="both"/>
              <w:rPr>
                <w:sz w:val="20"/>
              </w:rPr>
            </w:pPr>
            <w:r w:rsidRPr="00F55576">
              <w:rPr>
                <w:sz w:val="20"/>
              </w:rPr>
              <w:t>May 28, 2018</w:t>
            </w:r>
          </w:p>
          <w:p w:rsidR="00AB75C1" w:rsidRPr="00F55576" w:rsidRDefault="00AB75C1" w:rsidP="00BA4C4D">
            <w:pPr>
              <w:jc w:val="both"/>
              <w:rPr>
                <w:sz w:val="20"/>
              </w:rPr>
            </w:pPr>
            <w:r w:rsidRPr="00F55576">
              <w:rPr>
                <w:sz w:val="20"/>
              </w:rPr>
              <w:t>Supreme Court of Canada</w:t>
            </w:r>
          </w:p>
        </w:tc>
        <w:tc>
          <w:tcPr>
            <w:tcW w:w="267" w:type="pct"/>
          </w:tcPr>
          <w:p w:rsidR="00AB75C1" w:rsidRPr="00F55576" w:rsidRDefault="00AB75C1" w:rsidP="00BA4C4D">
            <w:pPr>
              <w:jc w:val="both"/>
              <w:rPr>
                <w:sz w:val="20"/>
              </w:rPr>
            </w:pPr>
          </w:p>
        </w:tc>
        <w:tc>
          <w:tcPr>
            <w:tcW w:w="2366" w:type="pct"/>
          </w:tcPr>
          <w:p w:rsidR="00AB75C1" w:rsidRPr="00F55576" w:rsidRDefault="00AB75C1" w:rsidP="00BA4C4D">
            <w:pPr>
              <w:jc w:val="both"/>
              <w:rPr>
                <w:sz w:val="20"/>
              </w:rPr>
            </w:pPr>
            <w:r w:rsidRPr="00F55576">
              <w:rPr>
                <w:sz w:val="20"/>
              </w:rPr>
              <w:t>Motion to appoint counsel and adduce evidence and application for leave to appeal filed</w:t>
            </w:r>
          </w:p>
        </w:tc>
      </w:tr>
    </w:tbl>
    <w:p w:rsidR="00AB75C1" w:rsidRPr="00F55576" w:rsidRDefault="00AB75C1" w:rsidP="00AB75C1">
      <w:pPr>
        <w:jc w:val="both"/>
        <w:rPr>
          <w:sz w:val="20"/>
          <w:lang w:eastAsia="en-CA"/>
        </w:rPr>
      </w:pPr>
    </w:p>
    <w:p w:rsidR="00AB75C1" w:rsidRPr="00F55576" w:rsidRDefault="007B1953" w:rsidP="00AB75C1">
      <w:pPr>
        <w:jc w:val="both"/>
        <w:rPr>
          <w:sz w:val="20"/>
        </w:rPr>
      </w:pPr>
      <w:r>
        <w:rPr>
          <w:sz w:val="20"/>
        </w:rPr>
        <w:pict>
          <v:rect id="_x0000_i1050" style="width:2in;height:1pt" o:hrpct="0" o:hralign="center" o:hrstd="t" o:hrnoshade="t" o:hr="t" fillcolor="black [3213]" stroked="f"/>
        </w:pict>
      </w:r>
    </w:p>
    <w:p w:rsidR="00AB75C1" w:rsidRPr="00F55576" w:rsidRDefault="00AB75C1" w:rsidP="00AB75C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AB75C1" w:rsidRPr="00F55576" w:rsidTr="00BA4C4D">
        <w:trPr>
          <w:gridAfter w:val="1"/>
          <w:wAfter w:w="48" w:type="pct"/>
        </w:trPr>
        <w:tc>
          <w:tcPr>
            <w:tcW w:w="538" w:type="pct"/>
          </w:tcPr>
          <w:p w:rsidR="00AB75C1" w:rsidRPr="00F55576" w:rsidRDefault="00AB75C1" w:rsidP="00BA4C4D">
            <w:pPr>
              <w:jc w:val="both"/>
              <w:rPr>
                <w:sz w:val="20"/>
                <w:lang w:val="fr-CA"/>
              </w:rPr>
            </w:pPr>
            <w:r w:rsidRPr="00F55576">
              <w:rPr>
                <w:rStyle w:val="SCCFileNumberChar"/>
                <w:sz w:val="20"/>
                <w:szCs w:val="20"/>
                <w:lang w:val="fr-CA"/>
              </w:rPr>
              <w:t>38706</w:t>
            </w:r>
          </w:p>
        </w:tc>
        <w:tc>
          <w:tcPr>
            <w:tcW w:w="4414" w:type="pct"/>
            <w:gridSpan w:val="3"/>
          </w:tcPr>
          <w:p w:rsidR="00AB75C1" w:rsidRPr="00F55576" w:rsidRDefault="00AB75C1" w:rsidP="00BA4C4D">
            <w:pPr>
              <w:pStyle w:val="SCCLsocParty"/>
              <w:jc w:val="both"/>
              <w:rPr>
                <w:b/>
                <w:sz w:val="20"/>
                <w:szCs w:val="20"/>
              </w:rPr>
            </w:pPr>
            <w:r w:rsidRPr="00F55576">
              <w:rPr>
                <w:b/>
                <w:sz w:val="20"/>
                <w:szCs w:val="20"/>
              </w:rPr>
              <w:t>Roger Townsend c. Sa Majesté la Reine</w:t>
            </w:r>
          </w:p>
          <w:p w:rsidR="00AB75C1" w:rsidRPr="00F55576" w:rsidRDefault="00AB75C1" w:rsidP="00BA4C4D">
            <w:pPr>
              <w:jc w:val="both"/>
              <w:rPr>
                <w:sz w:val="20"/>
                <w:lang w:val="fr-CA"/>
              </w:rPr>
            </w:pPr>
            <w:r w:rsidRPr="00F55576">
              <w:rPr>
                <w:sz w:val="20"/>
                <w:lang w:val="fr-CA"/>
              </w:rPr>
              <w:t>(Ont.) (Criminelle) (Sur autorisation)</w:t>
            </w:r>
          </w:p>
        </w:tc>
      </w:tr>
      <w:tr w:rsidR="00834E76" w:rsidRPr="008042C9" w:rsidTr="00BA4C4D">
        <w:trPr>
          <w:gridAfter w:val="1"/>
          <w:wAfter w:w="48" w:type="pct"/>
        </w:trPr>
        <w:tc>
          <w:tcPr>
            <w:tcW w:w="4952" w:type="pct"/>
            <w:gridSpan w:val="4"/>
          </w:tcPr>
          <w:p w:rsidR="00834E76" w:rsidRPr="00F55576" w:rsidRDefault="0096659C" w:rsidP="00BA4C4D">
            <w:pPr>
              <w:jc w:val="both"/>
              <w:rPr>
                <w:sz w:val="20"/>
                <w:szCs w:val="20"/>
                <w:lang w:val="fr-CA"/>
              </w:rPr>
            </w:pPr>
            <w:r w:rsidRPr="00F55576">
              <w:rPr>
                <w:sz w:val="20"/>
                <w:szCs w:val="20"/>
                <w:lang w:val="fr-CA"/>
              </w:rPr>
              <w:t>La requête en nomination d’un procureur est rejetée. La requête sollicitant l’autorisation de présenter une nouvelle preuve est rejetée. La demande d’autorisation d’appel de l’arrêt de la Cour d’appel de l’Ontario, numéro M48477, daté du 4 avril 2018, est rejetée.</w:t>
            </w:r>
          </w:p>
          <w:p w:rsidR="00834E76" w:rsidRPr="00F55576" w:rsidRDefault="00834E76" w:rsidP="00BA4C4D">
            <w:pPr>
              <w:jc w:val="both"/>
              <w:rPr>
                <w:i/>
                <w:sz w:val="20"/>
                <w:lang w:val="fr-CA"/>
              </w:rPr>
            </w:pPr>
          </w:p>
        </w:tc>
      </w:tr>
      <w:tr w:rsidR="00AB75C1" w:rsidRPr="008042C9" w:rsidTr="00BA4C4D">
        <w:trPr>
          <w:gridAfter w:val="1"/>
          <w:wAfter w:w="48" w:type="pct"/>
        </w:trPr>
        <w:tc>
          <w:tcPr>
            <w:tcW w:w="4952" w:type="pct"/>
            <w:gridSpan w:val="4"/>
          </w:tcPr>
          <w:p w:rsidR="00AB75C1" w:rsidRPr="00F55576" w:rsidRDefault="00AB75C1" w:rsidP="00BA4C4D">
            <w:pPr>
              <w:jc w:val="both"/>
              <w:rPr>
                <w:sz w:val="20"/>
                <w:lang w:val="fr-CA"/>
              </w:rPr>
            </w:pPr>
            <w:r w:rsidRPr="00F55576">
              <w:rPr>
                <w:i/>
                <w:sz w:val="20"/>
                <w:lang w:val="fr-CA"/>
              </w:rPr>
              <w:t>Charte des droits</w:t>
            </w:r>
            <w:r w:rsidRPr="00F55576">
              <w:rPr>
                <w:sz w:val="20"/>
                <w:lang w:val="fr-CA"/>
              </w:rPr>
              <w:t xml:space="preserve"> — Procès équitable — Demande d’aide juridique du demandeur rejetée — Y a</w:t>
            </w:r>
            <w:r w:rsidRPr="00F55576">
              <w:rPr>
                <w:sz w:val="20"/>
                <w:lang w:val="fr-CA"/>
              </w:rPr>
              <w:noBreakHyphen/>
              <w:t>t</w:t>
            </w:r>
            <w:r w:rsidRPr="00F55576">
              <w:rPr>
                <w:sz w:val="20"/>
                <w:lang w:val="fr-CA"/>
              </w:rPr>
              <w:noBreakHyphen/>
              <w:t>il eu atteinte au droit du demandeur d’être représenté adéquatement par un avocat? — Y a</w:t>
            </w:r>
            <w:r w:rsidRPr="00F55576">
              <w:rPr>
                <w:sz w:val="20"/>
                <w:lang w:val="fr-CA"/>
              </w:rPr>
              <w:noBreakHyphen/>
              <w:t>t</w:t>
            </w:r>
            <w:r w:rsidRPr="00F55576">
              <w:rPr>
                <w:sz w:val="20"/>
                <w:lang w:val="fr-CA"/>
              </w:rPr>
              <w:noBreakHyphen/>
              <w:t>il eu atteinte au droit constitutionnel du demandeur à un procès équitable? — L’assistance d’un avocat est</w:t>
            </w:r>
            <w:r w:rsidRPr="00F55576">
              <w:rPr>
                <w:sz w:val="20"/>
                <w:lang w:val="fr-CA"/>
              </w:rPr>
              <w:noBreakHyphen/>
              <w:t xml:space="preserve">elle essentielle à un procès pénal équitable? — Art. 11d) de la </w:t>
            </w:r>
            <w:r w:rsidRPr="00F55576">
              <w:rPr>
                <w:i/>
                <w:sz w:val="20"/>
                <w:lang w:val="fr-CA"/>
              </w:rPr>
              <w:t>Charte canadienne des droits et libertés</w:t>
            </w:r>
            <w:r w:rsidRPr="00F55576">
              <w:rPr>
                <w:sz w:val="20"/>
                <w:lang w:val="fr-CA"/>
              </w:rPr>
              <w:t>.</w:t>
            </w:r>
          </w:p>
          <w:p w:rsidR="00AB75C1" w:rsidRPr="00F55576" w:rsidRDefault="00AB75C1" w:rsidP="00BA4C4D">
            <w:pPr>
              <w:jc w:val="both"/>
              <w:rPr>
                <w:sz w:val="20"/>
                <w:lang w:val="fr-CA"/>
              </w:rPr>
            </w:pPr>
          </w:p>
        </w:tc>
      </w:tr>
      <w:tr w:rsidR="00AB75C1" w:rsidRPr="008042C9" w:rsidTr="00BA4C4D">
        <w:trPr>
          <w:gridAfter w:val="1"/>
          <w:wAfter w:w="48" w:type="pct"/>
        </w:trPr>
        <w:tc>
          <w:tcPr>
            <w:tcW w:w="4952" w:type="pct"/>
            <w:gridSpan w:val="4"/>
          </w:tcPr>
          <w:p w:rsidR="00AB75C1" w:rsidRPr="00F55576" w:rsidRDefault="00AB75C1" w:rsidP="00BA4C4D">
            <w:pPr>
              <w:jc w:val="both"/>
              <w:rPr>
                <w:sz w:val="20"/>
                <w:lang w:val="fr-CA"/>
              </w:rPr>
            </w:pPr>
            <w:r w:rsidRPr="00F55576">
              <w:rPr>
                <w:sz w:val="20"/>
                <w:lang w:val="fr-CA"/>
              </w:rPr>
              <w:t>Le demandeur et sa femme se sont mariés en 2004 et ils ont eu un fils ensemble. Leur relation était très tumultueuse. L’épouse a présenté une requête afin d’obtenir une ordonnance de non</w:t>
            </w:r>
            <w:r w:rsidRPr="00F55576">
              <w:rPr>
                <w:sz w:val="20"/>
                <w:lang w:val="fr-CA"/>
              </w:rPr>
              <w:noBreakHyphen/>
              <w:t>communication, que le juge des requêtes a accordée. Le demandeur a été déclaré coupable de deux chefs d’accusation de violation d’une ordonnance judiciaire et d’un chef de harcèlement criminel. L’appel du demandeur a été rejeté. La Cour d’appel a rejeté sa demande d’autorisation d’appel.</w:t>
            </w:r>
          </w:p>
        </w:tc>
      </w:tr>
      <w:tr w:rsidR="00AB75C1" w:rsidRPr="008042C9" w:rsidTr="00BA4C4D">
        <w:trPr>
          <w:gridAfter w:val="1"/>
          <w:wAfter w:w="48" w:type="pct"/>
        </w:trPr>
        <w:tc>
          <w:tcPr>
            <w:tcW w:w="4952" w:type="pct"/>
            <w:gridSpan w:val="4"/>
          </w:tcPr>
          <w:p w:rsidR="00AB75C1" w:rsidRPr="00F55576" w:rsidRDefault="00AB75C1" w:rsidP="00BA4C4D">
            <w:pPr>
              <w:jc w:val="both"/>
              <w:rPr>
                <w:sz w:val="20"/>
                <w:lang w:val="fr-CA"/>
              </w:rPr>
            </w:pPr>
          </w:p>
        </w:tc>
      </w:tr>
      <w:tr w:rsidR="00AB75C1" w:rsidRPr="008042C9" w:rsidTr="00BA4C4D">
        <w:tblPrEx>
          <w:tblCellMar>
            <w:bottom w:w="0" w:type="dxa"/>
          </w:tblCellMar>
        </w:tblPrEx>
        <w:tc>
          <w:tcPr>
            <w:tcW w:w="2367" w:type="pct"/>
            <w:gridSpan w:val="2"/>
          </w:tcPr>
          <w:p w:rsidR="00AB75C1" w:rsidRPr="00F55576" w:rsidRDefault="00AB75C1" w:rsidP="00BA4C4D">
            <w:pPr>
              <w:jc w:val="both"/>
              <w:rPr>
                <w:sz w:val="20"/>
                <w:lang w:val="fr-CA"/>
              </w:rPr>
            </w:pPr>
            <w:r w:rsidRPr="00F55576">
              <w:rPr>
                <w:sz w:val="20"/>
                <w:lang w:val="fr-CA"/>
              </w:rPr>
              <w:t>3 mars 2015</w:t>
            </w:r>
          </w:p>
          <w:p w:rsidR="00AB75C1" w:rsidRPr="00F55576" w:rsidRDefault="00AB75C1" w:rsidP="00BA4C4D">
            <w:pPr>
              <w:jc w:val="both"/>
              <w:rPr>
                <w:sz w:val="20"/>
                <w:lang w:val="fr-CA"/>
              </w:rPr>
            </w:pPr>
            <w:r w:rsidRPr="00F55576">
              <w:rPr>
                <w:sz w:val="20"/>
                <w:lang w:val="fr-CA"/>
              </w:rPr>
              <w:t>Cour de justice de l’Ontario</w:t>
            </w:r>
          </w:p>
          <w:p w:rsidR="00AB75C1" w:rsidRPr="00F55576" w:rsidRDefault="00AB75C1" w:rsidP="00BA4C4D">
            <w:pPr>
              <w:jc w:val="both"/>
              <w:rPr>
                <w:sz w:val="20"/>
                <w:lang w:val="fr-CA"/>
              </w:rPr>
            </w:pPr>
            <w:r w:rsidRPr="00F55576">
              <w:rPr>
                <w:sz w:val="20"/>
                <w:lang w:val="fr-CA"/>
              </w:rPr>
              <w:t xml:space="preserve">(Juge </w:t>
            </w:r>
            <w:proofErr w:type="spellStart"/>
            <w:r w:rsidRPr="00F55576">
              <w:rPr>
                <w:sz w:val="20"/>
                <w:lang w:val="fr-CA"/>
              </w:rPr>
              <w:t>Lahaie</w:t>
            </w:r>
            <w:proofErr w:type="spellEnd"/>
            <w:r w:rsidRPr="00F55576">
              <w:rPr>
                <w:sz w:val="20"/>
                <w:lang w:val="fr-CA"/>
              </w:rPr>
              <w:t>)</w:t>
            </w:r>
          </w:p>
          <w:p w:rsidR="00AB75C1" w:rsidRPr="00F55576" w:rsidRDefault="00AB75C1" w:rsidP="00BA4C4D">
            <w:pPr>
              <w:jc w:val="both"/>
              <w:rPr>
                <w:sz w:val="20"/>
                <w:lang w:val="fr-CA"/>
              </w:rPr>
            </w:pPr>
            <w:r w:rsidRPr="00F55576">
              <w:rPr>
                <w:sz w:val="20"/>
                <w:lang w:val="fr-CA"/>
              </w:rPr>
              <w:t>(non publié)</w:t>
            </w:r>
          </w:p>
          <w:p w:rsidR="00AB75C1" w:rsidRPr="00F55576" w:rsidRDefault="00AB75C1" w:rsidP="00BA4C4D">
            <w:pPr>
              <w:jc w:val="both"/>
              <w:rPr>
                <w:sz w:val="20"/>
                <w:lang w:val="fr-CA"/>
              </w:rPr>
            </w:pPr>
          </w:p>
        </w:tc>
        <w:tc>
          <w:tcPr>
            <w:tcW w:w="267" w:type="pct"/>
          </w:tcPr>
          <w:p w:rsidR="00AB75C1" w:rsidRPr="00F55576" w:rsidRDefault="00AB75C1" w:rsidP="00BA4C4D">
            <w:pPr>
              <w:jc w:val="both"/>
              <w:rPr>
                <w:sz w:val="20"/>
                <w:lang w:val="fr-CA"/>
              </w:rPr>
            </w:pPr>
          </w:p>
        </w:tc>
        <w:tc>
          <w:tcPr>
            <w:tcW w:w="2366" w:type="pct"/>
            <w:gridSpan w:val="2"/>
          </w:tcPr>
          <w:p w:rsidR="00AB75C1" w:rsidRPr="00F55576" w:rsidRDefault="00AB75C1" w:rsidP="00BA4C4D">
            <w:pPr>
              <w:jc w:val="both"/>
              <w:rPr>
                <w:sz w:val="20"/>
                <w:lang w:val="fr-CA"/>
              </w:rPr>
            </w:pPr>
            <w:r w:rsidRPr="00F55576">
              <w:rPr>
                <w:sz w:val="20"/>
                <w:lang w:val="fr-CA"/>
              </w:rPr>
              <w:t xml:space="preserve">Déclarations de culpabilité : deux chefs de violation d’une ordonnance judiciaire et un chef de harcèlement criminel </w:t>
            </w:r>
          </w:p>
          <w:p w:rsidR="00AB75C1" w:rsidRPr="00F55576" w:rsidRDefault="00AB75C1" w:rsidP="00BA4C4D">
            <w:pPr>
              <w:jc w:val="both"/>
              <w:rPr>
                <w:sz w:val="20"/>
                <w:lang w:val="fr-CA"/>
              </w:rPr>
            </w:pPr>
          </w:p>
          <w:p w:rsidR="00AB75C1" w:rsidRPr="00F55576" w:rsidRDefault="00AB75C1" w:rsidP="00BA4C4D">
            <w:pPr>
              <w:jc w:val="both"/>
              <w:rPr>
                <w:sz w:val="20"/>
                <w:lang w:val="fr-CA"/>
              </w:rPr>
            </w:pPr>
          </w:p>
        </w:tc>
      </w:tr>
      <w:tr w:rsidR="00AB75C1" w:rsidRPr="00F55576" w:rsidTr="00BA4C4D">
        <w:tblPrEx>
          <w:tblCellMar>
            <w:bottom w:w="0" w:type="dxa"/>
          </w:tblCellMar>
        </w:tblPrEx>
        <w:tc>
          <w:tcPr>
            <w:tcW w:w="2367" w:type="pct"/>
            <w:gridSpan w:val="2"/>
          </w:tcPr>
          <w:p w:rsidR="00AB75C1" w:rsidRPr="00F55576" w:rsidRDefault="00AB75C1" w:rsidP="00BA4C4D">
            <w:pPr>
              <w:jc w:val="both"/>
              <w:rPr>
                <w:sz w:val="20"/>
                <w:lang w:val="fr-CA"/>
              </w:rPr>
            </w:pPr>
            <w:r w:rsidRPr="00F55576">
              <w:rPr>
                <w:sz w:val="20"/>
                <w:lang w:val="fr-CA"/>
              </w:rPr>
              <w:t>10 avril 2017</w:t>
            </w:r>
          </w:p>
          <w:p w:rsidR="00AB75C1" w:rsidRPr="00F55576" w:rsidRDefault="00AB75C1" w:rsidP="00BA4C4D">
            <w:pPr>
              <w:jc w:val="both"/>
              <w:rPr>
                <w:sz w:val="20"/>
                <w:lang w:val="fr-CA"/>
              </w:rPr>
            </w:pPr>
            <w:r w:rsidRPr="00F55576">
              <w:rPr>
                <w:sz w:val="20"/>
                <w:lang w:val="fr-CA"/>
              </w:rPr>
              <w:t>Cour supérieure de justice de l’Ontario</w:t>
            </w:r>
          </w:p>
          <w:p w:rsidR="00AB75C1" w:rsidRPr="00F55576" w:rsidRDefault="00AB75C1" w:rsidP="00BA4C4D">
            <w:pPr>
              <w:jc w:val="both"/>
              <w:rPr>
                <w:sz w:val="20"/>
                <w:lang w:val="fr-CA"/>
              </w:rPr>
            </w:pPr>
            <w:r w:rsidRPr="00F55576">
              <w:rPr>
                <w:sz w:val="20"/>
                <w:lang w:val="fr-CA"/>
              </w:rPr>
              <w:t xml:space="preserve">(Juge </w:t>
            </w:r>
            <w:proofErr w:type="spellStart"/>
            <w:r w:rsidRPr="00F55576">
              <w:rPr>
                <w:sz w:val="20"/>
                <w:lang w:val="fr-CA"/>
              </w:rPr>
              <w:t>Parfett</w:t>
            </w:r>
            <w:proofErr w:type="spellEnd"/>
            <w:r w:rsidRPr="00F55576">
              <w:rPr>
                <w:sz w:val="20"/>
                <w:lang w:val="fr-CA"/>
              </w:rPr>
              <w:t>)</w:t>
            </w:r>
          </w:p>
          <w:p w:rsidR="00AB75C1" w:rsidRPr="00F55576" w:rsidRDefault="00AB75C1" w:rsidP="00BA4C4D">
            <w:pPr>
              <w:jc w:val="both"/>
              <w:rPr>
                <w:sz w:val="20"/>
                <w:lang w:val="fr-CA"/>
              </w:rPr>
            </w:pPr>
            <w:r w:rsidRPr="00F55576">
              <w:rPr>
                <w:sz w:val="20"/>
                <w:lang w:val="fr-CA"/>
              </w:rPr>
              <w:t>2017 ONSC 5920 (non publié)</w:t>
            </w:r>
          </w:p>
          <w:p w:rsidR="00AB75C1" w:rsidRPr="00F55576" w:rsidRDefault="00AB75C1" w:rsidP="00BA4C4D">
            <w:pPr>
              <w:jc w:val="both"/>
              <w:rPr>
                <w:sz w:val="20"/>
                <w:lang w:val="fr-CA"/>
              </w:rPr>
            </w:pPr>
          </w:p>
        </w:tc>
        <w:tc>
          <w:tcPr>
            <w:tcW w:w="267" w:type="pct"/>
          </w:tcPr>
          <w:p w:rsidR="00AB75C1" w:rsidRPr="00F55576" w:rsidRDefault="00AB75C1" w:rsidP="00BA4C4D">
            <w:pPr>
              <w:jc w:val="both"/>
              <w:rPr>
                <w:sz w:val="20"/>
                <w:lang w:val="fr-CA"/>
              </w:rPr>
            </w:pPr>
          </w:p>
        </w:tc>
        <w:tc>
          <w:tcPr>
            <w:tcW w:w="2366" w:type="pct"/>
            <w:gridSpan w:val="2"/>
          </w:tcPr>
          <w:p w:rsidR="00AB75C1" w:rsidRPr="00F55576" w:rsidRDefault="00AB75C1" w:rsidP="00BA4C4D">
            <w:pPr>
              <w:jc w:val="both"/>
              <w:rPr>
                <w:sz w:val="20"/>
                <w:lang w:val="fr-CA"/>
              </w:rPr>
            </w:pPr>
            <w:r w:rsidRPr="00F55576">
              <w:rPr>
                <w:sz w:val="20"/>
                <w:lang w:val="fr-CA"/>
              </w:rPr>
              <w:t>Rejet de l’appel</w:t>
            </w:r>
          </w:p>
          <w:p w:rsidR="00AB75C1" w:rsidRPr="00F55576" w:rsidRDefault="00AB75C1" w:rsidP="00BA4C4D">
            <w:pPr>
              <w:jc w:val="both"/>
              <w:rPr>
                <w:sz w:val="20"/>
                <w:lang w:val="fr-CA"/>
              </w:rPr>
            </w:pPr>
          </w:p>
        </w:tc>
      </w:tr>
      <w:tr w:rsidR="00AB75C1" w:rsidRPr="008042C9" w:rsidTr="00BA4C4D">
        <w:tblPrEx>
          <w:tblCellMar>
            <w:bottom w:w="0" w:type="dxa"/>
          </w:tblCellMar>
        </w:tblPrEx>
        <w:tc>
          <w:tcPr>
            <w:tcW w:w="2367" w:type="pct"/>
            <w:gridSpan w:val="2"/>
          </w:tcPr>
          <w:p w:rsidR="00AB75C1" w:rsidRPr="00F55576" w:rsidRDefault="00AB75C1" w:rsidP="00BA4C4D">
            <w:pPr>
              <w:jc w:val="both"/>
              <w:rPr>
                <w:sz w:val="20"/>
                <w:lang w:val="fr-CA"/>
              </w:rPr>
            </w:pPr>
            <w:r w:rsidRPr="00F55576">
              <w:rPr>
                <w:sz w:val="20"/>
                <w:lang w:val="fr-CA"/>
              </w:rPr>
              <w:t>4 avril 2018</w:t>
            </w:r>
          </w:p>
          <w:p w:rsidR="00AB75C1" w:rsidRPr="00F55576" w:rsidRDefault="00AB75C1" w:rsidP="00BA4C4D">
            <w:pPr>
              <w:jc w:val="both"/>
              <w:rPr>
                <w:sz w:val="20"/>
                <w:lang w:val="fr-CA"/>
              </w:rPr>
            </w:pPr>
            <w:r w:rsidRPr="00F55576">
              <w:rPr>
                <w:sz w:val="20"/>
                <w:lang w:val="fr-CA"/>
              </w:rPr>
              <w:t>Cour d’appel de l’Ontario</w:t>
            </w:r>
          </w:p>
          <w:p w:rsidR="00AB75C1" w:rsidRPr="00F55576" w:rsidRDefault="00AB75C1" w:rsidP="00BA4C4D">
            <w:pPr>
              <w:jc w:val="both"/>
              <w:rPr>
                <w:sz w:val="20"/>
                <w:lang w:val="fr-CA"/>
              </w:rPr>
            </w:pPr>
            <w:r w:rsidRPr="00F55576">
              <w:rPr>
                <w:sz w:val="20"/>
                <w:lang w:val="fr-CA"/>
              </w:rPr>
              <w:t xml:space="preserve">(Juges Doherty, van </w:t>
            </w:r>
            <w:proofErr w:type="spellStart"/>
            <w:r w:rsidRPr="00F55576">
              <w:rPr>
                <w:sz w:val="20"/>
                <w:lang w:val="fr-CA"/>
              </w:rPr>
              <w:t>Rensburg</w:t>
            </w:r>
            <w:proofErr w:type="spellEnd"/>
            <w:r w:rsidRPr="00F55576">
              <w:rPr>
                <w:sz w:val="20"/>
                <w:lang w:val="fr-CA"/>
              </w:rPr>
              <w:t xml:space="preserve"> et Nordheimer)</w:t>
            </w:r>
          </w:p>
          <w:p w:rsidR="00AB75C1" w:rsidRPr="00F55576" w:rsidRDefault="00AB75C1" w:rsidP="00BA4C4D">
            <w:pPr>
              <w:jc w:val="both"/>
              <w:rPr>
                <w:sz w:val="20"/>
                <w:lang w:val="fr-CA"/>
              </w:rPr>
            </w:pPr>
            <w:r w:rsidRPr="00F55576">
              <w:rPr>
                <w:sz w:val="20"/>
                <w:lang w:val="fr-CA"/>
              </w:rPr>
              <w:t>M48477</w:t>
            </w:r>
          </w:p>
          <w:p w:rsidR="00AB75C1" w:rsidRPr="00F55576" w:rsidRDefault="00AB75C1" w:rsidP="00BA4C4D">
            <w:pPr>
              <w:jc w:val="both"/>
              <w:rPr>
                <w:sz w:val="20"/>
                <w:lang w:val="fr-CA"/>
              </w:rPr>
            </w:pPr>
            <w:r w:rsidRPr="00F55576">
              <w:rPr>
                <w:sz w:val="20"/>
                <w:lang w:val="fr-CA"/>
              </w:rPr>
              <w:t>(non publié)</w:t>
            </w:r>
          </w:p>
          <w:p w:rsidR="00AB75C1" w:rsidRPr="00F55576" w:rsidRDefault="00AB75C1" w:rsidP="00BA4C4D">
            <w:pPr>
              <w:jc w:val="both"/>
              <w:rPr>
                <w:sz w:val="20"/>
                <w:lang w:val="fr-CA"/>
              </w:rPr>
            </w:pPr>
          </w:p>
        </w:tc>
        <w:tc>
          <w:tcPr>
            <w:tcW w:w="267" w:type="pct"/>
          </w:tcPr>
          <w:p w:rsidR="00AB75C1" w:rsidRPr="00F55576" w:rsidRDefault="00AB75C1" w:rsidP="00BA4C4D">
            <w:pPr>
              <w:jc w:val="both"/>
              <w:rPr>
                <w:sz w:val="20"/>
                <w:lang w:val="fr-CA"/>
              </w:rPr>
            </w:pPr>
          </w:p>
        </w:tc>
        <w:tc>
          <w:tcPr>
            <w:tcW w:w="2366" w:type="pct"/>
            <w:gridSpan w:val="2"/>
          </w:tcPr>
          <w:p w:rsidR="00AB75C1" w:rsidRPr="00F55576" w:rsidRDefault="00AB75C1" w:rsidP="00BA4C4D">
            <w:pPr>
              <w:jc w:val="both"/>
              <w:rPr>
                <w:sz w:val="20"/>
                <w:lang w:val="fr-CA"/>
              </w:rPr>
            </w:pPr>
            <w:r w:rsidRPr="00F55576">
              <w:rPr>
                <w:sz w:val="20"/>
                <w:lang w:val="fr-CA"/>
              </w:rPr>
              <w:t>Rejet de la demande d’autorisation d’appel</w:t>
            </w:r>
          </w:p>
          <w:p w:rsidR="00AB75C1" w:rsidRPr="00F55576" w:rsidRDefault="00AB75C1" w:rsidP="00BA4C4D">
            <w:pPr>
              <w:jc w:val="both"/>
              <w:rPr>
                <w:sz w:val="20"/>
                <w:lang w:val="fr-CA"/>
              </w:rPr>
            </w:pPr>
          </w:p>
        </w:tc>
      </w:tr>
      <w:tr w:rsidR="00AB75C1" w:rsidRPr="008042C9" w:rsidTr="00BA4C4D">
        <w:tblPrEx>
          <w:tblCellMar>
            <w:bottom w:w="0" w:type="dxa"/>
          </w:tblCellMar>
        </w:tblPrEx>
        <w:trPr>
          <w:trHeight w:val="778"/>
        </w:trPr>
        <w:tc>
          <w:tcPr>
            <w:tcW w:w="2367" w:type="pct"/>
            <w:gridSpan w:val="2"/>
          </w:tcPr>
          <w:p w:rsidR="00AB75C1" w:rsidRPr="00F55576" w:rsidRDefault="00AB75C1" w:rsidP="00BA4C4D">
            <w:pPr>
              <w:jc w:val="both"/>
              <w:rPr>
                <w:sz w:val="20"/>
                <w:lang w:val="fr-CA"/>
              </w:rPr>
            </w:pPr>
            <w:r w:rsidRPr="00F55576">
              <w:rPr>
                <w:sz w:val="20"/>
                <w:lang w:val="fr-CA"/>
              </w:rPr>
              <w:t>May 28, 2018</w:t>
            </w:r>
          </w:p>
          <w:p w:rsidR="00AB75C1" w:rsidRPr="00F55576" w:rsidRDefault="00AB75C1" w:rsidP="00BA4C4D">
            <w:pPr>
              <w:jc w:val="both"/>
              <w:rPr>
                <w:sz w:val="20"/>
                <w:lang w:val="fr-CA"/>
              </w:rPr>
            </w:pPr>
            <w:r w:rsidRPr="00F55576">
              <w:rPr>
                <w:sz w:val="20"/>
                <w:lang w:val="fr-CA"/>
              </w:rPr>
              <w:t>Cour suprême du Canada</w:t>
            </w:r>
          </w:p>
        </w:tc>
        <w:tc>
          <w:tcPr>
            <w:tcW w:w="267" w:type="pct"/>
          </w:tcPr>
          <w:p w:rsidR="00AB75C1" w:rsidRPr="00F55576" w:rsidRDefault="00AB75C1" w:rsidP="00BA4C4D">
            <w:pPr>
              <w:jc w:val="both"/>
              <w:rPr>
                <w:sz w:val="20"/>
                <w:lang w:val="fr-CA"/>
              </w:rPr>
            </w:pPr>
          </w:p>
        </w:tc>
        <w:tc>
          <w:tcPr>
            <w:tcW w:w="2366" w:type="pct"/>
            <w:gridSpan w:val="2"/>
          </w:tcPr>
          <w:p w:rsidR="00AB75C1" w:rsidRPr="00F55576" w:rsidRDefault="00AB75C1" w:rsidP="00BA4C4D">
            <w:pPr>
              <w:jc w:val="both"/>
              <w:rPr>
                <w:sz w:val="20"/>
                <w:lang w:val="fr-CA"/>
              </w:rPr>
            </w:pPr>
            <w:r w:rsidRPr="00F55576">
              <w:rPr>
                <w:sz w:val="20"/>
                <w:lang w:val="fr-CA"/>
              </w:rPr>
              <w:t>Dépôt de la requête en désignation d’un avocat et en production de preuve et de la demande d’autorisation d’appel</w:t>
            </w:r>
          </w:p>
        </w:tc>
      </w:tr>
    </w:tbl>
    <w:p w:rsidR="00AB75C1" w:rsidRPr="00F55576" w:rsidRDefault="00AB75C1" w:rsidP="00AB75C1">
      <w:pPr>
        <w:ind w:left="142" w:hanging="142"/>
        <w:jc w:val="both"/>
        <w:rPr>
          <w:sz w:val="20"/>
          <w:lang w:val="fr-CA"/>
        </w:rPr>
      </w:pPr>
    </w:p>
    <w:p w:rsidR="00AB75C1" w:rsidRPr="00F55576" w:rsidRDefault="007B1953" w:rsidP="00AB75C1">
      <w:pPr>
        <w:ind w:left="142" w:hanging="142"/>
        <w:jc w:val="both"/>
        <w:rPr>
          <w:sz w:val="20"/>
          <w:lang w:val="fr-CA"/>
        </w:rPr>
      </w:pPr>
      <w:r>
        <w:rPr>
          <w:sz w:val="20"/>
        </w:rPr>
        <w:pict>
          <v:rect id="_x0000_i1051" style="width:2in;height:1pt" o:hrpct="0" o:hralign="center" o:hrstd="t" o:hrnoshade="t" o:hr="t" fillcolor="black [3213]" stroked="f"/>
        </w:pict>
      </w:r>
    </w:p>
    <w:p w:rsidR="00AB75C1" w:rsidRPr="00F55576" w:rsidRDefault="00AB75C1" w:rsidP="00AB75C1">
      <w:pPr>
        <w:ind w:left="142" w:hanging="142"/>
        <w:jc w:val="both"/>
        <w:rPr>
          <w:sz w:val="20"/>
          <w:lang w:val="fr-CA"/>
        </w:rPr>
      </w:pPr>
    </w:p>
    <w:p w:rsidR="00E337D9" w:rsidRPr="00F55576" w:rsidRDefault="00E337D9">
      <w:r w:rsidRPr="00F5557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lastRenderedPageBreak/>
              <w:t>38809</w:t>
            </w:r>
          </w:p>
        </w:tc>
        <w:tc>
          <w:tcPr>
            <w:tcW w:w="4457" w:type="pct"/>
            <w:gridSpan w:val="3"/>
          </w:tcPr>
          <w:p w:rsidR="00AB75C1" w:rsidRPr="00F55576" w:rsidRDefault="00AB75C1" w:rsidP="00BA4C4D">
            <w:pPr>
              <w:pStyle w:val="SCCLsocParty"/>
              <w:jc w:val="both"/>
              <w:rPr>
                <w:b/>
                <w:sz w:val="20"/>
                <w:szCs w:val="20"/>
                <w:lang w:val="en-US"/>
              </w:rPr>
            </w:pPr>
            <w:r w:rsidRPr="00F55576">
              <w:rPr>
                <w:b/>
                <w:sz w:val="20"/>
                <w:szCs w:val="20"/>
                <w:lang w:val="en-US"/>
              </w:rPr>
              <w:t>Sean Lyndon Horse v. Her Majesty the Queen</w:t>
            </w:r>
          </w:p>
          <w:p w:rsidR="00AB75C1" w:rsidRPr="00F55576" w:rsidRDefault="00AB75C1" w:rsidP="00BA4C4D">
            <w:pPr>
              <w:jc w:val="both"/>
              <w:rPr>
                <w:sz w:val="20"/>
              </w:rPr>
            </w:pPr>
            <w:r w:rsidRPr="00F55576">
              <w:rPr>
                <w:sz w:val="20"/>
              </w:rPr>
              <w:t>(Sask.) (Criminal) (By Leave)</w:t>
            </w:r>
          </w:p>
        </w:tc>
      </w:tr>
      <w:tr w:rsidR="00834E76" w:rsidRPr="00F55576" w:rsidTr="00BA4C4D">
        <w:tc>
          <w:tcPr>
            <w:tcW w:w="5000" w:type="pct"/>
            <w:gridSpan w:val="4"/>
          </w:tcPr>
          <w:p w:rsidR="00B94079" w:rsidRPr="00F55576" w:rsidRDefault="00B94079" w:rsidP="00B94079">
            <w:pPr>
              <w:jc w:val="both"/>
              <w:rPr>
                <w:sz w:val="20"/>
                <w:szCs w:val="20"/>
              </w:rPr>
            </w:pPr>
            <w:r w:rsidRPr="00F55576">
              <w:rPr>
                <w:sz w:val="20"/>
                <w:szCs w:val="20"/>
              </w:rPr>
              <w:t>The motion for an extension of time to file the application for leave to appeal is granted. The application for leave to appeal from the judgment of the Court of Appeal for Saskatchewan, Number CACR3201, 2019 SKCA 56, dated June 18, 2019, is dismissed.</w:t>
            </w:r>
          </w:p>
          <w:p w:rsidR="00834E76" w:rsidRPr="00F55576" w:rsidRDefault="00834E76" w:rsidP="00BA4C4D">
            <w:pPr>
              <w:jc w:val="both"/>
              <w:rPr>
                <w:sz w:val="20"/>
              </w:rPr>
            </w:pPr>
          </w:p>
        </w:tc>
      </w:tr>
      <w:tr w:rsidR="00AB75C1" w:rsidRPr="00F55576" w:rsidTr="00BA4C4D">
        <w:tc>
          <w:tcPr>
            <w:tcW w:w="5000" w:type="pct"/>
            <w:gridSpan w:val="4"/>
          </w:tcPr>
          <w:p w:rsidR="00AB75C1" w:rsidRPr="00F55576" w:rsidRDefault="00AB75C1" w:rsidP="00BA4C4D">
            <w:pPr>
              <w:jc w:val="both"/>
              <w:rPr>
                <w:sz w:val="20"/>
              </w:rPr>
            </w:pPr>
            <w:r w:rsidRPr="00F55576">
              <w:rPr>
                <w:sz w:val="20"/>
              </w:rPr>
              <w:t xml:space="preserve">Criminal law — Defences — Colour of right — Offences — Elements of offence — Theft — Accused allegedly attempting to steal cell phone but asserting belief in right to borrow phone with permission — Trial judge convicting accused of theft, concluding that asserted defence of colour of right was unavailable — Subsequent appeals from conviction dismissed — What is the proper analysis to be used in determining the </w:t>
            </w:r>
            <w:proofErr w:type="spellStart"/>
            <w:r w:rsidRPr="00F55576">
              <w:rPr>
                <w:i/>
                <w:sz w:val="20"/>
              </w:rPr>
              <w:t>mens</w:t>
            </w:r>
            <w:proofErr w:type="spellEnd"/>
            <w:r w:rsidRPr="00F55576">
              <w:rPr>
                <w:i/>
                <w:sz w:val="20"/>
              </w:rPr>
              <w:t xml:space="preserve"> rea</w:t>
            </w:r>
            <w:r w:rsidRPr="00F55576">
              <w:rPr>
                <w:sz w:val="20"/>
              </w:rPr>
              <w:t xml:space="preserve"> for theft? — </w:t>
            </w:r>
            <w:r w:rsidRPr="00F55576">
              <w:rPr>
                <w:i/>
                <w:sz w:val="20"/>
              </w:rPr>
              <w:t>Criminal Code</w:t>
            </w:r>
            <w:r w:rsidRPr="00F55576">
              <w:rPr>
                <w:sz w:val="20"/>
              </w:rPr>
              <w:t>, R.S.C. 1985, c. C</w:t>
            </w:r>
            <w:r w:rsidRPr="00F55576">
              <w:rPr>
                <w:sz w:val="20"/>
              </w:rPr>
              <w:noBreakHyphen/>
              <w:t>46, s. 322.</w:t>
            </w:r>
          </w:p>
        </w:tc>
      </w:tr>
      <w:tr w:rsidR="00AB75C1" w:rsidRPr="00F55576" w:rsidTr="00BA4C4D">
        <w:tc>
          <w:tcPr>
            <w:tcW w:w="5000" w:type="pct"/>
            <w:gridSpan w:val="4"/>
          </w:tcPr>
          <w:p w:rsidR="00AB75C1" w:rsidRPr="00F55576" w:rsidRDefault="00AB75C1" w:rsidP="00BA4C4D">
            <w:pPr>
              <w:jc w:val="both"/>
              <w:rPr>
                <w:sz w:val="20"/>
              </w:rPr>
            </w:pPr>
          </w:p>
          <w:p w:rsidR="00AB75C1" w:rsidRPr="00F55576" w:rsidRDefault="00AB75C1" w:rsidP="00BA4C4D">
            <w:pPr>
              <w:jc w:val="both"/>
              <w:rPr>
                <w:sz w:val="20"/>
              </w:rPr>
            </w:pPr>
            <w:r w:rsidRPr="00F55576">
              <w:rPr>
                <w:sz w:val="20"/>
              </w:rPr>
              <w:t>On January 4, 2016, the applicant, Mr. Horse, approached the complainant, Mr. Lalonde, asking to borrow his cell phone in an effort to help the applicant find his dog. Mr. Horse then abruptly left with the phone, which he then dropped on the ground nearby. Mr. Horse’s version of the facts suggests that he had heard his dog barking, which prompted him to run away, with the cell phone mistakenly in his hand. When Mr. Horse came to the realization that he still had the cell phone in his possession, he dropped it in close proximity to Mr. Lalonde’s property and apologized. Later that same day, a police officer noticed an individual matching the description of Mr. Horse, and arrested him. Mr. Horse was charged with theft of property of a value not exceeding $5,000.</w:t>
            </w:r>
          </w:p>
        </w:tc>
      </w:tr>
      <w:tr w:rsidR="00AB75C1" w:rsidRPr="00F55576" w:rsidTr="00BA4C4D">
        <w:tc>
          <w:tcPr>
            <w:tcW w:w="5000" w:type="pct"/>
            <w:gridSpan w:val="4"/>
          </w:tcPr>
          <w:p w:rsidR="00AB75C1" w:rsidRPr="00F55576" w:rsidRDefault="00AB75C1" w:rsidP="00BA4C4D">
            <w:pPr>
              <w:jc w:val="both"/>
              <w:rPr>
                <w:sz w:val="20"/>
              </w:rPr>
            </w:pPr>
            <w:r w:rsidRPr="00F55576">
              <w:rPr>
                <w:sz w:val="20"/>
              </w:rPr>
              <w:t>The trial judge convicted Mr. Horse of theft, finding that it was clear that Mr. Horse took the phone away from Mr. Lalonde and left the property with the intention of stealing it. Although Mr. Horse may have had an initial colour of right defence to explain his continued possession of the cell phone while he was on Mr. Lalonde’s property, this alleged defence was no longer available once Mr. Horse ran away with the phone. Mr. Horse’s appeals from his conviction, before the Court of Queen’s Bench and then the Court of Appeal, were dismissed.</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August 31, 2016</w:t>
            </w:r>
          </w:p>
          <w:p w:rsidR="00AB75C1" w:rsidRPr="00F55576" w:rsidRDefault="00AB75C1" w:rsidP="00BA4C4D">
            <w:pPr>
              <w:jc w:val="both"/>
              <w:rPr>
                <w:sz w:val="20"/>
              </w:rPr>
            </w:pPr>
            <w:r w:rsidRPr="00F55576">
              <w:rPr>
                <w:sz w:val="20"/>
              </w:rPr>
              <w:t>Provincial Court of Saskatchewan</w:t>
            </w:r>
          </w:p>
          <w:p w:rsidR="00AB75C1" w:rsidRPr="00F55576" w:rsidRDefault="00AB75C1" w:rsidP="00BA4C4D">
            <w:pPr>
              <w:jc w:val="both"/>
              <w:rPr>
                <w:sz w:val="20"/>
              </w:rPr>
            </w:pPr>
            <w:r w:rsidRPr="00F55576">
              <w:rPr>
                <w:sz w:val="20"/>
              </w:rPr>
              <w:t>(</w:t>
            </w:r>
            <w:proofErr w:type="spellStart"/>
            <w:r w:rsidRPr="00F55576">
              <w:rPr>
                <w:sz w:val="20"/>
              </w:rPr>
              <w:t>Dyck</w:t>
            </w:r>
            <w:proofErr w:type="spellEnd"/>
            <w:r w:rsidRPr="00F55576">
              <w:rPr>
                <w:sz w:val="20"/>
              </w:rPr>
              <w:t xml:space="preserve"> J.)</w:t>
            </w:r>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Mr. Horse convicted of theft of property of a value not exceeding $5,000.</w:t>
            </w:r>
          </w:p>
        </w:tc>
      </w:tr>
      <w:tr w:rsidR="00AB75C1" w:rsidRPr="00F55576" w:rsidTr="00BA4C4D">
        <w:tc>
          <w:tcPr>
            <w:tcW w:w="2427" w:type="pct"/>
            <w:gridSpan w:val="2"/>
          </w:tcPr>
          <w:p w:rsidR="00AB75C1" w:rsidRPr="00F55576" w:rsidRDefault="00AB75C1" w:rsidP="00BA4C4D">
            <w:pPr>
              <w:jc w:val="both"/>
              <w:rPr>
                <w:sz w:val="20"/>
              </w:rPr>
            </w:pPr>
            <w:r w:rsidRPr="00F55576">
              <w:rPr>
                <w:sz w:val="20"/>
              </w:rPr>
              <w:t>November 13, 2018</w:t>
            </w:r>
          </w:p>
          <w:p w:rsidR="00AB75C1" w:rsidRPr="00F55576" w:rsidRDefault="00AB75C1" w:rsidP="00BA4C4D">
            <w:pPr>
              <w:jc w:val="both"/>
              <w:rPr>
                <w:sz w:val="20"/>
              </w:rPr>
            </w:pPr>
            <w:r w:rsidRPr="00F55576">
              <w:rPr>
                <w:sz w:val="20"/>
              </w:rPr>
              <w:t>Court of Queen’s Bench of Saskatchewan</w:t>
            </w:r>
          </w:p>
          <w:p w:rsidR="00AB75C1" w:rsidRPr="00F55576" w:rsidRDefault="00AB75C1" w:rsidP="00BA4C4D">
            <w:pPr>
              <w:jc w:val="both"/>
              <w:rPr>
                <w:sz w:val="20"/>
              </w:rPr>
            </w:pPr>
            <w:r w:rsidRPr="00F55576">
              <w:rPr>
                <w:sz w:val="20"/>
              </w:rPr>
              <w:t>(</w:t>
            </w:r>
            <w:proofErr w:type="spellStart"/>
            <w:r w:rsidRPr="00F55576">
              <w:rPr>
                <w:sz w:val="20"/>
              </w:rPr>
              <w:t>Zuk</w:t>
            </w:r>
            <w:proofErr w:type="spellEnd"/>
            <w:r w:rsidRPr="00F55576">
              <w:rPr>
                <w:sz w:val="20"/>
              </w:rPr>
              <w:t xml:space="preserve"> J.)</w:t>
            </w:r>
          </w:p>
          <w:p w:rsidR="00AB75C1" w:rsidRPr="00F55576" w:rsidRDefault="00AB75C1" w:rsidP="00BA4C4D">
            <w:pPr>
              <w:jc w:val="both"/>
              <w:rPr>
                <w:sz w:val="20"/>
              </w:rPr>
            </w:pPr>
            <w:r w:rsidRPr="00F55576">
              <w:rPr>
                <w:sz w:val="20"/>
              </w:rPr>
              <w:t xml:space="preserve">Neutral citation: </w:t>
            </w:r>
            <w:hyperlink r:id="rId61" w:history="1">
              <w:r w:rsidRPr="00F55576">
                <w:rPr>
                  <w:rStyle w:val="Hyperlink"/>
                  <w:sz w:val="20"/>
                </w:rPr>
                <w:t>2018 SKQB 308</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Mr. Horse’s appeal — dismissed</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June 18, 2019</w:t>
            </w:r>
          </w:p>
          <w:p w:rsidR="00AB75C1" w:rsidRPr="00F55576" w:rsidRDefault="00AB75C1" w:rsidP="00BA4C4D">
            <w:pPr>
              <w:jc w:val="both"/>
              <w:rPr>
                <w:sz w:val="20"/>
              </w:rPr>
            </w:pPr>
            <w:r w:rsidRPr="00F55576">
              <w:rPr>
                <w:sz w:val="20"/>
              </w:rPr>
              <w:t>Court of Appeal for Saskatchewan</w:t>
            </w:r>
          </w:p>
          <w:p w:rsidR="00AB75C1" w:rsidRPr="00F55576" w:rsidRDefault="00AB75C1" w:rsidP="00BA4C4D">
            <w:pPr>
              <w:jc w:val="both"/>
              <w:rPr>
                <w:sz w:val="20"/>
              </w:rPr>
            </w:pPr>
            <w:r w:rsidRPr="00F55576">
              <w:rPr>
                <w:sz w:val="20"/>
              </w:rPr>
              <w:t xml:space="preserve">(Schwann, </w:t>
            </w:r>
            <w:proofErr w:type="spellStart"/>
            <w:r w:rsidRPr="00F55576">
              <w:rPr>
                <w:sz w:val="20"/>
              </w:rPr>
              <w:t>Leurer</w:t>
            </w:r>
            <w:proofErr w:type="spellEnd"/>
            <w:r w:rsidRPr="00F55576">
              <w:rPr>
                <w:sz w:val="20"/>
              </w:rPr>
              <w:t xml:space="preserve"> and </w:t>
            </w:r>
            <w:proofErr w:type="spellStart"/>
            <w:r w:rsidRPr="00F55576">
              <w:rPr>
                <w:sz w:val="20"/>
              </w:rPr>
              <w:t>Tholl</w:t>
            </w:r>
            <w:proofErr w:type="spellEnd"/>
            <w:r w:rsidRPr="00F55576">
              <w:rPr>
                <w:sz w:val="20"/>
              </w:rPr>
              <w:t xml:space="preserve"> JJ.A.)</w:t>
            </w:r>
          </w:p>
          <w:p w:rsidR="00AB75C1" w:rsidRPr="00F55576" w:rsidRDefault="00AB75C1" w:rsidP="00BA4C4D">
            <w:pPr>
              <w:jc w:val="both"/>
              <w:rPr>
                <w:sz w:val="20"/>
              </w:rPr>
            </w:pPr>
            <w:r w:rsidRPr="00F55576">
              <w:rPr>
                <w:sz w:val="20"/>
              </w:rPr>
              <w:t xml:space="preserve">Neutral citation: </w:t>
            </w:r>
            <w:hyperlink r:id="rId62" w:history="1">
              <w:r w:rsidRPr="00F55576">
                <w:rPr>
                  <w:rStyle w:val="Hyperlink"/>
                  <w:sz w:val="20"/>
                </w:rPr>
                <w:t>2019 SKCA 56</w:t>
              </w:r>
            </w:hyperlink>
            <w:r w:rsidRPr="00F55576">
              <w:rPr>
                <w:sz w:val="20"/>
              </w:rPr>
              <w:t xml:space="preserve"> </w:t>
            </w:r>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Mr. Horse’s further appeal — dismissed</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September 20, 2019</w:t>
            </w:r>
          </w:p>
          <w:p w:rsidR="00AB75C1" w:rsidRPr="00F55576" w:rsidRDefault="00AB75C1" w:rsidP="00BA4C4D">
            <w:pPr>
              <w:jc w:val="both"/>
              <w:rPr>
                <w:sz w:val="20"/>
              </w:rPr>
            </w:pPr>
            <w:r w:rsidRPr="00F55576">
              <w:rPr>
                <w:sz w:val="20"/>
              </w:rPr>
              <w:t>Supreme Court of Canada</w:t>
            </w:r>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Motion for extension of time in which to serve and file application for leave to appeal, and application for leave to appeal, filed</w:t>
            </w:r>
            <w:r w:rsidRPr="00F55576" w:rsidDel="00773CF6">
              <w:rPr>
                <w:sz w:val="20"/>
              </w:rPr>
              <w:t xml:space="preserve"> </w:t>
            </w:r>
            <w:r w:rsidRPr="00F55576">
              <w:rPr>
                <w:sz w:val="20"/>
              </w:rPr>
              <w:t>by Mr. Horse</w:t>
            </w: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52" style="width:2in;height:1pt" o:hrpct="0" o:hralign="center" o:hrstd="t" o:hrnoshade="t" o:hr="t" fillcolor="black [3213]" stroked="f"/>
        </w:pict>
      </w:r>
    </w:p>
    <w:p w:rsidR="00AB75C1" w:rsidRPr="00F55576" w:rsidRDefault="00AB75C1" w:rsidP="00AB75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lang w:val="fr-CA"/>
              </w:rPr>
            </w:pPr>
            <w:r w:rsidRPr="00F55576">
              <w:rPr>
                <w:rStyle w:val="SCCFileNumberChar"/>
                <w:sz w:val="20"/>
                <w:szCs w:val="20"/>
                <w:lang w:val="fr-CA"/>
              </w:rPr>
              <w:t>38809</w:t>
            </w:r>
          </w:p>
        </w:tc>
        <w:tc>
          <w:tcPr>
            <w:tcW w:w="4457" w:type="pct"/>
            <w:gridSpan w:val="3"/>
          </w:tcPr>
          <w:p w:rsidR="00AB75C1" w:rsidRPr="00F55576" w:rsidRDefault="00AB75C1" w:rsidP="00BA4C4D">
            <w:pPr>
              <w:pStyle w:val="SCCLsocParty"/>
              <w:jc w:val="both"/>
              <w:rPr>
                <w:b/>
                <w:sz w:val="20"/>
                <w:szCs w:val="20"/>
              </w:rPr>
            </w:pPr>
            <w:r w:rsidRPr="00F55576">
              <w:rPr>
                <w:b/>
                <w:sz w:val="20"/>
                <w:szCs w:val="20"/>
              </w:rPr>
              <w:t>Sean Lyndon Horse c. Sa Majesté la Reine</w:t>
            </w:r>
          </w:p>
          <w:p w:rsidR="00AB75C1" w:rsidRPr="00F55576" w:rsidRDefault="00AB75C1" w:rsidP="00BA4C4D">
            <w:pPr>
              <w:jc w:val="both"/>
              <w:rPr>
                <w:sz w:val="20"/>
                <w:lang w:val="fr-CA"/>
              </w:rPr>
            </w:pPr>
            <w:r w:rsidRPr="00F55576">
              <w:rPr>
                <w:sz w:val="20"/>
                <w:lang w:val="fr-CA"/>
              </w:rPr>
              <w:t>(Sask.) (Criminelle) (Autorisation)</w:t>
            </w:r>
          </w:p>
        </w:tc>
      </w:tr>
      <w:tr w:rsidR="00834E76" w:rsidRPr="008042C9" w:rsidTr="00BA4C4D">
        <w:tc>
          <w:tcPr>
            <w:tcW w:w="5000" w:type="pct"/>
            <w:gridSpan w:val="4"/>
          </w:tcPr>
          <w:p w:rsidR="00834E76" w:rsidRPr="00F55576" w:rsidRDefault="00B94079" w:rsidP="00BA4C4D">
            <w:pPr>
              <w:jc w:val="both"/>
              <w:rPr>
                <w:sz w:val="20"/>
                <w:szCs w:val="20"/>
                <w:lang w:val="fr-CA"/>
              </w:rPr>
            </w:pPr>
            <w:r w:rsidRPr="00F55576">
              <w:rPr>
                <w:sz w:val="20"/>
                <w:szCs w:val="20"/>
                <w:lang w:val="fr-CA"/>
              </w:rPr>
              <w:t>La requête en prorogation du délai de dépôt de la demande d’autorisation d’appel est accueillie. La demande d’autorisation d’appel de l’arrêt de la Cour d’appel de la Saskatchewan, numéro CACR3201, 2019 SKCA 56, daté du 18 juin 2019, est rejetée.</w:t>
            </w:r>
          </w:p>
          <w:p w:rsidR="00834E76" w:rsidRPr="00F55576" w:rsidRDefault="00834E76" w:rsidP="00BA4C4D">
            <w:pPr>
              <w:jc w:val="both"/>
              <w:rPr>
                <w:sz w:val="20"/>
                <w:lang w:val="fr-CA"/>
              </w:rPr>
            </w:pPr>
          </w:p>
        </w:tc>
      </w:tr>
      <w:tr w:rsidR="00AB75C1" w:rsidRPr="00F55576" w:rsidTr="00BA4C4D">
        <w:tc>
          <w:tcPr>
            <w:tcW w:w="5000" w:type="pct"/>
            <w:gridSpan w:val="4"/>
          </w:tcPr>
          <w:p w:rsidR="00AB75C1" w:rsidRPr="00F55576" w:rsidRDefault="00AB75C1" w:rsidP="00BA4C4D">
            <w:pPr>
              <w:jc w:val="both"/>
              <w:rPr>
                <w:sz w:val="20"/>
                <w:lang w:val="fr-CA"/>
              </w:rPr>
            </w:pPr>
            <w:r w:rsidRPr="00F55576">
              <w:rPr>
                <w:sz w:val="20"/>
                <w:lang w:val="fr-CA"/>
              </w:rPr>
              <w:lastRenderedPageBreak/>
              <w:t xml:space="preserve">Droit criminel — Moyens de défense — Apparence de droit — Infractions — Éléments de l’infraction — Vol — On reproche à l’accusé d’avoir tenté de voler un téléphone cellulaire, mais il dit croire avoir eu le droit d’emprunter le téléphone avec permission — Le juge du procès a déclaré l’accusé coupable de vol, concluant que le moyen de défense d’apparence de droit était irrecevable — Les appels subséquents de la déclaration de culpabilité ont été rejetés — Quel cadre d’analyse permet de déterminer la </w:t>
            </w:r>
            <w:r w:rsidRPr="00F55576">
              <w:rPr>
                <w:i/>
                <w:sz w:val="20"/>
                <w:lang w:val="fr-CA"/>
              </w:rPr>
              <w:t xml:space="preserve">mens </w:t>
            </w:r>
            <w:proofErr w:type="spellStart"/>
            <w:r w:rsidRPr="00F55576">
              <w:rPr>
                <w:i/>
                <w:sz w:val="20"/>
                <w:lang w:val="fr-CA"/>
              </w:rPr>
              <w:t>rea</w:t>
            </w:r>
            <w:proofErr w:type="spellEnd"/>
            <w:r w:rsidRPr="00F55576">
              <w:rPr>
                <w:sz w:val="20"/>
                <w:lang w:val="fr-CA"/>
              </w:rPr>
              <w:t xml:space="preserve"> du vol? — </w:t>
            </w:r>
            <w:r w:rsidRPr="00F55576">
              <w:rPr>
                <w:i/>
                <w:sz w:val="20"/>
                <w:lang w:val="fr-CA"/>
              </w:rPr>
              <w:t>Code criminel</w:t>
            </w:r>
            <w:r w:rsidRPr="00F55576">
              <w:rPr>
                <w:sz w:val="20"/>
                <w:lang w:val="fr-CA"/>
              </w:rPr>
              <w:t>, L.R.C. 1985, ch. C</w:t>
            </w:r>
            <w:r w:rsidRPr="00F55576">
              <w:rPr>
                <w:sz w:val="20"/>
                <w:lang w:val="fr-CA"/>
              </w:rPr>
              <w:noBreakHyphen/>
              <w:t>46, art. 322.</w:t>
            </w:r>
          </w:p>
        </w:tc>
      </w:tr>
      <w:tr w:rsidR="00AB75C1" w:rsidRPr="008042C9" w:rsidTr="00BA4C4D">
        <w:tc>
          <w:tcPr>
            <w:tcW w:w="5000" w:type="pct"/>
            <w:gridSpan w:val="4"/>
          </w:tcPr>
          <w:p w:rsidR="00AB75C1" w:rsidRPr="00F55576" w:rsidRDefault="00AB75C1" w:rsidP="00BA4C4D">
            <w:pPr>
              <w:jc w:val="both"/>
              <w:rPr>
                <w:sz w:val="20"/>
                <w:lang w:val="fr-CA"/>
              </w:rPr>
            </w:pPr>
          </w:p>
          <w:p w:rsidR="00AB75C1" w:rsidRPr="00F55576" w:rsidRDefault="00AB75C1" w:rsidP="00BA4C4D">
            <w:pPr>
              <w:jc w:val="both"/>
              <w:rPr>
                <w:sz w:val="20"/>
                <w:lang w:val="fr-CA"/>
              </w:rPr>
            </w:pPr>
            <w:r w:rsidRPr="00F55576">
              <w:rPr>
                <w:sz w:val="20"/>
                <w:lang w:val="fr-CA"/>
              </w:rPr>
              <w:t>Le 4 janvier 2016, le demandeur, M. Horse, a abordé le plaignant, M. Lalonde, lui demandant d’emprunter son téléphone cellulaire pour tenter d’aider le demandeur à retrouver son chien. Monsieur Horse est alors parti abruptement avec le téléphone, qu’il a laissé tomber par terre non loin de là. Selon la version des faits présentée par M. Horse, il aurait entendu son chien aboyer,  ce qui l’aurait poussé à partir en courant, emportant avec lui par erreur le cellulaire. Lorsque M. Horse s’est aperçu qu’il avait toujours le cellulaire en sa possession, il l’a laissé tomber près de la propriété de M. Lalonde et s’est excusé. Plus tard le même jour, un policier a remarqué un individu dont la description correspondait à celle de M. Horse et l’a arrêté. Monsieur Horse a été accusé de vol d’un bien d’une valeur ne dépassant pas 5 000 $.</w:t>
            </w:r>
          </w:p>
        </w:tc>
      </w:tr>
      <w:tr w:rsidR="00AB75C1" w:rsidRPr="008042C9" w:rsidTr="00BA4C4D">
        <w:tc>
          <w:tcPr>
            <w:tcW w:w="5000" w:type="pct"/>
            <w:gridSpan w:val="4"/>
          </w:tcPr>
          <w:p w:rsidR="00AB75C1" w:rsidRPr="00F55576" w:rsidRDefault="00AB75C1" w:rsidP="00BA4C4D">
            <w:pPr>
              <w:jc w:val="both"/>
              <w:rPr>
                <w:sz w:val="20"/>
                <w:lang w:val="fr-CA"/>
              </w:rPr>
            </w:pPr>
            <w:r w:rsidRPr="00F55576">
              <w:rPr>
                <w:sz w:val="20"/>
                <w:lang w:val="fr-CA"/>
              </w:rPr>
              <w:t>Le juge du procès a déclaré M. Horse coupable de vol, concluant qu’il était manifeste que M. Horse avait enlevé le téléphone de M. Lalonde et qu’il avait quitté la propriété dans l’intention de voler l’appareil. Même si M. Horse pouvait faire valoir une défense d’apparence de droit pour expliquer sa possession continue du téléphone cellulaire tant qu’il se trouvait sur la propriété de M. Lalonde, ce moyen de défense n’était plus recevable dès que M. Horse était parti en courant avec le téléphone. Les appels interjetés par M. Horse de la déclaration de culpabilité, devant la Cour du Banc de la Reine et de la Cour d’appel, ont été rejetés.</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31 août 2016</w:t>
            </w:r>
          </w:p>
          <w:p w:rsidR="00AB75C1" w:rsidRPr="00F55576" w:rsidRDefault="00AB75C1" w:rsidP="00BA4C4D">
            <w:pPr>
              <w:jc w:val="both"/>
              <w:rPr>
                <w:sz w:val="20"/>
                <w:lang w:val="fr-CA"/>
              </w:rPr>
            </w:pPr>
            <w:r w:rsidRPr="00F55576">
              <w:rPr>
                <w:sz w:val="20"/>
                <w:lang w:val="fr-CA"/>
              </w:rPr>
              <w:t>Cour provinciale de la Saskatchewan</w:t>
            </w:r>
          </w:p>
          <w:p w:rsidR="00AB75C1" w:rsidRPr="00F55576" w:rsidRDefault="00AB75C1" w:rsidP="00BA4C4D">
            <w:pPr>
              <w:jc w:val="both"/>
              <w:rPr>
                <w:sz w:val="20"/>
                <w:lang w:val="fr-CA"/>
              </w:rPr>
            </w:pPr>
            <w:r w:rsidRPr="00F55576">
              <w:rPr>
                <w:sz w:val="20"/>
                <w:lang w:val="fr-CA"/>
              </w:rPr>
              <w:t>(Juge Dyck)</w:t>
            </w:r>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Déclaration de culpabilité de M. Horse pour vol d’un bien d’une valeur ne dépassant pas  5 000 $.</w:t>
            </w: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13 novembre 2018</w:t>
            </w:r>
          </w:p>
          <w:p w:rsidR="00AB75C1" w:rsidRPr="00F55576" w:rsidRDefault="00AB75C1" w:rsidP="00BA4C4D">
            <w:pPr>
              <w:jc w:val="both"/>
              <w:rPr>
                <w:sz w:val="20"/>
                <w:lang w:val="fr-CA"/>
              </w:rPr>
            </w:pPr>
            <w:r w:rsidRPr="00F55576">
              <w:rPr>
                <w:sz w:val="20"/>
                <w:lang w:val="fr-CA"/>
              </w:rPr>
              <w:t>Cour du Banc de la Reine de la Saskatchewan</w:t>
            </w:r>
          </w:p>
          <w:p w:rsidR="00AB75C1" w:rsidRPr="00F55576" w:rsidRDefault="00AB75C1" w:rsidP="00BA4C4D">
            <w:pPr>
              <w:jc w:val="both"/>
              <w:rPr>
                <w:sz w:val="20"/>
                <w:lang w:val="fr-CA"/>
              </w:rPr>
            </w:pPr>
            <w:r w:rsidRPr="00F55576">
              <w:rPr>
                <w:sz w:val="20"/>
                <w:lang w:val="fr-CA"/>
              </w:rPr>
              <w:t xml:space="preserve">(Juge </w:t>
            </w:r>
            <w:proofErr w:type="spellStart"/>
            <w:r w:rsidRPr="00F55576">
              <w:rPr>
                <w:sz w:val="20"/>
                <w:lang w:val="fr-CA"/>
              </w:rPr>
              <w:t>Zuk</w:t>
            </w:r>
            <w:proofErr w:type="spellEnd"/>
            <w:r w:rsidRPr="00F55576">
              <w:rPr>
                <w:sz w:val="20"/>
                <w:lang w:val="fr-CA"/>
              </w:rPr>
              <w:t>)</w:t>
            </w:r>
          </w:p>
          <w:p w:rsidR="00AB75C1" w:rsidRPr="00F55576" w:rsidRDefault="00AB75C1" w:rsidP="00BA4C4D">
            <w:pPr>
              <w:jc w:val="both"/>
              <w:rPr>
                <w:sz w:val="20"/>
                <w:lang w:val="fr-CA"/>
              </w:rPr>
            </w:pPr>
            <w:r w:rsidRPr="00F55576">
              <w:rPr>
                <w:sz w:val="20"/>
                <w:lang w:val="fr-CA"/>
              </w:rPr>
              <w:t xml:space="preserve">Référence neutre : </w:t>
            </w:r>
            <w:hyperlink r:id="rId63" w:history="1">
              <w:r w:rsidRPr="00F55576">
                <w:rPr>
                  <w:rStyle w:val="Hyperlink"/>
                  <w:sz w:val="20"/>
                  <w:lang w:val="fr-CA"/>
                </w:rPr>
                <w:t>2018 SKQB 308</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Rejet de l’appel de M. Horse</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18 juin 2019</w:t>
            </w:r>
          </w:p>
          <w:p w:rsidR="00AB75C1" w:rsidRPr="00F55576" w:rsidRDefault="00AB75C1" w:rsidP="00BA4C4D">
            <w:pPr>
              <w:jc w:val="both"/>
              <w:rPr>
                <w:sz w:val="20"/>
                <w:lang w:val="fr-CA"/>
              </w:rPr>
            </w:pPr>
            <w:r w:rsidRPr="00F55576">
              <w:rPr>
                <w:sz w:val="20"/>
                <w:lang w:val="fr-CA"/>
              </w:rPr>
              <w:t>Cour d’appel de la Saskatchewan</w:t>
            </w:r>
          </w:p>
          <w:p w:rsidR="00AB75C1" w:rsidRPr="00F55576" w:rsidRDefault="00AB75C1" w:rsidP="00BA4C4D">
            <w:pPr>
              <w:jc w:val="both"/>
              <w:rPr>
                <w:sz w:val="20"/>
                <w:lang w:val="fr-CA"/>
              </w:rPr>
            </w:pPr>
            <w:r w:rsidRPr="00F55576">
              <w:rPr>
                <w:sz w:val="20"/>
                <w:lang w:val="fr-CA"/>
              </w:rPr>
              <w:t xml:space="preserve">(Juges Schwann, </w:t>
            </w:r>
            <w:proofErr w:type="spellStart"/>
            <w:r w:rsidRPr="00F55576">
              <w:rPr>
                <w:sz w:val="20"/>
                <w:lang w:val="fr-CA"/>
              </w:rPr>
              <w:t>Leurer</w:t>
            </w:r>
            <w:proofErr w:type="spellEnd"/>
            <w:r w:rsidRPr="00F55576">
              <w:rPr>
                <w:sz w:val="20"/>
                <w:lang w:val="fr-CA"/>
              </w:rPr>
              <w:t xml:space="preserve"> et </w:t>
            </w:r>
            <w:proofErr w:type="spellStart"/>
            <w:r w:rsidRPr="00F55576">
              <w:rPr>
                <w:sz w:val="20"/>
                <w:lang w:val="fr-CA"/>
              </w:rPr>
              <w:t>Tholl</w:t>
            </w:r>
            <w:proofErr w:type="spellEnd"/>
            <w:r w:rsidRPr="00F55576">
              <w:rPr>
                <w:sz w:val="20"/>
                <w:lang w:val="fr-CA"/>
              </w:rPr>
              <w:t>)</w:t>
            </w:r>
          </w:p>
          <w:p w:rsidR="00AB75C1" w:rsidRPr="00F55576" w:rsidRDefault="00AB75C1" w:rsidP="00BA4C4D">
            <w:pPr>
              <w:jc w:val="both"/>
              <w:rPr>
                <w:sz w:val="20"/>
                <w:lang w:val="fr-CA"/>
              </w:rPr>
            </w:pPr>
            <w:r w:rsidRPr="00F55576">
              <w:rPr>
                <w:sz w:val="20"/>
                <w:lang w:val="fr-CA"/>
              </w:rPr>
              <w:t xml:space="preserve">Référence neutre : </w:t>
            </w:r>
            <w:hyperlink r:id="rId64" w:history="1">
              <w:r w:rsidRPr="00F55576">
                <w:rPr>
                  <w:rStyle w:val="Hyperlink"/>
                  <w:sz w:val="20"/>
                  <w:lang w:val="fr-CA"/>
                </w:rPr>
                <w:t>2019 SKCA 56</w:t>
              </w:r>
            </w:hyperlink>
            <w:r w:rsidRPr="00F55576">
              <w:rPr>
                <w:sz w:val="20"/>
                <w:lang w:val="fr-CA"/>
              </w:rPr>
              <w:t xml:space="preserve"> </w:t>
            </w:r>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Rejet du deuxième appel de M. Horse</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20 septembre 2019</w:t>
            </w:r>
          </w:p>
          <w:p w:rsidR="00AB75C1" w:rsidRPr="00F55576" w:rsidRDefault="00AB75C1" w:rsidP="00BA4C4D">
            <w:pPr>
              <w:jc w:val="both"/>
              <w:rPr>
                <w:sz w:val="20"/>
                <w:lang w:val="fr-CA"/>
              </w:rPr>
            </w:pPr>
            <w:r w:rsidRPr="00F55576">
              <w:rPr>
                <w:sz w:val="20"/>
                <w:lang w:val="fr-CA"/>
              </w:rPr>
              <w:t>Cour suprême du Canada</w:t>
            </w:r>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Dépôt, par M. Horse, de la requête en prorogation du délai de signification et de dépôt de la demande d’autorisation d’appel et de la demande d’autorisation d’appel</w:t>
            </w:r>
          </w:p>
        </w:tc>
      </w:tr>
    </w:tbl>
    <w:p w:rsidR="00AB75C1" w:rsidRPr="00F55576" w:rsidRDefault="00AB75C1" w:rsidP="00AB75C1">
      <w:pPr>
        <w:jc w:val="both"/>
        <w:rPr>
          <w:sz w:val="20"/>
          <w:lang w:val="fr-CA"/>
        </w:rPr>
      </w:pPr>
    </w:p>
    <w:p w:rsidR="00AB75C1" w:rsidRPr="00F55576" w:rsidRDefault="007B1953" w:rsidP="00AB75C1">
      <w:pPr>
        <w:jc w:val="both"/>
        <w:rPr>
          <w:sz w:val="20"/>
          <w:lang w:val="fr-CA"/>
        </w:rPr>
      </w:pPr>
      <w:r>
        <w:rPr>
          <w:sz w:val="20"/>
        </w:rPr>
        <w:pict>
          <v:rect id="_x0000_i1053" style="width:2in;height:1pt" o:hrpct="0" o:hralign="center" o:hrstd="t" o:hrnoshade="t" o:hr="t" fillcolor="black [3213]" stroked="f"/>
        </w:pict>
      </w:r>
    </w:p>
    <w:p w:rsidR="00AB75C1" w:rsidRPr="00F55576" w:rsidRDefault="00AB75C1" w:rsidP="00AB75C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t>38815</w:t>
            </w:r>
          </w:p>
        </w:tc>
        <w:tc>
          <w:tcPr>
            <w:tcW w:w="4457" w:type="pct"/>
            <w:gridSpan w:val="3"/>
          </w:tcPr>
          <w:p w:rsidR="00AB75C1" w:rsidRPr="00F55576" w:rsidRDefault="00AB75C1" w:rsidP="00BA4C4D">
            <w:pPr>
              <w:pStyle w:val="SCCLsocParty"/>
              <w:jc w:val="both"/>
              <w:rPr>
                <w:b/>
                <w:sz w:val="20"/>
                <w:szCs w:val="20"/>
                <w:lang w:val="en-US"/>
              </w:rPr>
            </w:pPr>
            <w:r w:rsidRPr="00F55576">
              <w:rPr>
                <w:b/>
                <w:sz w:val="20"/>
                <w:szCs w:val="20"/>
                <w:lang w:val="en-US"/>
              </w:rPr>
              <w:t>Many Mansions Spiritual Center, Inc. v. Minister of National Revenue</w:t>
            </w:r>
          </w:p>
          <w:p w:rsidR="00AB75C1" w:rsidRPr="00F55576" w:rsidRDefault="00AB75C1" w:rsidP="00BA4C4D">
            <w:pPr>
              <w:jc w:val="both"/>
              <w:rPr>
                <w:sz w:val="20"/>
              </w:rPr>
            </w:pPr>
            <w:r w:rsidRPr="00F55576">
              <w:rPr>
                <w:sz w:val="20"/>
              </w:rPr>
              <w:t>(F.C.) (Civil) (By Leave)</w:t>
            </w:r>
          </w:p>
        </w:tc>
      </w:tr>
      <w:tr w:rsidR="00834E76" w:rsidRPr="00F55576" w:rsidTr="00BA4C4D">
        <w:tc>
          <w:tcPr>
            <w:tcW w:w="5000" w:type="pct"/>
            <w:gridSpan w:val="4"/>
          </w:tcPr>
          <w:p w:rsidR="00834E76" w:rsidRPr="00F55576" w:rsidRDefault="00F16953" w:rsidP="00BA4C4D">
            <w:pPr>
              <w:jc w:val="both"/>
              <w:rPr>
                <w:sz w:val="20"/>
                <w:szCs w:val="20"/>
              </w:rPr>
            </w:pPr>
            <w:r w:rsidRPr="00F55576">
              <w:rPr>
                <w:sz w:val="20"/>
                <w:szCs w:val="20"/>
              </w:rPr>
              <w:t>The application for leave to appeal from the judgment of the Federal Court of Appeal, Number A-307-16, 2019 FCA 189, dated June 24, 2019, is dismissed with costs.</w:t>
            </w:r>
          </w:p>
          <w:p w:rsidR="00834E76" w:rsidRPr="00F55576" w:rsidRDefault="00834E76" w:rsidP="00BA4C4D">
            <w:pPr>
              <w:jc w:val="both"/>
              <w:rPr>
                <w:sz w:val="20"/>
              </w:rPr>
            </w:pPr>
          </w:p>
        </w:tc>
      </w:tr>
      <w:tr w:rsidR="00AB75C1" w:rsidRPr="00F55576" w:rsidTr="00BA4C4D">
        <w:tc>
          <w:tcPr>
            <w:tcW w:w="5000" w:type="pct"/>
            <w:gridSpan w:val="4"/>
          </w:tcPr>
          <w:p w:rsidR="00AB75C1" w:rsidRPr="00F55576" w:rsidRDefault="00AB75C1" w:rsidP="00BA4C4D">
            <w:pPr>
              <w:jc w:val="both"/>
              <w:rPr>
                <w:sz w:val="20"/>
              </w:rPr>
            </w:pPr>
            <w:r w:rsidRPr="00F55576">
              <w:rPr>
                <w:sz w:val="20"/>
              </w:rPr>
              <w:t xml:space="preserve">Taxation — Charitable status — Revocation — To what extent should the Minister consider or determine whether an organization is “sufficiently Christian” in revoking charitable status — What is the proper application of the “own activities” test in order to determine whether a charity has devoted all its resources to charitable activities carried on by the organization itself — </w:t>
            </w:r>
            <w:r w:rsidRPr="00F55576">
              <w:rPr>
                <w:i/>
                <w:sz w:val="20"/>
              </w:rPr>
              <w:t>Income Tax Act</w:t>
            </w:r>
            <w:r w:rsidRPr="00F55576">
              <w:rPr>
                <w:sz w:val="20"/>
              </w:rPr>
              <w:t>, R.S.C. 1985, c. 1 (5th Supp.).</w:t>
            </w:r>
          </w:p>
        </w:tc>
      </w:tr>
      <w:tr w:rsidR="00AB75C1" w:rsidRPr="00F55576" w:rsidTr="00BA4C4D">
        <w:tc>
          <w:tcPr>
            <w:tcW w:w="5000" w:type="pct"/>
            <w:gridSpan w:val="4"/>
          </w:tcPr>
          <w:p w:rsidR="00AB75C1" w:rsidRPr="00F55576" w:rsidRDefault="00AB75C1" w:rsidP="00BA4C4D">
            <w:pPr>
              <w:jc w:val="both"/>
              <w:rPr>
                <w:sz w:val="20"/>
              </w:rPr>
            </w:pPr>
          </w:p>
        </w:tc>
      </w:tr>
      <w:tr w:rsidR="00AB75C1" w:rsidRPr="00F55576" w:rsidTr="00BA4C4D">
        <w:tc>
          <w:tcPr>
            <w:tcW w:w="5000" w:type="pct"/>
            <w:gridSpan w:val="4"/>
          </w:tcPr>
          <w:p w:rsidR="00AB75C1" w:rsidRPr="00F55576" w:rsidRDefault="00AB75C1" w:rsidP="00BA4C4D">
            <w:pPr>
              <w:jc w:val="both"/>
              <w:rPr>
                <w:sz w:val="20"/>
              </w:rPr>
            </w:pPr>
            <w:r w:rsidRPr="00F55576">
              <w:rPr>
                <w:sz w:val="20"/>
              </w:rPr>
              <w:lastRenderedPageBreak/>
              <w:t>The respondent, Minister of National Revenue</w:t>
            </w:r>
            <w:r w:rsidRPr="00F55576">
              <w:rPr>
                <w:i/>
                <w:sz w:val="20"/>
              </w:rPr>
              <w:t xml:space="preserve"> </w:t>
            </w:r>
            <w:r w:rsidRPr="00F55576">
              <w:rPr>
                <w:sz w:val="20"/>
              </w:rPr>
              <w:t>revoked the applicant, Many Mansions Spiritual Center, Inc.’s registration as a charity. The Minister’s decision followed an audit of Many Mansions’ 2011 and 2012 fiscal periods, the issuance of a notice of proposed revocation, an objection by Many Mansions, and reconsideration of the proposed revocation by the Tax and Charities Directorate of the Canada Revenue Agency. Many Mansions appealed the Minister’s decision but the appeal was dismissed.</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August 9, 2016</w:t>
            </w:r>
          </w:p>
          <w:p w:rsidR="00AB75C1" w:rsidRPr="00F55576" w:rsidRDefault="00AB75C1" w:rsidP="00BA4C4D">
            <w:pPr>
              <w:jc w:val="both"/>
              <w:rPr>
                <w:sz w:val="20"/>
              </w:rPr>
            </w:pPr>
            <w:r w:rsidRPr="00F55576">
              <w:rPr>
                <w:sz w:val="20"/>
              </w:rPr>
              <w:t>Tax and Charities Appeal Directorate</w:t>
            </w:r>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Minister’s proposal to revoke applicant’s registration as a charity confirmed</w:t>
            </w:r>
          </w:p>
        </w:tc>
      </w:tr>
      <w:tr w:rsidR="00AB75C1" w:rsidRPr="00F55576" w:rsidTr="00BA4C4D">
        <w:tc>
          <w:tcPr>
            <w:tcW w:w="2427" w:type="pct"/>
            <w:gridSpan w:val="2"/>
          </w:tcPr>
          <w:p w:rsidR="00AB75C1" w:rsidRPr="00F55576" w:rsidRDefault="00AB75C1" w:rsidP="00BA4C4D">
            <w:pPr>
              <w:jc w:val="both"/>
              <w:rPr>
                <w:sz w:val="20"/>
              </w:rPr>
            </w:pPr>
            <w:r w:rsidRPr="00F55576">
              <w:rPr>
                <w:sz w:val="20"/>
              </w:rPr>
              <w:t>June 24, 2019</w:t>
            </w:r>
          </w:p>
          <w:p w:rsidR="00AB75C1" w:rsidRPr="00F55576" w:rsidRDefault="00AB75C1" w:rsidP="00BA4C4D">
            <w:pPr>
              <w:jc w:val="both"/>
              <w:rPr>
                <w:sz w:val="20"/>
              </w:rPr>
            </w:pPr>
            <w:r w:rsidRPr="00F55576">
              <w:rPr>
                <w:sz w:val="20"/>
              </w:rPr>
              <w:t>Federal Court of Appeal</w:t>
            </w:r>
          </w:p>
          <w:p w:rsidR="00AB75C1" w:rsidRPr="00F55576" w:rsidRDefault="00AB75C1" w:rsidP="00BA4C4D">
            <w:pPr>
              <w:jc w:val="both"/>
              <w:rPr>
                <w:sz w:val="20"/>
              </w:rPr>
            </w:pPr>
            <w:r w:rsidRPr="00F55576">
              <w:rPr>
                <w:sz w:val="20"/>
              </w:rPr>
              <w:t xml:space="preserve">(Gauthier, </w:t>
            </w:r>
            <w:proofErr w:type="spellStart"/>
            <w:r w:rsidRPr="00F55576">
              <w:rPr>
                <w:sz w:val="20"/>
              </w:rPr>
              <w:t>Stratas</w:t>
            </w:r>
            <w:proofErr w:type="spellEnd"/>
            <w:r w:rsidRPr="00F55576">
              <w:rPr>
                <w:sz w:val="20"/>
              </w:rPr>
              <w:t xml:space="preserve"> and </w:t>
            </w:r>
            <w:proofErr w:type="spellStart"/>
            <w:r w:rsidRPr="00F55576">
              <w:rPr>
                <w:sz w:val="20"/>
              </w:rPr>
              <w:t>Laskin</w:t>
            </w:r>
            <w:proofErr w:type="spellEnd"/>
            <w:r w:rsidRPr="00F55576">
              <w:rPr>
                <w:sz w:val="20"/>
              </w:rPr>
              <w:t xml:space="preserve"> JJ.A.)</w:t>
            </w:r>
          </w:p>
          <w:p w:rsidR="00AB75C1" w:rsidRPr="00F55576" w:rsidRDefault="007B1953" w:rsidP="00BA4C4D">
            <w:pPr>
              <w:jc w:val="both"/>
              <w:rPr>
                <w:sz w:val="20"/>
              </w:rPr>
            </w:pPr>
            <w:hyperlink r:id="rId65" w:history="1">
              <w:r w:rsidR="00AB75C1" w:rsidRPr="00F55576">
                <w:rPr>
                  <w:rStyle w:val="Hyperlink"/>
                  <w:sz w:val="20"/>
                </w:rPr>
                <w:t>2019 FCA 189</w:t>
              </w:r>
            </w:hyperlink>
            <w:r w:rsidR="00AB75C1" w:rsidRPr="00F55576">
              <w:rPr>
                <w:sz w:val="20"/>
              </w:rPr>
              <w:t>; A</w:t>
            </w:r>
            <w:r w:rsidR="00AB75C1" w:rsidRPr="00F55576">
              <w:rPr>
                <w:sz w:val="20"/>
              </w:rPr>
              <w:noBreakHyphen/>
              <w:t>307</w:t>
            </w:r>
            <w:r w:rsidR="00AB75C1" w:rsidRPr="00F55576">
              <w:rPr>
                <w:sz w:val="20"/>
              </w:rPr>
              <w:noBreakHyphen/>
              <w:t>16</w:t>
            </w:r>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Appeal dismissed</w:t>
            </w:r>
          </w:p>
        </w:tc>
      </w:tr>
      <w:tr w:rsidR="00AB75C1" w:rsidRPr="00F55576" w:rsidTr="00BA4C4D">
        <w:tc>
          <w:tcPr>
            <w:tcW w:w="2427" w:type="pct"/>
            <w:gridSpan w:val="2"/>
          </w:tcPr>
          <w:p w:rsidR="00AB75C1" w:rsidRPr="00F55576" w:rsidRDefault="00AB75C1" w:rsidP="00BA4C4D">
            <w:pPr>
              <w:jc w:val="both"/>
              <w:rPr>
                <w:sz w:val="20"/>
              </w:rPr>
            </w:pPr>
            <w:r w:rsidRPr="00F55576">
              <w:rPr>
                <w:sz w:val="20"/>
              </w:rPr>
              <w:t>September 23, 2019</w:t>
            </w:r>
          </w:p>
          <w:p w:rsidR="00AB75C1" w:rsidRPr="00F55576" w:rsidRDefault="00AB75C1" w:rsidP="00BA4C4D">
            <w:pPr>
              <w:jc w:val="both"/>
              <w:rPr>
                <w:sz w:val="20"/>
              </w:rPr>
            </w:pPr>
            <w:r w:rsidRPr="00F55576">
              <w:rPr>
                <w:sz w:val="20"/>
              </w:rPr>
              <w:t>Supreme Court of Canada</w:t>
            </w: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Application for leave to appeal filed</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54" style="width:2in;height:1pt" o:hrpct="0" o:hralign="center" o:hrstd="t" o:hrnoshade="t" o:hr="t" fillcolor="black [3213]" stroked="f"/>
        </w:pict>
      </w:r>
    </w:p>
    <w:p w:rsidR="00AB75C1" w:rsidRPr="00F55576" w:rsidRDefault="00AB75C1" w:rsidP="00AB75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lang w:val="fr-CA"/>
              </w:rPr>
            </w:pPr>
            <w:r w:rsidRPr="00F55576">
              <w:rPr>
                <w:rStyle w:val="SCCFileNumberChar"/>
                <w:sz w:val="20"/>
                <w:szCs w:val="20"/>
                <w:lang w:val="fr-CA"/>
              </w:rPr>
              <w:t>38815</w:t>
            </w:r>
          </w:p>
        </w:tc>
        <w:tc>
          <w:tcPr>
            <w:tcW w:w="4457" w:type="pct"/>
            <w:gridSpan w:val="3"/>
          </w:tcPr>
          <w:p w:rsidR="00AB75C1" w:rsidRPr="00F55576" w:rsidRDefault="00AB75C1" w:rsidP="00BA4C4D">
            <w:pPr>
              <w:pStyle w:val="SCCLsocParty"/>
              <w:jc w:val="both"/>
              <w:rPr>
                <w:b/>
                <w:sz w:val="20"/>
                <w:szCs w:val="20"/>
              </w:rPr>
            </w:pPr>
            <w:r w:rsidRPr="00F55576">
              <w:rPr>
                <w:b/>
                <w:sz w:val="20"/>
                <w:szCs w:val="20"/>
              </w:rPr>
              <w:t>Many Mansions Spiritual Center, Inc. c. Ministre du Revenu national</w:t>
            </w:r>
          </w:p>
          <w:p w:rsidR="00AB75C1" w:rsidRPr="00F55576" w:rsidRDefault="00AB75C1" w:rsidP="00BA4C4D">
            <w:pPr>
              <w:jc w:val="both"/>
              <w:rPr>
                <w:sz w:val="20"/>
                <w:lang w:val="fr-CA"/>
              </w:rPr>
            </w:pPr>
            <w:r w:rsidRPr="00F55576">
              <w:rPr>
                <w:sz w:val="20"/>
                <w:lang w:val="fr-CA"/>
              </w:rPr>
              <w:t>(C.F.) (Civile) (Autorisation)</w:t>
            </w:r>
          </w:p>
        </w:tc>
      </w:tr>
      <w:tr w:rsidR="00834E76" w:rsidRPr="008042C9" w:rsidTr="00BA4C4D">
        <w:tc>
          <w:tcPr>
            <w:tcW w:w="5000" w:type="pct"/>
            <w:gridSpan w:val="4"/>
          </w:tcPr>
          <w:p w:rsidR="00834E76" w:rsidRPr="00F55576" w:rsidRDefault="00F16953" w:rsidP="00BA4C4D">
            <w:pPr>
              <w:jc w:val="both"/>
              <w:rPr>
                <w:sz w:val="20"/>
                <w:szCs w:val="20"/>
                <w:lang w:val="fr-CA"/>
              </w:rPr>
            </w:pPr>
            <w:r w:rsidRPr="00F55576">
              <w:rPr>
                <w:sz w:val="20"/>
                <w:szCs w:val="20"/>
                <w:lang w:val="fr-CA"/>
              </w:rPr>
              <w:t>La demande d’autorisation d’appel de l’arrêt de la Cour d’appel fédérale, numéro A-307-16, 2019 CAF 189, daté du 24 juin 2019, est rejetée avec dépens.</w:t>
            </w:r>
          </w:p>
          <w:p w:rsidR="00834E76" w:rsidRPr="00F55576" w:rsidRDefault="00834E76" w:rsidP="00BA4C4D">
            <w:pPr>
              <w:jc w:val="both"/>
              <w:rPr>
                <w:sz w:val="20"/>
                <w:lang w:val="fr-CA"/>
              </w:rPr>
            </w:pPr>
          </w:p>
        </w:tc>
      </w:tr>
      <w:tr w:rsidR="00AB75C1" w:rsidRPr="008042C9" w:rsidTr="00BA4C4D">
        <w:tc>
          <w:tcPr>
            <w:tcW w:w="5000" w:type="pct"/>
            <w:gridSpan w:val="4"/>
          </w:tcPr>
          <w:p w:rsidR="00AB75C1" w:rsidRPr="00F55576" w:rsidRDefault="00AB75C1" w:rsidP="00BA4C4D">
            <w:pPr>
              <w:jc w:val="both"/>
              <w:rPr>
                <w:sz w:val="20"/>
                <w:lang w:val="fr-CA"/>
              </w:rPr>
            </w:pPr>
            <w:r w:rsidRPr="00F55576">
              <w:rPr>
                <w:sz w:val="20"/>
                <w:lang w:val="fr-CA"/>
              </w:rPr>
              <w:t>Droit fiscal — Statut d’organisme de bienfaisance — Révocation — Dans quelle mesure le ministre doit</w:t>
            </w:r>
            <w:r w:rsidRPr="00F55576">
              <w:rPr>
                <w:sz w:val="20"/>
                <w:lang w:val="fr-CA"/>
              </w:rPr>
              <w:noBreakHyphen/>
              <w:t>il se demander ou décider si un organisme est [</w:t>
            </w:r>
            <w:r w:rsidRPr="00F55576">
              <w:rPr>
                <w:smallCaps/>
                <w:sz w:val="20"/>
                <w:lang w:val="fr-CA"/>
              </w:rPr>
              <w:t>traduction</w:t>
            </w:r>
            <w:r w:rsidRPr="00F55576">
              <w:rPr>
                <w:sz w:val="20"/>
                <w:lang w:val="fr-CA"/>
              </w:rPr>
              <w:t>] « suffisamment chrétien » lors de la révocation du statut d’organisme de bienfaisance? — Quelle est bonne façon d’appliquer le critère des « activités propres » pour déterminer si un organisme de bienfaisance a consacré l’ensemble de ses ressources aux activités de bienfaisance exercées par l’organisme lui</w:t>
            </w:r>
            <w:r w:rsidRPr="00F55576">
              <w:rPr>
                <w:sz w:val="20"/>
                <w:lang w:val="fr-CA"/>
              </w:rPr>
              <w:noBreakHyphen/>
              <w:t xml:space="preserve">même? — </w:t>
            </w:r>
            <w:r w:rsidRPr="00F55576">
              <w:rPr>
                <w:i/>
                <w:sz w:val="20"/>
                <w:lang w:val="fr-CA"/>
              </w:rPr>
              <w:t>Loi de l’impôt sur le revenu</w:t>
            </w:r>
            <w:r w:rsidRPr="00F55576">
              <w:rPr>
                <w:sz w:val="20"/>
                <w:lang w:val="fr-CA"/>
              </w:rPr>
              <w:t>, L.R.C. 1985, ch. 1 (5</w:t>
            </w:r>
            <w:r w:rsidRPr="00F55576">
              <w:rPr>
                <w:sz w:val="20"/>
                <w:vertAlign w:val="superscript"/>
                <w:lang w:val="fr-CA"/>
              </w:rPr>
              <w:t>e</w:t>
            </w:r>
            <w:r w:rsidRPr="00F55576">
              <w:rPr>
                <w:sz w:val="20"/>
                <w:lang w:val="fr-CA"/>
              </w:rPr>
              <w:t xml:space="preserve"> suppl.).</w:t>
            </w:r>
          </w:p>
        </w:tc>
      </w:tr>
      <w:tr w:rsidR="00AB75C1" w:rsidRPr="008042C9" w:rsidTr="00BA4C4D">
        <w:tc>
          <w:tcPr>
            <w:tcW w:w="5000" w:type="pct"/>
            <w:gridSpan w:val="4"/>
          </w:tcPr>
          <w:p w:rsidR="00AB75C1" w:rsidRPr="00F55576" w:rsidRDefault="00AB75C1" w:rsidP="00BA4C4D">
            <w:pPr>
              <w:jc w:val="both"/>
              <w:rPr>
                <w:sz w:val="20"/>
                <w:lang w:val="fr-CA"/>
              </w:rPr>
            </w:pPr>
          </w:p>
        </w:tc>
      </w:tr>
      <w:tr w:rsidR="00AB75C1" w:rsidRPr="008042C9" w:rsidTr="00BA4C4D">
        <w:tc>
          <w:tcPr>
            <w:tcW w:w="5000" w:type="pct"/>
            <w:gridSpan w:val="4"/>
          </w:tcPr>
          <w:p w:rsidR="00AB75C1" w:rsidRPr="00F55576" w:rsidRDefault="00AB75C1" w:rsidP="00BA4C4D">
            <w:pPr>
              <w:jc w:val="both"/>
              <w:rPr>
                <w:sz w:val="20"/>
                <w:lang w:val="fr-CA"/>
              </w:rPr>
            </w:pPr>
            <w:r w:rsidRPr="00F55576">
              <w:rPr>
                <w:sz w:val="20"/>
                <w:lang w:val="fr-CA"/>
              </w:rPr>
              <w:t>L’intimé, le ministre du Revenu national, a révoqué l’enregistrement de la demanderesse,</w:t>
            </w:r>
            <w:r w:rsidRPr="00F55576">
              <w:rPr>
                <w:i/>
                <w:sz w:val="20"/>
                <w:lang w:val="fr-CA"/>
              </w:rPr>
              <w:t xml:space="preserve"> </w:t>
            </w:r>
            <w:r w:rsidRPr="00F55576">
              <w:rPr>
                <w:sz w:val="20"/>
                <w:lang w:val="fr-CA"/>
              </w:rPr>
              <w:t>Many Mansions Spiritual Center, Inc. à titre d’organisme de bienfaisance. Le ministre a pris cette décision à la suite d’une vérification des exercices financiers 2011 et 2012 de Many Mansions, de la délivrance d’un avis de révocation proposée, d’une opposition de Many Mansions, et du réexamen de la révocation par la Direction des appels en matière fiscale et de bienfaisance de l’Agence du revenu du Canada. Many Mansions a interjeté appel de la décision du ministre, mais l’appel a été rejeté.</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9 août 2016</w:t>
            </w:r>
          </w:p>
          <w:p w:rsidR="00AB75C1" w:rsidRPr="00F55576" w:rsidRDefault="00AB75C1" w:rsidP="00BA4C4D">
            <w:pPr>
              <w:jc w:val="both"/>
              <w:rPr>
                <w:sz w:val="20"/>
                <w:lang w:val="fr-CA"/>
              </w:rPr>
            </w:pPr>
            <w:r w:rsidRPr="00F55576">
              <w:rPr>
                <w:sz w:val="20"/>
                <w:lang w:val="fr-CA"/>
              </w:rPr>
              <w:t>Direction des appels en matière fiscale et de bienfaisance</w:t>
            </w:r>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Confirmation de la proposition du ministre de révoquer l’enregistrement de la demanderesse à titre d’organisme de bienfaisance</w:t>
            </w:r>
          </w:p>
        </w:tc>
      </w:tr>
      <w:tr w:rsidR="00AB75C1" w:rsidRPr="00F55576" w:rsidTr="00BA4C4D">
        <w:tc>
          <w:tcPr>
            <w:tcW w:w="2427" w:type="pct"/>
            <w:gridSpan w:val="2"/>
          </w:tcPr>
          <w:p w:rsidR="00AB75C1" w:rsidRPr="00F55576" w:rsidRDefault="00AB75C1" w:rsidP="00BA4C4D">
            <w:pPr>
              <w:jc w:val="both"/>
              <w:rPr>
                <w:sz w:val="20"/>
                <w:lang w:val="fr-CA"/>
              </w:rPr>
            </w:pPr>
            <w:r w:rsidRPr="00F55576">
              <w:rPr>
                <w:sz w:val="20"/>
                <w:lang w:val="fr-CA"/>
              </w:rPr>
              <w:t>24 juin 2019</w:t>
            </w:r>
          </w:p>
          <w:p w:rsidR="00AB75C1" w:rsidRPr="00F55576" w:rsidRDefault="00AB75C1" w:rsidP="00BA4C4D">
            <w:pPr>
              <w:jc w:val="both"/>
              <w:rPr>
                <w:sz w:val="20"/>
                <w:lang w:val="fr-CA"/>
              </w:rPr>
            </w:pPr>
            <w:r w:rsidRPr="00F55576">
              <w:rPr>
                <w:sz w:val="20"/>
                <w:lang w:val="fr-CA"/>
              </w:rPr>
              <w:t>Cour d’appel fédérale</w:t>
            </w:r>
          </w:p>
          <w:p w:rsidR="00AB75C1" w:rsidRPr="00F55576" w:rsidRDefault="00AB75C1" w:rsidP="00BA4C4D">
            <w:pPr>
              <w:jc w:val="both"/>
              <w:rPr>
                <w:sz w:val="20"/>
                <w:lang w:val="fr-CA"/>
              </w:rPr>
            </w:pPr>
            <w:r w:rsidRPr="00F55576">
              <w:rPr>
                <w:sz w:val="20"/>
                <w:lang w:val="fr-CA"/>
              </w:rPr>
              <w:t xml:space="preserve">(Juges Gauthier, </w:t>
            </w:r>
            <w:proofErr w:type="spellStart"/>
            <w:r w:rsidRPr="00F55576">
              <w:rPr>
                <w:sz w:val="20"/>
                <w:lang w:val="fr-CA"/>
              </w:rPr>
              <w:t>Stratas</w:t>
            </w:r>
            <w:proofErr w:type="spellEnd"/>
            <w:r w:rsidRPr="00F55576">
              <w:rPr>
                <w:sz w:val="20"/>
                <w:lang w:val="fr-CA"/>
              </w:rPr>
              <w:t xml:space="preserve"> et </w:t>
            </w:r>
            <w:proofErr w:type="spellStart"/>
            <w:r w:rsidRPr="00F55576">
              <w:rPr>
                <w:sz w:val="20"/>
                <w:lang w:val="fr-CA"/>
              </w:rPr>
              <w:t>Laskin</w:t>
            </w:r>
            <w:proofErr w:type="spellEnd"/>
            <w:r w:rsidRPr="00F55576">
              <w:rPr>
                <w:sz w:val="20"/>
                <w:lang w:val="fr-CA"/>
              </w:rPr>
              <w:t>)</w:t>
            </w:r>
          </w:p>
          <w:p w:rsidR="00AB75C1" w:rsidRPr="00F55576" w:rsidRDefault="007B1953" w:rsidP="00BA4C4D">
            <w:pPr>
              <w:jc w:val="both"/>
              <w:rPr>
                <w:sz w:val="20"/>
                <w:lang w:val="fr-CA"/>
              </w:rPr>
            </w:pPr>
            <w:hyperlink r:id="rId66" w:history="1">
              <w:r w:rsidR="00AB75C1" w:rsidRPr="00F55576">
                <w:rPr>
                  <w:rStyle w:val="Hyperlink"/>
                  <w:sz w:val="20"/>
                  <w:lang w:val="fr-CA"/>
                </w:rPr>
                <w:t>2019 FCA 189</w:t>
              </w:r>
            </w:hyperlink>
            <w:r w:rsidR="00AB75C1" w:rsidRPr="00F55576">
              <w:rPr>
                <w:sz w:val="20"/>
                <w:lang w:val="fr-CA"/>
              </w:rPr>
              <w:t>; A</w:t>
            </w:r>
            <w:r w:rsidR="00AB75C1" w:rsidRPr="00F55576">
              <w:rPr>
                <w:sz w:val="20"/>
                <w:lang w:val="fr-CA"/>
              </w:rPr>
              <w:noBreakHyphen/>
              <w:t>307</w:t>
            </w:r>
            <w:r w:rsidR="00AB75C1" w:rsidRPr="00F55576">
              <w:rPr>
                <w:sz w:val="20"/>
                <w:lang w:val="fr-CA"/>
              </w:rPr>
              <w:noBreakHyphen/>
              <w:t>16</w:t>
            </w:r>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Rejet de l’appel</w:t>
            </w: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23 septembre 2019</w:t>
            </w:r>
          </w:p>
          <w:p w:rsidR="00AB75C1" w:rsidRPr="00F55576" w:rsidRDefault="00AB75C1" w:rsidP="00BA4C4D">
            <w:pPr>
              <w:jc w:val="both"/>
              <w:rPr>
                <w:sz w:val="20"/>
                <w:lang w:val="fr-CA"/>
              </w:rPr>
            </w:pPr>
            <w:r w:rsidRPr="00F55576">
              <w:rPr>
                <w:sz w:val="20"/>
                <w:lang w:val="fr-CA"/>
              </w:rPr>
              <w:t>Cour suprême du Canada</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Dépôt de la demande d’autorisation d’appel</w:t>
            </w:r>
          </w:p>
          <w:p w:rsidR="00AB75C1" w:rsidRPr="00F55576" w:rsidRDefault="00AB75C1" w:rsidP="00BA4C4D">
            <w:pPr>
              <w:jc w:val="both"/>
              <w:rPr>
                <w:sz w:val="20"/>
                <w:lang w:val="fr-CA"/>
              </w:rPr>
            </w:pPr>
          </w:p>
        </w:tc>
      </w:tr>
    </w:tbl>
    <w:p w:rsidR="00AB75C1" w:rsidRPr="00F55576" w:rsidRDefault="00AB75C1" w:rsidP="00AB75C1">
      <w:pPr>
        <w:jc w:val="both"/>
        <w:rPr>
          <w:sz w:val="20"/>
          <w:lang w:val="fr-CA"/>
        </w:rPr>
      </w:pPr>
    </w:p>
    <w:p w:rsidR="00AB75C1" w:rsidRPr="00F55576" w:rsidRDefault="007B1953" w:rsidP="00AB75C1">
      <w:pPr>
        <w:jc w:val="both"/>
        <w:rPr>
          <w:sz w:val="20"/>
          <w:lang w:val="fr-CA"/>
        </w:rPr>
      </w:pPr>
      <w:r>
        <w:rPr>
          <w:sz w:val="20"/>
        </w:rPr>
        <w:pict>
          <v:rect id="_x0000_i1055" style="width:2in;height:1pt" o:hrpct="0" o:hralign="center" o:hrstd="t" o:hrnoshade="t" o:hr="t" fillcolor="black [3213]" stroked="f"/>
        </w:pict>
      </w:r>
    </w:p>
    <w:p w:rsidR="00AB75C1" w:rsidRPr="00F55576" w:rsidRDefault="00AB75C1" w:rsidP="00AB75C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lastRenderedPageBreak/>
              <w:t>38789</w:t>
            </w:r>
          </w:p>
        </w:tc>
        <w:tc>
          <w:tcPr>
            <w:tcW w:w="4457" w:type="pct"/>
            <w:gridSpan w:val="3"/>
          </w:tcPr>
          <w:p w:rsidR="00AB75C1" w:rsidRPr="00F55576" w:rsidRDefault="00AB75C1" w:rsidP="00BA4C4D">
            <w:pPr>
              <w:pStyle w:val="SCCLsocParty"/>
              <w:jc w:val="both"/>
              <w:rPr>
                <w:b/>
                <w:sz w:val="20"/>
                <w:szCs w:val="20"/>
                <w:lang w:val="en-US"/>
              </w:rPr>
            </w:pPr>
            <w:r w:rsidRPr="00F55576">
              <w:rPr>
                <w:b/>
                <w:sz w:val="20"/>
                <w:szCs w:val="20"/>
                <w:lang w:val="en-US"/>
              </w:rPr>
              <w:t>Her Majesty the Queen in Right of the Province of British Columbia v. Teal Cedar Products Ltd.</w:t>
            </w:r>
          </w:p>
          <w:p w:rsidR="00AB75C1" w:rsidRPr="00F55576" w:rsidRDefault="00AB75C1" w:rsidP="00BA4C4D">
            <w:pPr>
              <w:jc w:val="both"/>
              <w:rPr>
                <w:sz w:val="20"/>
              </w:rPr>
            </w:pPr>
            <w:r w:rsidRPr="00F55576">
              <w:rPr>
                <w:sz w:val="20"/>
              </w:rPr>
              <w:t>(B.C.) (Civil) (By Leave)</w:t>
            </w:r>
          </w:p>
        </w:tc>
      </w:tr>
      <w:tr w:rsidR="00834E76" w:rsidRPr="00F55576" w:rsidTr="00BA4C4D">
        <w:tc>
          <w:tcPr>
            <w:tcW w:w="5000" w:type="pct"/>
            <w:gridSpan w:val="4"/>
          </w:tcPr>
          <w:p w:rsidR="00552444" w:rsidRPr="00F55576" w:rsidRDefault="00552444" w:rsidP="00552444">
            <w:pPr>
              <w:jc w:val="both"/>
              <w:rPr>
                <w:sz w:val="20"/>
                <w:szCs w:val="20"/>
              </w:rPr>
            </w:pPr>
            <w:r w:rsidRPr="00F55576">
              <w:rPr>
                <w:sz w:val="20"/>
                <w:szCs w:val="20"/>
              </w:rPr>
              <w:t>The motion for an extension of time to file the reply is granted. The application for leave to appeal from the judgment of the Court of Appeal for British Columbia (Vancouver), Number CA45730, 2019 BCCA 194, dated June 4, 2019, is dismissed with costs.</w:t>
            </w:r>
          </w:p>
          <w:p w:rsidR="00834E76" w:rsidRPr="00F55576" w:rsidRDefault="00834E76" w:rsidP="00BA4C4D">
            <w:pPr>
              <w:jc w:val="both"/>
              <w:rPr>
                <w:sz w:val="20"/>
              </w:rPr>
            </w:pPr>
          </w:p>
        </w:tc>
      </w:tr>
      <w:tr w:rsidR="00AB75C1" w:rsidRPr="00F55576" w:rsidTr="00BA4C4D">
        <w:tc>
          <w:tcPr>
            <w:tcW w:w="5000" w:type="pct"/>
            <w:gridSpan w:val="4"/>
          </w:tcPr>
          <w:p w:rsidR="00AB75C1" w:rsidRPr="00F55576" w:rsidRDefault="00AB75C1" w:rsidP="00BA4C4D">
            <w:pPr>
              <w:jc w:val="both"/>
              <w:rPr>
                <w:sz w:val="20"/>
              </w:rPr>
            </w:pPr>
            <w:r w:rsidRPr="00F55576">
              <w:rPr>
                <w:sz w:val="20"/>
              </w:rPr>
              <w:t xml:space="preserve">Civil Procedure — Appeal — </w:t>
            </w:r>
            <w:r w:rsidRPr="00F55576">
              <w:rPr>
                <w:iCs/>
                <w:sz w:val="20"/>
                <w:lang w:val="en"/>
              </w:rPr>
              <w:t xml:space="preserve">Applicant’s application to have respondent’s claim against the defendant Haida Gwaii Management Council struck dismissed </w:t>
            </w:r>
            <w:r w:rsidRPr="00F55576">
              <w:rPr>
                <w:sz w:val="20"/>
              </w:rPr>
              <w:t>— Whether the Court of Appeal erred in stating and applying the test for determining the capacity of a statutory body to be sued — Whether the Court of Appeal erred by importing a consideration of the nature and complexity of the claim advanced, into the test for determining the capacity of a statutory body to be sued in an action for damages — Whether the Court of Appeal for British Columbia erred by failing to characterize the capacity of a statutory body to be sued in an action for damages as a jurisdictional issue, thereby contradicting previous jurisprudence from the New Brunswick Court of Appeal and from the Court of Appeal for British Columbia itself — Whether the Court of Appeal erred by considering legislation beyond the constituting legislation of the statutory body, the Haida Gwaii Management Council.</w:t>
            </w:r>
          </w:p>
          <w:p w:rsidR="00AB75C1" w:rsidRPr="00F55576" w:rsidRDefault="00AB75C1" w:rsidP="00BA4C4D">
            <w:pPr>
              <w:jc w:val="both"/>
              <w:rPr>
                <w:sz w:val="20"/>
              </w:rPr>
            </w:pPr>
          </w:p>
        </w:tc>
      </w:tr>
      <w:tr w:rsidR="00AB75C1" w:rsidRPr="00F55576" w:rsidTr="00BA4C4D">
        <w:tc>
          <w:tcPr>
            <w:tcW w:w="5000" w:type="pct"/>
            <w:gridSpan w:val="4"/>
          </w:tcPr>
          <w:p w:rsidR="00AB75C1" w:rsidRPr="00F55576" w:rsidRDefault="00AB75C1" w:rsidP="00BA4C4D">
            <w:pPr>
              <w:jc w:val="both"/>
              <w:rPr>
                <w:sz w:val="20"/>
              </w:rPr>
            </w:pPr>
            <w:r w:rsidRPr="00F55576">
              <w:rPr>
                <w:sz w:val="20"/>
                <w:lang w:val="en"/>
              </w:rPr>
              <w:t xml:space="preserve">The respondent, Teal Cedar Products Ltd. (Teal), held two licenses to harvest timber on Haida Gwaii. Teal brought an action against the applicant, the Haida Nation and the </w:t>
            </w:r>
            <w:r w:rsidRPr="00F55576">
              <w:rPr>
                <w:iCs/>
                <w:sz w:val="20"/>
                <w:lang w:val="en"/>
              </w:rPr>
              <w:t>Haida Gwaii Management Council (</w:t>
            </w:r>
            <w:r w:rsidRPr="00F55576">
              <w:rPr>
                <w:sz w:val="20"/>
                <w:lang w:val="en"/>
              </w:rPr>
              <w:t xml:space="preserve">HGMC) to recover losses it says flowed from the reduction of its allowable annual cut and restrictions on harvesting in certain areas of Haida Gwaii. </w:t>
            </w:r>
            <w:r w:rsidRPr="00F55576">
              <w:rPr>
                <w:iCs/>
                <w:sz w:val="20"/>
                <w:lang w:val="en"/>
              </w:rPr>
              <w:t>The applicant brought an application under the British Columbia Supreme Court Civil Rule 6</w:t>
            </w:r>
            <w:r w:rsidRPr="00F55576">
              <w:rPr>
                <w:iCs/>
                <w:sz w:val="20"/>
                <w:lang w:val="en"/>
              </w:rPr>
              <w:noBreakHyphen/>
              <w:t xml:space="preserve">2 to remove the HGMC as a party on the basis that it lacked capacity to be sued </w:t>
            </w:r>
            <w:r w:rsidRPr="00F55576">
              <w:rPr>
                <w:sz w:val="20"/>
                <w:lang w:val="en"/>
              </w:rPr>
              <w:t>and to strike Teal’s claim against the HGMC.</w:t>
            </w:r>
            <w:r w:rsidRPr="00F55576">
              <w:rPr>
                <w:iCs/>
                <w:sz w:val="20"/>
                <w:lang w:val="en"/>
              </w:rPr>
              <w:t xml:space="preserve"> The applicant’s application was dismissed by </w:t>
            </w:r>
            <w:r w:rsidRPr="00F55576">
              <w:rPr>
                <w:iCs/>
                <w:sz w:val="20"/>
              </w:rPr>
              <w:t xml:space="preserve">the </w:t>
            </w:r>
            <w:r w:rsidRPr="00F55576">
              <w:rPr>
                <w:iCs/>
                <w:sz w:val="20"/>
                <w:lang w:val="en"/>
              </w:rPr>
              <w:t xml:space="preserve">chambers judge. </w:t>
            </w:r>
            <w:r w:rsidRPr="00F55576">
              <w:rPr>
                <w:sz w:val="20"/>
              </w:rPr>
              <w:t xml:space="preserve">The Court of Appeal </w:t>
            </w:r>
            <w:r w:rsidRPr="00F55576">
              <w:rPr>
                <w:iCs/>
                <w:sz w:val="20"/>
                <w:lang w:val="en"/>
              </w:rPr>
              <w:t>dismissed the appeal.</w:t>
            </w:r>
          </w:p>
        </w:tc>
      </w:tr>
      <w:tr w:rsidR="00AB75C1" w:rsidRPr="00F55576" w:rsidTr="00BA4C4D">
        <w:tc>
          <w:tcPr>
            <w:tcW w:w="5000" w:type="pct"/>
            <w:gridSpan w:val="4"/>
          </w:tcPr>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October 25, 2018</w:t>
            </w:r>
          </w:p>
          <w:p w:rsidR="00AB75C1" w:rsidRPr="00F55576" w:rsidRDefault="00AB75C1" w:rsidP="00BA4C4D">
            <w:pPr>
              <w:jc w:val="both"/>
              <w:rPr>
                <w:sz w:val="20"/>
              </w:rPr>
            </w:pPr>
            <w:r w:rsidRPr="00F55576">
              <w:rPr>
                <w:sz w:val="20"/>
              </w:rPr>
              <w:t>Supreme Court of British Columbia</w:t>
            </w:r>
          </w:p>
          <w:p w:rsidR="00AB75C1" w:rsidRPr="00F55576" w:rsidRDefault="00AB75C1" w:rsidP="00BA4C4D">
            <w:pPr>
              <w:jc w:val="both"/>
              <w:rPr>
                <w:sz w:val="20"/>
              </w:rPr>
            </w:pPr>
            <w:r w:rsidRPr="00F55576">
              <w:rPr>
                <w:sz w:val="20"/>
              </w:rPr>
              <w:t>(Smith J.)</w:t>
            </w:r>
          </w:p>
          <w:p w:rsidR="00AB75C1" w:rsidRPr="00F55576" w:rsidRDefault="007B1953" w:rsidP="00BA4C4D">
            <w:pPr>
              <w:jc w:val="both"/>
              <w:rPr>
                <w:sz w:val="20"/>
              </w:rPr>
            </w:pPr>
            <w:hyperlink r:id="rId67" w:history="1">
              <w:r w:rsidR="00AB75C1" w:rsidRPr="00F55576">
                <w:rPr>
                  <w:rStyle w:val="Hyperlink"/>
                  <w:sz w:val="20"/>
                </w:rPr>
                <w:t>2018 BCSC 1850</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Applicant’s application dismissed with costs in the cause</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June 4, 2019</w:t>
            </w:r>
          </w:p>
          <w:p w:rsidR="00AB75C1" w:rsidRPr="00F55576" w:rsidRDefault="00AB75C1" w:rsidP="00BA4C4D">
            <w:pPr>
              <w:jc w:val="both"/>
              <w:rPr>
                <w:sz w:val="20"/>
              </w:rPr>
            </w:pPr>
            <w:r w:rsidRPr="00F55576">
              <w:rPr>
                <w:sz w:val="20"/>
              </w:rPr>
              <w:t xml:space="preserve">Court of Appeal for British Columbia </w:t>
            </w:r>
          </w:p>
          <w:p w:rsidR="00AB75C1" w:rsidRPr="00F55576" w:rsidRDefault="00AB75C1" w:rsidP="00BA4C4D">
            <w:pPr>
              <w:jc w:val="both"/>
              <w:rPr>
                <w:sz w:val="20"/>
                <w:lang w:val="fr-CA"/>
              </w:rPr>
            </w:pPr>
            <w:r w:rsidRPr="00F55576">
              <w:rPr>
                <w:sz w:val="20"/>
                <w:lang w:val="fr-CA"/>
              </w:rPr>
              <w:t>(Vancouver)</w:t>
            </w:r>
          </w:p>
          <w:p w:rsidR="00AB75C1" w:rsidRPr="00F55576" w:rsidRDefault="00AB75C1" w:rsidP="00BA4C4D">
            <w:pPr>
              <w:jc w:val="both"/>
              <w:rPr>
                <w:sz w:val="20"/>
                <w:lang w:val="fr-CA"/>
              </w:rPr>
            </w:pPr>
            <w:r w:rsidRPr="00F55576">
              <w:rPr>
                <w:sz w:val="20"/>
                <w:lang w:val="fr-CA"/>
              </w:rPr>
              <w:t>(</w:t>
            </w:r>
            <w:proofErr w:type="spellStart"/>
            <w:r w:rsidRPr="00F55576">
              <w:rPr>
                <w:sz w:val="20"/>
                <w:lang w:val="fr-CA"/>
              </w:rPr>
              <w:t>MacKenzie</w:t>
            </w:r>
            <w:proofErr w:type="spellEnd"/>
            <w:r w:rsidRPr="00F55576">
              <w:rPr>
                <w:sz w:val="20"/>
                <w:lang w:val="fr-CA"/>
              </w:rPr>
              <w:t xml:space="preserve">, </w:t>
            </w:r>
            <w:proofErr w:type="spellStart"/>
            <w:r w:rsidRPr="00F55576">
              <w:rPr>
                <w:sz w:val="20"/>
                <w:lang w:val="fr-CA"/>
              </w:rPr>
              <w:t>Fenlon</w:t>
            </w:r>
            <w:proofErr w:type="spellEnd"/>
            <w:r w:rsidRPr="00F55576">
              <w:rPr>
                <w:sz w:val="20"/>
                <w:lang w:val="fr-CA"/>
              </w:rPr>
              <w:t xml:space="preserve">, </w:t>
            </w:r>
            <w:proofErr w:type="spellStart"/>
            <w:r w:rsidRPr="00F55576">
              <w:rPr>
                <w:sz w:val="20"/>
                <w:lang w:val="fr-CA"/>
              </w:rPr>
              <w:t>Abrioux</w:t>
            </w:r>
            <w:proofErr w:type="spellEnd"/>
            <w:r w:rsidRPr="00F55576">
              <w:rPr>
                <w:sz w:val="20"/>
                <w:lang w:val="fr-CA"/>
              </w:rPr>
              <w:t xml:space="preserve"> JJ.A.)</w:t>
            </w:r>
          </w:p>
          <w:p w:rsidR="00AB75C1" w:rsidRPr="00F55576" w:rsidRDefault="007B1953" w:rsidP="00BA4C4D">
            <w:pPr>
              <w:jc w:val="both"/>
              <w:rPr>
                <w:sz w:val="20"/>
              </w:rPr>
            </w:pPr>
            <w:hyperlink r:id="rId68" w:history="1">
              <w:r w:rsidR="00AB75C1" w:rsidRPr="00F55576">
                <w:rPr>
                  <w:rStyle w:val="Hyperlink"/>
                  <w:sz w:val="20"/>
                </w:rPr>
                <w:t>2019 BCCA 194</w:t>
              </w:r>
            </w:hyperlink>
            <w:r w:rsidR="00AB75C1" w:rsidRPr="00F55576">
              <w:rPr>
                <w:sz w:val="20"/>
              </w:rPr>
              <w:t xml:space="preserve"> </w:t>
            </w:r>
          </w:p>
          <w:p w:rsidR="00AB75C1" w:rsidRPr="00F55576" w:rsidRDefault="00AB75C1" w:rsidP="00BA4C4D">
            <w:pPr>
              <w:jc w:val="both"/>
              <w:rPr>
                <w:sz w:val="20"/>
              </w:rPr>
            </w:pPr>
            <w:r w:rsidRPr="00F55576">
              <w:rPr>
                <w:sz w:val="20"/>
              </w:rPr>
              <w:t>CA45730</w:t>
            </w:r>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Appeal dismissed with costs</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August 30, 2019</w:t>
            </w:r>
          </w:p>
          <w:p w:rsidR="00AB75C1" w:rsidRPr="00F55576" w:rsidRDefault="00AB75C1" w:rsidP="00BA4C4D">
            <w:pPr>
              <w:jc w:val="both"/>
              <w:rPr>
                <w:sz w:val="20"/>
              </w:rPr>
            </w:pPr>
            <w:r w:rsidRPr="00F55576">
              <w:rPr>
                <w:sz w:val="20"/>
              </w:rPr>
              <w:t>Supreme Court of Canada</w:t>
            </w: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Application for leave to appeal filed</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56" style="width:2in;height:1pt" o:hrpct="0" o:hralign="center" o:hrstd="t" o:hrnoshade="t" o:hr="t" fillcolor="black [3213]" stroked="f"/>
        </w:pict>
      </w:r>
    </w:p>
    <w:p w:rsidR="00AB75C1" w:rsidRPr="00F55576" w:rsidRDefault="00AB75C1" w:rsidP="00AB75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B75C1" w:rsidRPr="00F55576" w:rsidTr="00BA4C4D">
        <w:tc>
          <w:tcPr>
            <w:tcW w:w="543" w:type="pct"/>
          </w:tcPr>
          <w:p w:rsidR="00AB75C1" w:rsidRPr="00F55576" w:rsidRDefault="00AB75C1" w:rsidP="00BA4C4D">
            <w:pPr>
              <w:jc w:val="both"/>
              <w:rPr>
                <w:sz w:val="20"/>
                <w:lang w:val="fr-CA"/>
              </w:rPr>
            </w:pPr>
            <w:r w:rsidRPr="00F55576">
              <w:rPr>
                <w:rStyle w:val="SCCFileNumberChar"/>
                <w:sz w:val="20"/>
                <w:szCs w:val="20"/>
                <w:lang w:val="fr-CA"/>
              </w:rPr>
              <w:t>38789</w:t>
            </w:r>
          </w:p>
        </w:tc>
        <w:tc>
          <w:tcPr>
            <w:tcW w:w="4457" w:type="pct"/>
          </w:tcPr>
          <w:p w:rsidR="00AB75C1" w:rsidRPr="00F55576" w:rsidRDefault="00AB75C1" w:rsidP="00BA4C4D">
            <w:pPr>
              <w:pStyle w:val="SCCLsocParty"/>
              <w:jc w:val="both"/>
              <w:rPr>
                <w:b/>
                <w:sz w:val="20"/>
                <w:szCs w:val="20"/>
              </w:rPr>
            </w:pPr>
            <w:r w:rsidRPr="00F55576">
              <w:rPr>
                <w:b/>
                <w:sz w:val="20"/>
                <w:szCs w:val="20"/>
              </w:rPr>
              <w:t>Sa Majesté la Reine du chef de la province de la Colombie-Britannique c. Teal Cedar Products Ltd.</w:t>
            </w:r>
          </w:p>
          <w:p w:rsidR="00AB75C1" w:rsidRPr="00F55576" w:rsidRDefault="00AB75C1" w:rsidP="00BA4C4D">
            <w:pPr>
              <w:jc w:val="both"/>
              <w:rPr>
                <w:sz w:val="20"/>
                <w:lang w:val="fr-CA"/>
              </w:rPr>
            </w:pPr>
            <w:r w:rsidRPr="00F55576">
              <w:rPr>
                <w:sz w:val="20"/>
                <w:lang w:val="fr-CA"/>
              </w:rPr>
              <w:t>(C.</w:t>
            </w:r>
            <w:r w:rsidRPr="00F55576">
              <w:rPr>
                <w:sz w:val="20"/>
                <w:lang w:val="fr-CA"/>
              </w:rPr>
              <w:noBreakHyphen/>
              <w:t>B.) (Civile) (Autorisation)</w:t>
            </w:r>
          </w:p>
        </w:tc>
      </w:tr>
      <w:tr w:rsidR="00834E76" w:rsidRPr="008042C9" w:rsidTr="00BA4C4D">
        <w:tc>
          <w:tcPr>
            <w:tcW w:w="5000" w:type="pct"/>
            <w:gridSpan w:val="2"/>
          </w:tcPr>
          <w:p w:rsidR="00834E76" w:rsidRPr="00F55576" w:rsidRDefault="00552444" w:rsidP="00BA4C4D">
            <w:pPr>
              <w:jc w:val="both"/>
              <w:rPr>
                <w:sz w:val="20"/>
                <w:szCs w:val="20"/>
                <w:lang w:val="fr-CA"/>
              </w:rPr>
            </w:pPr>
            <w:r w:rsidRPr="00F55576">
              <w:rPr>
                <w:sz w:val="20"/>
                <w:szCs w:val="20"/>
                <w:lang w:val="fr-CA"/>
              </w:rPr>
              <w:t>La requête en prorogation du délai de dépôt de la réplique est accueillie. La demande d’autorisation d’appel de l’arrêt de la Cour d’appel de la Colombie-Britannique (Vancouver), numéro CA45730, 2019 BCCA 194, daté du 4 juin 2019, est rejetée avec dépens.</w:t>
            </w:r>
          </w:p>
          <w:p w:rsidR="00834E76" w:rsidRPr="00F55576" w:rsidRDefault="00834E76" w:rsidP="00BA4C4D">
            <w:pPr>
              <w:jc w:val="both"/>
              <w:rPr>
                <w:sz w:val="20"/>
                <w:lang w:val="fr-CA"/>
              </w:rPr>
            </w:pPr>
          </w:p>
        </w:tc>
      </w:tr>
    </w:tbl>
    <w:p w:rsidR="00B92F50" w:rsidRPr="00F55576" w:rsidRDefault="00B92F50">
      <w:pPr>
        <w:rPr>
          <w:lang w:val="fr-CA"/>
        </w:rPr>
      </w:pPr>
      <w:r w:rsidRPr="00F5557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5C1" w:rsidRPr="008042C9" w:rsidTr="00BA4C4D">
        <w:tc>
          <w:tcPr>
            <w:tcW w:w="5000" w:type="pct"/>
            <w:gridSpan w:val="3"/>
          </w:tcPr>
          <w:p w:rsidR="00AB75C1" w:rsidRPr="00F55576" w:rsidRDefault="00AB75C1" w:rsidP="00BA4C4D">
            <w:pPr>
              <w:jc w:val="both"/>
              <w:rPr>
                <w:sz w:val="20"/>
                <w:lang w:val="fr-CA"/>
              </w:rPr>
            </w:pPr>
            <w:r w:rsidRPr="00F55576">
              <w:rPr>
                <w:sz w:val="20"/>
                <w:lang w:val="fr-CA"/>
              </w:rPr>
              <w:lastRenderedPageBreak/>
              <w:t xml:space="preserve">Procédure civile — Appel — </w:t>
            </w:r>
            <w:r w:rsidRPr="00F55576">
              <w:rPr>
                <w:iCs/>
                <w:sz w:val="20"/>
                <w:lang w:val="fr-CA"/>
              </w:rPr>
              <w:t xml:space="preserve">La requête de la demanderesse en radiation de l’action de l’intimée contre le défendeur Haida Gwaii Management Council a été rejetée </w:t>
            </w:r>
            <w:r w:rsidRPr="00F55576">
              <w:rPr>
                <w:sz w:val="20"/>
                <w:lang w:val="fr-CA"/>
              </w:rPr>
              <w:t>— La Cour d’appel a</w:t>
            </w:r>
            <w:r w:rsidRPr="00F55576">
              <w:rPr>
                <w:sz w:val="20"/>
                <w:lang w:val="fr-CA"/>
              </w:rPr>
              <w:noBreakHyphen/>
              <w:t>t</w:t>
            </w:r>
            <w:r w:rsidRPr="00F55576">
              <w:rPr>
                <w:sz w:val="20"/>
                <w:lang w:val="fr-CA"/>
              </w:rPr>
              <w:noBreakHyphen/>
              <w:t>elle commis une erreur dans sa formulation et dans son application du critère permettant de déterminer la capacité d’un organisme créé par la loi d’être poursuivie? — La Cour d’appel a</w:t>
            </w:r>
            <w:r w:rsidRPr="00F55576">
              <w:rPr>
                <w:sz w:val="20"/>
                <w:lang w:val="fr-CA"/>
              </w:rPr>
              <w:noBreakHyphen/>
              <w:t>t</w:t>
            </w:r>
            <w:r w:rsidRPr="00F55576">
              <w:rPr>
                <w:sz w:val="20"/>
                <w:lang w:val="fr-CA"/>
              </w:rPr>
              <w:noBreakHyphen/>
              <w:t>elle eu tort d’importer une considération de la nature et de la complexité de la demande intentée dans le critère permettant de déterminer la capacité d’un organisme créé par la loi d’être poursuivie en dommages</w:t>
            </w:r>
            <w:r w:rsidRPr="00F55576">
              <w:rPr>
                <w:sz w:val="20"/>
                <w:lang w:val="fr-CA"/>
              </w:rPr>
              <w:noBreakHyphen/>
              <w:t>intérêts? — La Cour d’appel a</w:t>
            </w:r>
            <w:r w:rsidRPr="00F55576">
              <w:rPr>
                <w:sz w:val="20"/>
                <w:lang w:val="fr-CA"/>
              </w:rPr>
              <w:noBreakHyphen/>
              <w:t>t</w:t>
            </w:r>
            <w:r w:rsidRPr="00F55576">
              <w:rPr>
                <w:sz w:val="20"/>
                <w:lang w:val="fr-CA"/>
              </w:rPr>
              <w:noBreakHyphen/>
              <w:t>elle eu tort d’avoir omis de caractériser la capacité d’un organisme créé par la loi d’être poursuivie en dommages</w:t>
            </w:r>
            <w:r w:rsidRPr="00F55576">
              <w:rPr>
                <w:sz w:val="20"/>
                <w:lang w:val="fr-CA"/>
              </w:rPr>
              <w:noBreakHyphen/>
              <w:t>intérêts comme une question de compétence, contredisant ainsi la jurisprudence antérieure de la Cour d’appel du Nouveau</w:t>
            </w:r>
            <w:r w:rsidRPr="00F55576">
              <w:rPr>
                <w:sz w:val="20"/>
                <w:lang w:val="fr-CA"/>
              </w:rPr>
              <w:noBreakHyphen/>
              <w:t>Brunswick et de la Cour d’appel de la Colombie</w:t>
            </w:r>
            <w:r w:rsidRPr="00F55576">
              <w:rPr>
                <w:sz w:val="20"/>
                <w:lang w:val="fr-CA"/>
              </w:rPr>
              <w:noBreakHyphen/>
              <w:t>Britannique elle</w:t>
            </w:r>
            <w:r w:rsidRPr="00F55576">
              <w:rPr>
                <w:sz w:val="20"/>
                <w:lang w:val="fr-CA"/>
              </w:rPr>
              <w:noBreakHyphen/>
              <w:t>même?  — La Cour d’appel a</w:t>
            </w:r>
            <w:r w:rsidRPr="00F55576">
              <w:rPr>
                <w:sz w:val="20"/>
                <w:lang w:val="fr-CA"/>
              </w:rPr>
              <w:noBreakHyphen/>
              <w:t>t</w:t>
            </w:r>
            <w:r w:rsidRPr="00F55576">
              <w:rPr>
                <w:sz w:val="20"/>
                <w:lang w:val="fr-CA"/>
              </w:rPr>
              <w:noBreakHyphen/>
              <w:t>elle eu tort de prendre en considération des textes législatifs autres que la loi constitutive de l’organisme en cause, le Haida Gwaii Management Council?</w:t>
            </w:r>
          </w:p>
          <w:p w:rsidR="00AB75C1" w:rsidRPr="00F55576" w:rsidRDefault="00AB75C1" w:rsidP="00BA4C4D">
            <w:pPr>
              <w:jc w:val="both"/>
              <w:rPr>
                <w:sz w:val="20"/>
                <w:lang w:val="fr-CA"/>
              </w:rPr>
            </w:pPr>
          </w:p>
        </w:tc>
      </w:tr>
      <w:tr w:rsidR="00AB75C1" w:rsidRPr="00F55576" w:rsidTr="00BA4C4D">
        <w:tc>
          <w:tcPr>
            <w:tcW w:w="5000" w:type="pct"/>
            <w:gridSpan w:val="3"/>
          </w:tcPr>
          <w:p w:rsidR="00AB75C1" w:rsidRPr="00F55576" w:rsidRDefault="00AB75C1" w:rsidP="00BA4C4D">
            <w:pPr>
              <w:jc w:val="both"/>
              <w:rPr>
                <w:sz w:val="20"/>
                <w:lang w:val="fr-CA"/>
              </w:rPr>
            </w:pPr>
            <w:proofErr w:type="spellStart"/>
            <w:r w:rsidRPr="00F55576">
              <w:rPr>
                <w:sz w:val="20"/>
              </w:rPr>
              <w:t>L’intimée</w:t>
            </w:r>
            <w:proofErr w:type="spellEnd"/>
            <w:r w:rsidRPr="00F55576">
              <w:rPr>
                <w:sz w:val="20"/>
              </w:rPr>
              <w:t xml:space="preserve">, Teal Cedar Products Ltd. </w:t>
            </w:r>
            <w:r w:rsidRPr="00F55576">
              <w:rPr>
                <w:sz w:val="20"/>
                <w:lang w:val="fr-CA"/>
              </w:rPr>
              <w:t xml:space="preserve">(Teal), était titulaire de deux permis lui permettant de couper du bois dans Haida Gwaii. Teal a intenté une action contre la demanderesse, la Nation Haida et le </w:t>
            </w:r>
            <w:r w:rsidRPr="00F55576">
              <w:rPr>
                <w:iCs/>
                <w:sz w:val="20"/>
                <w:lang w:val="fr-CA"/>
              </w:rPr>
              <w:t>Haida Gwaii Management Council (</w:t>
            </w:r>
            <w:r w:rsidRPr="00F55576">
              <w:rPr>
                <w:sz w:val="20"/>
                <w:lang w:val="fr-CA"/>
              </w:rPr>
              <w:t>HGMC) pour récupérer les pertes qu’elle prétend avoir subies en raison de la réduction de la coupe annuelle permise et de restrictions à la coupe dans certaines zones de Haida Gwaii. La demanderesse a présenté une requête fondée sur la règle 6</w:t>
            </w:r>
            <w:r w:rsidRPr="00F55576">
              <w:rPr>
                <w:sz w:val="20"/>
                <w:lang w:val="fr-CA"/>
              </w:rPr>
              <w:noBreakHyphen/>
              <w:t xml:space="preserve">2 des </w:t>
            </w:r>
            <w:r w:rsidRPr="00F55576">
              <w:rPr>
                <w:i/>
                <w:iCs/>
                <w:sz w:val="20"/>
                <w:lang w:val="fr-CA"/>
              </w:rPr>
              <w:t xml:space="preserve">Supreme Court Civil </w:t>
            </w:r>
            <w:proofErr w:type="spellStart"/>
            <w:r w:rsidRPr="00F55576">
              <w:rPr>
                <w:i/>
                <w:iCs/>
                <w:sz w:val="20"/>
                <w:lang w:val="fr-CA"/>
              </w:rPr>
              <w:t>Rules</w:t>
            </w:r>
            <w:proofErr w:type="spellEnd"/>
            <w:r w:rsidRPr="00F55576">
              <w:rPr>
                <w:iCs/>
                <w:sz w:val="20"/>
                <w:lang w:val="fr-CA"/>
              </w:rPr>
              <w:t xml:space="preserve"> de la Colombie</w:t>
            </w:r>
            <w:r w:rsidRPr="00F55576">
              <w:rPr>
                <w:iCs/>
                <w:sz w:val="20"/>
                <w:lang w:val="fr-CA"/>
              </w:rPr>
              <w:noBreakHyphen/>
              <w:t xml:space="preserve">Britannique pour mettre hors de cause HGMC comme partie au motif qu’il n’a pas la capacité d’être poursuivi et pour radier l’action de Teal contre le </w:t>
            </w:r>
            <w:r w:rsidRPr="00F55576">
              <w:rPr>
                <w:sz w:val="20"/>
                <w:lang w:val="fr-CA"/>
              </w:rPr>
              <w:t>HGMC.</w:t>
            </w:r>
            <w:r w:rsidRPr="00F55576">
              <w:rPr>
                <w:iCs/>
                <w:sz w:val="20"/>
                <w:lang w:val="fr-CA"/>
              </w:rPr>
              <w:t xml:space="preserve"> Le juge siégeant en cabinet a rejeté la requête de la demanderesse. </w:t>
            </w:r>
            <w:r w:rsidRPr="00F55576">
              <w:rPr>
                <w:sz w:val="20"/>
                <w:lang w:val="fr-CA"/>
              </w:rPr>
              <w:t>La Cour d’appel a rejeté l’appel</w:t>
            </w:r>
            <w:r w:rsidRPr="00F55576">
              <w:rPr>
                <w:iCs/>
                <w:sz w:val="20"/>
                <w:lang w:val="fr-CA"/>
              </w:rPr>
              <w:t>.</w:t>
            </w:r>
          </w:p>
        </w:tc>
      </w:tr>
      <w:tr w:rsidR="00AB75C1" w:rsidRPr="00F55576" w:rsidTr="00BA4C4D">
        <w:tc>
          <w:tcPr>
            <w:tcW w:w="5000" w:type="pct"/>
            <w:gridSpan w:val="3"/>
          </w:tcPr>
          <w:p w:rsidR="00AB75C1" w:rsidRPr="00F55576" w:rsidRDefault="00AB75C1" w:rsidP="00BA4C4D">
            <w:pPr>
              <w:jc w:val="both"/>
              <w:rPr>
                <w:sz w:val="20"/>
                <w:lang w:val="fr-CA"/>
              </w:rPr>
            </w:pPr>
          </w:p>
        </w:tc>
      </w:tr>
      <w:tr w:rsidR="00AB75C1" w:rsidRPr="008042C9" w:rsidTr="00BA4C4D">
        <w:tc>
          <w:tcPr>
            <w:tcW w:w="2427" w:type="pct"/>
          </w:tcPr>
          <w:p w:rsidR="00AB75C1" w:rsidRPr="00F55576" w:rsidRDefault="00AB75C1" w:rsidP="00BA4C4D">
            <w:pPr>
              <w:jc w:val="both"/>
              <w:rPr>
                <w:sz w:val="20"/>
                <w:lang w:val="fr-CA"/>
              </w:rPr>
            </w:pPr>
            <w:r w:rsidRPr="00F55576">
              <w:rPr>
                <w:sz w:val="20"/>
                <w:lang w:val="fr-CA"/>
              </w:rPr>
              <w:t>25 octobre 2018</w:t>
            </w:r>
          </w:p>
          <w:p w:rsidR="00AB75C1" w:rsidRPr="00F55576" w:rsidRDefault="00AB75C1" w:rsidP="00BA4C4D">
            <w:pPr>
              <w:jc w:val="both"/>
              <w:rPr>
                <w:sz w:val="20"/>
                <w:lang w:val="fr-CA"/>
              </w:rPr>
            </w:pPr>
            <w:r w:rsidRPr="00F55576">
              <w:rPr>
                <w:sz w:val="20"/>
                <w:lang w:val="fr-CA"/>
              </w:rPr>
              <w:t>Cour suprême de la Colombie</w:t>
            </w:r>
            <w:r w:rsidRPr="00F55576">
              <w:rPr>
                <w:sz w:val="20"/>
                <w:lang w:val="fr-CA"/>
              </w:rPr>
              <w:noBreakHyphen/>
              <w:t>Britannique</w:t>
            </w:r>
          </w:p>
          <w:p w:rsidR="00AB75C1" w:rsidRPr="00F55576" w:rsidRDefault="00AB75C1" w:rsidP="00BA4C4D">
            <w:pPr>
              <w:jc w:val="both"/>
              <w:rPr>
                <w:sz w:val="20"/>
                <w:lang w:val="fr-CA"/>
              </w:rPr>
            </w:pPr>
            <w:r w:rsidRPr="00F55576">
              <w:rPr>
                <w:sz w:val="20"/>
                <w:lang w:val="fr-CA"/>
              </w:rPr>
              <w:t>(Juge Smith)</w:t>
            </w:r>
          </w:p>
          <w:p w:rsidR="00AB75C1" w:rsidRPr="00F55576" w:rsidRDefault="007B1953" w:rsidP="00BA4C4D">
            <w:pPr>
              <w:jc w:val="both"/>
              <w:rPr>
                <w:sz w:val="20"/>
                <w:lang w:val="fr-CA"/>
              </w:rPr>
            </w:pPr>
            <w:hyperlink r:id="rId69" w:history="1">
              <w:r w:rsidR="00AB75C1" w:rsidRPr="00F55576">
                <w:rPr>
                  <w:rStyle w:val="Hyperlink"/>
                  <w:sz w:val="20"/>
                  <w:lang w:val="fr-CA"/>
                </w:rPr>
                <w:t>2018 BCSC 1850</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Rejet de la requête de la demanderesse, frais à suivre le sort de la cause</w:t>
            </w:r>
          </w:p>
          <w:p w:rsidR="00AB75C1" w:rsidRPr="00F55576" w:rsidRDefault="00AB75C1" w:rsidP="00BA4C4D">
            <w:pPr>
              <w:jc w:val="both"/>
              <w:rPr>
                <w:sz w:val="20"/>
                <w:lang w:val="fr-CA"/>
              </w:rPr>
            </w:pPr>
          </w:p>
        </w:tc>
      </w:tr>
      <w:tr w:rsidR="00AB75C1" w:rsidRPr="00F55576" w:rsidTr="00BA4C4D">
        <w:tc>
          <w:tcPr>
            <w:tcW w:w="2427" w:type="pct"/>
          </w:tcPr>
          <w:p w:rsidR="00AB75C1" w:rsidRPr="00F55576" w:rsidRDefault="00AB75C1" w:rsidP="00BA4C4D">
            <w:pPr>
              <w:jc w:val="both"/>
              <w:rPr>
                <w:sz w:val="20"/>
                <w:lang w:val="fr-CA"/>
              </w:rPr>
            </w:pPr>
            <w:r w:rsidRPr="00F55576">
              <w:rPr>
                <w:sz w:val="20"/>
                <w:lang w:val="fr-CA"/>
              </w:rPr>
              <w:t>4 juin 2019</w:t>
            </w:r>
          </w:p>
          <w:p w:rsidR="00AB75C1" w:rsidRPr="00F55576" w:rsidRDefault="00AB75C1" w:rsidP="00BA4C4D">
            <w:pPr>
              <w:jc w:val="both"/>
              <w:rPr>
                <w:sz w:val="20"/>
                <w:lang w:val="fr-CA"/>
              </w:rPr>
            </w:pPr>
            <w:r w:rsidRPr="00F55576">
              <w:rPr>
                <w:sz w:val="20"/>
                <w:lang w:val="fr-CA"/>
              </w:rPr>
              <w:t>Cour d’appel de la Colombie</w:t>
            </w:r>
            <w:r w:rsidRPr="00F55576">
              <w:rPr>
                <w:sz w:val="20"/>
                <w:lang w:val="fr-CA"/>
              </w:rPr>
              <w:noBreakHyphen/>
              <w:t xml:space="preserve">Britannique </w:t>
            </w:r>
          </w:p>
          <w:p w:rsidR="00AB75C1" w:rsidRPr="00F55576" w:rsidRDefault="00AB75C1" w:rsidP="00BA4C4D">
            <w:pPr>
              <w:jc w:val="both"/>
              <w:rPr>
                <w:sz w:val="20"/>
                <w:lang w:val="fr-CA"/>
              </w:rPr>
            </w:pPr>
            <w:r w:rsidRPr="00F55576">
              <w:rPr>
                <w:sz w:val="20"/>
                <w:lang w:val="fr-CA"/>
              </w:rPr>
              <w:t>(Vancouver)</w:t>
            </w:r>
          </w:p>
          <w:p w:rsidR="00AB75C1" w:rsidRPr="00F55576" w:rsidRDefault="00AB75C1" w:rsidP="00BA4C4D">
            <w:pPr>
              <w:jc w:val="both"/>
              <w:rPr>
                <w:sz w:val="20"/>
                <w:lang w:val="fr-CA"/>
              </w:rPr>
            </w:pPr>
            <w:r w:rsidRPr="00F55576">
              <w:rPr>
                <w:sz w:val="20"/>
                <w:lang w:val="fr-CA"/>
              </w:rPr>
              <w:t xml:space="preserve">(Juges </w:t>
            </w:r>
            <w:proofErr w:type="spellStart"/>
            <w:r w:rsidRPr="00F55576">
              <w:rPr>
                <w:sz w:val="20"/>
                <w:lang w:val="fr-CA"/>
              </w:rPr>
              <w:t>MacKenzie</w:t>
            </w:r>
            <w:proofErr w:type="spellEnd"/>
            <w:r w:rsidRPr="00F55576">
              <w:rPr>
                <w:sz w:val="20"/>
                <w:lang w:val="fr-CA"/>
              </w:rPr>
              <w:t xml:space="preserve">, </w:t>
            </w:r>
            <w:proofErr w:type="spellStart"/>
            <w:r w:rsidRPr="00F55576">
              <w:rPr>
                <w:sz w:val="20"/>
                <w:lang w:val="fr-CA"/>
              </w:rPr>
              <w:t>Fenlon</w:t>
            </w:r>
            <w:proofErr w:type="spellEnd"/>
            <w:r w:rsidRPr="00F55576">
              <w:rPr>
                <w:sz w:val="20"/>
                <w:lang w:val="fr-CA"/>
              </w:rPr>
              <w:t xml:space="preserve"> et </w:t>
            </w:r>
            <w:proofErr w:type="spellStart"/>
            <w:r w:rsidRPr="00F55576">
              <w:rPr>
                <w:sz w:val="20"/>
                <w:lang w:val="fr-CA"/>
              </w:rPr>
              <w:t>Abrioux</w:t>
            </w:r>
            <w:proofErr w:type="spellEnd"/>
            <w:r w:rsidRPr="00F55576">
              <w:rPr>
                <w:sz w:val="20"/>
                <w:lang w:val="fr-CA"/>
              </w:rPr>
              <w:t>)</w:t>
            </w:r>
          </w:p>
          <w:p w:rsidR="00AB75C1" w:rsidRPr="00F55576" w:rsidRDefault="007B1953" w:rsidP="00BA4C4D">
            <w:pPr>
              <w:jc w:val="both"/>
              <w:rPr>
                <w:sz w:val="20"/>
                <w:lang w:val="fr-CA"/>
              </w:rPr>
            </w:pPr>
            <w:hyperlink r:id="rId70" w:history="1">
              <w:r w:rsidR="00AB75C1" w:rsidRPr="00F55576">
                <w:rPr>
                  <w:rStyle w:val="Hyperlink"/>
                  <w:sz w:val="20"/>
                  <w:lang w:val="fr-CA"/>
                </w:rPr>
                <w:t>2019 BCCA 194</w:t>
              </w:r>
            </w:hyperlink>
            <w:r w:rsidR="00AB75C1" w:rsidRPr="00F55576">
              <w:rPr>
                <w:sz w:val="20"/>
                <w:lang w:val="fr-CA"/>
              </w:rPr>
              <w:t xml:space="preserve"> </w:t>
            </w:r>
          </w:p>
          <w:p w:rsidR="00AB75C1" w:rsidRPr="00F55576" w:rsidRDefault="00AB75C1" w:rsidP="00BA4C4D">
            <w:pPr>
              <w:jc w:val="both"/>
              <w:rPr>
                <w:sz w:val="20"/>
                <w:lang w:val="fr-CA"/>
              </w:rPr>
            </w:pPr>
            <w:r w:rsidRPr="00F55576">
              <w:rPr>
                <w:sz w:val="20"/>
                <w:lang w:val="fr-CA"/>
              </w:rPr>
              <w:t>CA45730</w:t>
            </w:r>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Rejet de l’appel avec dépens</w:t>
            </w:r>
          </w:p>
          <w:p w:rsidR="00AB75C1" w:rsidRPr="00F55576" w:rsidRDefault="00AB75C1" w:rsidP="00BA4C4D">
            <w:pPr>
              <w:jc w:val="both"/>
              <w:rPr>
                <w:sz w:val="20"/>
                <w:lang w:val="fr-CA"/>
              </w:rPr>
            </w:pPr>
          </w:p>
        </w:tc>
      </w:tr>
      <w:tr w:rsidR="00AB75C1" w:rsidRPr="008042C9" w:rsidTr="00BA4C4D">
        <w:tc>
          <w:tcPr>
            <w:tcW w:w="2427" w:type="pct"/>
          </w:tcPr>
          <w:p w:rsidR="00AB75C1" w:rsidRPr="00F55576" w:rsidRDefault="00AB75C1" w:rsidP="00BA4C4D">
            <w:pPr>
              <w:jc w:val="both"/>
              <w:rPr>
                <w:sz w:val="20"/>
                <w:lang w:val="fr-CA"/>
              </w:rPr>
            </w:pPr>
            <w:r w:rsidRPr="00F55576">
              <w:rPr>
                <w:sz w:val="20"/>
                <w:lang w:val="fr-CA"/>
              </w:rPr>
              <w:t>30 août 2019</w:t>
            </w:r>
          </w:p>
          <w:p w:rsidR="00AB75C1" w:rsidRPr="00F55576" w:rsidRDefault="00AB75C1" w:rsidP="00BA4C4D">
            <w:pPr>
              <w:jc w:val="both"/>
              <w:rPr>
                <w:sz w:val="20"/>
                <w:lang w:val="fr-CA"/>
              </w:rPr>
            </w:pPr>
            <w:r w:rsidRPr="00F55576">
              <w:rPr>
                <w:sz w:val="20"/>
                <w:lang w:val="fr-CA"/>
              </w:rPr>
              <w:t>Cour suprême du Canada</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Dépôt de la demande d’autorisation d’appel</w:t>
            </w:r>
          </w:p>
          <w:p w:rsidR="00AB75C1" w:rsidRPr="00F55576" w:rsidRDefault="00AB75C1" w:rsidP="00BA4C4D">
            <w:pPr>
              <w:jc w:val="both"/>
              <w:rPr>
                <w:sz w:val="20"/>
                <w:lang w:val="fr-CA"/>
              </w:rPr>
            </w:pPr>
          </w:p>
        </w:tc>
      </w:tr>
    </w:tbl>
    <w:p w:rsidR="00AB75C1" w:rsidRPr="00F55576" w:rsidRDefault="00AB75C1" w:rsidP="00AB75C1">
      <w:pPr>
        <w:jc w:val="both"/>
        <w:rPr>
          <w:sz w:val="20"/>
          <w:lang w:val="fr-CA"/>
        </w:rPr>
      </w:pPr>
    </w:p>
    <w:p w:rsidR="00AB75C1" w:rsidRPr="00F55576" w:rsidRDefault="007B1953" w:rsidP="00AB75C1">
      <w:pPr>
        <w:jc w:val="both"/>
        <w:rPr>
          <w:sz w:val="20"/>
          <w:lang w:val="fr-CA"/>
        </w:rPr>
      </w:pPr>
      <w:r>
        <w:rPr>
          <w:sz w:val="20"/>
        </w:rPr>
        <w:pict>
          <v:rect id="_x0000_i1057" style="width:2in;height:1pt" o:hrpct="0" o:hralign="center" o:hrstd="t" o:hrnoshade="t" o:hr="t" fillcolor="black [3213]" stroked="f"/>
        </w:pict>
      </w:r>
    </w:p>
    <w:p w:rsidR="00AB75C1" w:rsidRPr="00F55576" w:rsidRDefault="00AB75C1" w:rsidP="00AB75C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t>38816</w:t>
            </w:r>
          </w:p>
        </w:tc>
        <w:tc>
          <w:tcPr>
            <w:tcW w:w="4457" w:type="pct"/>
          </w:tcPr>
          <w:p w:rsidR="00AB75C1" w:rsidRPr="00F55576" w:rsidRDefault="00AB75C1" w:rsidP="00BA4C4D">
            <w:pPr>
              <w:pStyle w:val="SCCLsocParty"/>
              <w:jc w:val="both"/>
              <w:rPr>
                <w:b/>
                <w:sz w:val="20"/>
                <w:szCs w:val="20"/>
                <w:lang w:val="en-US"/>
              </w:rPr>
            </w:pPr>
            <w:r w:rsidRPr="00F55576">
              <w:rPr>
                <w:b/>
                <w:sz w:val="20"/>
                <w:szCs w:val="20"/>
                <w:lang w:val="en-US"/>
              </w:rPr>
              <w:t>Susan Leah Santics v. Bob Cristofoli, Animal Control Officer for the City of Vancouver</w:t>
            </w:r>
          </w:p>
          <w:p w:rsidR="00AB75C1" w:rsidRPr="00F55576" w:rsidRDefault="00AB75C1" w:rsidP="00BA4C4D">
            <w:pPr>
              <w:jc w:val="both"/>
              <w:rPr>
                <w:sz w:val="20"/>
              </w:rPr>
            </w:pPr>
            <w:r w:rsidRPr="00F55576">
              <w:rPr>
                <w:sz w:val="20"/>
              </w:rPr>
              <w:t>(B.C.) (Civil) (By Leave)</w:t>
            </w:r>
          </w:p>
        </w:tc>
      </w:tr>
      <w:tr w:rsidR="00834E76" w:rsidRPr="00F55576" w:rsidTr="00BA4C4D">
        <w:tc>
          <w:tcPr>
            <w:tcW w:w="5000" w:type="pct"/>
            <w:gridSpan w:val="2"/>
          </w:tcPr>
          <w:p w:rsidR="00FF6356" w:rsidRPr="00F55576" w:rsidRDefault="00FF6356" w:rsidP="00FF6356">
            <w:pPr>
              <w:jc w:val="both"/>
              <w:rPr>
                <w:sz w:val="20"/>
                <w:szCs w:val="20"/>
              </w:rPr>
            </w:pPr>
            <w:r w:rsidRPr="00F55576">
              <w:rPr>
                <w:sz w:val="20"/>
                <w:szCs w:val="20"/>
              </w:rPr>
              <w:t>The application for leave to appeal from the judgment of the Court of Appeal for British Columbia (Vancouver), Number CA45880, 2019 BCCA 294, dated August 9, 2019, is dismissed with costs.</w:t>
            </w:r>
          </w:p>
          <w:p w:rsidR="00834E76" w:rsidRPr="00F55576" w:rsidRDefault="00834E76" w:rsidP="00BA4C4D">
            <w:pPr>
              <w:jc w:val="both"/>
              <w:rPr>
                <w:sz w:val="20"/>
              </w:rPr>
            </w:pPr>
          </w:p>
        </w:tc>
      </w:tr>
      <w:tr w:rsidR="00AB75C1" w:rsidRPr="00F55576" w:rsidTr="00BA4C4D">
        <w:tc>
          <w:tcPr>
            <w:tcW w:w="5000" w:type="pct"/>
            <w:gridSpan w:val="2"/>
          </w:tcPr>
          <w:p w:rsidR="00AB75C1" w:rsidRPr="00F55576" w:rsidRDefault="00AB75C1" w:rsidP="00BA4C4D">
            <w:pPr>
              <w:jc w:val="both"/>
              <w:rPr>
                <w:sz w:val="20"/>
              </w:rPr>
            </w:pPr>
            <w:r w:rsidRPr="00F55576">
              <w:rPr>
                <w:sz w:val="20"/>
              </w:rPr>
              <w:t xml:space="preserve">Municipal law — Animals — Dangerous dogs — Jurisdiction and powers of provincial court — Statutory interpretation — Whether provincial courts have jurisdiction — implied or ancillary —to grant orders other than to destroy or return a “dangerous dog” under the </w:t>
            </w:r>
            <w:r w:rsidRPr="00F55576">
              <w:rPr>
                <w:i/>
                <w:sz w:val="20"/>
              </w:rPr>
              <w:t>Vancouver Charter</w:t>
            </w:r>
            <w:r w:rsidRPr="00F55576">
              <w:rPr>
                <w:sz w:val="20"/>
              </w:rPr>
              <w:t xml:space="preserve">, S.B.C. 1953, c. 55, and </w:t>
            </w:r>
            <w:r w:rsidRPr="00F55576">
              <w:rPr>
                <w:i/>
                <w:sz w:val="20"/>
              </w:rPr>
              <w:t>Community Charter</w:t>
            </w:r>
            <w:r w:rsidRPr="00F55576">
              <w:rPr>
                <w:sz w:val="20"/>
              </w:rPr>
              <w:t xml:space="preserve">, S.B.C. 2003, c. 26 — What is the appropriate legal test to determine that a dog is so dangerous that he or she must be destroyed, and who bears the onus of satisfying that test? — </w:t>
            </w:r>
            <w:r w:rsidRPr="00F55576">
              <w:rPr>
                <w:i/>
                <w:sz w:val="20"/>
              </w:rPr>
              <w:t>Vancouver Charter</w:t>
            </w:r>
            <w:r w:rsidRPr="00F55576">
              <w:rPr>
                <w:sz w:val="20"/>
              </w:rPr>
              <w:t xml:space="preserve">, S.B.C. 1953, c. 55, s. 324.1. — </w:t>
            </w:r>
            <w:r w:rsidRPr="00F55576">
              <w:rPr>
                <w:i/>
                <w:sz w:val="20"/>
              </w:rPr>
              <w:t>Community Charter</w:t>
            </w:r>
            <w:r w:rsidRPr="00F55576">
              <w:rPr>
                <w:sz w:val="20"/>
              </w:rPr>
              <w:t>, S.B.C. 2003, c. 26, s. 49.</w:t>
            </w:r>
          </w:p>
          <w:p w:rsidR="00B92F50" w:rsidRPr="00F55576" w:rsidRDefault="00B92F50" w:rsidP="00BA4C4D">
            <w:pPr>
              <w:jc w:val="both"/>
              <w:rPr>
                <w:sz w:val="20"/>
              </w:rPr>
            </w:pPr>
          </w:p>
        </w:tc>
      </w:tr>
    </w:tbl>
    <w:p w:rsidR="00B92F50" w:rsidRPr="00F55576" w:rsidRDefault="00B92F50">
      <w:r w:rsidRPr="00F5557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5C1" w:rsidRPr="00F55576" w:rsidTr="00BA4C4D">
        <w:tc>
          <w:tcPr>
            <w:tcW w:w="5000" w:type="pct"/>
            <w:gridSpan w:val="3"/>
          </w:tcPr>
          <w:p w:rsidR="00AB75C1" w:rsidRPr="00F55576" w:rsidRDefault="00AB75C1" w:rsidP="00BA4C4D">
            <w:pPr>
              <w:jc w:val="both"/>
              <w:rPr>
                <w:sz w:val="20"/>
              </w:rPr>
            </w:pPr>
            <w:r w:rsidRPr="00F55576">
              <w:rPr>
                <w:sz w:val="20"/>
              </w:rPr>
              <w:lastRenderedPageBreak/>
              <w:t xml:space="preserve">An animal control officer applied to the Provincial Court of British Columbia to have the applicant’s dog, Punky, destroyed pursuant to s. 324.1(10) of the </w:t>
            </w:r>
            <w:r w:rsidRPr="00F55576">
              <w:rPr>
                <w:i/>
                <w:sz w:val="20"/>
              </w:rPr>
              <w:t>Vancouver Charter</w:t>
            </w:r>
            <w:r w:rsidRPr="00F55576">
              <w:rPr>
                <w:sz w:val="20"/>
              </w:rPr>
              <w:t xml:space="preserve">, following its attack on a woman in a park in Vancouver. The Provincial Court of British Columbia found that Punky was a “dangerous dog” within the meaning of s. 324.1(1) of the </w:t>
            </w:r>
            <w:r w:rsidRPr="00F55576">
              <w:rPr>
                <w:i/>
                <w:sz w:val="20"/>
              </w:rPr>
              <w:t xml:space="preserve">Vancouver Charter </w:t>
            </w:r>
            <w:r w:rsidRPr="00F55576">
              <w:rPr>
                <w:sz w:val="20"/>
              </w:rPr>
              <w:t xml:space="preserve">and ordered that he be “destroyed” by a qualified veterinarian pursuant to s. 324.1(10). Both the Supreme Court of British Columbia and the Court of Appeal for British Columbia dismissed the applicant’s appeal from the Provincial Court of British Columbia’s order. </w:t>
            </w:r>
          </w:p>
        </w:tc>
      </w:tr>
      <w:tr w:rsidR="00AB75C1" w:rsidRPr="00F55576" w:rsidTr="00BA4C4D">
        <w:tc>
          <w:tcPr>
            <w:tcW w:w="5000" w:type="pct"/>
            <w:gridSpan w:val="3"/>
          </w:tcPr>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July 25, 2018</w:t>
            </w:r>
          </w:p>
          <w:p w:rsidR="00AB75C1" w:rsidRPr="00F55576" w:rsidRDefault="00AB75C1" w:rsidP="00BA4C4D">
            <w:pPr>
              <w:jc w:val="both"/>
              <w:rPr>
                <w:sz w:val="20"/>
              </w:rPr>
            </w:pPr>
            <w:r w:rsidRPr="00F55576">
              <w:rPr>
                <w:sz w:val="20"/>
              </w:rPr>
              <w:t>Provincial Court of British Columbia</w:t>
            </w:r>
          </w:p>
          <w:p w:rsidR="00AB75C1" w:rsidRPr="00F55576" w:rsidRDefault="00AB75C1" w:rsidP="00BA4C4D">
            <w:pPr>
              <w:jc w:val="both"/>
              <w:rPr>
                <w:sz w:val="20"/>
              </w:rPr>
            </w:pPr>
            <w:r w:rsidRPr="00F55576">
              <w:rPr>
                <w:sz w:val="20"/>
              </w:rPr>
              <w:t>(Vancouver)</w:t>
            </w:r>
          </w:p>
          <w:p w:rsidR="00AB75C1" w:rsidRPr="00F55576" w:rsidRDefault="00AB75C1" w:rsidP="00BA4C4D">
            <w:pPr>
              <w:jc w:val="both"/>
              <w:rPr>
                <w:sz w:val="20"/>
              </w:rPr>
            </w:pPr>
            <w:r w:rsidRPr="00F55576">
              <w:rPr>
                <w:sz w:val="20"/>
              </w:rPr>
              <w:t>Judge Lee</w:t>
            </w:r>
          </w:p>
          <w:p w:rsidR="00AB75C1" w:rsidRPr="00F55576" w:rsidRDefault="007B1953" w:rsidP="00BA4C4D">
            <w:pPr>
              <w:jc w:val="both"/>
              <w:rPr>
                <w:rStyle w:val="Hyperlink"/>
                <w:sz w:val="20"/>
              </w:rPr>
            </w:pPr>
            <w:hyperlink r:id="rId71" w:history="1">
              <w:r w:rsidR="00AB75C1" w:rsidRPr="00F55576">
                <w:rPr>
                  <w:rStyle w:val="Hyperlink"/>
                  <w:sz w:val="20"/>
                </w:rPr>
                <w:t>2018 BCPC 381</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 xml:space="preserve">Applicant’s dog found to be “dangerous dog” within the meaning of s. 324.1 of the </w:t>
            </w:r>
            <w:r w:rsidRPr="00F55576">
              <w:rPr>
                <w:i/>
                <w:sz w:val="20"/>
              </w:rPr>
              <w:t>Vancouver Charter</w:t>
            </w:r>
            <w:r w:rsidRPr="00F55576">
              <w:rPr>
                <w:sz w:val="20"/>
              </w:rPr>
              <w:t>, S.B.C. 1953, c. 55, and ordered to be destroyed.</w:t>
            </w:r>
          </w:p>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January 10, 2019</w:t>
            </w:r>
          </w:p>
          <w:p w:rsidR="00AB75C1" w:rsidRPr="00F55576" w:rsidRDefault="00AB75C1" w:rsidP="00BA4C4D">
            <w:pPr>
              <w:jc w:val="both"/>
              <w:rPr>
                <w:sz w:val="20"/>
              </w:rPr>
            </w:pPr>
            <w:r w:rsidRPr="00F55576">
              <w:rPr>
                <w:sz w:val="20"/>
              </w:rPr>
              <w:t>Supreme Court of British Columbia</w:t>
            </w:r>
          </w:p>
          <w:p w:rsidR="00AB75C1" w:rsidRPr="00F55576" w:rsidRDefault="00AB75C1" w:rsidP="00BA4C4D">
            <w:pPr>
              <w:jc w:val="both"/>
              <w:rPr>
                <w:sz w:val="20"/>
              </w:rPr>
            </w:pPr>
            <w:r w:rsidRPr="00F55576">
              <w:rPr>
                <w:sz w:val="20"/>
              </w:rPr>
              <w:t>(Vancouver)</w:t>
            </w:r>
          </w:p>
          <w:p w:rsidR="00AB75C1" w:rsidRPr="00F55576" w:rsidRDefault="00AB75C1" w:rsidP="00BA4C4D">
            <w:pPr>
              <w:jc w:val="both"/>
              <w:rPr>
                <w:sz w:val="20"/>
              </w:rPr>
            </w:pPr>
            <w:proofErr w:type="spellStart"/>
            <w:r w:rsidRPr="00F55576">
              <w:rPr>
                <w:sz w:val="20"/>
              </w:rPr>
              <w:t>Grauer</w:t>
            </w:r>
            <w:proofErr w:type="spellEnd"/>
            <w:r w:rsidRPr="00F55576">
              <w:rPr>
                <w:sz w:val="20"/>
              </w:rPr>
              <w:t xml:space="preserve"> J.</w:t>
            </w:r>
          </w:p>
          <w:p w:rsidR="00AB75C1" w:rsidRPr="00F55576" w:rsidRDefault="007B1953" w:rsidP="00BA4C4D">
            <w:pPr>
              <w:jc w:val="both"/>
              <w:rPr>
                <w:rStyle w:val="Hyperlink"/>
                <w:sz w:val="20"/>
              </w:rPr>
            </w:pPr>
            <w:hyperlink r:id="rId72" w:history="1">
              <w:r w:rsidR="00AB75C1" w:rsidRPr="00F55576">
                <w:rPr>
                  <w:rStyle w:val="Hyperlink"/>
                  <w:sz w:val="20"/>
                </w:rPr>
                <w:t>2019 BCSC 24</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Appeal dismissed.</w:t>
            </w:r>
          </w:p>
        </w:tc>
      </w:tr>
      <w:tr w:rsidR="00AB75C1" w:rsidRPr="00F55576" w:rsidTr="00BA4C4D">
        <w:tc>
          <w:tcPr>
            <w:tcW w:w="2427" w:type="pct"/>
          </w:tcPr>
          <w:p w:rsidR="00AB75C1" w:rsidRPr="00F55576" w:rsidRDefault="00AB75C1" w:rsidP="00BA4C4D">
            <w:pPr>
              <w:jc w:val="both"/>
              <w:rPr>
                <w:sz w:val="20"/>
              </w:rPr>
            </w:pPr>
            <w:r w:rsidRPr="00F55576">
              <w:rPr>
                <w:sz w:val="20"/>
              </w:rPr>
              <w:t>August 9, 2019</w:t>
            </w:r>
          </w:p>
          <w:p w:rsidR="00AB75C1" w:rsidRPr="00F55576" w:rsidRDefault="00AB75C1" w:rsidP="00BA4C4D">
            <w:pPr>
              <w:jc w:val="both"/>
              <w:rPr>
                <w:sz w:val="20"/>
              </w:rPr>
            </w:pPr>
            <w:r w:rsidRPr="00F55576">
              <w:rPr>
                <w:sz w:val="20"/>
              </w:rPr>
              <w:t xml:space="preserve">Court of Appeal for British Columbia </w:t>
            </w:r>
          </w:p>
          <w:p w:rsidR="00AB75C1" w:rsidRPr="00F55576" w:rsidRDefault="00AB75C1" w:rsidP="00BA4C4D">
            <w:pPr>
              <w:jc w:val="both"/>
              <w:rPr>
                <w:sz w:val="20"/>
              </w:rPr>
            </w:pPr>
            <w:r w:rsidRPr="00F55576">
              <w:rPr>
                <w:sz w:val="20"/>
              </w:rPr>
              <w:t>(Vancouver)</w:t>
            </w:r>
          </w:p>
          <w:p w:rsidR="00AB75C1" w:rsidRPr="00F55576" w:rsidRDefault="00AB75C1" w:rsidP="00BA4C4D">
            <w:pPr>
              <w:jc w:val="both"/>
              <w:rPr>
                <w:sz w:val="20"/>
              </w:rPr>
            </w:pPr>
            <w:r w:rsidRPr="00F55576">
              <w:rPr>
                <w:sz w:val="20"/>
              </w:rPr>
              <w:t xml:space="preserve">(Newbury, </w:t>
            </w:r>
            <w:proofErr w:type="spellStart"/>
            <w:r w:rsidRPr="00F55576">
              <w:rPr>
                <w:sz w:val="20"/>
              </w:rPr>
              <w:t>Goepel</w:t>
            </w:r>
            <w:proofErr w:type="spellEnd"/>
            <w:r w:rsidRPr="00F55576">
              <w:rPr>
                <w:sz w:val="20"/>
              </w:rPr>
              <w:t xml:space="preserve">, and </w:t>
            </w:r>
            <w:proofErr w:type="spellStart"/>
            <w:r w:rsidRPr="00F55576">
              <w:rPr>
                <w:sz w:val="20"/>
              </w:rPr>
              <w:t>Abrioux</w:t>
            </w:r>
            <w:proofErr w:type="spellEnd"/>
            <w:r w:rsidRPr="00F55576">
              <w:rPr>
                <w:sz w:val="20"/>
              </w:rPr>
              <w:t xml:space="preserve"> JJ.A.)</w:t>
            </w:r>
          </w:p>
          <w:p w:rsidR="00AB75C1" w:rsidRPr="00F55576" w:rsidRDefault="007B1953" w:rsidP="00BA4C4D">
            <w:pPr>
              <w:jc w:val="both"/>
              <w:rPr>
                <w:rStyle w:val="Hyperlink"/>
                <w:sz w:val="20"/>
              </w:rPr>
            </w:pPr>
            <w:hyperlink r:id="rId73" w:history="1">
              <w:r w:rsidR="00AB75C1" w:rsidRPr="00F55576">
                <w:rPr>
                  <w:rStyle w:val="Hyperlink"/>
                  <w:sz w:val="20"/>
                </w:rPr>
                <w:t>2019 BCCA 294</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 xml:space="preserve">Appeal dismissed. </w:t>
            </w:r>
          </w:p>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September 24, 2019</w:t>
            </w:r>
          </w:p>
          <w:p w:rsidR="00AB75C1" w:rsidRPr="00F55576" w:rsidRDefault="00AB75C1" w:rsidP="00BA4C4D">
            <w:pPr>
              <w:jc w:val="both"/>
              <w:rPr>
                <w:sz w:val="20"/>
              </w:rPr>
            </w:pPr>
            <w:r w:rsidRPr="00F55576">
              <w:rPr>
                <w:sz w:val="20"/>
              </w:rPr>
              <w:t>Supreme Court of Canada</w:t>
            </w: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Application for leave to appeal filed</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58" style="width:2in;height:1pt" o:hrpct="0" o:hralign="center" o:hrstd="t" o:hrnoshade="t" o:hr="t" fillcolor="black [3213]" stroked="f"/>
        </w:pict>
      </w:r>
    </w:p>
    <w:p w:rsidR="00AB75C1" w:rsidRPr="00F55576" w:rsidRDefault="00AB75C1" w:rsidP="00AB75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lang w:val="fr-CA"/>
              </w:rPr>
            </w:pPr>
            <w:r w:rsidRPr="00F55576">
              <w:rPr>
                <w:rStyle w:val="SCCFileNumberChar"/>
                <w:sz w:val="20"/>
                <w:szCs w:val="20"/>
                <w:lang w:val="fr-CA"/>
              </w:rPr>
              <w:t>38816</w:t>
            </w:r>
          </w:p>
        </w:tc>
        <w:tc>
          <w:tcPr>
            <w:tcW w:w="4457" w:type="pct"/>
            <w:gridSpan w:val="3"/>
          </w:tcPr>
          <w:p w:rsidR="00AB75C1" w:rsidRPr="00F55576" w:rsidRDefault="00AB75C1" w:rsidP="00BA4C4D">
            <w:pPr>
              <w:pStyle w:val="SCCLsocParty"/>
              <w:jc w:val="both"/>
              <w:rPr>
                <w:b/>
                <w:sz w:val="20"/>
                <w:szCs w:val="20"/>
                <w:lang w:val="en-US"/>
              </w:rPr>
            </w:pPr>
            <w:r w:rsidRPr="00F55576">
              <w:rPr>
                <w:b/>
                <w:sz w:val="20"/>
                <w:szCs w:val="20"/>
                <w:lang w:val="en-US"/>
              </w:rPr>
              <w:t xml:space="preserve">Susan Leah Santics c. Bob Cristofoli, </w:t>
            </w:r>
            <w:r w:rsidR="00FF6356" w:rsidRPr="00F55576">
              <w:rPr>
                <w:b/>
                <w:sz w:val="20"/>
                <w:szCs w:val="20"/>
                <w:lang w:val="en-US"/>
              </w:rPr>
              <w:t>Animal Control Officer for the City of Vancouver</w:t>
            </w:r>
          </w:p>
          <w:p w:rsidR="00AB75C1" w:rsidRPr="00F55576" w:rsidRDefault="00AB75C1" w:rsidP="00BA4C4D">
            <w:pPr>
              <w:jc w:val="both"/>
              <w:rPr>
                <w:sz w:val="20"/>
                <w:lang w:val="fr-CA"/>
              </w:rPr>
            </w:pPr>
            <w:r w:rsidRPr="00F55576">
              <w:rPr>
                <w:sz w:val="20"/>
                <w:lang w:val="fr-CA"/>
              </w:rPr>
              <w:t>(C.</w:t>
            </w:r>
            <w:r w:rsidRPr="00F55576">
              <w:rPr>
                <w:sz w:val="20"/>
                <w:lang w:val="fr-CA"/>
              </w:rPr>
              <w:noBreakHyphen/>
              <w:t>B.) (Civile) (Autorisation)</w:t>
            </w:r>
          </w:p>
        </w:tc>
      </w:tr>
      <w:tr w:rsidR="00834E76" w:rsidRPr="008042C9" w:rsidTr="00BA4C4D">
        <w:tc>
          <w:tcPr>
            <w:tcW w:w="5000" w:type="pct"/>
            <w:gridSpan w:val="4"/>
          </w:tcPr>
          <w:p w:rsidR="00834E76" w:rsidRPr="00F55576" w:rsidRDefault="00FF6356" w:rsidP="00BA4C4D">
            <w:pPr>
              <w:jc w:val="both"/>
              <w:rPr>
                <w:sz w:val="20"/>
                <w:szCs w:val="20"/>
                <w:lang w:val="fr-CA"/>
              </w:rPr>
            </w:pPr>
            <w:r w:rsidRPr="00F55576">
              <w:rPr>
                <w:sz w:val="20"/>
                <w:szCs w:val="20"/>
                <w:lang w:val="fr-CA"/>
              </w:rPr>
              <w:t>La demande d’autorisation d’appel de l’arrêt de la Cour d’appel de la Colombie-Britannique (Vancouver), numéro CA45880, 2019 BCCA 294, daté du 9 août 2019, est  rejetée avec dépens.</w:t>
            </w:r>
          </w:p>
          <w:p w:rsidR="00834E76" w:rsidRPr="00F55576" w:rsidRDefault="00834E76" w:rsidP="00BA4C4D">
            <w:pPr>
              <w:jc w:val="both"/>
              <w:rPr>
                <w:sz w:val="20"/>
                <w:lang w:val="fr-CA"/>
              </w:rPr>
            </w:pPr>
          </w:p>
        </w:tc>
      </w:tr>
      <w:tr w:rsidR="00AB75C1" w:rsidRPr="008042C9" w:rsidTr="00BA4C4D">
        <w:tc>
          <w:tcPr>
            <w:tcW w:w="5000" w:type="pct"/>
            <w:gridSpan w:val="4"/>
          </w:tcPr>
          <w:p w:rsidR="00AB75C1" w:rsidRPr="00F55576" w:rsidRDefault="00AB75C1" w:rsidP="00BA4C4D">
            <w:pPr>
              <w:jc w:val="both"/>
              <w:rPr>
                <w:sz w:val="20"/>
                <w:lang w:val="fr-CA"/>
              </w:rPr>
            </w:pPr>
            <w:r w:rsidRPr="00F55576">
              <w:rPr>
                <w:sz w:val="20"/>
                <w:lang w:val="fr-CA"/>
              </w:rPr>
              <w:t>Droit municipal — Animaux — Chiens dangereux — Compétence et pouvoirs du tribunal provincial — Interprétation des lois — Les tribunaux provinciaux ont</w:t>
            </w:r>
            <w:r w:rsidRPr="00F55576">
              <w:rPr>
                <w:sz w:val="20"/>
                <w:lang w:val="fr-CA"/>
              </w:rPr>
              <w:noBreakHyphen/>
              <w:t xml:space="preserve">ils compétence, implicite ou accessoire, pour prononcer des ordonnances autres que de détruire ou de rendre un « chien dangereux » en application de la </w:t>
            </w:r>
            <w:r w:rsidRPr="00F55576">
              <w:rPr>
                <w:i/>
                <w:sz w:val="20"/>
                <w:lang w:val="fr-CA"/>
              </w:rPr>
              <w:t>Vancouver Charter</w:t>
            </w:r>
            <w:r w:rsidRPr="00F55576">
              <w:rPr>
                <w:sz w:val="20"/>
                <w:lang w:val="fr-CA"/>
              </w:rPr>
              <w:t xml:space="preserve">, S.B.C. 1953, ch. 55, et de la </w:t>
            </w:r>
            <w:r w:rsidRPr="00F55576">
              <w:rPr>
                <w:i/>
                <w:sz w:val="20"/>
                <w:lang w:val="fr-CA"/>
              </w:rPr>
              <w:t>Community Charter</w:t>
            </w:r>
            <w:r w:rsidRPr="00F55576">
              <w:rPr>
                <w:sz w:val="20"/>
                <w:lang w:val="fr-CA"/>
              </w:rPr>
              <w:t xml:space="preserve">, S.B.C. 2003, ch. 26? — Quel est le critère juridique approprié qui permet de déterminer si un chien est à ce point dangereux qu’il doit être détruit et à qui incombe le fardeau de satisfaire à ce critère? — </w:t>
            </w:r>
            <w:r w:rsidRPr="00F55576">
              <w:rPr>
                <w:i/>
                <w:sz w:val="20"/>
                <w:lang w:val="fr-CA"/>
              </w:rPr>
              <w:t>Vancouver Charter</w:t>
            </w:r>
            <w:r w:rsidRPr="00F55576">
              <w:rPr>
                <w:sz w:val="20"/>
                <w:lang w:val="fr-CA"/>
              </w:rPr>
              <w:t xml:space="preserve">, S.B.C. 1953, ch. 55, art. 324.1. — </w:t>
            </w:r>
            <w:r w:rsidRPr="00F55576">
              <w:rPr>
                <w:i/>
                <w:sz w:val="20"/>
                <w:lang w:val="fr-CA"/>
              </w:rPr>
              <w:t>Community Charter</w:t>
            </w:r>
            <w:r w:rsidRPr="00F55576">
              <w:rPr>
                <w:sz w:val="20"/>
                <w:lang w:val="fr-CA"/>
              </w:rPr>
              <w:t>, S.B.C. 2003, ch. 26, art. 49.</w:t>
            </w:r>
          </w:p>
        </w:tc>
      </w:tr>
      <w:tr w:rsidR="00AB75C1" w:rsidRPr="008042C9" w:rsidTr="00BA4C4D">
        <w:tc>
          <w:tcPr>
            <w:tcW w:w="5000" w:type="pct"/>
            <w:gridSpan w:val="4"/>
          </w:tcPr>
          <w:p w:rsidR="00AB75C1" w:rsidRPr="00F55576" w:rsidRDefault="00AB75C1" w:rsidP="00BA4C4D">
            <w:pPr>
              <w:jc w:val="both"/>
              <w:rPr>
                <w:sz w:val="20"/>
                <w:lang w:val="fr-CA"/>
              </w:rPr>
            </w:pPr>
          </w:p>
          <w:p w:rsidR="00AB75C1" w:rsidRPr="00F55576" w:rsidRDefault="00AB75C1" w:rsidP="00BA4C4D">
            <w:pPr>
              <w:jc w:val="both"/>
              <w:rPr>
                <w:sz w:val="20"/>
                <w:lang w:val="fr-CA"/>
              </w:rPr>
            </w:pPr>
            <w:r w:rsidRPr="00F55576">
              <w:rPr>
                <w:sz w:val="20"/>
                <w:lang w:val="fr-CA"/>
              </w:rPr>
              <w:t>Un agent de contrôle des animaux a présenté à la Cour provinciale de la Colombie</w:t>
            </w:r>
            <w:r w:rsidRPr="00F55576">
              <w:rPr>
                <w:sz w:val="20"/>
                <w:lang w:val="fr-CA"/>
              </w:rPr>
              <w:noBreakHyphen/>
              <w:t xml:space="preserve">Britannique une demande pour faire détruire le chien de la demanderesse, </w:t>
            </w:r>
            <w:proofErr w:type="spellStart"/>
            <w:r w:rsidRPr="00F55576">
              <w:rPr>
                <w:sz w:val="20"/>
                <w:lang w:val="fr-CA"/>
              </w:rPr>
              <w:t>Punky</w:t>
            </w:r>
            <w:proofErr w:type="spellEnd"/>
            <w:r w:rsidRPr="00F55576">
              <w:rPr>
                <w:sz w:val="20"/>
                <w:lang w:val="fr-CA"/>
              </w:rPr>
              <w:t xml:space="preserve">, en application du par. 324.1(10) de la </w:t>
            </w:r>
            <w:r w:rsidRPr="00F55576">
              <w:rPr>
                <w:i/>
                <w:sz w:val="20"/>
                <w:lang w:val="fr-CA"/>
              </w:rPr>
              <w:t>Vancouver Charter</w:t>
            </w:r>
            <w:r w:rsidRPr="00F55576">
              <w:rPr>
                <w:sz w:val="20"/>
                <w:lang w:val="fr-CA"/>
              </w:rPr>
              <w:t xml:space="preserve">, après que l’animal eut attaqué une femme dans un parc à Vancouver. La Cour provinciale de la Colombie-Britannique a conclu que </w:t>
            </w:r>
            <w:proofErr w:type="spellStart"/>
            <w:r w:rsidRPr="00F55576">
              <w:rPr>
                <w:sz w:val="20"/>
                <w:lang w:val="fr-CA"/>
              </w:rPr>
              <w:t>Punky</w:t>
            </w:r>
            <w:proofErr w:type="spellEnd"/>
            <w:r w:rsidRPr="00F55576">
              <w:rPr>
                <w:sz w:val="20"/>
                <w:lang w:val="fr-CA"/>
              </w:rPr>
              <w:t xml:space="preserve"> était un [</w:t>
            </w:r>
            <w:r w:rsidRPr="00F55576">
              <w:rPr>
                <w:smallCaps/>
                <w:sz w:val="20"/>
                <w:lang w:val="fr-CA"/>
              </w:rPr>
              <w:t>traduction</w:t>
            </w:r>
            <w:r w:rsidRPr="00F55576">
              <w:rPr>
                <w:sz w:val="20"/>
                <w:lang w:val="fr-CA"/>
              </w:rPr>
              <w:t xml:space="preserve">] « chien dangereux » au sens du par. 324.1(1) de la </w:t>
            </w:r>
            <w:r w:rsidRPr="00F55576">
              <w:rPr>
                <w:i/>
                <w:sz w:val="20"/>
                <w:lang w:val="fr-CA"/>
              </w:rPr>
              <w:t xml:space="preserve">Vancouver Charter </w:t>
            </w:r>
            <w:r w:rsidRPr="00F55576">
              <w:rPr>
                <w:sz w:val="20"/>
                <w:lang w:val="fr-CA"/>
              </w:rPr>
              <w:t>et a ordonné qu’il soit « détruit » par un vétérinaire qualifié en application du par. 324.1(10). La Cour suprême de la Colombie</w:t>
            </w:r>
            <w:r w:rsidRPr="00F55576">
              <w:rPr>
                <w:sz w:val="20"/>
                <w:lang w:val="fr-CA"/>
              </w:rPr>
              <w:noBreakHyphen/>
              <w:t>Britannique ainsi que la Cour d’appel de la Colombie</w:t>
            </w:r>
            <w:r w:rsidRPr="00F55576">
              <w:rPr>
                <w:sz w:val="20"/>
                <w:lang w:val="fr-CA"/>
              </w:rPr>
              <w:noBreakHyphen/>
              <w:t>Britannique ont rejeté l’appel interjeté par la demanderesse de l’ordonnance de la Cour provinciale de la Colombie</w:t>
            </w:r>
            <w:r w:rsidRPr="00F55576">
              <w:rPr>
                <w:sz w:val="20"/>
                <w:lang w:val="fr-CA"/>
              </w:rPr>
              <w:noBreakHyphen/>
              <w:t>Britannique.</w:t>
            </w:r>
          </w:p>
        </w:tc>
      </w:tr>
      <w:tr w:rsidR="00AB75C1" w:rsidRPr="008042C9" w:rsidTr="00BA4C4D">
        <w:tc>
          <w:tcPr>
            <w:tcW w:w="5000" w:type="pct"/>
            <w:gridSpan w:val="4"/>
          </w:tcPr>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lastRenderedPageBreak/>
              <w:t>5 juillet 2018</w:t>
            </w:r>
          </w:p>
          <w:p w:rsidR="00AB75C1" w:rsidRPr="00F55576" w:rsidRDefault="00AB75C1" w:rsidP="00BA4C4D">
            <w:pPr>
              <w:jc w:val="both"/>
              <w:rPr>
                <w:sz w:val="20"/>
                <w:lang w:val="fr-CA"/>
              </w:rPr>
            </w:pPr>
            <w:r w:rsidRPr="00F55576">
              <w:rPr>
                <w:sz w:val="20"/>
                <w:lang w:val="fr-CA"/>
              </w:rPr>
              <w:t>Cour provinciale de la Colombie</w:t>
            </w:r>
            <w:r w:rsidRPr="00F55576">
              <w:rPr>
                <w:sz w:val="20"/>
                <w:lang w:val="fr-CA"/>
              </w:rPr>
              <w:noBreakHyphen/>
              <w:t>Britannique</w:t>
            </w:r>
          </w:p>
          <w:p w:rsidR="00AB75C1" w:rsidRPr="00F55576" w:rsidRDefault="00AB75C1" w:rsidP="00BA4C4D">
            <w:pPr>
              <w:jc w:val="both"/>
              <w:rPr>
                <w:sz w:val="20"/>
                <w:lang w:val="fr-CA"/>
              </w:rPr>
            </w:pPr>
            <w:r w:rsidRPr="00F55576">
              <w:rPr>
                <w:sz w:val="20"/>
                <w:lang w:val="fr-CA"/>
              </w:rPr>
              <w:t>(Vancouver)</w:t>
            </w:r>
          </w:p>
          <w:p w:rsidR="00AB75C1" w:rsidRPr="00F55576" w:rsidRDefault="00AB75C1" w:rsidP="00BA4C4D">
            <w:pPr>
              <w:jc w:val="both"/>
              <w:rPr>
                <w:sz w:val="20"/>
                <w:lang w:val="fr-CA"/>
              </w:rPr>
            </w:pPr>
            <w:r w:rsidRPr="00F55576">
              <w:rPr>
                <w:sz w:val="20"/>
                <w:lang w:val="fr-CA"/>
              </w:rPr>
              <w:t>Juge Lee</w:t>
            </w:r>
          </w:p>
          <w:p w:rsidR="00AB75C1" w:rsidRPr="00F55576" w:rsidRDefault="007B1953" w:rsidP="00BA4C4D">
            <w:pPr>
              <w:jc w:val="both"/>
              <w:rPr>
                <w:rStyle w:val="Hyperlink"/>
                <w:sz w:val="20"/>
                <w:lang w:val="fr-CA"/>
              </w:rPr>
            </w:pPr>
            <w:hyperlink r:id="rId74" w:history="1">
              <w:r w:rsidR="00AB75C1" w:rsidRPr="00F55576">
                <w:rPr>
                  <w:rStyle w:val="Hyperlink"/>
                  <w:sz w:val="20"/>
                  <w:lang w:val="fr-CA"/>
                </w:rPr>
                <w:t>2018 BCPC 381</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 xml:space="preserve">Jugement concluant que le chien de la demanderesse est un « chien dangereux » au sens du par. 324.1 de la </w:t>
            </w:r>
            <w:r w:rsidRPr="00F55576">
              <w:rPr>
                <w:i/>
                <w:sz w:val="20"/>
                <w:lang w:val="fr-CA"/>
              </w:rPr>
              <w:t>Vancouver Charter</w:t>
            </w:r>
            <w:r w:rsidRPr="00F55576">
              <w:rPr>
                <w:sz w:val="20"/>
                <w:lang w:val="fr-CA"/>
              </w:rPr>
              <w:t>, S.B.C. 1953, ch. 55, et ordonnant la destruction de l’animal.</w:t>
            </w:r>
          </w:p>
          <w:p w:rsidR="00AB75C1" w:rsidRPr="00F55576" w:rsidRDefault="00AB75C1" w:rsidP="00BA4C4D">
            <w:pPr>
              <w:jc w:val="both"/>
              <w:rPr>
                <w:sz w:val="20"/>
                <w:lang w:val="fr-CA"/>
              </w:rPr>
            </w:pPr>
          </w:p>
        </w:tc>
      </w:tr>
      <w:tr w:rsidR="00AB75C1" w:rsidRPr="00F55576" w:rsidTr="00BA4C4D">
        <w:tc>
          <w:tcPr>
            <w:tcW w:w="2427" w:type="pct"/>
            <w:gridSpan w:val="2"/>
          </w:tcPr>
          <w:p w:rsidR="00AB75C1" w:rsidRPr="00F55576" w:rsidRDefault="00AB75C1" w:rsidP="00BA4C4D">
            <w:pPr>
              <w:jc w:val="both"/>
              <w:rPr>
                <w:sz w:val="20"/>
                <w:lang w:val="fr-CA"/>
              </w:rPr>
            </w:pPr>
            <w:r w:rsidRPr="00F55576">
              <w:rPr>
                <w:sz w:val="20"/>
                <w:lang w:val="fr-CA"/>
              </w:rPr>
              <w:t>10 janvier 2019</w:t>
            </w:r>
          </w:p>
          <w:p w:rsidR="00AB75C1" w:rsidRPr="00F55576" w:rsidRDefault="00AB75C1" w:rsidP="00BA4C4D">
            <w:pPr>
              <w:jc w:val="both"/>
              <w:rPr>
                <w:sz w:val="20"/>
                <w:lang w:val="fr-CA"/>
              </w:rPr>
            </w:pPr>
            <w:r w:rsidRPr="00F55576">
              <w:rPr>
                <w:sz w:val="20"/>
                <w:lang w:val="fr-CA"/>
              </w:rPr>
              <w:t>Cour suprême de la Colombie</w:t>
            </w:r>
            <w:r w:rsidRPr="00F55576">
              <w:rPr>
                <w:sz w:val="20"/>
                <w:lang w:val="fr-CA"/>
              </w:rPr>
              <w:noBreakHyphen/>
              <w:t>Britannique</w:t>
            </w:r>
          </w:p>
          <w:p w:rsidR="00AB75C1" w:rsidRPr="00F55576" w:rsidRDefault="00AB75C1" w:rsidP="00BA4C4D">
            <w:pPr>
              <w:jc w:val="both"/>
              <w:rPr>
                <w:sz w:val="20"/>
                <w:lang w:val="fr-CA"/>
              </w:rPr>
            </w:pPr>
            <w:r w:rsidRPr="00F55576">
              <w:rPr>
                <w:sz w:val="20"/>
                <w:lang w:val="fr-CA"/>
              </w:rPr>
              <w:t>(Vancouver)</w:t>
            </w:r>
          </w:p>
          <w:p w:rsidR="00AB75C1" w:rsidRPr="00F55576" w:rsidRDefault="00AB75C1" w:rsidP="00BA4C4D">
            <w:pPr>
              <w:jc w:val="both"/>
              <w:rPr>
                <w:sz w:val="20"/>
                <w:lang w:val="fr-CA"/>
              </w:rPr>
            </w:pPr>
            <w:r w:rsidRPr="00F55576">
              <w:rPr>
                <w:sz w:val="20"/>
                <w:lang w:val="fr-CA"/>
              </w:rPr>
              <w:t xml:space="preserve">Juge </w:t>
            </w:r>
            <w:proofErr w:type="spellStart"/>
            <w:r w:rsidRPr="00F55576">
              <w:rPr>
                <w:sz w:val="20"/>
                <w:lang w:val="fr-CA"/>
              </w:rPr>
              <w:t>Grauer</w:t>
            </w:r>
            <w:proofErr w:type="spellEnd"/>
          </w:p>
          <w:p w:rsidR="00AB75C1" w:rsidRPr="00F55576" w:rsidRDefault="007B1953" w:rsidP="00BA4C4D">
            <w:pPr>
              <w:jc w:val="both"/>
              <w:rPr>
                <w:rStyle w:val="Hyperlink"/>
                <w:sz w:val="20"/>
                <w:lang w:val="fr-CA"/>
              </w:rPr>
            </w:pPr>
            <w:hyperlink r:id="rId75" w:history="1">
              <w:r w:rsidR="00AB75C1" w:rsidRPr="00F55576">
                <w:rPr>
                  <w:rStyle w:val="Hyperlink"/>
                  <w:sz w:val="20"/>
                  <w:lang w:val="fr-CA"/>
                </w:rPr>
                <w:t>2019 BCSC 24</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Rejet de l’appel.</w:t>
            </w:r>
          </w:p>
        </w:tc>
      </w:tr>
      <w:tr w:rsidR="00AB75C1" w:rsidRPr="00F55576" w:rsidTr="00BA4C4D">
        <w:tc>
          <w:tcPr>
            <w:tcW w:w="2427" w:type="pct"/>
            <w:gridSpan w:val="2"/>
          </w:tcPr>
          <w:p w:rsidR="00AB75C1" w:rsidRPr="00F55576" w:rsidRDefault="00AB75C1" w:rsidP="00BA4C4D">
            <w:pPr>
              <w:jc w:val="both"/>
              <w:rPr>
                <w:sz w:val="20"/>
                <w:lang w:val="fr-CA"/>
              </w:rPr>
            </w:pPr>
            <w:r w:rsidRPr="00F55576">
              <w:rPr>
                <w:sz w:val="20"/>
                <w:lang w:val="fr-CA"/>
              </w:rPr>
              <w:t>9 août 2019</w:t>
            </w:r>
          </w:p>
          <w:p w:rsidR="00AB75C1" w:rsidRPr="00F55576" w:rsidRDefault="00AB75C1" w:rsidP="00BA4C4D">
            <w:pPr>
              <w:jc w:val="both"/>
              <w:rPr>
                <w:sz w:val="20"/>
                <w:lang w:val="fr-CA"/>
              </w:rPr>
            </w:pPr>
            <w:r w:rsidRPr="00F55576">
              <w:rPr>
                <w:sz w:val="20"/>
                <w:lang w:val="fr-CA"/>
              </w:rPr>
              <w:t>Cour d’appel de la Colombie</w:t>
            </w:r>
            <w:r w:rsidRPr="00F55576">
              <w:rPr>
                <w:sz w:val="20"/>
                <w:lang w:val="fr-CA"/>
              </w:rPr>
              <w:noBreakHyphen/>
              <w:t>Britannique</w:t>
            </w:r>
          </w:p>
          <w:p w:rsidR="00AB75C1" w:rsidRPr="00F55576" w:rsidRDefault="00AB75C1" w:rsidP="00BA4C4D">
            <w:pPr>
              <w:jc w:val="both"/>
              <w:rPr>
                <w:sz w:val="20"/>
                <w:lang w:val="fr-CA"/>
              </w:rPr>
            </w:pPr>
            <w:r w:rsidRPr="00F55576">
              <w:rPr>
                <w:sz w:val="20"/>
                <w:lang w:val="fr-CA"/>
              </w:rPr>
              <w:t>(Vancouver)</w:t>
            </w:r>
          </w:p>
          <w:p w:rsidR="00AB75C1" w:rsidRPr="00F55576" w:rsidRDefault="00AB75C1" w:rsidP="00BA4C4D">
            <w:pPr>
              <w:jc w:val="both"/>
              <w:rPr>
                <w:sz w:val="20"/>
                <w:lang w:val="fr-CA"/>
              </w:rPr>
            </w:pPr>
            <w:r w:rsidRPr="00F55576">
              <w:rPr>
                <w:sz w:val="20"/>
                <w:lang w:val="fr-CA"/>
              </w:rPr>
              <w:t xml:space="preserve">(Juges Newbury, </w:t>
            </w:r>
            <w:proofErr w:type="spellStart"/>
            <w:r w:rsidRPr="00F55576">
              <w:rPr>
                <w:sz w:val="20"/>
                <w:lang w:val="fr-CA"/>
              </w:rPr>
              <w:t>Goepel</w:t>
            </w:r>
            <w:proofErr w:type="spellEnd"/>
            <w:r w:rsidRPr="00F55576">
              <w:rPr>
                <w:sz w:val="20"/>
                <w:lang w:val="fr-CA"/>
              </w:rPr>
              <w:t xml:space="preserve"> et </w:t>
            </w:r>
            <w:proofErr w:type="spellStart"/>
            <w:r w:rsidRPr="00F55576">
              <w:rPr>
                <w:sz w:val="20"/>
                <w:lang w:val="fr-CA"/>
              </w:rPr>
              <w:t>Abrioux</w:t>
            </w:r>
            <w:proofErr w:type="spellEnd"/>
            <w:r w:rsidRPr="00F55576">
              <w:rPr>
                <w:sz w:val="20"/>
                <w:lang w:val="fr-CA"/>
              </w:rPr>
              <w:t>)</w:t>
            </w:r>
          </w:p>
          <w:p w:rsidR="00AB75C1" w:rsidRPr="00F55576" w:rsidRDefault="007B1953" w:rsidP="00BA4C4D">
            <w:pPr>
              <w:jc w:val="both"/>
              <w:rPr>
                <w:rStyle w:val="Hyperlink"/>
                <w:sz w:val="20"/>
                <w:lang w:val="fr-CA"/>
              </w:rPr>
            </w:pPr>
            <w:hyperlink r:id="rId76" w:history="1">
              <w:r w:rsidR="00AB75C1" w:rsidRPr="00F55576">
                <w:rPr>
                  <w:rStyle w:val="Hyperlink"/>
                  <w:sz w:val="20"/>
                  <w:lang w:val="fr-CA"/>
                </w:rPr>
                <w:t>2019 BCCA 294</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Rejet de l’appel.</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24 septembre 2019</w:t>
            </w:r>
          </w:p>
          <w:p w:rsidR="00AB75C1" w:rsidRPr="00F55576" w:rsidRDefault="00AB75C1" w:rsidP="00BA4C4D">
            <w:pPr>
              <w:jc w:val="both"/>
              <w:rPr>
                <w:sz w:val="20"/>
                <w:lang w:val="fr-CA"/>
              </w:rPr>
            </w:pPr>
            <w:r w:rsidRPr="00F55576">
              <w:rPr>
                <w:sz w:val="20"/>
                <w:lang w:val="fr-CA"/>
              </w:rPr>
              <w:t>Cour suprême du Canada</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Dépôt de la demande d’autorisation d’appel</w:t>
            </w:r>
          </w:p>
          <w:p w:rsidR="00AB75C1" w:rsidRPr="00F55576" w:rsidRDefault="00AB75C1" w:rsidP="00BA4C4D">
            <w:pPr>
              <w:jc w:val="both"/>
              <w:rPr>
                <w:sz w:val="20"/>
                <w:lang w:val="fr-CA"/>
              </w:rPr>
            </w:pPr>
          </w:p>
        </w:tc>
      </w:tr>
    </w:tbl>
    <w:p w:rsidR="00AB75C1" w:rsidRPr="00F55576" w:rsidRDefault="00AB75C1" w:rsidP="00AB75C1">
      <w:pPr>
        <w:jc w:val="both"/>
        <w:rPr>
          <w:sz w:val="20"/>
          <w:lang w:val="fr-CA"/>
        </w:rPr>
      </w:pPr>
    </w:p>
    <w:p w:rsidR="00AB75C1" w:rsidRPr="00F55576" w:rsidRDefault="007B1953" w:rsidP="00AB75C1">
      <w:pPr>
        <w:jc w:val="both"/>
        <w:rPr>
          <w:sz w:val="20"/>
          <w:lang w:val="fr-CA"/>
        </w:rPr>
      </w:pPr>
      <w:r>
        <w:rPr>
          <w:sz w:val="20"/>
        </w:rPr>
        <w:pict>
          <v:rect id="_x0000_i1059" style="width:2in;height:1pt" o:hrpct="0" o:hralign="center" o:hrstd="t" o:hrnoshade="t" o:hr="t" fillcolor="black [3213]" stroked="f"/>
        </w:pict>
      </w:r>
    </w:p>
    <w:p w:rsidR="00AB75C1" w:rsidRPr="00F55576" w:rsidRDefault="00AB75C1" w:rsidP="00AB75C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t>38791</w:t>
            </w:r>
          </w:p>
        </w:tc>
        <w:tc>
          <w:tcPr>
            <w:tcW w:w="4457" w:type="pct"/>
            <w:gridSpan w:val="3"/>
          </w:tcPr>
          <w:p w:rsidR="00AB75C1" w:rsidRPr="00F55576" w:rsidRDefault="00AB75C1" w:rsidP="00BA4C4D">
            <w:pPr>
              <w:pStyle w:val="SCCLsocParty"/>
              <w:jc w:val="both"/>
              <w:rPr>
                <w:b/>
                <w:sz w:val="20"/>
                <w:szCs w:val="20"/>
                <w:lang w:val="en-US"/>
              </w:rPr>
            </w:pPr>
            <w:r w:rsidRPr="00F55576">
              <w:rPr>
                <w:b/>
                <w:sz w:val="20"/>
                <w:szCs w:val="20"/>
                <w:lang w:val="en-US"/>
              </w:rPr>
              <w:t>Rain Coast Water Corp. v. Her Majesty the Queen in Right of the Province of British Columbia, Bill Vander Zalm</w:t>
            </w:r>
            <w:r w:rsidR="00FF6356" w:rsidRPr="00F55576">
              <w:rPr>
                <w:b/>
                <w:sz w:val="20"/>
                <w:szCs w:val="20"/>
                <w:lang w:val="en-US"/>
              </w:rPr>
              <w:t xml:space="preserve"> and</w:t>
            </w:r>
            <w:r w:rsidRPr="00F55576">
              <w:rPr>
                <w:b/>
                <w:sz w:val="20"/>
                <w:szCs w:val="20"/>
                <w:lang w:val="en-US"/>
              </w:rPr>
              <w:t xml:space="preserve"> Richard Roberts (a</w:t>
            </w:r>
            <w:r w:rsidR="00FF6356" w:rsidRPr="00F55576">
              <w:rPr>
                <w:b/>
                <w:sz w:val="20"/>
                <w:szCs w:val="20"/>
                <w:lang w:val="en-US"/>
              </w:rPr>
              <w:t>.k.a.</w:t>
            </w:r>
            <w:r w:rsidRPr="00F55576">
              <w:rPr>
                <w:b/>
                <w:sz w:val="20"/>
                <w:szCs w:val="20"/>
                <w:lang w:val="en-US"/>
              </w:rPr>
              <w:t xml:space="preserve"> Dick Roberts)</w:t>
            </w:r>
          </w:p>
          <w:p w:rsidR="00AB75C1" w:rsidRPr="00F55576" w:rsidRDefault="00AB75C1" w:rsidP="00BA4C4D">
            <w:pPr>
              <w:jc w:val="both"/>
              <w:rPr>
                <w:sz w:val="20"/>
              </w:rPr>
            </w:pPr>
            <w:r w:rsidRPr="00F55576">
              <w:rPr>
                <w:sz w:val="20"/>
              </w:rPr>
              <w:t>(B.C.) (Civil) (By Leave)</w:t>
            </w:r>
          </w:p>
        </w:tc>
      </w:tr>
      <w:tr w:rsidR="00834E76" w:rsidRPr="00F55576" w:rsidTr="00BA4C4D">
        <w:tc>
          <w:tcPr>
            <w:tcW w:w="5000" w:type="pct"/>
            <w:gridSpan w:val="4"/>
          </w:tcPr>
          <w:p w:rsidR="00FF6356" w:rsidRPr="00F55576" w:rsidRDefault="00FF6356" w:rsidP="00FF6356">
            <w:pPr>
              <w:jc w:val="both"/>
              <w:rPr>
                <w:sz w:val="20"/>
                <w:szCs w:val="20"/>
              </w:rPr>
            </w:pPr>
            <w:r w:rsidRPr="00F55576">
              <w:rPr>
                <w:sz w:val="20"/>
                <w:szCs w:val="20"/>
              </w:rPr>
              <w:t>The application for leave to appeal from the judgment of the Court of Appeal for British Columbia (Vancouver), Number CA43698, 2019 BCCA 201, dated June 6, 2019, is dismissed with costs.</w:t>
            </w:r>
          </w:p>
          <w:p w:rsidR="00834E76" w:rsidRPr="00F55576" w:rsidRDefault="00834E76" w:rsidP="00BA4C4D">
            <w:pPr>
              <w:jc w:val="both"/>
              <w:rPr>
                <w:sz w:val="20"/>
              </w:rPr>
            </w:pPr>
          </w:p>
        </w:tc>
      </w:tr>
      <w:tr w:rsidR="00AB75C1" w:rsidRPr="00F55576" w:rsidTr="00BA4C4D">
        <w:tc>
          <w:tcPr>
            <w:tcW w:w="5000" w:type="pct"/>
            <w:gridSpan w:val="4"/>
          </w:tcPr>
          <w:p w:rsidR="00AB75C1" w:rsidRPr="00F55576" w:rsidRDefault="00AB75C1" w:rsidP="00BA4C4D">
            <w:pPr>
              <w:jc w:val="both"/>
              <w:rPr>
                <w:sz w:val="20"/>
              </w:rPr>
            </w:pPr>
            <w:r w:rsidRPr="00F55576">
              <w:rPr>
                <w:sz w:val="20"/>
              </w:rPr>
              <w:t>Torts — Municipalities — Misfeasance in public office — Unlawful means — Limitation of actions — Whether the Court of Appeal exceeded its appellate function — Whether the Court of Appeal engaged in faulty analysis</w:t>
            </w:r>
          </w:p>
        </w:tc>
      </w:tr>
      <w:tr w:rsidR="00AB75C1" w:rsidRPr="00F55576" w:rsidTr="00BA4C4D">
        <w:tc>
          <w:tcPr>
            <w:tcW w:w="5000" w:type="pct"/>
            <w:gridSpan w:val="4"/>
          </w:tcPr>
          <w:p w:rsidR="00AB75C1" w:rsidRPr="00F55576" w:rsidRDefault="00AB75C1" w:rsidP="00BA4C4D">
            <w:pPr>
              <w:jc w:val="both"/>
              <w:rPr>
                <w:sz w:val="20"/>
              </w:rPr>
            </w:pPr>
          </w:p>
        </w:tc>
      </w:tr>
      <w:tr w:rsidR="00AB75C1" w:rsidRPr="00F55576" w:rsidTr="00BA4C4D">
        <w:tc>
          <w:tcPr>
            <w:tcW w:w="5000" w:type="pct"/>
            <w:gridSpan w:val="4"/>
          </w:tcPr>
          <w:p w:rsidR="00AB75C1" w:rsidRPr="00F55576" w:rsidRDefault="00AB75C1" w:rsidP="00BA4C4D">
            <w:pPr>
              <w:jc w:val="both"/>
              <w:rPr>
                <w:sz w:val="20"/>
              </w:rPr>
            </w:pPr>
            <w:r w:rsidRPr="00F55576">
              <w:rPr>
                <w:sz w:val="20"/>
              </w:rPr>
              <w:t>Rain Coast Water Corp was incorporated in 1983 for the bulk export and bottling of fresh water from British Columbia. Rain Coast obtained a foreshore licence of occupation over Crown land and licences to acquire provincial water. However, Rain Coast failed to pay, or was late in paying, the rentals due for these licenses and did not make use of them. As a result, the government terminated Rain Coast’s licenses. In November 1996, Rain Coast filed a claim against the respondents due to alleged conduct throughout the 1980s and 1990s. The statement of claim alleged the manipulation and curtailment of an export market for the sale of Crown water resulting in the loss of business opportunities for Rain Coast. The Supreme Court of British Columbia determined that British Columbia was liable for the misfeasance of public office by the Deputy Comptroller of Water Rights, Premier Bill Vander Zalm, and Richard Roberts. The trial judge also determined that Bill Vander Zalm and British Columbia committed the unlawful means tort. The Court of Appeal for British Columbia unanimously overturned the lower court decision and dismissed the action in its entirety.</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May 12, 2016</w:t>
            </w:r>
          </w:p>
          <w:p w:rsidR="00AB75C1" w:rsidRPr="00F55576" w:rsidRDefault="00AB75C1" w:rsidP="00BA4C4D">
            <w:pPr>
              <w:jc w:val="both"/>
              <w:rPr>
                <w:sz w:val="20"/>
              </w:rPr>
            </w:pPr>
            <w:r w:rsidRPr="00F55576">
              <w:rPr>
                <w:sz w:val="20"/>
              </w:rPr>
              <w:t>Supreme Court of British Columbia</w:t>
            </w:r>
          </w:p>
          <w:p w:rsidR="00AB75C1" w:rsidRPr="00F55576" w:rsidRDefault="00AB75C1" w:rsidP="00BA4C4D">
            <w:pPr>
              <w:jc w:val="both"/>
              <w:rPr>
                <w:sz w:val="20"/>
              </w:rPr>
            </w:pPr>
            <w:r w:rsidRPr="00F55576">
              <w:rPr>
                <w:sz w:val="20"/>
              </w:rPr>
              <w:t>(Leask J.)</w:t>
            </w:r>
          </w:p>
          <w:p w:rsidR="00AB75C1" w:rsidRPr="00F55576" w:rsidRDefault="007B1953" w:rsidP="00BA4C4D">
            <w:pPr>
              <w:jc w:val="both"/>
              <w:rPr>
                <w:sz w:val="20"/>
              </w:rPr>
            </w:pPr>
            <w:hyperlink r:id="rId77" w:history="1">
              <w:r w:rsidR="00AB75C1" w:rsidRPr="00F55576">
                <w:rPr>
                  <w:rStyle w:val="Hyperlink"/>
                  <w:sz w:val="20"/>
                </w:rPr>
                <w:t>2016 BCSC 845</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Defendants each found liable for misfeasance in public office or the tort of unlawful means.</w:t>
            </w:r>
          </w:p>
          <w:p w:rsidR="00AB75C1" w:rsidRPr="00F55576" w:rsidRDefault="00AB75C1" w:rsidP="00BA4C4D">
            <w:pPr>
              <w:jc w:val="both"/>
              <w:rPr>
                <w:sz w:val="20"/>
              </w:rPr>
            </w:pPr>
          </w:p>
        </w:tc>
      </w:tr>
    </w:tbl>
    <w:p w:rsidR="00B92F50" w:rsidRPr="00F55576" w:rsidRDefault="00B92F50">
      <w:r w:rsidRPr="00F5557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5C1" w:rsidRPr="00F55576" w:rsidTr="00BA4C4D">
        <w:tc>
          <w:tcPr>
            <w:tcW w:w="2427" w:type="pct"/>
          </w:tcPr>
          <w:p w:rsidR="00AB75C1" w:rsidRPr="00F55576" w:rsidRDefault="00AB75C1" w:rsidP="00BA4C4D">
            <w:pPr>
              <w:jc w:val="both"/>
              <w:rPr>
                <w:sz w:val="20"/>
              </w:rPr>
            </w:pPr>
            <w:r w:rsidRPr="00F55576">
              <w:rPr>
                <w:sz w:val="20"/>
              </w:rPr>
              <w:lastRenderedPageBreak/>
              <w:t>June 6, 2019</w:t>
            </w:r>
          </w:p>
          <w:p w:rsidR="00AB75C1" w:rsidRPr="00F55576" w:rsidRDefault="00AB75C1" w:rsidP="00BA4C4D">
            <w:pPr>
              <w:jc w:val="both"/>
              <w:rPr>
                <w:sz w:val="20"/>
              </w:rPr>
            </w:pPr>
            <w:r w:rsidRPr="00F55576">
              <w:rPr>
                <w:sz w:val="20"/>
              </w:rPr>
              <w:t xml:space="preserve">Court of Appeal for British Columbia </w:t>
            </w:r>
          </w:p>
          <w:p w:rsidR="00AB75C1" w:rsidRPr="00F55576" w:rsidRDefault="00AB75C1" w:rsidP="00BA4C4D">
            <w:pPr>
              <w:jc w:val="both"/>
              <w:rPr>
                <w:sz w:val="20"/>
              </w:rPr>
            </w:pPr>
            <w:r w:rsidRPr="00F55576">
              <w:rPr>
                <w:sz w:val="20"/>
              </w:rPr>
              <w:t>(Vancouver)</w:t>
            </w:r>
          </w:p>
          <w:p w:rsidR="00AB75C1" w:rsidRPr="00F55576" w:rsidRDefault="00AB75C1" w:rsidP="00BA4C4D">
            <w:pPr>
              <w:jc w:val="both"/>
              <w:rPr>
                <w:sz w:val="20"/>
              </w:rPr>
            </w:pPr>
            <w:r w:rsidRPr="00F55576">
              <w:rPr>
                <w:sz w:val="20"/>
              </w:rPr>
              <w:t>(Dickson, Fitch, and Fisher JJ.A.)</w:t>
            </w:r>
          </w:p>
          <w:p w:rsidR="00AB75C1" w:rsidRPr="00F55576" w:rsidRDefault="007B1953" w:rsidP="00BA4C4D">
            <w:pPr>
              <w:jc w:val="both"/>
              <w:rPr>
                <w:sz w:val="20"/>
              </w:rPr>
            </w:pPr>
            <w:hyperlink r:id="rId78" w:history="1">
              <w:r w:rsidR="00AB75C1" w:rsidRPr="00F55576">
                <w:rPr>
                  <w:rStyle w:val="Hyperlink"/>
                  <w:sz w:val="20"/>
                </w:rPr>
                <w:t>2019 BCCA 201</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Appeal allowed; action dismissed in its entirety.</w:t>
            </w:r>
          </w:p>
          <w:p w:rsidR="00AB75C1" w:rsidRPr="00F55576" w:rsidRDefault="00AB75C1" w:rsidP="00BA4C4D">
            <w:pPr>
              <w:jc w:val="both"/>
              <w:rPr>
                <w:sz w:val="20"/>
              </w:rPr>
            </w:pPr>
          </w:p>
        </w:tc>
      </w:tr>
      <w:tr w:rsidR="00AB75C1" w:rsidRPr="00F55576" w:rsidTr="00BA4C4D">
        <w:tc>
          <w:tcPr>
            <w:tcW w:w="2427" w:type="pct"/>
          </w:tcPr>
          <w:p w:rsidR="00AB75C1" w:rsidRPr="00F55576" w:rsidRDefault="00AB75C1" w:rsidP="00BA4C4D">
            <w:pPr>
              <w:jc w:val="both"/>
              <w:rPr>
                <w:sz w:val="20"/>
              </w:rPr>
            </w:pPr>
            <w:r w:rsidRPr="00F55576">
              <w:rPr>
                <w:sz w:val="20"/>
              </w:rPr>
              <w:t>September 5, 2019</w:t>
            </w:r>
          </w:p>
          <w:p w:rsidR="00AB75C1" w:rsidRPr="00F55576" w:rsidRDefault="00AB75C1" w:rsidP="00BA4C4D">
            <w:pPr>
              <w:jc w:val="both"/>
              <w:rPr>
                <w:sz w:val="20"/>
              </w:rPr>
            </w:pPr>
            <w:r w:rsidRPr="00F55576">
              <w:rPr>
                <w:sz w:val="20"/>
              </w:rPr>
              <w:t>Supreme Court of Canada</w:t>
            </w: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Application for leave to appeal filed</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60" style="width:2in;height:1pt" o:hrpct="0" o:hralign="center" o:hrstd="t" o:hrnoshade="t" o:hr="t" fillcolor="black [3213]" stroked="f"/>
        </w:pict>
      </w:r>
    </w:p>
    <w:p w:rsidR="00AB75C1" w:rsidRPr="00F55576" w:rsidRDefault="00AB75C1" w:rsidP="00AB75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lang w:val="fr-CA"/>
              </w:rPr>
            </w:pPr>
            <w:r w:rsidRPr="00F55576">
              <w:rPr>
                <w:rStyle w:val="SCCFileNumberChar"/>
                <w:sz w:val="20"/>
                <w:szCs w:val="20"/>
                <w:lang w:val="fr-CA"/>
              </w:rPr>
              <w:t>38791</w:t>
            </w:r>
          </w:p>
        </w:tc>
        <w:tc>
          <w:tcPr>
            <w:tcW w:w="4457" w:type="pct"/>
            <w:gridSpan w:val="3"/>
          </w:tcPr>
          <w:p w:rsidR="00AB75C1" w:rsidRPr="00F55576" w:rsidRDefault="00AB75C1" w:rsidP="00BA4C4D">
            <w:pPr>
              <w:pStyle w:val="SCCLsocParty"/>
              <w:jc w:val="both"/>
              <w:rPr>
                <w:b/>
                <w:sz w:val="20"/>
                <w:szCs w:val="20"/>
              </w:rPr>
            </w:pPr>
            <w:r w:rsidRPr="00F55576">
              <w:rPr>
                <w:b/>
                <w:sz w:val="20"/>
                <w:szCs w:val="20"/>
              </w:rPr>
              <w:t>Rain Coast Water Corp. c. Sa Majesté la Reine du chef de la Colombie-Britannique, Bill Vander Zalm</w:t>
            </w:r>
            <w:r w:rsidR="00FF6356" w:rsidRPr="00F55576">
              <w:rPr>
                <w:b/>
                <w:sz w:val="20"/>
                <w:szCs w:val="20"/>
              </w:rPr>
              <w:t xml:space="preserve"> et</w:t>
            </w:r>
            <w:r w:rsidRPr="00F55576">
              <w:rPr>
                <w:b/>
                <w:sz w:val="20"/>
                <w:szCs w:val="20"/>
              </w:rPr>
              <w:t xml:space="preserve"> Richard Roberts (alias Dick Roberts)</w:t>
            </w:r>
          </w:p>
          <w:p w:rsidR="00AB75C1" w:rsidRPr="00F55576" w:rsidRDefault="00AB75C1" w:rsidP="00BA4C4D">
            <w:pPr>
              <w:jc w:val="both"/>
              <w:rPr>
                <w:sz w:val="20"/>
                <w:lang w:val="fr-CA"/>
              </w:rPr>
            </w:pPr>
            <w:r w:rsidRPr="00F55576">
              <w:rPr>
                <w:sz w:val="20"/>
                <w:lang w:val="fr-CA"/>
              </w:rPr>
              <w:t>(C.</w:t>
            </w:r>
            <w:r w:rsidRPr="00F55576">
              <w:rPr>
                <w:sz w:val="20"/>
                <w:lang w:val="fr-CA"/>
              </w:rPr>
              <w:noBreakHyphen/>
              <w:t>B.) (Civile) (Autorisation)</w:t>
            </w:r>
          </w:p>
        </w:tc>
      </w:tr>
      <w:tr w:rsidR="00834E76" w:rsidRPr="008042C9" w:rsidTr="00BA4C4D">
        <w:tc>
          <w:tcPr>
            <w:tcW w:w="5000" w:type="pct"/>
            <w:gridSpan w:val="4"/>
          </w:tcPr>
          <w:p w:rsidR="00834E76" w:rsidRPr="00F55576" w:rsidRDefault="00FF6356" w:rsidP="00BA4C4D">
            <w:pPr>
              <w:jc w:val="both"/>
              <w:rPr>
                <w:sz w:val="20"/>
                <w:szCs w:val="20"/>
                <w:lang w:val="fr-CA"/>
              </w:rPr>
            </w:pPr>
            <w:r w:rsidRPr="00F55576">
              <w:rPr>
                <w:sz w:val="20"/>
                <w:szCs w:val="20"/>
                <w:lang w:val="fr-CA"/>
              </w:rPr>
              <w:t>La demande d’autorisation d’appel de l’arrêt de la Cour d’appel de la Colombie-Britannique (Vancouver), numéro CA43698, 2019 BCCA 201, daté du 6 juin 2019, est rejetée avec dépens.</w:t>
            </w:r>
          </w:p>
          <w:p w:rsidR="00834E76" w:rsidRPr="00F55576" w:rsidRDefault="00834E76" w:rsidP="00BA4C4D">
            <w:pPr>
              <w:jc w:val="both"/>
              <w:rPr>
                <w:sz w:val="20"/>
                <w:lang w:val="fr-CA"/>
              </w:rPr>
            </w:pPr>
          </w:p>
        </w:tc>
      </w:tr>
      <w:tr w:rsidR="00AB75C1" w:rsidRPr="008042C9" w:rsidTr="00BA4C4D">
        <w:tc>
          <w:tcPr>
            <w:tcW w:w="5000" w:type="pct"/>
            <w:gridSpan w:val="4"/>
          </w:tcPr>
          <w:p w:rsidR="00AB75C1" w:rsidRPr="00F55576" w:rsidRDefault="00AB75C1" w:rsidP="00BA4C4D">
            <w:pPr>
              <w:jc w:val="both"/>
              <w:rPr>
                <w:sz w:val="20"/>
                <w:lang w:val="fr-CA"/>
              </w:rPr>
            </w:pPr>
            <w:r w:rsidRPr="00F55576">
              <w:rPr>
                <w:sz w:val="20"/>
                <w:lang w:val="fr-CA"/>
              </w:rPr>
              <w:t>Responsabilité délictuelle — Municipalités — Faute dans l’exercice d’une charge publique — Moyens illégaux — Prescription — La Cour d’appel a</w:t>
            </w:r>
            <w:r w:rsidRPr="00F55576">
              <w:rPr>
                <w:sz w:val="20"/>
                <w:lang w:val="fr-CA"/>
              </w:rPr>
              <w:noBreakHyphen/>
              <w:t>t</w:t>
            </w:r>
            <w:r w:rsidRPr="00F55576">
              <w:rPr>
                <w:sz w:val="20"/>
                <w:lang w:val="fr-CA"/>
              </w:rPr>
              <w:noBreakHyphen/>
              <w:t>elle outrepassé sa fonction de juridiction d’appel? — La Cour d’appel s’est</w:t>
            </w:r>
            <w:r w:rsidRPr="00F55576">
              <w:rPr>
                <w:sz w:val="20"/>
                <w:lang w:val="fr-CA"/>
              </w:rPr>
              <w:noBreakHyphen/>
              <w:t>elle livrée à une analyse fautive?</w:t>
            </w:r>
          </w:p>
        </w:tc>
      </w:tr>
      <w:tr w:rsidR="00AB75C1" w:rsidRPr="008042C9" w:rsidTr="00BA4C4D">
        <w:tc>
          <w:tcPr>
            <w:tcW w:w="5000" w:type="pct"/>
            <w:gridSpan w:val="4"/>
          </w:tcPr>
          <w:p w:rsidR="00AB75C1" w:rsidRPr="00F55576" w:rsidRDefault="00AB75C1" w:rsidP="00BA4C4D">
            <w:pPr>
              <w:jc w:val="both"/>
              <w:rPr>
                <w:sz w:val="20"/>
                <w:lang w:val="fr-CA"/>
              </w:rPr>
            </w:pPr>
          </w:p>
        </w:tc>
      </w:tr>
      <w:tr w:rsidR="00AB75C1" w:rsidRPr="008042C9" w:rsidTr="00BA4C4D">
        <w:tc>
          <w:tcPr>
            <w:tcW w:w="5000" w:type="pct"/>
            <w:gridSpan w:val="4"/>
          </w:tcPr>
          <w:p w:rsidR="00AB75C1" w:rsidRPr="00F55576" w:rsidRDefault="00AB75C1" w:rsidP="00BA4C4D">
            <w:pPr>
              <w:jc w:val="both"/>
              <w:rPr>
                <w:sz w:val="20"/>
                <w:lang w:val="fr-CA"/>
              </w:rPr>
            </w:pPr>
            <w:r w:rsidRPr="00F55576">
              <w:rPr>
                <w:sz w:val="20"/>
                <w:lang w:val="fr-CA"/>
              </w:rPr>
              <w:t>Rain Coast Water Corp a été constituée en personne morale en 1983 pour l’exportation en vrac et l’embouteillage d’eau douce de la Colombie</w:t>
            </w:r>
            <w:r w:rsidRPr="00F55576">
              <w:rPr>
                <w:sz w:val="20"/>
                <w:lang w:val="fr-CA"/>
              </w:rPr>
              <w:noBreakHyphen/>
              <w:t>Britannique. Rain Coast a obtenu un permis d’occupation de l’estran à l’égard de terres publiques et des permis d’acquisition d’eau provinciale. Toutefois, Rain Coast a omis de payer, ou a payé en retard, les loyers exigibles pour ces permis et elle ne s’en est pas prévalu. En conséquence, le gouvernement a résilié les permis de Rain Coast. En novembre 1996, Rain Coast a déposé une action contre les intimés, leur reprochant leur conduite dans les années 1980 et 1990. Dans la déclaration, elle alléguait la manipulation et la restriction d’un marché d’exportation pour la vente d’eau publique, ce qui a privé Rain Coast de débouchés. La Cour suprême de la Colombie</w:t>
            </w:r>
            <w:r w:rsidRPr="00F55576">
              <w:rPr>
                <w:sz w:val="20"/>
                <w:lang w:val="fr-CA"/>
              </w:rPr>
              <w:noBreakHyphen/>
              <w:t>Britannique a conclu que la Colombie-Britannique était responsable au titre de la faute dans l’exercice d’une charge publique du contrôleur adjoint aux droits de l’eau, du premier ministre Bill Vander Zalm et de Richard Roberts. Le juge de première instance a en outre conclu que Bill Vander Zalm et la Colombie</w:t>
            </w:r>
            <w:r w:rsidRPr="00F55576">
              <w:rPr>
                <w:sz w:val="20"/>
                <w:lang w:val="fr-CA"/>
              </w:rPr>
              <w:noBreakHyphen/>
              <w:t>Britannique avaient commis le délit d’atteinte par un moyen illégal. La Cour d’appel de la Colombie</w:t>
            </w:r>
            <w:r w:rsidRPr="00F55576">
              <w:rPr>
                <w:sz w:val="20"/>
                <w:lang w:val="fr-CA"/>
              </w:rPr>
              <w:noBreakHyphen/>
              <w:t>Britannique a infirmé à l’unanimité le jugement de première instance et rejeté l’action au complet.</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12 mai 2016</w:t>
            </w:r>
          </w:p>
          <w:p w:rsidR="00AB75C1" w:rsidRPr="00F55576" w:rsidRDefault="00AB75C1" w:rsidP="00BA4C4D">
            <w:pPr>
              <w:jc w:val="both"/>
              <w:rPr>
                <w:sz w:val="20"/>
                <w:lang w:val="fr-CA"/>
              </w:rPr>
            </w:pPr>
            <w:r w:rsidRPr="00F55576">
              <w:rPr>
                <w:sz w:val="20"/>
                <w:lang w:val="fr-CA"/>
              </w:rPr>
              <w:t>Cour suprême de la Colombie</w:t>
            </w:r>
            <w:r w:rsidRPr="00F55576">
              <w:rPr>
                <w:sz w:val="20"/>
                <w:lang w:val="fr-CA"/>
              </w:rPr>
              <w:noBreakHyphen/>
              <w:t>Britannique</w:t>
            </w:r>
          </w:p>
          <w:p w:rsidR="00AB75C1" w:rsidRPr="00F55576" w:rsidRDefault="00AB75C1" w:rsidP="00BA4C4D">
            <w:pPr>
              <w:jc w:val="both"/>
              <w:rPr>
                <w:sz w:val="20"/>
                <w:lang w:val="fr-CA"/>
              </w:rPr>
            </w:pPr>
            <w:r w:rsidRPr="00F55576">
              <w:rPr>
                <w:sz w:val="20"/>
                <w:lang w:val="fr-CA"/>
              </w:rPr>
              <w:t xml:space="preserve">(Juge </w:t>
            </w:r>
            <w:proofErr w:type="spellStart"/>
            <w:r w:rsidRPr="00F55576">
              <w:rPr>
                <w:sz w:val="20"/>
                <w:lang w:val="fr-CA"/>
              </w:rPr>
              <w:t>Leask</w:t>
            </w:r>
            <w:proofErr w:type="spellEnd"/>
            <w:r w:rsidRPr="00F55576">
              <w:rPr>
                <w:sz w:val="20"/>
                <w:lang w:val="fr-CA"/>
              </w:rPr>
              <w:t>)</w:t>
            </w:r>
          </w:p>
          <w:p w:rsidR="00AB75C1" w:rsidRPr="00F55576" w:rsidRDefault="007B1953" w:rsidP="00BA4C4D">
            <w:pPr>
              <w:jc w:val="both"/>
              <w:rPr>
                <w:sz w:val="20"/>
                <w:lang w:val="fr-CA"/>
              </w:rPr>
            </w:pPr>
            <w:hyperlink r:id="rId79" w:history="1">
              <w:r w:rsidR="00AB75C1" w:rsidRPr="00F55576">
                <w:rPr>
                  <w:rStyle w:val="Hyperlink"/>
                  <w:sz w:val="20"/>
                  <w:lang w:val="fr-CA"/>
                </w:rPr>
                <w:t>2016 BCSC 845</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Jugement concluant à la responsabilité de chacun des défendeurs pour faute dans l’exercice d’une charge publique ou le délit d’atteinte par un moyen illégal.</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6 juin 2019</w:t>
            </w:r>
          </w:p>
          <w:p w:rsidR="00AB75C1" w:rsidRPr="00F55576" w:rsidRDefault="00AB75C1" w:rsidP="00BA4C4D">
            <w:pPr>
              <w:jc w:val="both"/>
              <w:rPr>
                <w:sz w:val="20"/>
                <w:lang w:val="fr-CA"/>
              </w:rPr>
            </w:pPr>
            <w:r w:rsidRPr="00F55576">
              <w:rPr>
                <w:sz w:val="20"/>
                <w:lang w:val="fr-CA"/>
              </w:rPr>
              <w:t>Cour d’appel de la Colombie</w:t>
            </w:r>
            <w:r w:rsidRPr="00F55576">
              <w:rPr>
                <w:sz w:val="20"/>
                <w:lang w:val="fr-CA"/>
              </w:rPr>
              <w:noBreakHyphen/>
              <w:t>Britannique</w:t>
            </w:r>
          </w:p>
          <w:p w:rsidR="00AB75C1" w:rsidRPr="00F55576" w:rsidRDefault="00AB75C1" w:rsidP="00BA4C4D">
            <w:pPr>
              <w:jc w:val="both"/>
              <w:rPr>
                <w:sz w:val="20"/>
                <w:lang w:val="fr-CA"/>
              </w:rPr>
            </w:pPr>
            <w:r w:rsidRPr="00F55576">
              <w:rPr>
                <w:sz w:val="20"/>
                <w:lang w:val="fr-CA"/>
              </w:rPr>
              <w:t>(Vancouver)</w:t>
            </w:r>
          </w:p>
          <w:p w:rsidR="00AB75C1" w:rsidRPr="00F55576" w:rsidRDefault="00AB75C1" w:rsidP="00BA4C4D">
            <w:pPr>
              <w:jc w:val="both"/>
              <w:rPr>
                <w:sz w:val="20"/>
                <w:lang w:val="fr-CA"/>
              </w:rPr>
            </w:pPr>
            <w:r w:rsidRPr="00F55576">
              <w:rPr>
                <w:sz w:val="20"/>
                <w:lang w:val="fr-CA"/>
              </w:rPr>
              <w:t xml:space="preserve">(Juges Dickson, </w:t>
            </w:r>
            <w:proofErr w:type="spellStart"/>
            <w:r w:rsidRPr="00F55576">
              <w:rPr>
                <w:sz w:val="20"/>
                <w:lang w:val="fr-CA"/>
              </w:rPr>
              <w:t>Fitch</w:t>
            </w:r>
            <w:proofErr w:type="spellEnd"/>
            <w:r w:rsidRPr="00F55576">
              <w:rPr>
                <w:sz w:val="20"/>
                <w:lang w:val="fr-CA"/>
              </w:rPr>
              <w:t xml:space="preserve"> et Fisher)</w:t>
            </w:r>
          </w:p>
          <w:p w:rsidR="00AB75C1" w:rsidRPr="00F55576" w:rsidRDefault="007B1953" w:rsidP="00BA4C4D">
            <w:pPr>
              <w:jc w:val="both"/>
              <w:rPr>
                <w:sz w:val="20"/>
                <w:lang w:val="fr-CA"/>
              </w:rPr>
            </w:pPr>
            <w:hyperlink r:id="rId80" w:history="1">
              <w:r w:rsidR="00AB75C1" w:rsidRPr="00F55576">
                <w:rPr>
                  <w:rStyle w:val="Hyperlink"/>
                  <w:sz w:val="20"/>
                  <w:lang w:val="fr-CA"/>
                </w:rPr>
                <w:t>2019 BCCA 201</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Arrêt accueillant l’appel et rejetant l’action au complet.</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5 septembre 2019</w:t>
            </w:r>
          </w:p>
          <w:p w:rsidR="00AB75C1" w:rsidRPr="00F55576" w:rsidRDefault="00AB75C1" w:rsidP="00BA4C4D">
            <w:pPr>
              <w:jc w:val="both"/>
              <w:rPr>
                <w:sz w:val="20"/>
                <w:lang w:val="fr-CA"/>
              </w:rPr>
            </w:pPr>
            <w:r w:rsidRPr="00F55576">
              <w:rPr>
                <w:sz w:val="20"/>
                <w:lang w:val="fr-CA"/>
              </w:rPr>
              <w:t>Cour suprême du Canada</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Dépôt de la demande d’autorisation d’appel</w:t>
            </w:r>
          </w:p>
          <w:p w:rsidR="00AB75C1" w:rsidRPr="00F55576" w:rsidRDefault="00AB75C1" w:rsidP="00BA4C4D">
            <w:pPr>
              <w:jc w:val="both"/>
              <w:rPr>
                <w:sz w:val="20"/>
                <w:lang w:val="fr-CA"/>
              </w:rPr>
            </w:pPr>
          </w:p>
        </w:tc>
      </w:tr>
    </w:tbl>
    <w:p w:rsidR="00AB75C1" w:rsidRPr="00F55576" w:rsidRDefault="00AB75C1" w:rsidP="00AB75C1">
      <w:pPr>
        <w:jc w:val="both"/>
        <w:rPr>
          <w:sz w:val="20"/>
          <w:lang w:val="fr-CA"/>
        </w:rPr>
      </w:pPr>
    </w:p>
    <w:p w:rsidR="00AB75C1" w:rsidRPr="00F55576" w:rsidRDefault="007B1953" w:rsidP="00AB75C1">
      <w:pPr>
        <w:jc w:val="both"/>
        <w:rPr>
          <w:sz w:val="20"/>
          <w:lang w:val="fr-CA"/>
        </w:rPr>
      </w:pPr>
      <w:r>
        <w:rPr>
          <w:sz w:val="20"/>
        </w:rPr>
        <w:pict>
          <v:rect id="_x0000_i1061" style="width:2in;height:1pt" o:hrpct="0" o:hralign="center" o:hrstd="t" o:hrnoshade="t" o:hr="t" fillcolor="black [3213]" stroked="f"/>
        </w:pict>
      </w:r>
    </w:p>
    <w:p w:rsidR="00AB75C1" w:rsidRPr="00F55576" w:rsidRDefault="00AB75C1" w:rsidP="00AB75C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rPr>
            </w:pPr>
            <w:r w:rsidRPr="00F55576">
              <w:rPr>
                <w:rStyle w:val="SCCFileNumberChar"/>
                <w:sz w:val="20"/>
                <w:szCs w:val="20"/>
              </w:rPr>
              <w:lastRenderedPageBreak/>
              <w:t>38711</w:t>
            </w:r>
          </w:p>
        </w:tc>
        <w:tc>
          <w:tcPr>
            <w:tcW w:w="4457" w:type="pct"/>
            <w:gridSpan w:val="3"/>
          </w:tcPr>
          <w:p w:rsidR="00AB75C1" w:rsidRPr="00F55576" w:rsidRDefault="00AB75C1" w:rsidP="00BA4C4D">
            <w:pPr>
              <w:pStyle w:val="SCCLsocParty"/>
              <w:jc w:val="both"/>
              <w:rPr>
                <w:b/>
                <w:sz w:val="20"/>
                <w:szCs w:val="20"/>
                <w:lang w:val="en-US"/>
              </w:rPr>
            </w:pPr>
            <w:r w:rsidRPr="00F55576">
              <w:rPr>
                <w:b/>
                <w:sz w:val="20"/>
                <w:szCs w:val="20"/>
                <w:lang w:val="en-US"/>
              </w:rPr>
              <w:t>West Van Holdings Ltd.</w:t>
            </w:r>
            <w:r w:rsidR="00674A7B" w:rsidRPr="00F55576">
              <w:rPr>
                <w:b/>
                <w:sz w:val="20"/>
                <w:szCs w:val="20"/>
                <w:lang w:val="en-US"/>
              </w:rPr>
              <w:t xml:space="preserve"> and</w:t>
            </w:r>
            <w:r w:rsidRPr="00F55576">
              <w:rPr>
                <w:b/>
                <w:sz w:val="20"/>
                <w:szCs w:val="20"/>
                <w:lang w:val="en-US"/>
              </w:rPr>
              <w:t xml:space="preserve"> West Van Lions Gate Dry Cleaners Ltd. v. Economical Mutual Insurance Company</w:t>
            </w:r>
            <w:r w:rsidR="00674A7B" w:rsidRPr="00F55576">
              <w:rPr>
                <w:b/>
                <w:sz w:val="20"/>
                <w:szCs w:val="20"/>
                <w:lang w:val="en-US"/>
              </w:rPr>
              <w:t xml:space="preserve"> and</w:t>
            </w:r>
            <w:r w:rsidRPr="00F55576">
              <w:rPr>
                <w:b/>
                <w:sz w:val="20"/>
                <w:szCs w:val="20"/>
                <w:lang w:val="en-US"/>
              </w:rPr>
              <w:t xml:space="preserve"> Intact Insurance Company</w:t>
            </w:r>
          </w:p>
          <w:p w:rsidR="00AB75C1" w:rsidRPr="00F55576" w:rsidRDefault="00AB75C1" w:rsidP="00BA4C4D">
            <w:pPr>
              <w:jc w:val="both"/>
              <w:rPr>
                <w:sz w:val="20"/>
              </w:rPr>
            </w:pPr>
            <w:r w:rsidRPr="00F55576">
              <w:rPr>
                <w:sz w:val="20"/>
              </w:rPr>
              <w:t>(B.C.) (Civil) (By Leave)</w:t>
            </w:r>
          </w:p>
        </w:tc>
      </w:tr>
      <w:tr w:rsidR="00834E76" w:rsidRPr="00F55576" w:rsidTr="00BA4C4D">
        <w:tc>
          <w:tcPr>
            <w:tcW w:w="5000" w:type="pct"/>
            <w:gridSpan w:val="4"/>
          </w:tcPr>
          <w:p w:rsidR="00674A7B" w:rsidRPr="00F55576" w:rsidRDefault="00674A7B" w:rsidP="00674A7B">
            <w:pPr>
              <w:jc w:val="both"/>
              <w:rPr>
                <w:sz w:val="20"/>
                <w:szCs w:val="20"/>
              </w:rPr>
            </w:pPr>
            <w:r w:rsidRPr="00F55576">
              <w:rPr>
                <w:sz w:val="20"/>
                <w:szCs w:val="20"/>
              </w:rPr>
              <w:t>The motion for an extension of time to serve and file the application for leave to appeal is granted. The application for leave to appeal from the judgment of the</w:t>
            </w:r>
            <w:bookmarkStart w:id="4" w:name="BM_1_"/>
            <w:bookmarkEnd w:id="4"/>
            <w:r w:rsidRPr="00F55576">
              <w:rPr>
                <w:sz w:val="20"/>
                <w:szCs w:val="20"/>
              </w:rPr>
              <w:t xml:space="preserve"> Court of Appeal for British Columbia (Vancouver), Numbers CA45020 and CA45036, 2019 BCCA 110, dated April 5, 2019, is dismissed with costs.</w:t>
            </w:r>
          </w:p>
          <w:p w:rsidR="00834E76" w:rsidRPr="00F55576" w:rsidRDefault="00834E76" w:rsidP="00BA4C4D">
            <w:pPr>
              <w:autoSpaceDE w:val="0"/>
              <w:autoSpaceDN w:val="0"/>
              <w:adjustRightInd w:val="0"/>
              <w:ind w:left="-25" w:firstLine="25"/>
              <w:jc w:val="both"/>
              <w:rPr>
                <w:sz w:val="20"/>
              </w:rPr>
            </w:pPr>
          </w:p>
        </w:tc>
      </w:tr>
      <w:tr w:rsidR="00AB75C1" w:rsidRPr="00F55576" w:rsidTr="00BA4C4D">
        <w:tc>
          <w:tcPr>
            <w:tcW w:w="5000" w:type="pct"/>
            <w:gridSpan w:val="4"/>
          </w:tcPr>
          <w:p w:rsidR="00AB75C1" w:rsidRPr="00F55576" w:rsidRDefault="00AB75C1" w:rsidP="00BA4C4D">
            <w:pPr>
              <w:autoSpaceDE w:val="0"/>
              <w:autoSpaceDN w:val="0"/>
              <w:adjustRightInd w:val="0"/>
              <w:ind w:left="-25" w:firstLine="25"/>
              <w:jc w:val="both"/>
              <w:rPr>
                <w:sz w:val="20"/>
              </w:rPr>
            </w:pPr>
            <w:r w:rsidRPr="00F55576">
              <w:rPr>
                <w:sz w:val="20"/>
              </w:rPr>
              <w:t>Insurance — Insurer’s duty to defend — Civil procedure — Costs — Insurers relying on pollution exclusion clause to deny coverage to insureds — Insureds seeking to enforce insurers’ duty to defend in third party’s action for damages — Whether Court of Appeal erred in its approach to determining that respondents did not owe a duty, under “occurrence</w:t>
            </w:r>
            <w:r w:rsidRPr="00F55576">
              <w:rPr>
                <w:sz w:val="20"/>
              </w:rPr>
              <w:noBreakHyphen/>
              <w:t>based” policies, to defend claims related to the migration of pollutants — Whether Court of Appeal erred in applying a broad approach in interpreting the pollution exclusions contained in respondents’ policies — What is proper approach in determining whether exclusions oust mere possibility of coverage and their application to liability that is not fault</w:t>
            </w:r>
            <w:r w:rsidRPr="00F55576">
              <w:rPr>
                <w:sz w:val="20"/>
              </w:rPr>
              <w:noBreakHyphen/>
              <w:t>based, absolutely and retroactively imposed under statute? — Whether Court of Appeal erred in holding that insureds are not contractually entitled to recover their actual legal costs in successfully pursuing a duty to defend.</w:t>
            </w:r>
          </w:p>
        </w:tc>
      </w:tr>
      <w:tr w:rsidR="00AB75C1" w:rsidRPr="00F55576" w:rsidTr="00BA4C4D">
        <w:tc>
          <w:tcPr>
            <w:tcW w:w="5000" w:type="pct"/>
            <w:gridSpan w:val="4"/>
          </w:tcPr>
          <w:p w:rsidR="00AB75C1" w:rsidRPr="00F55576" w:rsidRDefault="00AB75C1" w:rsidP="00BA4C4D">
            <w:pPr>
              <w:jc w:val="both"/>
              <w:rPr>
                <w:sz w:val="20"/>
              </w:rPr>
            </w:pPr>
          </w:p>
          <w:p w:rsidR="00AB75C1" w:rsidRPr="00F55576" w:rsidRDefault="00AB75C1" w:rsidP="00BA4C4D">
            <w:pPr>
              <w:pStyle w:val="scjnumber1"/>
              <w:shd w:val="clear" w:color="auto" w:fill="FFFFFF"/>
              <w:jc w:val="both"/>
              <w:rPr>
                <w:rFonts w:ascii="Times New Roman" w:hAnsi="Times New Roman" w:cs="Times New Roman"/>
                <w:sz w:val="20"/>
                <w:szCs w:val="20"/>
                <w:lang w:val="en"/>
              </w:rPr>
            </w:pPr>
            <w:r w:rsidRPr="00F55576">
              <w:rPr>
                <w:rFonts w:ascii="Times New Roman" w:hAnsi="Times New Roman" w:cs="Times New Roman"/>
                <w:sz w:val="20"/>
                <w:szCs w:val="20"/>
                <w:lang w:val="en-CA"/>
              </w:rPr>
              <w:t>Since 1976, the applicants</w:t>
            </w:r>
            <w:r w:rsidRPr="00F55576">
              <w:rPr>
                <w:rFonts w:ascii="Times New Roman" w:hAnsi="Times New Roman" w:cs="Times New Roman"/>
                <w:sz w:val="20"/>
                <w:szCs w:val="20"/>
                <w:lang w:val="en"/>
              </w:rPr>
              <w:t xml:space="preserve"> (collectively, “West Van”) have owned and operated a dry cleaning business on land in West Vancouver (“West Van Lands”). Between 1998 and 2002, Intact Insurance Company insured West Van under a commercial general liability insurance policy (“CGL”). The policy included coverage for property damage liability, but also contained a clause limiting coverage for property damage liability arising from pollutants. Between 2002 and 2012, Economical Mutual Insurance Company insured West Van under a CGL. The policy included coverage for property damage liability, but similarly contained a clause limiting coverage arising from pollutants. In 2014, the owners of lands situated adjacent to the West Van Lands filed a Notice of Civil Claim against West Van, alleging that West Van had allowed dry</w:t>
            </w:r>
            <w:r w:rsidRPr="00F55576">
              <w:rPr>
                <w:rFonts w:ascii="Times New Roman" w:hAnsi="Times New Roman" w:cs="Times New Roman"/>
                <w:sz w:val="20"/>
                <w:szCs w:val="20"/>
                <w:lang w:val="en"/>
              </w:rPr>
              <w:noBreakHyphen/>
              <w:t xml:space="preserve">cleaning chemicals and petroleum products to be discharged or deposited into the soils and groundwater of the plaintiffs’ lands, thereby damaging and contaminating their lands. The action was pleaded in strict liability, negligence, nuisance, and a statutory cause of action under the </w:t>
            </w:r>
            <w:hyperlink r:id="rId81" w:history="1">
              <w:r w:rsidRPr="00F55576">
                <w:rPr>
                  <w:rFonts w:ascii="Times New Roman" w:hAnsi="Times New Roman" w:cs="Times New Roman"/>
                  <w:i/>
                  <w:iCs/>
                  <w:sz w:val="20"/>
                  <w:szCs w:val="20"/>
                  <w:lang w:val="en"/>
                </w:rPr>
                <w:t>Environmental Management Act</w:t>
              </w:r>
              <w:r w:rsidRPr="00F55576">
                <w:rPr>
                  <w:rFonts w:ascii="Times New Roman" w:hAnsi="Times New Roman" w:cs="Times New Roman"/>
                  <w:sz w:val="20"/>
                  <w:szCs w:val="20"/>
                  <w:lang w:val="en"/>
                </w:rPr>
                <w:t>, S.B.C. 2003, c. 53</w:t>
              </w:r>
            </w:hyperlink>
            <w:r w:rsidRPr="00F55576">
              <w:rPr>
                <w:rFonts w:ascii="Times New Roman" w:hAnsi="Times New Roman" w:cs="Times New Roman"/>
                <w:sz w:val="20"/>
                <w:szCs w:val="20"/>
                <w:lang w:val="en"/>
              </w:rPr>
              <w:t>,</w:t>
            </w:r>
          </w:p>
          <w:p w:rsidR="00AB75C1" w:rsidRPr="00F55576" w:rsidRDefault="00AB75C1" w:rsidP="00BA4C4D">
            <w:pPr>
              <w:jc w:val="both"/>
              <w:rPr>
                <w:sz w:val="20"/>
              </w:rPr>
            </w:pPr>
            <w:r w:rsidRPr="00F55576">
              <w:rPr>
                <w:sz w:val="20"/>
                <w:lang w:val="en"/>
              </w:rPr>
              <w:t xml:space="preserve">The insurers refused to defend West Van on the basis that the underlying action was outside the scope of their policy coverage based on the pollution exclusion clauses. West Van filed a notice of civil claim seeking declarations that Intact and Economical were required to defend them. </w:t>
            </w:r>
            <w:r w:rsidRPr="00F55576">
              <w:rPr>
                <w:sz w:val="20"/>
              </w:rPr>
              <w:t>The application judge held that the insurers had a duty to defend and awarded costs to West Van on a full indemnity basis. The Court of Appeal overturned this judgment.</w:t>
            </w:r>
          </w:p>
        </w:tc>
      </w:tr>
      <w:tr w:rsidR="00AB75C1" w:rsidRPr="00F55576" w:rsidTr="00BA4C4D">
        <w:tc>
          <w:tcPr>
            <w:tcW w:w="5000" w:type="pct"/>
            <w:gridSpan w:val="4"/>
          </w:tcPr>
          <w:p w:rsidR="00AB75C1" w:rsidRPr="00F55576" w:rsidRDefault="00AB75C1" w:rsidP="00BA4C4D">
            <w:pPr>
              <w:jc w:val="both"/>
              <w:rPr>
                <w:sz w:val="20"/>
                <w:lang w:val="en"/>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April 5, 2019</w:t>
            </w:r>
          </w:p>
          <w:p w:rsidR="00AB75C1" w:rsidRPr="00F55576" w:rsidRDefault="00AB75C1" w:rsidP="00BA4C4D">
            <w:pPr>
              <w:jc w:val="both"/>
              <w:rPr>
                <w:sz w:val="20"/>
              </w:rPr>
            </w:pPr>
            <w:r w:rsidRPr="00F55576">
              <w:rPr>
                <w:sz w:val="20"/>
              </w:rPr>
              <w:t xml:space="preserve">Court of Appeal for British Columbia </w:t>
            </w:r>
          </w:p>
          <w:p w:rsidR="00AB75C1" w:rsidRPr="00F55576" w:rsidRDefault="00AB75C1" w:rsidP="00BA4C4D">
            <w:pPr>
              <w:jc w:val="both"/>
              <w:rPr>
                <w:sz w:val="20"/>
              </w:rPr>
            </w:pPr>
            <w:r w:rsidRPr="00F55576">
              <w:rPr>
                <w:sz w:val="20"/>
              </w:rPr>
              <w:t>(Vancouver)</w:t>
            </w:r>
          </w:p>
          <w:p w:rsidR="00AB75C1" w:rsidRPr="00F55576" w:rsidRDefault="00AB75C1" w:rsidP="00BA4C4D">
            <w:pPr>
              <w:jc w:val="both"/>
              <w:rPr>
                <w:sz w:val="20"/>
              </w:rPr>
            </w:pPr>
            <w:r w:rsidRPr="00F55576">
              <w:rPr>
                <w:sz w:val="20"/>
              </w:rPr>
              <w:t>(DeWitt</w:t>
            </w:r>
            <w:r w:rsidRPr="00F55576">
              <w:rPr>
                <w:sz w:val="20"/>
              </w:rPr>
              <w:noBreakHyphen/>
              <w:t xml:space="preserve">Van </w:t>
            </w:r>
            <w:proofErr w:type="spellStart"/>
            <w:r w:rsidRPr="00F55576">
              <w:rPr>
                <w:sz w:val="20"/>
              </w:rPr>
              <w:t>Oosten</w:t>
            </w:r>
            <w:proofErr w:type="spellEnd"/>
            <w:r w:rsidRPr="00F55576">
              <w:rPr>
                <w:sz w:val="20"/>
              </w:rPr>
              <w:t xml:space="preserve"> J.)</w:t>
            </w:r>
          </w:p>
          <w:p w:rsidR="00AB75C1" w:rsidRPr="00F55576" w:rsidRDefault="007B1953" w:rsidP="00BA4C4D">
            <w:pPr>
              <w:jc w:val="both"/>
              <w:rPr>
                <w:rStyle w:val="Hyperlink"/>
                <w:sz w:val="20"/>
              </w:rPr>
            </w:pPr>
            <w:hyperlink r:id="rId82" w:history="1">
              <w:r w:rsidR="00AB75C1" w:rsidRPr="00F55576">
                <w:rPr>
                  <w:rStyle w:val="Hyperlink"/>
                  <w:sz w:val="20"/>
                </w:rPr>
                <w:t>2017 BCSC 2397</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Order that respondent insurers were under a duty to defend in action against applicants with costs on a solicitor and client basis</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April 5, 2019</w:t>
            </w:r>
          </w:p>
          <w:p w:rsidR="00AB75C1" w:rsidRPr="00F55576" w:rsidRDefault="00AB75C1" w:rsidP="00BA4C4D">
            <w:pPr>
              <w:jc w:val="both"/>
              <w:rPr>
                <w:sz w:val="20"/>
              </w:rPr>
            </w:pPr>
            <w:r w:rsidRPr="00F55576">
              <w:rPr>
                <w:sz w:val="20"/>
              </w:rPr>
              <w:t xml:space="preserve">Court of Appeal for British Columbia </w:t>
            </w:r>
          </w:p>
          <w:p w:rsidR="00AB75C1" w:rsidRPr="00F55576" w:rsidRDefault="00AB75C1" w:rsidP="00BA4C4D">
            <w:pPr>
              <w:jc w:val="both"/>
              <w:rPr>
                <w:sz w:val="20"/>
              </w:rPr>
            </w:pPr>
            <w:r w:rsidRPr="00F55576">
              <w:rPr>
                <w:sz w:val="20"/>
              </w:rPr>
              <w:t>(Vancouver)</w:t>
            </w:r>
          </w:p>
          <w:p w:rsidR="00AB75C1" w:rsidRPr="00F55576" w:rsidRDefault="00AB75C1" w:rsidP="00BA4C4D">
            <w:pPr>
              <w:jc w:val="both"/>
              <w:rPr>
                <w:sz w:val="20"/>
              </w:rPr>
            </w:pPr>
            <w:r w:rsidRPr="00F55576">
              <w:rPr>
                <w:sz w:val="20"/>
              </w:rPr>
              <w:t>(</w:t>
            </w:r>
            <w:proofErr w:type="spellStart"/>
            <w:r w:rsidRPr="00F55576">
              <w:rPr>
                <w:sz w:val="20"/>
              </w:rPr>
              <w:t>Goepel</w:t>
            </w:r>
            <w:proofErr w:type="spellEnd"/>
            <w:r w:rsidRPr="00F55576">
              <w:rPr>
                <w:sz w:val="20"/>
              </w:rPr>
              <w:t xml:space="preserve">, </w:t>
            </w:r>
            <w:proofErr w:type="spellStart"/>
            <w:r w:rsidRPr="00F55576">
              <w:rPr>
                <w:sz w:val="20"/>
              </w:rPr>
              <w:t>Fenlon</w:t>
            </w:r>
            <w:proofErr w:type="spellEnd"/>
            <w:r w:rsidRPr="00F55576">
              <w:rPr>
                <w:sz w:val="20"/>
              </w:rPr>
              <w:t xml:space="preserve"> and Dickson JJ.A.)</w:t>
            </w:r>
          </w:p>
          <w:p w:rsidR="00AB75C1" w:rsidRPr="00F55576" w:rsidRDefault="007B1953" w:rsidP="00BA4C4D">
            <w:pPr>
              <w:jc w:val="both"/>
              <w:rPr>
                <w:sz w:val="20"/>
              </w:rPr>
            </w:pPr>
            <w:hyperlink r:id="rId83" w:history="1">
              <w:r w:rsidR="00AB75C1" w:rsidRPr="00F55576">
                <w:rPr>
                  <w:rStyle w:val="Hyperlink"/>
                  <w:sz w:val="20"/>
                </w:rPr>
                <w:t>2019 BCCA 110</w:t>
              </w:r>
            </w:hyperlink>
          </w:p>
          <w:p w:rsidR="00AB75C1" w:rsidRPr="00F55576" w:rsidRDefault="00AB75C1" w:rsidP="00BA4C4D">
            <w:pPr>
              <w:jc w:val="both"/>
              <w:rPr>
                <w:sz w:val="20"/>
              </w:rPr>
            </w:pP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Respondents’ appeals allowed</w:t>
            </w:r>
          </w:p>
          <w:p w:rsidR="00AB75C1" w:rsidRPr="00F55576" w:rsidRDefault="00AB75C1" w:rsidP="00BA4C4D">
            <w:pPr>
              <w:jc w:val="both"/>
              <w:rPr>
                <w:sz w:val="20"/>
              </w:rPr>
            </w:pPr>
          </w:p>
        </w:tc>
      </w:tr>
      <w:tr w:rsidR="00AB75C1" w:rsidRPr="00F55576" w:rsidTr="00BA4C4D">
        <w:tc>
          <w:tcPr>
            <w:tcW w:w="2427" w:type="pct"/>
            <w:gridSpan w:val="2"/>
          </w:tcPr>
          <w:p w:rsidR="00AB75C1" w:rsidRPr="00F55576" w:rsidRDefault="00AB75C1" w:rsidP="00BA4C4D">
            <w:pPr>
              <w:jc w:val="both"/>
              <w:rPr>
                <w:sz w:val="20"/>
              </w:rPr>
            </w:pPr>
            <w:r w:rsidRPr="00F55576">
              <w:rPr>
                <w:sz w:val="20"/>
              </w:rPr>
              <w:t>July 4, 2019</w:t>
            </w:r>
          </w:p>
          <w:p w:rsidR="00AB75C1" w:rsidRPr="00F55576" w:rsidRDefault="00AB75C1" w:rsidP="00BA4C4D">
            <w:pPr>
              <w:jc w:val="both"/>
              <w:rPr>
                <w:sz w:val="20"/>
              </w:rPr>
            </w:pPr>
            <w:r w:rsidRPr="00F55576">
              <w:rPr>
                <w:sz w:val="20"/>
              </w:rPr>
              <w:t>Supreme Court of Canada</w:t>
            </w:r>
          </w:p>
        </w:tc>
        <w:tc>
          <w:tcPr>
            <w:tcW w:w="243" w:type="pct"/>
          </w:tcPr>
          <w:p w:rsidR="00AB75C1" w:rsidRPr="00F55576" w:rsidRDefault="00AB75C1" w:rsidP="00BA4C4D">
            <w:pPr>
              <w:jc w:val="both"/>
              <w:rPr>
                <w:sz w:val="20"/>
              </w:rPr>
            </w:pPr>
          </w:p>
        </w:tc>
        <w:tc>
          <w:tcPr>
            <w:tcW w:w="2330" w:type="pct"/>
          </w:tcPr>
          <w:p w:rsidR="00AB75C1" w:rsidRPr="00F55576" w:rsidRDefault="00AB75C1" w:rsidP="00BA4C4D">
            <w:pPr>
              <w:jc w:val="both"/>
              <w:rPr>
                <w:sz w:val="20"/>
              </w:rPr>
            </w:pPr>
            <w:r w:rsidRPr="00F55576">
              <w:rPr>
                <w:sz w:val="20"/>
              </w:rPr>
              <w:t>Application for leave to appeal filed</w:t>
            </w:r>
          </w:p>
          <w:p w:rsidR="00AB75C1" w:rsidRPr="00F55576" w:rsidRDefault="00AB75C1" w:rsidP="00BA4C4D">
            <w:pPr>
              <w:jc w:val="both"/>
              <w:rPr>
                <w:sz w:val="20"/>
              </w:rPr>
            </w:pPr>
          </w:p>
        </w:tc>
      </w:tr>
    </w:tbl>
    <w:p w:rsidR="00AB75C1" w:rsidRPr="00F55576" w:rsidRDefault="00AB75C1" w:rsidP="00AB75C1">
      <w:pPr>
        <w:jc w:val="both"/>
        <w:rPr>
          <w:sz w:val="20"/>
        </w:rPr>
      </w:pPr>
    </w:p>
    <w:p w:rsidR="00AB75C1" w:rsidRPr="00F55576" w:rsidRDefault="007B1953" w:rsidP="00AB75C1">
      <w:pPr>
        <w:jc w:val="both"/>
        <w:rPr>
          <w:sz w:val="20"/>
        </w:rPr>
      </w:pPr>
      <w:r>
        <w:rPr>
          <w:sz w:val="20"/>
        </w:rPr>
        <w:pict>
          <v:rect id="_x0000_i1062" style="width:2in;height:1pt" o:hrpct="0" o:hralign="center" o:hrstd="t" o:hrnoshade="t" o:hr="t" fillcolor="black [3213]" stroked="f"/>
        </w:pict>
      </w:r>
    </w:p>
    <w:p w:rsidR="00AB75C1" w:rsidRPr="00F55576" w:rsidRDefault="00AB75C1" w:rsidP="00AB75C1">
      <w:pPr>
        <w:jc w:val="both"/>
        <w:rPr>
          <w:sz w:val="20"/>
        </w:rPr>
      </w:pPr>
    </w:p>
    <w:p w:rsidR="00B92F50" w:rsidRPr="00F55576" w:rsidRDefault="00B92F50">
      <w:r w:rsidRPr="00F5557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B75C1" w:rsidRPr="00F55576" w:rsidTr="00BA4C4D">
        <w:tc>
          <w:tcPr>
            <w:tcW w:w="543" w:type="pct"/>
          </w:tcPr>
          <w:p w:rsidR="00AB75C1" w:rsidRPr="00F55576" w:rsidRDefault="00AB75C1" w:rsidP="00BA4C4D">
            <w:pPr>
              <w:jc w:val="both"/>
              <w:rPr>
                <w:sz w:val="20"/>
                <w:lang w:val="fr-CA"/>
              </w:rPr>
            </w:pPr>
            <w:r w:rsidRPr="00F55576">
              <w:rPr>
                <w:rStyle w:val="SCCFileNumberChar"/>
                <w:sz w:val="20"/>
                <w:szCs w:val="20"/>
                <w:lang w:val="fr-CA"/>
              </w:rPr>
              <w:lastRenderedPageBreak/>
              <w:t>38711</w:t>
            </w:r>
          </w:p>
        </w:tc>
        <w:tc>
          <w:tcPr>
            <w:tcW w:w="4457" w:type="pct"/>
            <w:gridSpan w:val="3"/>
          </w:tcPr>
          <w:p w:rsidR="00AB75C1" w:rsidRPr="00F55576" w:rsidRDefault="00AB75C1" w:rsidP="00BA4C4D">
            <w:pPr>
              <w:pStyle w:val="SCCLsocParty"/>
              <w:jc w:val="both"/>
              <w:rPr>
                <w:b/>
                <w:sz w:val="20"/>
                <w:szCs w:val="20"/>
              </w:rPr>
            </w:pPr>
            <w:r w:rsidRPr="00F55576">
              <w:rPr>
                <w:b/>
                <w:sz w:val="20"/>
                <w:szCs w:val="20"/>
              </w:rPr>
              <w:t>West Van Holdings Ltd.</w:t>
            </w:r>
            <w:r w:rsidR="00831F49" w:rsidRPr="00F55576">
              <w:rPr>
                <w:b/>
                <w:sz w:val="20"/>
                <w:szCs w:val="20"/>
              </w:rPr>
              <w:t xml:space="preserve"> et</w:t>
            </w:r>
            <w:r w:rsidRPr="00F55576">
              <w:rPr>
                <w:b/>
                <w:sz w:val="20"/>
                <w:szCs w:val="20"/>
              </w:rPr>
              <w:t xml:space="preserve"> West Van Lions Gate Dry Cleaners Ltd. c. Economical, Compagnie Mutuelle d'Assurance</w:t>
            </w:r>
            <w:r w:rsidR="00831F49" w:rsidRPr="00F55576">
              <w:rPr>
                <w:b/>
                <w:sz w:val="20"/>
                <w:szCs w:val="20"/>
              </w:rPr>
              <w:t xml:space="preserve"> et</w:t>
            </w:r>
            <w:r w:rsidRPr="00F55576">
              <w:rPr>
                <w:b/>
                <w:sz w:val="20"/>
                <w:szCs w:val="20"/>
              </w:rPr>
              <w:t xml:space="preserve"> Intact </w:t>
            </w:r>
            <w:r w:rsidR="00831F49" w:rsidRPr="00F55576">
              <w:rPr>
                <w:b/>
                <w:sz w:val="20"/>
                <w:szCs w:val="20"/>
              </w:rPr>
              <w:t>Compagnie d’a</w:t>
            </w:r>
            <w:r w:rsidRPr="00F55576">
              <w:rPr>
                <w:b/>
                <w:sz w:val="20"/>
                <w:szCs w:val="20"/>
              </w:rPr>
              <w:t>ssurance</w:t>
            </w:r>
          </w:p>
          <w:p w:rsidR="00AB75C1" w:rsidRPr="00F55576" w:rsidRDefault="00AB75C1" w:rsidP="00BA4C4D">
            <w:pPr>
              <w:jc w:val="both"/>
              <w:rPr>
                <w:sz w:val="20"/>
                <w:lang w:val="fr-CA"/>
              </w:rPr>
            </w:pPr>
            <w:r w:rsidRPr="00F55576">
              <w:rPr>
                <w:sz w:val="20"/>
                <w:lang w:val="fr-CA"/>
              </w:rPr>
              <w:t>(C.</w:t>
            </w:r>
            <w:r w:rsidRPr="00F55576">
              <w:rPr>
                <w:sz w:val="20"/>
                <w:lang w:val="fr-CA"/>
              </w:rPr>
              <w:noBreakHyphen/>
              <w:t>B.) (Civile) (Autorisation)</w:t>
            </w:r>
          </w:p>
        </w:tc>
      </w:tr>
      <w:tr w:rsidR="00834E76" w:rsidRPr="008042C9" w:rsidTr="00BA4C4D">
        <w:tc>
          <w:tcPr>
            <w:tcW w:w="5000" w:type="pct"/>
            <w:gridSpan w:val="4"/>
          </w:tcPr>
          <w:p w:rsidR="00834E76" w:rsidRPr="00F55576" w:rsidRDefault="00831F49" w:rsidP="00BA4C4D">
            <w:pPr>
              <w:autoSpaceDE w:val="0"/>
              <w:autoSpaceDN w:val="0"/>
              <w:adjustRightInd w:val="0"/>
              <w:ind w:left="-25" w:firstLine="25"/>
              <w:jc w:val="both"/>
              <w:rPr>
                <w:sz w:val="20"/>
                <w:szCs w:val="20"/>
                <w:lang w:val="fr-CA"/>
              </w:rPr>
            </w:pPr>
            <w:r w:rsidRPr="00F55576">
              <w:rPr>
                <w:sz w:val="20"/>
                <w:szCs w:val="20"/>
                <w:lang w:val="fr-CA"/>
              </w:rPr>
              <w:t>La requête en prorogation du délai de signification et de dépôt de la demande d’autorisation d’appel est accueillie. La demande d’autorisation d’appel de l’arrêt de la Cour d’appel de la Colombie</w:t>
            </w:r>
            <w:r w:rsidRPr="00F55576">
              <w:rPr>
                <w:sz w:val="20"/>
                <w:szCs w:val="20"/>
                <w:lang w:val="fr-CA"/>
              </w:rPr>
              <w:noBreakHyphen/>
              <w:t>Britannique (Vancouver), numéros CA45020 et CA45036, 2019 BCCA 110, daté du 5 avril 2019, est rejetée avec dépens.</w:t>
            </w:r>
          </w:p>
          <w:p w:rsidR="00834E76" w:rsidRPr="00F55576" w:rsidRDefault="00834E76" w:rsidP="00BA4C4D">
            <w:pPr>
              <w:autoSpaceDE w:val="0"/>
              <w:autoSpaceDN w:val="0"/>
              <w:adjustRightInd w:val="0"/>
              <w:ind w:left="-25" w:firstLine="25"/>
              <w:jc w:val="both"/>
              <w:rPr>
                <w:sz w:val="20"/>
                <w:lang w:val="fr-CA"/>
              </w:rPr>
            </w:pPr>
          </w:p>
        </w:tc>
      </w:tr>
      <w:tr w:rsidR="00AB75C1" w:rsidRPr="008042C9" w:rsidTr="00BA4C4D">
        <w:tc>
          <w:tcPr>
            <w:tcW w:w="5000" w:type="pct"/>
            <w:gridSpan w:val="4"/>
          </w:tcPr>
          <w:p w:rsidR="00AB75C1" w:rsidRPr="00F55576" w:rsidRDefault="00AB75C1" w:rsidP="00BA4C4D">
            <w:pPr>
              <w:autoSpaceDE w:val="0"/>
              <w:autoSpaceDN w:val="0"/>
              <w:adjustRightInd w:val="0"/>
              <w:ind w:left="-25" w:firstLine="25"/>
              <w:jc w:val="both"/>
              <w:rPr>
                <w:sz w:val="20"/>
                <w:lang w:val="fr-CA"/>
              </w:rPr>
            </w:pPr>
            <w:r w:rsidRPr="00F55576">
              <w:rPr>
                <w:sz w:val="20"/>
                <w:lang w:val="fr-CA"/>
              </w:rPr>
              <w:t>Assurance — Obligation de défendre de l’assureur — Procédure civile — Dépens — Les assureurs s’appuient sur une clause d’exclusion de la pollution pour refuser d’indemniser les assurées — Les assurées cherchent à faire exécuter l’obligation de défendre des assureurs dans le cadre d’une action en dommages</w:t>
            </w:r>
            <w:r w:rsidRPr="00F55576">
              <w:rPr>
                <w:sz w:val="20"/>
                <w:lang w:val="fr-CA"/>
              </w:rPr>
              <w:noBreakHyphen/>
              <w:t>intérêts intentée par un tiers — La Cour d’appel s’est</w:t>
            </w:r>
            <w:r w:rsidRPr="00F55576">
              <w:rPr>
                <w:sz w:val="20"/>
                <w:lang w:val="fr-CA"/>
              </w:rPr>
              <w:noBreakHyphen/>
              <w:t>elle trompée dans son approche pour conclure que les intimées n’avaient aucune obligation, en exécution de polices « basées sur la survenance », de défendre contre des demandes liées à la migration de polluants? — La Cour d’appel a</w:t>
            </w:r>
            <w:r w:rsidRPr="00F55576">
              <w:rPr>
                <w:sz w:val="20"/>
                <w:lang w:val="fr-CA"/>
              </w:rPr>
              <w:noBreakHyphen/>
              <w:t>t</w:t>
            </w:r>
            <w:r w:rsidRPr="00F55576">
              <w:rPr>
                <w:sz w:val="20"/>
                <w:lang w:val="fr-CA"/>
              </w:rPr>
              <w:noBreakHyphen/>
              <w:t>elle eu tort d’appliquer une approche large dans l’interprétation des exclusions de la pollution stipulées dans les polices des intimées? — Quelle approche convient</w:t>
            </w:r>
            <w:r w:rsidRPr="00F55576">
              <w:rPr>
                <w:sz w:val="20"/>
                <w:lang w:val="fr-CA"/>
              </w:rPr>
              <w:noBreakHyphen/>
              <w:t>il d’appliquer pour déterminer si les exclusions écartent la simple possibilité de couverture et leur application à la responsabilité sans égard à la faute, absolument et rétroactivement imposée par la loi? — La Cour d’appel a</w:t>
            </w:r>
            <w:r w:rsidRPr="00F55576">
              <w:rPr>
                <w:sz w:val="20"/>
                <w:lang w:val="fr-CA"/>
              </w:rPr>
              <w:noBreakHyphen/>
              <w:t>t</w:t>
            </w:r>
            <w:r w:rsidRPr="00F55576">
              <w:rPr>
                <w:sz w:val="20"/>
                <w:lang w:val="fr-CA"/>
              </w:rPr>
              <w:noBreakHyphen/>
              <w:t>elle eu tort de statuer que les assurées n’ont pas contractuellement droit de récupérer les frais réellement engagés en faisant valoir avec succès une obligation de défendre?</w:t>
            </w:r>
          </w:p>
        </w:tc>
      </w:tr>
      <w:tr w:rsidR="00AB75C1" w:rsidRPr="00F55576" w:rsidTr="00BA4C4D">
        <w:tc>
          <w:tcPr>
            <w:tcW w:w="5000" w:type="pct"/>
            <w:gridSpan w:val="4"/>
          </w:tcPr>
          <w:p w:rsidR="00AB75C1" w:rsidRPr="00F55576" w:rsidRDefault="00AB75C1" w:rsidP="00BA4C4D">
            <w:pPr>
              <w:jc w:val="both"/>
              <w:rPr>
                <w:sz w:val="20"/>
                <w:lang w:val="fr-CA"/>
              </w:rPr>
            </w:pPr>
          </w:p>
          <w:p w:rsidR="00AB75C1" w:rsidRPr="00F55576" w:rsidRDefault="00AB75C1" w:rsidP="00BA4C4D">
            <w:pPr>
              <w:pStyle w:val="scjnumber1"/>
              <w:shd w:val="clear" w:color="auto" w:fill="FFFFFF"/>
              <w:jc w:val="both"/>
              <w:rPr>
                <w:rFonts w:ascii="Times New Roman" w:hAnsi="Times New Roman" w:cs="Times New Roman"/>
                <w:sz w:val="20"/>
                <w:szCs w:val="20"/>
                <w:lang w:val="fr-CA"/>
              </w:rPr>
            </w:pPr>
            <w:r w:rsidRPr="00F55576">
              <w:rPr>
                <w:rFonts w:ascii="Times New Roman" w:hAnsi="Times New Roman" w:cs="Times New Roman"/>
                <w:sz w:val="20"/>
                <w:szCs w:val="20"/>
                <w:lang w:val="fr-CA"/>
              </w:rPr>
              <w:t>Depuis 1976, les demanderesses (collectivement, « West Van ») sont propriétaires</w:t>
            </w:r>
            <w:r w:rsidRPr="00F55576">
              <w:rPr>
                <w:rFonts w:ascii="Times New Roman" w:hAnsi="Times New Roman" w:cs="Times New Roman"/>
                <w:sz w:val="20"/>
                <w:szCs w:val="20"/>
                <w:lang w:val="fr-CA"/>
              </w:rPr>
              <w:noBreakHyphen/>
              <w:t>exploitantes d’une entreprise de nettoyage à sec sur un bien</w:t>
            </w:r>
            <w:r w:rsidRPr="00F55576">
              <w:rPr>
                <w:rFonts w:ascii="Times New Roman" w:hAnsi="Times New Roman" w:cs="Times New Roman"/>
                <w:sz w:val="20"/>
                <w:szCs w:val="20"/>
                <w:lang w:val="fr-CA"/>
              </w:rPr>
              <w:noBreakHyphen/>
              <w:t>fonds situé à West Vancouver (« les biens</w:t>
            </w:r>
            <w:r w:rsidRPr="00F55576">
              <w:rPr>
                <w:rFonts w:ascii="Times New Roman" w:hAnsi="Times New Roman" w:cs="Times New Roman"/>
                <w:sz w:val="20"/>
                <w:szCs w:val="20"/>
                <w:lang w:val="fr-CA"/>
              </w:rPr>
              <w:noBreakHyphen/>
              <w:t>fonds de West Van »). Entre 1998 et 2002, Intact Assurance assurait Van en vertu d’une police d’assurance responsabilité entreprise (« ARE »). La police comprenait une couverture au titre de la responsabilité civile pour dommages matériels, mais renfermait également une clause limitant la couverture au titre de la responsabilité civile pour dommages matériels découlant de polluants. Entre 2002 et 2012, Economical, Compagnie Mutuelle d’Assurance assurait West Van en vertu d’une ARE. La police comprenait une couverture au titre de la responsabilité civile pour dommages matériels, mais renfermait pareillement une clause limitant la couverture au titre de la responsabilité civile pour dommages matériels découlant de polluants. En 2014, les propriétaires des biens</w:t>
            </w:r>
            <w:r w:rsidRPr="00F55576">
              <w:rPr>
                <w:rFonts w:ascii="Times New Roman" w:hAnsi="Times New Roman" w:cs="Times New Roman"/>
                <w:sz w:val="20"/>
                <w:szCs w:val="20"/>
                <w:lang w:val="fr-CA"/>
              </w:rPr>
              <w:noBreakHyphen/>
              <w:t>fonds adjacents aux biens</w:t>
            </w:r>
            <w:r w:rsidRPr="00F55576">
              <w:rPr>
                <w:rFonts w:ascii="Times New Roman" w:hAnsi="Times New Roman" w:cs="Times New Roman"/>
                <w:sz w:val="20"/>
                <w:szCs w:val="20"/>
                <w:lang w:val="fr-CA"/>
              </w:rPr>
              <w:noBreakHyphen/>
              <w:t>fonds de West Van ont déposé une demande contre West Van, alléguant que West Van avait permis que des produits chimiques de nettoyage à sec et des produits pétroliers soient rejetés ou déposés dans les sols et l’eau souterraine des biens</w:t>
            </w:r>
            <w:r w:rsidRPr="00F55576">
              <w:rPr>
                <w:rFonts w:ascii="Times New Roman" w:hAnsi="Times New Roman" w:cs="Times New Roman"/>
                <w:sz w:val="20"/>
                <w:szCs w:val="20"/>
                <w:lang w:val="fr-CA"/>
              </w:rPr>
              <w:noBreakHyphen/>
              <w:t>fonds des demandeurs, endommageant et contaminant leurs biens</w:t>
            </w:r>
            <w:r w:rsidRPr="00F55576">
              <w:rPr>
                <w:rFonts w:ascii="Times New Roman" w:hAnsi="Times New Roman" w:cs="Times New Roman"/>
                <w:sz w:val="20"/>
                <w:szCs w:val="20"/>
                <w:lang w:val="fr-CA"/>
              </w:rPr>
              <w:noBreakHyphen/>
              <w:t>fonds en conséquence. L’action a été plaidée sur le fondement de la responsabilité stricte, la négligence, la nuisance et une cause d’action légale en application de l’</w:t>
            </w:r>
            <w:hyperlink r:id="rId84" w:history="1">
              <w:r w:rsidRPr="00F55576">
                <w:rPr>
                  <w:rFonts w:ascii="Times New Roman" w:hAnsi="Times New Roman" w:cs="Times New Roman"/>
                  <w:i/>
                  <w:iCs/>
                  <w:sz w:val="20"/>
                  <w:szCs w:val="20"/>
                  <w:lang w:val="fr-CA"/>
                </w:rPr>
                <w:t>Environmental Management Act</w:t>
              </w:r>
              <w:r w:rsidRPr="00F55576">
                <w:rPr>
                  <w:rFonts w:ascii="Times New Roman" w:hAnsi="Times New Roman" w:cs="Times New Roman"/>
                  <w:sz w:val="20"/>
                  <w:szCs w:val="20"/>
                  <w:lang w:val="fr-CA"/>
                </w:rPr>
                <w:t>, S.B.C. 2003, ch. 53</w:t>
              </w:r>
            </w:hyperlink>
            <w:r w:rsidRPr="00F55576">
              <w:rPr>
                <w:rFonts w:ascii="Times New Roman" w:hAnsi="Times New Roman" w:cs="Times New Roman"/>
                <w:sz w:val="20"/>
                <w:szCs w:val="20"/>
                <w:lang w:val="fr-CA"/>
              </w:rPr>
              <w:t>.</w:t>
            </w:r>
          </w:p>
          <w:p w:rsidR="00AB75C1" w:rsidRPr="00F55576" w:rsidRDefault="00AB75C1" w:rsidP="00BA4C4D">
            <w:pPr>
              <w:jc w:val="both"/>
              <w:rPr>
                <w:sz w:val="20"/>
                <w:lang w:val="fr-CA"/>
              </w:rPr>
            </w:pPr>
            <w:r w:rsidRPr="00F55576">
              <w:rPr>
                <w:sz w:val="20"/>
                <w:lang w:val="fr-CA"/>
              </w:rPr>
              <w:t>Les assureurs ont refusé de défendre West Van au motif que l’action sous</w:t>
            </w:r>
            <w:r w:rsidRPr="00F55576">
              <w:rPr>
                <w:sz w:val="20"/>
                <w:lang w:val="fr-CA"/>
              </w:rPr>
              <w:noBreakHyphen/>
              <w:t>jacente n’est pas visée par la garantie prévue dans leur police en raison des clauses d’exclusions de la pollution. West Van a déposé une demande sollicitant un jugement déclarant qu’Intact et Economical étaient tenues de les défendre. La juge des requêtes a statué que les assureurs avaient l’obligation de défendre et a accordé les dépens à West Van sur la base de l’indemnisation intégrale. La Cour d’appel a infirmé ce jugement.</w:t>
            </w:r>
          </w:p>
        </w:tc>
      </w:tr>
      <w:tr w:rsidR="00AB75C1" w:rsidRPr="00F55576" w:rsidTr="00BA4C4D">
        <w:tc>
          <w:tcPr>
            <w:tcW w:w="5000" w:type="pct"/>
            <w:gridSpan w:val="4"/>
          </w:tcPr>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5 avril 2019</w:t>
            </w:r>
          </w:p>
          <w:p w:rsidR="00AB75C1" w:rsidRPr="00F55576" w:rsidRDefault="00AB75C1" w:rsidP="00BA4C4D">
            <w:pPr>
              <w:jc w:val="both"/>
              <w:rPr>
                <w:sz w:val="20"/>
                <w:lang w:val="fr-CA"/>
              </w:rPr>
            </w:pPr>
            <w:r w:rsidRPr="00F55576">
              <w:rPr>
                <w:sz w:val="20"/>
                <w:lang w:val="fr-CA"/>
              </w:rPr>
              <w:t>Cour d’appel de la Colombie</w:t>
            </w:r>
            <w:r w:rsidRPr="00F55576">
              <w:rPr>
                <w:sz w:val="20"/>
                <w:lang w:val="fr-CA"/>
              </w:rPr>
              <w:noBreakHyphen/>
              <w:t>Britannique</w:t>
            </w:r>
          </w:p>
          <w:p w:rsidR="00AB75C1" w:rsidRPr="00F55576" w:rsidRDefault="00AB75C1" w:rsidP="00BA4C4D">
            <w:pPr>
              <w:jc w:val="both"/>
              <w:rPr>
                <w:sz w:val="20"/>
                <w:lang w:val="fr-CA"/>
              </w:rPr>
            </w:pPr>
            <w:r w:rsidRPr="00F55576">
              <w:rPr>
                <w:sz w:val="20"/>
                <w:lang w:val="fr-CA"/>
              </w:rPr>
              <w:t>(Vancouver)</w:t>
            </w:r>
          </w:p>
          <w:p w:rsidR="00AB75C1" w:rsidRPr="00F55576" w:rsidRDefault="00AB75C1" w:rsidP="00BA4C4D">
            <w:pPr>
              <w:jc w:val="both"/>
              <w:rPr>
                <w:sz w:val="20"/>
                <w:lang w:val="fr-CA"/>
              </w:rPr>
            </w:pPr>
            <w:r w:rsidRPr="00F55576">
              <w:rPr>
                <w:sz w:val="20"/>
                <w:lang w:val="fr-CA"/>
              </w:rPr>
              <w:t xml:space="preserve">(Juge </w:t>
            </w:r>
            <w:proofErr w:type="spellStart"/>
            <w:r w:rsidRPr="00F55576">
              <w:rPr>
                <w:sz w:val="20"/>
                <w:lang w:val="fr-CA"/>
              </w:rPr>
              <w:t>DeWitt</w:t>
            </w:r>
            <w:proofErr w:type="spellEnd"/>
            <w:r w:rsidRPr="00F55576">
              <w:rPr>
                <w:sz w:val="20"/>
                <w:lang w:val="fr-CA"/>
              </w:rPr>
              <w:noBreakHyphen/>
              <w:t xml:space="preserve">Van </w:t>
            </w:r>
            <w:proofErr w:type="spellStart"/>
            <w:r w:rsidRPr="00F55576">
              <w:rPr>
                <w:sz w:val="20"/>
                <w:lang w:val="fr-CA"/>
              </w:rPr>
              <w:t>Oosten</w:t>
            </w:r>
            <w:proofErr w:type="spellEnd"/>
            <w:r w:rsidRPr="00F55576">
              <w:rPr>
                <w:sz w:val="20"/>
                <w:lang w:val="fr-CA"/>
              </w:rPr>
              <w:t>)</w:t>
            </w:r>
          </w:p>
          <w:p w:rsidR="00AB75C1" w:rsidRPr="00F55576" w:rsidRDefault="007B1953" w:rsidP="00BA4C4D">
            <w:pPr>
              <w:jc w:val="both"/>
              <w:rPr>
                <w:rStyle w:val="Hyperlink"/>
                <w:sz w:val="20"/>
                <w:lang w:val="fr-CA"/>
              </w:rPr>
            </w:pPr>
            <w:hyperlink r:id="rId85" w:history="1">
              <w:r w:rsidR="00AB75C1" w:rsidRPr="00F55576">
                <w:rPr>
                  <w:rStyle w:val="Hyperlink"/>
                  <w:sz w:val="20"/>
                  <w:lang w:val="fr-CA"/>
                </w:rPr>
                <w:t>2017 BCSC 2397</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Ordonnance portant que les assureurs intimés avaient l’obligation de défendre dans une action intentée contre les demanderesses avec dépens sur la base procureur</w:t>
            </w:r>
            <w:r w:rsidRPr="00F55576">
              <w:rPr>
                <w:sz w:val="20"/>
                <w:lang w:val="fr-CA"/>
              </w:rPr>
              <w:noBreakHyphen/>
              <w:t>client</w:t>
            </w:r>
          </w:p>
          <w:p w:rsidR="00AB75C1" w:rsidRPr="00F55576" w:rsidRDefault="00AB75C1" w:rsidP="00BA4C4D">
            <w:pPr>
              <w:jc w:val="both"/>
              <w:rPr>
                <w:sz w:val="20"/>
                <w:lang w:val="fr-CA"/>
              </w:rPr>
            </w:pPr>
          </w:p>
        </w:tc>
      </w:tr>
      <w:tr w:rsidR="00AB75C1" w:rsidRPr="008042C9" w:rsidTr="00BA4C4D">
        <w:tc>
          <w:tcPr>
            <w:tcW w:w="2427" w:type="pct"/>
            <w:gridSpan w:val="2"/>
          </w:tcPr>
          <w:p w:rsidR="00AB75C1" w:rsidRPr="00F55576" w:rsidRDefault="00AB75C1" w:rsidP="00BA4C4D">
            <w:pPr>
              <w:jc w:val="both"/>
              <w:rPr>
                <w:sz w:val="20"/>
                <w:lang w:val="fr-CA"/>
              </w:rPr>
            </w:pPr>
            <w:r w:rsidRPr="00F55576">
              <w:rPr>
                <w:sz w:val="20"/>
                <w:lang w:val="fr-CA"/>
              </w:rPr>
              <w:t>5 avril 2019</w:t>
            </w:r>
          </w:p>
          <w:p w:rsidR="00AB75C1" w:rsidRPr="00F55576" w:rsidRDefault="00AB75C1" w:rsidP="00BA4C4D">
            <w:pPr>
              <w:jc w:val="both"/>
              <w:rPr>
                <w:sz w:val="20"/>
                <w:lang w:val="fr-CA"/>
              </w:rPr>
            </w:pPr>
            <w:r w:rsidRPr="00F55576">
              <w:rPr>
                <w:sz w:val="20"/>
                <w:lang w:val="fr-CA"/>
              </w:rPr>
              <w:t>Cour d’appel de la Colombie-Britannique</w:t>
            </w:r>
          </w:p>
          <w:p w:rsidR="00AB75C1" w:rsidRPr="00F55576" w:rsidRDefault="00AB75C1" w:rsidP="00BA4C4D">
            <w:pPr>
              <w:jc w:val="both"/>
              <w:rPr>
                <w:sz w:val="20"/>
                <w:lang w:val="fr-CA"/>
              </w:rPr>
            </w:pPr>
            <w:r w:rsidRPr="00F55576">
              <w:rPr>
                <w:sz w:val="20"/>
                <w:lang w:val="fr-CA"/>
              </w:rPr>
              <w:t>(Vancouver)</w:t>
            </w:r>
          </w:p>
          <w:p w:rsidR="00AB75C1" w:rsidRPr="00F55576" w:rsidRDefault="00AB75C1" w:rsidP="00BA4C4D">
            <w:pPr>
              <w:jc w:val="both"/>
              <w:rPr>
                <w:sz w:val="20"/>
                <w:lang w:val="fr-CA"/>
              </w:rPr>
            </w:pPr>
            <w:r w:rsidRPr="00F55576">
              <w:rPr>
                <w:sz w:val="20"/>
                <w:lang w:val="fr-CA"/>
              </w:rPr>
              <w:t xml:space="preserve">(Juges </w:t>
            </w:r>
            <w:proofErr w:type="spellStart"/>
            <w:r w:rsidRPr="00F55576">
              <w:rPr>
                <w:sz w:val="20"/>
                <w:lang w:val="fr-CA"/>
              </w:rPr>
              <w:t>Goepel</w:t>
            </w:r>
            <w:proofErr w:type="spellEnd"/>
            <w:r w:rsidRPr="00F55576">
              <w:rPr>
                <w:sz w:val="20"/>
                <w:lang w:val="fr-CA"/>
              </w:rPr>
              <w:t xml:space="preserve">, </w:t>
            </w:r>
            <w:proofErr w:type="spellStart"/>
            <w:r w:rsidRPr="00F55576">
              <w:rPr>
                <w:sz w:val="20"/>
                <w:lang w:val="fr-CA"/>
              </w:rPr>
              <w:t>Fenlon</w:t>
            </w:r>
            <w:proofErr w:type="spellEnd"/>
            <w:r w:rsidRPr="00F55576">
              <w:rPr>
                <w:sz w:val="20"/>
                <w:lang w:val="fr-CA"/>
              </w:rPr>
              <w:t xml:space="preserve"> et Dickson)</w:t>
            </w:r>
          </w:p>
          <w:p w:rsidR="00AB75C1" w:rsidRPr="00F55576" w:rsidRDefault="007B1953" w:rsidP="00BA4C4D">
            <w:pPr>
              <w:jc w:val="both"/>
              <w:rPr>
                <w:sz w:val="20"/>
                <w:lang w:val="fr-CA"/>
              </w:rPr>
            </w:pPr>
            <w:hyperlink r:id="rId86" w:history="1">
              <w:r w:rsidR="00AB75C1" w:rsidRPr="00F55576">
                <w:rPr>
                  <w:rStyle w:val="Hyperlink"/>
                  <w:sz w:val="20"/>
                  <w:lang w:val="fr-CA"/>
                </w:rPr>
                <w:t>2019 BCCA 110</w:t>
              </w:r>
            </w:hyperlink>
          </w:p>
          <w:p w:rsidR="00AB75C1" w:rsidRPr="00F55576" w:rsidRDefault="00AB75C1" w:rsidP="00BA4C4D">
            <w:pPr>
              <w:jc w:val="both"/>
              <w:rPr>
                <w:sz w:val="20"/>
                <w:lang w:val="fr-CA"/>
              </w:rPr>
            </w:pP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Arrêt accueillant les appels des intimées</w:t>
            </w:r>
          </w:p>
          <w:p w:rsidR="00AB75C1" w:rsidRPr="00F55576" w:rsidRDefault="00AB75C1" w:rsidP="00BA4C4D">
            <w:pPr>
              <w:jc w:val="both"/>
              <w:rPr>
                <w:sz w:val="20"/>
                <w:lang w:val="fr-CA"/>
              </w:rPr>
            </w:pPr>
          </w:p>
        </w:tc>
      </w:tr>
    </w:tbl>
    <w:p w:rsidR="00B92F50" w:rsidRPr="00F55576" w:rsidRDefault="00B92F50">
      <w:pPr>
        <w:rPr>
          <w:lang w:val="fr-CA"/>
        </w:rPr>
      </w:pPr>
      <w:r w:rsidRPr="00F5557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5C1" w:rsidRPr="008042C9" w:rsidTr="00BA4C4D">
        <w:tc>
          <w:tcPr>
            <w:tcW w:w="2427" w:type="pct"/>
          </w:tcPr>
          <w:p w:rsidR="00AB75C1" w:rsidRPr="00F55576" w:rsidRDefault="00AB75C1" w:rsidP="00BA4C4D">
            <w:pPr>
              <w:jc w:val="both"/>
              <w:rPr>
                <w:sz w:val="20"/>
                <w:lang w:val="fr-CA"/>
              </w:rPr>
            </w:pPr>
            <w:r w:rsidRPr="00F55576">
              <w:rPr>
                <w:sz w:val="20"/>
                <w:lang w:val="fr-CA"/>
              </w:rPr>
              <w:lastRenderedPageBreak/>
              <w:t>4 juillet 2019</w:t>
            </w:r>
          </w:p>
          <w:p w:rsidR="00AB75C1" w:rsidRPr="00F55576" w:rsidRDefault="00AB75C1" w:rsidP="00BA4C4D">
            <w:pPr>
              <w:jc w:val="both"/>
              <w:rPr>
                <w:sz w:val="20"/>
                <w:lang w:val="fr-CA"/>
              </w:rPr>
            </w:pPr>
            <w:r w:rsidRPr="00F55576">
              <w:rPr>
                <w:sz w:val="20"/>
                <w:lang w:val="fr-CA"/>
              </w:rPr>
              <w:t>Cour suprême du Canada</w:t>
            </w:r>
          </w:p>
        </w:tc>
        <w:tc>
          <w:tcPr>
            <w:tcW w:w="243" w:type="pct"/>
          </w:tcPr>
          <w:p w:rsidR="00AB75C1" w:rsidRPr="00F55576" w:rsidRDefault="00AB75C1" w:rsidP="00BA4C4D">
            <w:pPr>
              <w:jc w:val="both"/>
              <w:rPr>
                <w:sz w:val="20"/>
                <w:lang w:val="fr-CA"/>
              </w:rPr>
            </w:pPr>
          </w:p>
        </w:tc>
        <w:tc>
          <w:tcPr>
            <w:tcW w:w="2330" w:type="pct"/>
          </w:tcPr>
          <w:p w:rsidR="00AB75C1" w:rsidRPr="00F55576" w:rsidRDefault="00AB75C1" w:rsidP="00BA4C4D">
            <w:pPr>
              <w:jc w:val="both"/>
              <w:rPr>
                <w:sz w:val="20"/>
                <w:lang w:val="fr-CA"/>
              </w:rPr>
            </w:pPr>
            <w:r w:rsidRPr="00F55576">
              <w:rPr>
                <w:sz w:val="20"/>
                <w:lang w:val="fr-CA"/>
              </w:rPr>
              <w:t>Dépôt de la demande d’autorisation d’appel</w:t>
            </w:r>
          </w:p>
          <w:p w:rsidR="00AB75C1" w:rsidRPr="00F55576" w:rsidRDefault="00AB75C1" w:rsidP="00BA4C4D">
            <w:pPr>
              <w:jc w:val="both"/>
              <w:rPr>
                <w:sz w:val="20"/>
                <w:lang w:val="fr-CA"/>
              </w:rPr>
            </w:pPr>
          </w:p>
        </w:tc>
      </w:tr>
    </w:tbl>
    <w:p w:rsidR="00AB75C1" w:rsidRPr="00F55576" w:rsidRDefault="00AB75C1" w:rsidP="00AB75C1">
      <w:pPr>
        <w:rPr>
          <w:sz w:val="20"/>
          <w:lang w:val="fr-CA"/>
        </w:rPr>
      </w:pPr>
    </w:p>
    <w:p w:rsidR="0053735D" w:rsidRPr="00F55576" w:rsidRDefault="007B1953" w:rsidP="00AB75C1">
      <w:pPr>
        <w:rPr>
          <w:sz w:val="20"/>
          <w:szCs w:val="20"/>
        </w:rPr>
      </w:pPr>
      <w:r>
        <w:rPr>
          <w:sz w:val="20"/>
        </w:rPr>
        <w:pict>
          <v:rect id="_x0000_i1063" style="width:2in;height:1pt" o:hrpct="0" o:hralign="center" o:hrstd="t" o:hrnoshade="t" o:hr="t" fillcolor="black [3213]" stroked="f"/>
        </w:pict>
      </w:r>
    </w:p>
    <w:p w:rsidR="00634F42" w:rsidRPr="00F55576" w:rsidRDefault="00634F42">
      <w:pPr>
        <w:rPr>
          <w:sz w:val="20"/>
          <w:lang w:val="fr-CA"/>
        </w:rPr>
      </w:pPr>
    </w:p>
    <w:p w:rsidR="00EA7399" w:rsidRPr="00F55576" w:rsidRDefault="00EA7399">
      <w:pPr>
        <w:rPr>
          <w:sz w:val="20"/>
          <w:lang w:val="fr-CA"/>
        </w:rPr>
      </w:pPr>
    </w:p>
    <w:p w:rsidR="00890FEB" w:rsidRPr="00F55576" w:rsidRDefault="00890FEB" w:rsidP="008D292F">
      <w:pPr>
        <w:rPr>
          <w:sz w:val="20"/>
          <w:szCs w:val="20"/>
          <w:lang w:val="fr-CA"/>
        </w:rPr>
      </w:pPr>
    </w:p>
    <w:p w:rsidR="00890FEB" w:rsidRPr="00F55576" w:rsidRDefault="00890FEB" w:rsidP="008D292F">
      <w:pPr>
        <w:rPr>
          <w:b/>
          <w:sz w:val="20"/>
          <w:szCs w:val="20"/>
          <w:lang w:val="fr-CA"/>
        </w:rPr>
        <w:sectPr w:rsidR="00890FEB" w:rsidRPr="00F55576" w:rsidSect="008D292F">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p w:rsidR="00693C38" w:rsidRPr="00F55576" w:rsidRDefault="00DD0BDC" w:rsidP="00567602">
      <w:pPr>
        <w:pStyle w:val="Header1StyleE"/>
        <w:pBdr>
          <w:bottom w:val="single" w:sz="12" w:space="1" w:color="auto"/>
        </w:pBdr>
        <w:rPr>
          <w:lang w:val="fr-CA"/>
        </w:rPr>
      </w:pPr>
      <w:bookmarkStart w:id="5" w:name="_Toc29890994"/>
      <w:r w:rsidRPr="00F55576">
        <w:rPr>
          <w:lang w:val="fr-CA"/>
        </w:rPr>
        <w:lastRenderedPageBreak/>
        <w:t>Motions</w:t>
      </w:r>
      <w:r w:rsidR="00271E1E" w:rsidRPr="00F55576">
        <w:rPr>
          <w:lang w:val="fr-CA"/>
        </w:rPr>
        <w:t xml:space="preserve"> / </w:t>
      </w:r>
      <w:r w:rsidR="00693C38" w:rsidRPr="00F55576">
        <w:rPr>
          <w:lang w:val="fr-CA"/>
        </w:rPr>
        <w:br/>
      </w:r>
      <w:r w:rsidRPr="00F55576">
        <w:rPr>
          <w:lang w:val="fr-CA"/>
        </w:rPr>
        <w:t>Requêtes</w:t>
      </w:r>
      <w:bookmarkEnd w:id="5"/>
    </w:p>
    <w:p w:rsidR="00890FEB" w:rsidRPr="00F55576" w:rsidRDefault="00890FEB" w:rsidP="00890FEB">
      <w:pPr>
        <w:rPr>
          <w:sz w:val="20"/>
          <w:szCs w:val="20"/>
          <w:lang w:val="fr-CA"/>
        </w:rPr>
      </w:pPr>
    </w:p>
    <w:p w:rsidR="008859F1" w:rsidRPr="00F55576" w:rsidRDefault="008859F1" w:rsidP="008859F1">
      <w:pPr>
        <w:rPr>
          <w:b/>
          <w:sz w:val="20"/>
          <w:szCs w:val="20"/>
          <w:lang w:val="fr-CA"/>
        </w:rPr>
      </w:pPr>
      <w:r w:rsidRPr="00F55576">
        <w:rPr>
          <w:b/>
          <w:sz w:val="20"/>
          <w:szCs w:val="20"/>
          <w:lang w:val="fr-CA"/>
        </w:rPr>
        <w:t xml:space="preserve">JANUARY </w:t>
      </w:r>
      <w:r w:rsidR="0063345D" w:rsidRPr="00F55576">
        <w:rPr>
          <w:b/>
          <w:sz w:val="20"/>
          <w:szCs w:val="20"/>
          <w:lang w:val="fr-CA"/>
        </w:rPr>
        <w:t>14</w:t>
      </w:r>
      <w:r w:rsidRPr="00F55576">
        <w:rPr>
          <w:b/>
          <w:sz w:val="20"/>
          <w:szCs w:val="20"/>
          <w:lang w:val="fr-CA"/>
        </w:rPr>
        <w:t>, 20</w:t>
      </w:r>
      <w:r w:rsidR="005967EF" w:rsidRPr="00F55576">
        <w:rPr>
          <w:b/>
          <w:sz w:val="20"/>
          <w:szCs w:val="20"/>
          <w:lang w:val="fr-CA"/>
        </w:rPr>
        <w:t>20</w:t>
      </w:r>
      <w:r w:rsidRPr="00F55576">
        <w:rPr>
          <w:b/>
          <w:sz w:val="20"/>
          <w:szCs w:val="20"/>
          <w:lang w:val="fr-CA"/>
        </w:rPr>
        <w:t xml:space="preserve"> / LE </w:t>
      </w:r>
      <w:r w:rsidR="0063345D" w:rsidRPr="00F55576">
        <w:rPr>
          <w:b/>
          <w:sz w:val="20"/>
          <w:szCs w:val="20"/>
          <w:lang w:val="fr-CA"/>
        </w:rPr>
        <w:t>14</w:t>
      </w:r>
      <w:r w:rsidRPr="00F55576">
        <w:rPr>
          <w:b/>
          <w:sz w:val="20"/>
          <w:szCs w:val="20"/>
          <w:lang w:val="fr-CA"/>
        </w:rPr>
        <w:t xml:space="preserve"> JANVIER 20</w:t>
      </w:r>
      <w:r w:rsidR="005967EF" w:rsidRPr="00F55576">
        <w:rPr>
          <w:b/>
          <w:sz w:val="20"/>
          <w:szCs w:val="20"/>
          <w:lang w:val="fr-CA"/>
        </w:rPr>
        <w:t>20</w:t>
      </w:r>
    </w:p>
    <w:p w:rsidR="00102792" w:rsidRPr="00F55576"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8042C9" w:rsidTr="00957556">
        <w:tc>
          <w:tcPr>
            <w:tcW w:w="4804" w:type="dxa"/>
            <w:tcBorders>
              <w:top w:val="nil"/>
              <w:left w:val="nil"/>
              <w:bottom w:val="nil"/>
              <w:right w:val="nil"/>
            </w:tcBorders>
          </w:tcPr>
          <w:p w:rsidR="00957556" w:rsidRPr="00F55576" w:rsidRDefault="00624F83" w:rsidP="00102792">
            <w:pPr>
              <w:tabs>
                <w:tab w:val="left" w:pos="-1440"/>
                <w:tab w:val="left" w:pos="-720"/>
              </w:tabs>
              <w:jc w:val="both"/>
              <w:rPr>
                <w:rFonts w:eastAsia="Times New Roman" w:cs="Times New Roman"/>
                <w:b/>
                <w:sz w:val="20"/>
                <w:szCs w:val="20"/>
                <w:lang w:val="en-US" w:eastAsia="en-CA"/>
              </w:rPr>
            </w:pPr>
            <w:r w:rsidRPr="00F55576">
              <w:rPr>
                <w:rFonts w:eastAsia="Times New Roman" w:cs="Times New Roman"/>
                <w:b/>
                <w:sz w:val="20"/>
                <w:szCs w:val="20"/>
                <w:lang w:val="en-US" w:eastAsia="en-CA"/>
              </w:rPr>
              <w:t>Motion to extend the time to serve and file the notice of appeal</w:t>
            </w:r>
          </w:p>
        </w:tc>
        <w:tc>
          <w:tcPr>
            <w:tcW w:w="4805" w:type="dxa"/>
            <w:tcBorders>
              <w:top w:val="nil"/>
              <w:left w:val="nil"/>
              <w:bottom w:val="nil"/>
              <w:right w:val="nil"/>
            </w:tcBorders>
          </w:tcPr>
          <w:p w:rsidR="00957556" w:rsidRPr="00F55576" w:rsidRDefault="00624F83" w:rsidP="00102792">
            <w:pPr>
              <w:tabs>
                <w:tab w:val="left" w:pos="-1440"/>
                <w:tab w:val="left" w:pos="-720"/>
              </w:tabs>
              <w:jc w:val="both"/>
              <w:rPr>
                <w:rFonts w:eastAsia="Times New Roman" w:cs="Times New Roman"/>
                <w:b/>
                <w:sz w:val="20"/>
                <w:szCs w:val="20"/>
                <w:lang w:val="fr-CA" w:eastAsia="en-CA"/>
              </w:rPr>
            </w:pPr>
            <w:r w:rsidRPr="00F55576">
              <w:rPr>
                <w:rFonts w:eastAsia="Times New Roman" w:cs="Times New Roman"/>
                <w:b/>
                <w:sz w:val="20"/>
                <w:szCs w:val="20"/>
                <w:lang w:val="fr-CA" w:eastAsia="en-CA"/>
              </w:rPr>
              <w:t>Requête en prorogation de délai pour signifier et déposer l'avis d'appel</w:t>
            </w:r>
          </w:p>
        </w:tc>
      </w:tr>
    </w:tbl>
    <w:p w:rsidR="00957556" w:rsidRPr="00F55576" w:rsidRDefault="00957556" w:rsidP="00102792">
      <w:pPr>
        <w:tabs>
          <w:tab w:val="left" w:pos="-1440"/>
          <w:tab w:val="left" w:pos="-720"/>
        </w:tabs>
        <w:jc w:val="both"/>
        <w:rPr>
          <w:rFonts w:eastAsia="Times New Roman" w:cs="Times New Roman"/>
          <w:sz w:val="20"/>
          <w:szCs w:val="20"/>
          <w:lang w:val="fr-CA" w:eastAsia="en-CA"/>
        </w:rPr>
      </w:pPr>
    </w:p>
    <w:p w:rsidR="00E06F20" w:rsidRPr="00F55576" w:rsidRDefault="00E06F20" w:rsidP="00102792">
      <w:pPr>
        <w:tabs>
          <w:tab w:val="left" w:pos="-1440"/>
          <w:tab w:val="left" w:pos="-720"/>
        </w:tabs>
        <w:jc w:val="both"/>
        <w:rPr>
          <w:rFonts w:eastAsia="Times New Roman" w:cs="Times New Roman"/>
          <w:sz w:val="20"/>
          <w:szCs w:val="20"/>
          <w:lang w:val="fr-CA" w:eastAsia="en-CA"/>
        </w:rPr>
      </w:pPr>
    </w:p>
    <w:p w:rsidR="0063345D" w:rsidRPr="00F55576" w:rsidRDefault="0063345D" w:rsidP="0063345D">
      <w:pPr>
        <w:rPr>
          <w:rFonts w:cs="Times New Roman"/>
          <w:b/>
          <w:bCs/>
          <w:caps/>
          <w:sz w:val="20"/>
          <w:szCs w:val="20"/>
          <w:lang w:val="fr-CA"/>
        </w:rPr>
      </w:pPr>
      <w:r w:rsidRPr="00F55576">
        <w:rPr>
          <w:rFonts w:cs="Times New Roman"/>
          <w:b/>
          <w:bCs/>
          <w:caps/>
          <w:sz w:val="20"/>
          <w:szCs w:val="20"/>
          <w:lang w:val="fr-CA"/>
        </w:rPr>
        <w:t xml:space="preserve">Conférence des juges de la Cour du Québec </w:t>
      </w:r>
      <w:r w:rsidRPr="00F55576">
        <w:rPr>
          <w:rFonts w:cs="Times New Roman"/>
          <w:b/>
          <w:bCs/>
          <w:sz w:val="20"/>
          <w:szCs w:val="20"/>
          <w:lang w:val="fr-CA"/>
        </w:rPr>
        <w:t xml:space="preserve">c. </w:t>
      </w:r>
      <w:r w:rsidRPr="00F55576">
        <w:rPr>
          <w:rFonts w:cs="Times New Roman"/>
          <w:b/>
          <w:bCs/>
          <w:caps/>
          <w:sz w:val="20"/>
          <w:szCs w:val="20"/>
          <w:lang w:val="fr-CA"/>
        </w:rPr>
        <w:t>Juge en Chef, Juge en Chef Associé et Juge en Chef Adjointe de la Cour Supérieure du Québec</w:t>
      </w:r>
    </w:p>
    <w:p w:rsidR="0063345D" w:rsidRPr="00F55576" w:rsidRDefault="0063345D" w:rsidP="0063345D">
      <w:pPr>
        <w:rPr>
          <w:rFonts w:cs="Times New Roman"/>
          <w:bCs/>
          <w:caps/>
          <w:sz w:val="20"/>
          <w:szCs w:val="20"/>
          <w:lang w:val="fr-CA"/>
        </w:rPr>
      </w:pPr>
    </w:p>
    <w:p w:rsidR="0063345D" w:rsidRPr="00F55576" w:rsidRDefault="0063345D" w:rsidP="0063345D">
      <w:pPr>
        <w:ind w:right="720"/>
        <w:rPr>
          <w:rFonts w:cs="Times New Roman"/>
          <w:b/>
          <w:bCs/>
          <w:sz w:val="20"/>
          <w:szCs w:val="20"/>
          <w:lang w:val="fr-CA"/>
        </w:rPr>
      </w:pPr>
      <w:r w:rsidRPr="00F55576">
        <w:rPr>
          <w:rFonts w:cs="Times New Roman"/>
          <w:b/>
          <w:bCs/>
          <w:sz w:val="20"/>
          <w:szCs w:val="20"/>
          <w:lang w:val="fr-CA"/>
        </w:rPr>
        <w:t>- et -</w:t>
      </w:r>
    </w:p>
    <w:p w:rsidR="0063345D" w:rsidRPr="00F55576" w:rsidRDefault="0063345D" w:rsidP="0063345D">
      <w:pPr>
        <w:rPr>
          <w:rFonts w:cs="Times New Roman"/>
          <w:bCs/>
          <w:caps/>
          <w:sz w:val="20"/>
          <w:szCs w:val="20"/>
          <w:lang w:val="fr-CA"/>
        </w:rPr>
      </w:pPr>
    </w:p>
    <w:p w:rsidR="0063345D" w:rsidRPr="00F55576" w:rsidRDefault="0063345D" w:rsidP="0063345D">
      <w:pPr>
        <w:rPr>
          <w:rFonts w:cs="Times New Roman"/>
          <w:b/>
          <w:bCs/>
          <w:caps/>
          <w:sz w:val="20"/>
          <w:szCs w:val="20"/>
          <w:lang w:val="fr-CA"/>
        </w:rPr>
      </w:pPr>
      <w:r w:rsidRPr="00F55576">
        <w:rPr>
          <w:rFonts w:cs="Times New Roman"/>
          <w:b/>
          <w:bCs/>
          <w:caps/>
          <w:sz w:val="20"/>
          <w:szCs w:val="20"/>
          <w:lang w:val="fr-CA"/>
        </w:rPr>
        <w:t xml:space="preserve">Procureure générale du Québec </w:t>
      </w:r>
      <w:r w:rsidRPr="00F55576">
        <w:rPr>
          <w:rFonts w:cs="Times New Roman"/>
          <w:b/>
          <w:bCs/>
          <w:sz w:val="20"/>
          <w:szCs w:val="20"/>
          <w:lang w:val="fr-CA"/>
        </w:rPr>
        <w:t xml:space="preserve">c. </w:t>
      </w:r>
      <w:r w:rsidRPr="00F55576">
        <w:rPr>
          <w:rFonts w:cs="Times New Roman"/>
          <w:b/>
          <w:bCs/>
          <w:caps/>
          <w:sz w:val="20"/>
          <w:szCs w:val="20"/>
          <w:lang w:val="fr-CA"/>
        </w:rPr>
        <w:t>Juge en Chef, Juge en Chef Associé et Juge en Chef Adjointe de la Cour Supérieure du Québec</w:t>
      </w:r>
    </w:p>
    <w:p w:rsidR="0063345D" w:rsidRPr="00F55576" w:rsidRDefault="0063345D" w:rsidP="0063345D">
      <w:pPr>
        <w:rPr>
          <w:rFonts w:cs="Times New Roman"/>
          <w:bCs/>
          <w:caps/>
          <w:sz w:val="20"/>
          <w:szCs w:val="20"/>
          <w:lang w:val="fr-CA"/>
        </w:rPr>
      </w:pPr>
    </w:p>
    <w:p w:rsidR="0063345D" w:rsidRPr="00F55576" w:rsidRDefault="0063345D" w:rsidP="0063345D">
      <w:pPr>
        <w:ind w:right="720"/>
        <w:rPr>
          <w:rFonts w:cs="Times New Roman"/>
          <w:b/>
          <w:bCs/>
          <w:sz w:val="20"/>
          <w:szCs w:val="20"/>
          <w:lang w:val="fr-CA"/>
        </w:rPr>
      </w:pPr>
      <w:r w:rsidRPr="00F55576">
        <w:rPr>
          <w:rFonts w:cs="Times New Roman"/>
          <w:b/>
          <w:bCs/>
          <w:sz w:val="20"/>
          <w:szCs w:val="20"/>
          <w:lang w:val="fr-CA"/>
        </w:rPr>
        <w:t>- et -</w:t>
      </w:r>
    </w:p>
    <w:p w:rsidR="0063345D" w:rsidRPr="00F55576" w:rsidRDefault="0063345D" w:rsidP="0063345D">
      <w:pPr>
        <w:rPr>
          <w:rFonts w:cs="Times New Roman"/>
          <w:bCs/>
          <w:sz w:val="20"/>
          <w:szCs w:val="20"/>
          <w:lang w:val="fr-CA"/>
        </w:rPr>
      </w:pPr>
    </w:p>
    <w:p w:rsidR="0063345D" w:rsidRPr="00F55576" w:rsidRDefault="0063345D" w:rsidP="0063345D">
      <w:pPr>
        <w:rPr>
          <w:rFonts w:cs="Times New Roman"/>
          <w:b/>
          <w:bCs/>
          <w:caps/>
          <w:sz w:val="20"/>
          <w:szCs w:val="20"/>
          <w:lang w:val="fr-CA"/>
        </w:rPr>
      </w:pPr>
      <w:r w:rsidRPr="00F55576">
        <w:rPr>
          <w:rFonts w:cs="Times New Roman"/>
          <w:b/>
          <w:bCs/>
          <w:caps/>
          <w:sz w:val="20"/>
          <w:szCs w:val="20"/>
          <w:lang w:val="fr-CA"/>
        </w:rPr>
        <w:t xml:space="preserve">Conseil de la magistrature du Québec </w:t>
      </w:r>
      <w:r w:rsidRPr="00F55576">
        <w:rPr>
          <w:rFonts w:cs="Times New Roman"/>
          <w:b/>
          <w:bCs/>
          <w:sz w:val="20"/>
          <w:szCs w:val="20"/>
          <w:lang w:val="fr-CA"/>
        </w:rPr>
        <w:t xml:space="preserve">c. </w:t>
      </w:r>
      <w:r w:rsidRPr="00F55576">
        <w:rPr>
          <w:rFonts w:cs="Times New Roman"/>
          <w:b/>
          <w:bCs/>
          <w:caps/>
          <w:sz w:val="20"/>
          <w:szCs w:val="20"/>
          <w:lang w:val="fr-CA"/>
        </w:rPr>
        <w:t>Procureure générale du Québec</w:t>
      </w:r>
    </w:p>
    <w:p w:rsidR="0063345D" w:rsidRPr="00F55576" w:rsidRDefault="0063345D" w:rsidP="0063345D">
      <w:pPr>
        <w:rPr>
          <w:rFonts w:cs="Times New Roman"/>
          <w:bCs/>
          <w:sz w:val="20"/>
          <w:szCs w:val="20"/>
          <w:lang w:val="fr-CA"/>
        </w:rPr>
      </w:pPr>
    </w:p>
    <w:p w:rsidR="0063345D" w:rsidRPr="00F55576" w:rsidRDefault="0063345D" w:rsidP="0063345D">
      <w:pPr>
        <w:ind w:right="720"/>
        <w:rPr>
          <w:rFonts w:cs="Times New Roman"/>
          <w:b/>
          <w:bCs/>
          <w:sz w:val="20"/>
          <w:szCs w:val="20"/>
          <w:lang w:val="fr-CA"/>
        </w:rPr>
      </w:pPr>
      <w:r w:rsidRPr="00F55576">
        <w:rPr>
          <w:rFonts w:cs="Times New Roman"/>
          <w:b/>
          <w:bCs/>
          <w:sz w:val="20"/>
          <w:szCs w:val="20"/>
          <w:lang w:val="fr-CA"/>
        </w:rPr>
        <w:t>- et -</w:t>
      </w:r>
    </w:p>
    <w:p w:rsidR="0063345D" w:rsidRPr="00F55576" w:rsidRDefault="0063345D" w:rsidP="0063345D">
      <w:pPr>
        <w:rPr>
          <w:rFonts w:cs="Times New Roman"/>
          <w:bCs/>
          <w:sz w:val="20"/>
          <w:szCs w:val="20"/>
          <w:lang w:val="fr-CA"/>
        </w:rPr>
      </w:pPr>
    </w:p>
    <w:p w:rsidR="0063345D" w:rsidRPr="00F55576" w:rsidRDefault="0063345D" w:rsidP="0063345D">
      <w:pPr>
        <w:rPr>
          <w:rFonts w:cs="Times New Roman"/>
          <w:b/>
          <w:bCs/>
          <w:caps/>
          <w:sz w:val="20"/>
          <w:szCs w:val="20"/>
          <w:lang w:val="fr-CA"/>
        </w:rPr>
      </w:pPr>
      <w:r w:rsidRPr="00F55576">
        <w:rPr>
          <w:rFonts w:cs="Times New Roman"/>
          <w:b/>
          <w:bCs/>
          <w:caps/>
          <w:sz w:val="20"/>
          <w:szCs w:val="20"/>
          <w:lang w:val="fr-CA"/>
        </w:rPr>
        <w:t xml:space="preserve">Association Canadienne des Juges des Cours Provinciales </w:t>
      </w:r>
      <w:r w:rsidRPr="00F55576">
        <w:rPr>
          <w:rFonts w:cs="Times New Roman"/>
          <w:b/>
          <w:bCs/>
          <w:sz w:val="20"/>
          <w:szCs w:val="20"/>
          <w:lang w:val="fr-CA"/>
        </w:rPr>
        <w:t xml:space="preserve">c. </w:t>
      </w:r>
      <w:r w:rsidRPr="00F55576">
        <w:rPr>
          <w:rFonts w:cs="Times New Roman"/>
          <w:b/>
          <w:bCs/>
          <w:caps/>
          <w:sz w:val="20"/>
          <w:szCs w:val="20"/>
          <w:lang w:val="fr-CA"/>
        </w:rPr>
        <w:t>Juge en Chef, Juge en Chef Associé et Juge en Chef Adjointe de la Cour Supérieure du Québec</w:t>
      </w:r>
    </w:p>
    <w:p w:rsidR="0063345D" w:rsidRPr="00F55576" w:rsidRDefault="0063345D" w:rsidP="0063345D">
      <w:pPr>
        <w:rPr>
          <w:rFonts w:cs="Times New Roman"/>
          <w:bCs/>
          <w:sz w:val="20"/>
          <w:szCs w:val="20"/>
          <w:lang w:val="fr-CA"/>
        </w:rPr>
      </w:pPr>
    </w:p>
    <w:p w:rsidR="0063345D" w:rsidRPr="00F55576" w:rsidRDefault="0063345D" w:rsidP="0063345D">
      <w:pPr>
        <w:ind w:right="720"/>
        <w:rPr>
          <w:rFonts w:cs="Times New Roman"/>
          <w:b/>
          <w:bCs/>
          <w:sz w:val="20"/>
          <w:szCs w:val="20"/>
          <w:lang w:val="fr-CA"/>
        </w:rPr>
      </w:pPr>
      <w:r w:rsidRPr="00F55576">
        <w:rPr>
          <w:rFonts w:cs="Times New Roman"/>
          <w:b/>
          <w:bCs/>
          <w:sz w:val="20"/>
          <w:szCs w:val="20"/>
          <w:lang w:val="fr-CA"/>
        </w:rPr>
        <w:t>- et -</w:t>
      </w:r>
    </w:p>
    <w:p w:rsidR="0063345D" w:rsidRPr="00F55576" w:rsidRDefault="0063345D" w:rsidP="0063345D">
      <w:pPr>
        <w:rPr>
          <w:rFonts w:cs="Times New Roman"/>
          <w:bCs/>
          <w:sz w:val="20"/>
          <w:szCs w:val="20"/>
          <w:lang w:val="fr-CA"/>
        </w:rPr>
      </w:pPr>
    </w:p>
    <w:p w:rsidR="0063345D" w:rsidRPr="00F55576" w:rsidRDefault="0063345D" w:rsidP="0063345D">
      <w:pPr>
        <w:rPr>
          <w:rFonts w:cs="Times New Roman"/>
          <w:b/>
          <w:bCs/>
          <w:caps/>
          <w:sz w:val="20"/>
          <w:szCs w:val="20"/>
          <w:lang w:val="fr-CA"/>
        </w:rPr>
      </w:pPr>
      <w:r w:rsidRPr="00F55576">
        <w:rPr>
          <w:rFonts w:cs="Times New Roman"/>
          <w:b/>
          <w:bCs/>
          <w:caps/>
          <w:sz w:val="20"/>
          <w:szCs w:val="20"/>
          <w:lang w:val="fr-CA"/>
        </w:rPr>
        <w:t xml:space="preserve">Juge en Chef, Juge en Chef Associé et Juge en Chef Adjointe de la Cour Supérieure du Québec </w:t>
      </w:r>
      <w:r w:rsidRPr="00F55576">
        <w:rPr>
          <w:rFonts w:cs="Times New Roman"/>
          <w:b/>
          <w:bCs/>
          <w:sz w:val="20"/>
          <w:szCs w:val="20"/>
          <w:lang w:val="fr-CA"/>
        </w:rPr>
        <w:t xml:space="preserve">c. </w:t>
      </w:r>
      <w:r w:rsidRPr="00F55576">
        <w:rPr>
          <w:rFonts w:cs="Times New Roman"/>
          <w:b/>
          <w:bCs/>
          <w:caps/>
          <w:sz w:val="20"/>
          <w:szCs w:val="20"/>
          <w:lang w:val="fr-CA"/>
        </w:rPr>
        <w:t>Procureure générale du Québec</w:t>
      </w:r>
    </w:p>
    <w:p w:rsidR="0063345D" w:rsidRPr="00F55576" w:rsidRDefault="0063345D" w:rsidP="0063345D">
      <w:pPr>
        <w:rPr>
          <w:rFonts w:cs="Times New Roman"/>
          <w:bCs/>
          <w:sz w:val="20"/>
          <w:szCs w:val="20"/>
          <w:lang w:val="fr-CA"/>
        </w:rPr>
      </w:pPr>
    </w:p>
    <w:p w:rsidR="0063345D" w:rsidRPr="00F55576" w:rsidRDefault="0063345D" w:rsidP="0063345D">
      <w:pPr>
        <w:rPr>
          <w:rFonts w:cs="Times New Roman"/>
          <w:bCs/>
          <w:sz w:val="20"/>
          <w:szCs w:val="20"/>
          <w:lang w:val="fr-CA"/>
        </w:rPr>
      </w:pPr>
      <w:r w:rsidRPr="00F55576">
        <w:rPr>
          <w:rFonts w:cs="Times New Roman"/>
          <w:bCs/>
          <w:sz w:val="20"/>
          <w:szCs w:val="20"/>
          <w:lang w:val="fr-CA"/>
        </w:rPr>
        <w:t>(Qc) (38837)</w:t>
      </w:r>
    </w:p>
    <w:p w:rsidR="0063345D" w:rsidRPr="00F55576" w:rsidRDefault="0063345D" w:rsidP="0063345D">
      <w:pPr>
        <w:rPr>
          <w:rFonts w:cs="Times New Roman"/>
          <w:sz w:val="20"/>
          <w:szCs w:val="20"/>
          <w:lang w:val="fr-CA"/>
        </w:rPr>
      </w:pPr>
    </w:p>
    <w:p w:rsidR="0063345D" w:rsidRPr="00F55576" w:rsidRDefault="0063345D" w:rsidP="0063345D">
      <w:pPr>
        <w:rPr>
          <w:rFonts w:cs="Times New Roman"/>
          <w:sz w:val="20"/>
          <w:szCs w:val="20"/>
          <w:lang w:val="fr-CA"/>
        </w:rPr>
      </w:pPr>
      <w:r w:rsidRPr="00F55576">
        <w:rPr>
          <w:rFonts w:cs="Times New Roman"/>
          <w:b/>
          <w:bCs/>
          <w:sz w:val="20"/>
          <w:szCs w:val="20"/>
          <w:u w:val="single"/>
          <w:lang w:val="fr-CA"/>
        </w:rPr>
        <w:t xml:space="preserve">LA JUGE MARTIN </w:t>
      </w:r>
      <w:r w:rsidRPr="00F55576">
        <w:rPr>
          <w:rFonts w:cs="Times New Roman"/>
          <w:b/>
          <w:bCs/>
          <w:sz w:val="20"/>
          <w:szCs w:val="20"/>
          <w:lang w:val="fr-CA"/>
        </w:rPr>
        <w:t>:</w:t>
      </w:r>
    </w:p>
    <w:p w:rsidR="0063345D" w:rsidRPr="00F55576" w:rsidRDefault="0063345D" w:rsidP="0063345D">
      <w:pPr>
        <w:rPr>
          <w:rFonts w:cs="Times New Roman"/>
          <w:sz w:val="20"/>
          <w:szCs w:val="20"/>
          <w:lang w:val="fr-CA"/>
        </w:rPr>
      </w:pPr>
    </w:p>
    <w:p w:rsidR="0063345D" w:rsidRPr="00F55576" w:rsidRDefault="0063345D" w:rsidP="0063345D">
      <w:pPr>
        <w:rPr>
          <w:sz w:val="20"/>
          <w:szCs w:val="20"/>
          <w:lang w:val="fr-CA"/>
        </w:rPr>
      </w:pPr>
      <w:r w:rsidRPr="00F55576">
        <w:rPr>
          <w:rFonts w:cs="Times New Roman"/>
          <w:b/>
          <w:bCs/>
          <w:sz w:val="20"/>
          <w:szCs w:val="20"/>
          <w:lang w:val="fr-CA"/>
        </w:rPr>
        <w:t>À LA SUITE DE LA DEMANDE</w:t>
      </w:r>
      <w:r w:rsidRPr="00F55576">
        <w:rPr>
          <w:b/>
          <w:bCs/>
          <w:sz w:val="20"/>
          <w:szCs w:val="20"/>
          <w:lang w:val="fr-CA"/>
        </w:rPr>
        <w:t xml:space="preserve"> </w:t>
      </w:r>
      <w:r w:rsidRPr="00F55576">
        <w:rPr>
          <w:rFonts w:cs="Times New Roman"/>
          <w:sz w:val="20"/>
          <w:szCs w:val="20"/>
          <w:lang w:val="fr-CA"/>
        </w:rPr>
        <w:t>présentée par l’appelant, le Conseil de la magistrature du Québec, en vue d’obtenir la prorogation du délai de signification et de dépôt de son avis d’appel amendé au 9 décembre 2019;</w:t>
      </w:r>
    </w:p>
    <w:p w:rsidR="0063345D" w:rsidRPr="00F55576" w:rsidRDefault="0063345D" w:rsidP="0063345D">
      <w:pPr>
        <w:spacing w:line="233" w:lineRule="auto"/>
        <w:rPr>
          <w:rFonts w:cs="Times New Roman"/>
          <w:sz w:val="20"/>
          <w:szCs w:val="20"/>
          <w:lang w:val="fr-CA"/>
        </w:rPr>
      </w:pPr>
    </w:p>
    <w:p w:rsidR="0063345D" w:rsidRPr="00F55576" w:rsidRDefault="0063345D" w:rsidP="0063345D">
      <w:pPr>
        <w:rPr>
          <w:sz w:val="20"/>
          <w:szCs w:val="20"/>
          <w:lang w:val="fr-CA"/>
        </w:rPr>
      </w:pPr>
      <w:r w:rsidRPr="00F55576">
        <w:rPr>
          <w:rFonts w:cs="Times New Roman"/>
          <w:b/>
          <w:bCs/>
          <w:sz w:val="20"/>
          <w:szCs w:val="20"/>
          <w:lang w:val="fr-CA"/>
        </w:rPr>
        <w:t>ET APRÈS EXAMEN</w:t>
      </w:r>
      <w:r w:rsidRPr="00F55576">
        <w:rPr>
          <w:b/>
          <w:bCs/>
          <w:sz w:val="20"/>
          <w:szCs w:val="20"/>
          <w:lang w:val="fr-CA"/>
        </w:rPr>
        <w:t xml:space="preserve"> </w:t>
      </w:r>
      <w:r w:rsidRPr="00F55576">
        <w:rPr>
          <w:rFonts w:cs="Times New Roman"/>
          <w:sz w:val="20"/>
          <w:szCs w:val="20"/>
          <w:lang w:val="fr-CA"/>
        </w:rPr>
        <w:t>des documents déposés;</w:t>
      </w:r>
    </w:p>
    <w:p w:rsidR="0063345D" w:rsidRPr="00F55576" w:rsidRDefault="0063345D" w:rsidP="0063345D">
      <w:pPr>
        <w:spacing w:line="233" w:lineRule="auto"/>
        <w:rPr>
          <w:rFonts w:cs="Times New Roman"/>
          <w:sz w:val="20"/>
          <w:szCs w:val="20"/>
          <w:lang w:val="fr-CA"/>
        </w:rPr>
      </w:pPr>
    </w:p>
    <w:p w:rsidR="0063345D" w:rsidRPr="00F55576" w:rsidRDefault="0063345D" w:rsidP="0063345D">
      <w:pPr>
        <w:tabs>
          <w:tab w:val="left" w:pos="-1440"/>
        </w:tabs>
        <w:ind w:left="720" w:hanging="720"/>
        <w:rPr>
          <w:b/>
          <w:sz w:val="20"/>
          <w:szCs w:val="20"/>
          <w:lang w:val="fr-CA"/>
        </w:rPr>
      </w:pPr>
      <w:r w:rsidRPr="00F55576">
        <w:rPr>
          <w:rFonts w:cs="Times New Roman"/>
          <w:b/>
          <w:bCs/>
          <w:sz w:val="20"/>
          <w:szCs w:val="20"/>
          <w:lang w:val="fr-CA"/>
        </w:rPr>
        <w:t>IL EST ORDONNÉ CE QUI SUIT :</w:t>
      </w:r>
      <w:r w:rsidRPr="00F55576">
        <w:rPr>
          <w:b/>
          <w:sz w:val="20"/>
          <w:szCs w:val="20"/>
          <w:lang w:val="fr-CA"/>
        </w:rPr>
        <w:t xml:space="preserve"> </w:t>
      </w:r>
    </w:p>
    <w:p w:rsidR="0063345D" w:rsidRPr="00F55576" w:rsidRDefault="0063345D" w:rsidP="0063345D">
      <w:pPr>
        <w:rPr>
          <w:sz w:val="20"/>
          <w:szCs w:val="20"/>
          <w:lang w:val="fr-CA"/>
        </w:rPr>
      </w:pPr>
    </w:p>
    <w:p w:rsidR="0063345D" w:rsidRPr="00F55576" w:rsidRDefault="0063345D" w:rsidP="0063345D">
      <w:pPr>
        <w:rPr>
          <w:rFonts w:cs="Times New Roman"/>
          <w:sz w:val="20"/>
          <w:szCs w:val="20"/>
          <w:lang w:val="en-US"/>
        </w:rPr>
      </w:pPr>
      <w:r w:rsidRPr="00F55576">
        <w:rPr>
          <w:rFonts w:cs="Times New Roman"/>
          <w:sz w:val="20"/>
          <w:szCs w:val="20"/>
          <w:lang w:val="en-US"/>
        </w:rPr>
        <w:t xml:space="preserve">La requête </w:t>
      </w:r>
      <w:proofErr w:type="gramStart"/>
      <w:r w:rsidRPr="00F55576">
        <w:rPr>
          <w:rFonts w:cs="Times New Roman"/>
          <w:sz w:val="20"/>
          <w:szCs w:val="20"/>
          <w:lang w:val="en-US"/>
        </w:rPr>
        <w:t>est</w:t>
      </w:r>
      <w:proofErr w:type="gramEnd"/>
      <w:r w:rsidRPr="00F55576">
        <w:rPr>
          <w:rFonts w:cs="Times New Roman"/>
          <w:sz w:val="20"/>
          <w:szCs w:val="20"/>
          <w:lang w:val="en-US"/>
        </w:rPr>
        <w:t xml:space="preserve"> accueillie.</w:t>
      </w:r>
    </w:p>
    <w:p w:rsidR="00102792" w:rsidRPr="00F55576" w:rsidRDefault="00102792" w:rsidP="00102792">
      <w:pPr>
        <w:spacing w:line="228" w:lineRule="auto"/>
        <w:rPr>
          <w:sz w:val="20"/>
        </w:rPr>
      </w:pPr>
    </w:p>
    <w:p w:rsidR="005967EF" w:rsidRPr="00F55576" w:rsidRDefault="005967EF" w:rsidP="00102792">
      <w:pPr>
        <w:spacing w:line="228" w:lineRule="auto"/>
        <w:rPr>
          <w:sz w:val="20"/>
          <w:szCs w:val="20"/>
        </w:rPr>
      </w:pPr>
    </w:p>
    <w:p w:rsidR="0063345D" w:rsidRPr="00F55576" w:rsidRDefault="0063345D" w:rsidP="0063345D">
      <w:pPr>
        <w:rPr>
          <w:sz w:val="20"/>
          <w:szCs w:val="20"/>
        </w:rPr>
      </w:pPr>
      <w:r w:rsidRPr="00F55576">
        <w:rPr>
          <w:rFonts w:cs="Times New Roman"/>
          <w:b/>
          <w:bCs/>
          <w:sz w:val="20"/>
          <w:szCs w:val="20"/>
        </w:rPr>
        <w:t>UPON APPLICATION</w:t>
      </w:r>
      <w:r w:rsidRPr="00F55576">
        <w:rPr>
          <w:b/>
          <w:bCs/>
          <w:sz w:val="20"/>
          <w:szCs w:val="20"/>
        </w:rPr>
        <w:t xml:space="preserve"> </w:t>
      </w:r>
      <w:r w:rsidRPr="00F55576">
        <w:rPr>
          <w:rFonts w:cs="Times New Roman"/>
          <w:sz w:val="20"/>
          <w:szCs w:val="20"/>
        </w:rPr>
        <w:t>by the appellant Conseil de la magistrature du Québec for an order extending the time within which to serve and file its amended notice of appeal to December 9, 2019;</w:t>
      </w:r>
    </w:p>
    <w:p w:rsidR="0063345D" w:rsidRPr="00F55576" w:rsidRDefault="0063345D" w:rsidP="0063345D">
      <w:pPr>
        <w:spacing w:line="233" w:lineRule="auto"/>
        <w:rPr>
          <w:rFonts w:cs="Times New Roman"/>
          <w:sz w:val="20"/>
          <w:szCs w:val="20"/>
        </w:rPr>
      </w:pPr>
    </w:p>
    <w:p w:rsidR="0063345D" w:rsidRPr="00F55576" w:rsidRDefault="0063345D" w:rsidP="0063345D">
      <w:pPr>
        <w:rPr>
          <w:sz w:val="20"/>
          <w:szCs w:val="20"/>
        </w:rPr>
      </w:pPr>
      <w:r w:rsidRPr="00F55576">
        <w:rPr>
          <w:rFonts w:cs="Times New Roman"/>
          <w:b/>
          <w:bCs/>
          <w:sz w:val="20"/>
          <w:szCs w:val="20"/>
        </w:rPr>
        <w:t>AND THE MATERIAL FILED</w:t>
      </w:r>
      <w:r w:rsidRPr="00F55576">
        <w:rPr>
          <w:b/>
          <w:bCs/>
          <w:sz w:val="20"/>
          <w:szCs w:val="20"/>
        </w:rPr>
        <w:t xml:space="preserve"> </w:t>
      </w:r>
      <w:r w:rsidRPr="00F55576">
        <w:rPr>
          <w:rFonts w:cs="Times New Roman"/>
          <w:sz w:val="20"/>
          <w:szCs w:val="20"/>
        </w:rPr>
        <w:t>having been read;</w:t>
      </w:r>
    </w:p>
    <w:p w:rsidR="0063345D" w:rsidRPr="00F55576" w:rsidRDefault="0063345D" w:rsidP="0063345D">
      <w:pPr>
        <w:spacing w:line="233" w:lineRule="auto"/>
        <w:rPr>
          <w:rFonts w:cs="Times New Roman"/>
          <w:sz w:val="20"/>
          <w:szCs w:val="20"/>
        </w:rPr>
      </w:pPr>
    </w:p>
    <w:p w:rsidR="0063345D" w:rsidRPr="00F55576" w:rsidRDefault="0063345D" w:rsidP="0063345D">
      <w:pPr>
        <w:tabs>
          <w:tab w:val="left" w:pos="-1440"/>
        </w:tabs>
        <w:ind w:left="720" w:hanging="720"/>
        <w:rPr>
          <w:b/>
          <w:sz w:val="20"/>
          <w:szCs w:val="20"/>
        </w:rPr>
      </w:pPr>
      <w:r w:rsidRPr="00F55576">
        <w:rPr>
          <w:rFonts w:cs="Times New Roman"/>
          <w:b/>
          <w:bCs/>
          <w:sz w:val="20"/>
          <w:szCs w:val="20"/>
        </w:rPr>
        <w:t>IT IS HEREBY ORDERED THAT:</w:t>
      </w:r>
      <w:r w:rsidRPr="00F55576">
        <w:rPr>
          <w:b/>
          <w:sz w:val="20"/>
          <w:szCs w:val="20"/>
        </w:rPr>
        <w:t xml:space="preserve"> </w:t>
      </w:r>
    </w:p>
    <w:p w:rsidR="0063345D" w:rsidRPr="00F55576" w:rsidRDefault="0063345D" w:rsidP="0063345D">
      <w:pPr>
        <w:rPr>
          <w:sz w:val="20"/>
          <w:szCs w:val="20"/>
        </w:rPr>
      </w:pPr>
    </w:p>
    <w:p w:rsidR="00102792" w:rsidRPr="00F55576" w:rsidRDefault="0063345D" w:rsidP="0063345D">
      <w:pPr>
        <w:spacing w:line="228" w:lineRule="auto"/>
        <w:rPr>
          <w:i/>
          <w:sz w:val="20"/>
          <w:szCs w:val="20"/>
          <w:lang w:val="fr-CA"/>
        </w:rPr>
      </w:pPr>
      <w:r w:rsidRPr="00F55576">
        <w:rPr>
          <w:rFonts w:cs="Times New Roman"/>
          <w:sz w:val="20"/>
          <w:szCs w:val="20"/>
        </w:rPr>
        <w:t>The motion is granted.</w:t>
      </w:r>
    </w:p>
    <w:p w:rsidR="00102792" w:rsidRPr="00F55576" w:rsidRDefault="00102792" w:rsidP="00102792">
      <w:pPr>
        <w:spacing w:line="232" w:lineRule="auto"/>
        <w:rPr>
          <w:rFonts w:cs="Times New Roman"/>
          <w:sz w:val="20"/>
          <w:lang w:val="fr-CA"/>
        </w:rPr>
      </w:pPr>
    </w:p>
    <w:p w:rsidR="00102792" w:rsidRPr="00F55576" w:rsidRDefault="007B1953"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5967EF" w:rsidRPr="00F55576" w:rsidRDefault="005967EF" w:rsidP="00102792">
      <w:pPr>
        <w:rPr>
          <w:rFonts w:eastAsia="Times New Roman" w:cs="Times New Roman"/>
          <w:sz w:val="20"/>
          <w:szCs w:val="20"/>
          <w:lang w:val="fr-CA" w:eastAsia="en-CA"/>
        </w:rPr>
      </w:pPr>
    </w:p>
    <w:p w:rsidR="00102792" w:rsidRPr="00F55576" w:rsidRDefault="00102792" w:rsidP="00102792">
      <w:pPr>
        <w:rPr>
          <w:rFonts w:eastAsia="Times New Roman" w:cs="Times New Roman"/>
          <w:sz w:val="20"/>
          <w:szCs w:val="20"/>
          <w:lang w:val="fr-CA" w:eastAsia="en-CA"/>
        </w:rPr>
      </w:pPr>
      <w:r w:rsidRPr="00F55576">
        <w:rPr>
          <w:rFonts w:eastAsia="Times New Roman" w:cs="Times New Roman"/>
          <w:sz w:val="20"/>
          <w:szCs w:val="20"/>
          <w:lang w:val="fr-CA" w:eastAsia="en-CA"/>
        </w:rPr>
        <w:br w:type="page"/>
      </w:r>
    </w:p>
    <w:p w:rsidR="008859F1" w:rsidRPr="00F55576" w:rsidRDefault="008859F1" w:rsidP="008859F1">
      <w:pPr>
        <w:rPr>
          <w:b/>
          <w:sz w:val="20"/>
          <w:szCs w:val="20"/>
        </w:rPr>
      </w:pPr>
      <w:r w:rsidRPr="00F55576">
        <w:rPr>
          <w:b/>
          <w:sz w:val="20"/>
          <w:szCs w:val="20"/>
        </w:rPr>
        <w:lastRenderedPageBreak/>
        <w:t xml:space="preserve">JANUARY </w:t>
      </w:r>
      <w:r w:rsidR="00992F0B" w:rsidRPr="00F55576">
        <w:rPr>
          <w:b/>
          <w:sz w:val="20"/>
          <w:szCs w:val="20"/>
        </w:rPr>
        <w:t>15</w:t>
      </w:r>
      <w:r w:rsidRPr="00F55576">
        <w:rPr>
          <w:b/>
          <w:sz w:val="20"/>
          <w:szCs w:val="20"/>
        </w:rPr>
        <w:t>, 20</w:t>
      </w:r>
      <w:r w:rsidR="005967EF" w:rsidRPr="00F55576">
        <w:rPr>
          <w:b/>
          <w:sz w:val="20"/>
          <w:szCs w:val="20"/>
        </w:rPr>
        <w:t>20</w:t>
      </w:r>
      <w:r w:rsidRPr="00F55576">
        <w:rPr>
          <w:b/>
          <w:sz w:val="20"/>
          <w:szCs w:val="20"/>
        </w:rPr>
        <w:t xml:space="preserve"> / LE </w:t>
      </w:r>
      <w:r w:rsidR="00992F0B" w:rsidRPr="00F55576">
        <w:rPr>
          <w:b/>
          <w:sz w:val="20"/>
          <w:szCs w:val="20"/>
        </w:rPr>
        <w:t>15</w:t>
      </w:r>
      <w:r w:rsidRPr="00F55576">
        <w:rPr>
          <w:b/>
          <w:sz w:val="20"/>
          <w:szCs w:val="20"/>
        </w:rPr>
        <w:t xml:space="preserve"> JANVIER 20</w:t>
      </w:r>
      <w:r w:rsidR="005967EF" w:rsidRPr="00F55576">
        <w:rPr>
          <w:b/>
          <w:sz w:val="20"/>
          <w:szCs w:val="20"/>
        </w:rPr>
        <w:t>20</w:t>
      </w:r>
    </w:p>
    <w:p w:rsidR="00102792" w:rsidRPr="00F55576" w:rsidRDefault="00102792" w:rsidP="00102792">
      <w:pPr>
        <w:spacing w:line="232" w:lineRule="auto"/>
        <w:jc w:val="both"/>
        <w:rPr>
          <w:rFonts w:cs="Times New Roman"/>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2534CE" w:rsidRPr="00F55576" w:rsidTr="002534CE">
        <w:tc>
          <w:tcPr>
            <w:tcW w:w="4804" w:type="dxa"/>
          </w:tcPr>
          <w:p w:rsidR="002534CE" w:rsidRPr="00F55576" w:rsidRDefault="002534CE" w:rsidP="00825800">
            <w:pPr>
              <w:spacing w:line="232" w:lineRule="auto"/>
              <w:jc w:val="both"/>
              <w:rPr>
                <w:rFonts w:cs="Times New Roman"/>
                <w:b/>
                <w:sz w:val="20"/>
                <w:szCs w:val="24"/>
              </w:rPr>
            </w:pPr>
            <w:r w:rsidRPr="00F55576">
              <w:rPr>
                <w:rFonts w:cs="Times New Roman"/>
                <w:b/>
                <w:sz w:val="20"/>
                <w:szCs w:val="24"/>
              </w:rPr>
              <w:t xml:space="preserve">Motion </w:t>
            </w:r>
            <w:r w:rsidR="00825800" w:rsidRPr="00F55576">
              <w:rPr>
                <w:rFonts w:cs="Times New Roman"/>
                <w:b/>
                <w:sz w:val="20"/>
                <w:szCs w:val="24"/>
              </w:rPr>
              <w:t>f</w:t>
            </w:r>
            <w:r w:rsidRPr="00F55576">
              <w:rPr>
                <w:rFonts w:cs="Times New Roman"/>
                <w:b/>
                <w:sz w:val="20"/>
                <w:szCs w:val="24"/>
              </w:rPr>
              <w:t>o</w:t>
            </w:r>
            <w:r w:rsidR="00825800" w:rsidRPr="00F55576">
              <w:rPr>
                <w:rFonts w:cs="Times New Roman"/>
                <w:b/>
                <w:sz w:val="20"/>
                <w:szCs w:val="24"/>
              </w:rPr>
              <w:t>r</w:t>
            </w:r>
            <w:r w:rsidRPr="00F55576">
              <w:rPr>
                <w:rFonts w:cs="Times New Roman"/>
                <w:b/>
                <w:sz w:val="20"/>
                <w:szCs w:val="24"/>
              </w:rPr>
              <w:t xml:space="preserve"> </w:t>
            </w:r>
            <w:r w:rsidR="00825800" w:rsidRPr="00F55576">
              <w:rPr>
                <w:rFonts w:cs="Times New Roman"/>
                <w:b/>
                <w:sz w:val="20"/>
                <w:szCs w:val="24"/>
              </w:rPr>
              <w:t>l</w:t>
            </w:r>
            <w:r w:rsidRPr="00F55576">
              <w:rPr>
                <w:rFonts w:cs="Times New Roman"/>
                <w:b/>
                <w:sz w:val="20"/>
                <w:szCs w:val="24"/>
              </w:rPr>
              <w:t>e</w:t>
            </w:r>
            <w:r w:rsidR="00825800" w:rsidRPr="00F55576">
              <w:rPr>
                <w:rFonts w:cs="Times New Roman"/>
                <w:b/>
                <w:sz w:val="20"/>
                <w:szCs w:val="24"/>
              </w:rPr>
              <w:t>av</w:t>
            </w:r>
            <w:r w:rsidRPr="00F55576">
              <w:rPr>
                <w:rFonts w:cs="Times New Roman"/>
                <w:b/>
                <w:sz w:val="20"/>
                <w:szCs w:val="24"/>
              </w:rPr>
              <w:t>e</w:t>
            </w:r>
            <w:r w:rsidR="00825800" w:rsidRPr="00F55576">
              <w:rPr>
                <w:rFonts w:cs="Times New Roman"/>
                <w:b/>
                <w:sz w:val="20"/>
                <w:szCs w:val="24"/>
              </w:rPr>
              <w:t xml:space="preserve"> to intervene</w:t>
            </w:r>
          </w:p>
        </w:tc>
        <w:tc>
          <w:tcPr>
            <w:tcW w:w="4805" w:type="dxa"/>
          </w:tcPr>
          <w:p w:rsidR="002534CE" w:rsidRPr="00F55576" w:rsidRDefault="002534CE" w:rsidP="00825800">
            <w:pPr>
              <w:spacing w:line="232" w:lineRule="auto"/>
              <w:jc w:val="both"/>
              <w:rPr>
                <w:rFonts w:cs="Times New Roman"/>
                <w:b/>
                <w:sz w:val="20"/>
                <w:szCs w:val="24"/>
                <w:lang w:val="fr-CA"/>
              </w:rPr>
            </w:pPr>
            <w:r w:rsidRPr="00F55576">
              <w:rPr>
                <w:rFonts w:cs="Times New Roman"/>
                <w:b/>
                <w:sz w:val="20"/>
                <w:szCs w:val="24"/>
                <w:lang w:val="fr-CA"/>
              </w:rPr>
              <w:t xml:space="preserve">Requête en </w:t>
            </w:r>
            <w:r w:rsidR="00825800" w:rsidRPr="00F55576">
              <w:rPr>
                <w:rFonts w:cs="Times New Roman"/>
                <w:b/>
                <w:sz w:val="20"/>
                <w:szCs w:val="24"/>
                <w:lang w:val="fr-CA"/>
              </w:rPr>
              <w:t>autorisation d’intervention</w:t>
            </w:r>
          </w:p>
        </w:tc>
      </w:tr>
    </w:tbl>
    <w:p w:rsidR="00102792" w:rsidRPr="00F55576" w:rsidRDefault="00102792" w:rsidP="00102792">
      <w:pPr>
        <w:spacing w:line="232" w:lineRule="auto"/>
        <w:jc w:val="both"/>
        <w:rPr>
          <w:rFonts w:cs="Times New Roman"/>
          <w:sz w:val="20"/>
          <w:szCs w:val="24"/>
          <w:lang w:val="fr-CA"/>
        </w:rPr>
      </w:pPr>
    </w:p>
    <w:p w:rsidR="00E06F20" w:rsidRPr="00F55576" w:rsidRDefault="00E06F20" w:rsidP="00102792">
      <w:pPr>
        <w:spacing w:line="232" w:lineRule="auto"/>
        <w:jc w:val="both"/>
        <w:rPr>
          <w:rFonts w:cs="Times New Roman"/>
          <w:sz w:val="20"/>
          <w:szCs w:val="20"/>
          <w:lang w:val="fr-CA"/>
        </w:rPr>
      </w:pPr>
    </w:p>
    <w:p w:rsidR="00992F0B" w:rsidRPr="00F55576" w:rsidRDefault="00992F0B" w:rsidP="00992F0B">
      <w:pPr>
        <w:rPr>
          <w:rFonts w:cs="Times New Roman"/>
          <w:b/>
          <w:bCs/>
          <w:sz w:val="20"/>
          <w:szCs w:val="20"/>
        </w:rPr>
      </w:pPr>
      <w:r w:rsidRPr="00F55576">
        <w:rPr>
          <w:rFonts w:cs="Times New Roman"/>
          <w:b/>
          <w:bCs/>
          <w:caps/>
          <w:sz w:val="20"/>
          <w:szCs w:val="20"/>
        </w:rPr>
        <w:t>S.H.</w:t>
      </w:r>
      <w:r w:rsidRPr="00F55576">
        <w:rPr>
          <w:sz w:val="20"/>
          <w:szCs w:val="20"/>
        </w:rPr>
        <w:t xml:space="preserve"> </w:t>
      </w:r>
      <w:r w:rsidRPr="00F55576">
        <w:rPr>
          <w:rFonts w:cs="Times New Roman"/>
          <w:b/>
          <w:bCs/>
          <w:sz w:val="20"/>
          <w:szCs w:val="20"/>
        </w:rPr>
        <w:t xml:space="preserve">v. </w:t>
      </w:r>
      <w:r w:rsidRPr="00F55576">
        <w:rPr>
          <w:rFonts w:cs="Times New Roman"/>
          <w:b/>
          <w:bCs/>
          <w:caps/>
          <w:sz w:val="20"/>
          <w:szCs w:val="20"/>
        </w:rPr>
        <w:t>HER MAJESTY THE QUEEN</w:t>
      </w:r>
    </w:p>
    <w:p w:rsidR="00992F0B" w:rsidRPr="00F55576" w:rsidRDefault="00992F0B" w:rsidP="00992F0B">
      <w:pPr>
        <w:rPr>
          <w:rFonts w:cs="Times New Roman"/>
          <w:bCs/>
          <w:sz w:val="20"/>
          <w:szCs w:val="20"/>
        </w:rPr>
      </w:pPr>
      <w:r w:rsidRPr="00F55576">
        <w:rPr>
          <w:rFonts w:cs="Times New Roman"/>
          <w:bCs/>
          <w:sz w:val="20"/>
          <w:szCs w:val="20"/>
        </w:rPr>
        <w:t xml:space="preserve">(Ont.) (38827) </w:t>
      </w:r>
    </w:p>
    <w:p w:rsidR="00992F0B" w:rsidRPr="00F55576" w:rsidRDefault="00992F0B" w:rsidP="00992F0B">
      <w:pPr>
        <w:rPr>
          <w:rFonts w:cs="Times New Roman"/>
          <w:bCs/>
          <w:sz w:val="20"/>
          <w:szCs w:val="20"/>
        </w:rPr>
      </w:pPr>
    </w:p>
    <w:p w:rsidR="00992F0B" w:rsidRPr="00F55576" w:rsidRDefault="00992F0B" w:rsidP="00992F0B">
      <w:pPr>
        <w:rPr>
          <w:rFonts w:cs="Times New Roman"/>
          <w:sz w:val="20"/>
          <w:szCs w:val="20"/>
        </w:rPr>
      </w:pPr>
      <w:r w:rsidRPr="00F55576">
        <w:rPr>
          <w:rFonts w:cs="Times New Roman"/>
          <w:b/>
          <w:bCs/>
          <w:sz w:val="20"/>
          <w:szCs w:val="20"/>
          <w:u w:val="single"/>
        </w:rPr>
        <w:t>MARTIN J.</w:t>
      </w:r>
      <w:r w:rsidRPr="00F55576">
        <w:rPr>
          <w:rFonts w:cs="Times New Roman"/>
          <w:b/>
          <w:bCs/>
          <w:sz w:val="20"/>
          <w:szCs w:val="20"/>
        </w:rPr>
        <w:t>:</w:t>
      </w:r>
    </w:p>
    <w:p w:rsidR="00992F0B" w:rsidRPr="00F55576" w:rsidRDefault="00992F0B" w:rsidP="00992F0B">
      <w:pPr>
        <w:rPr>
          <w:rFonts w:cs="Times New Roman"/>
          <w:sz w:val="20"/>
          <w:szCs w:val="20"/>
        </w:rPr>
      </w:pPr>
    </w:p>
    <w:p w:rsidR="00992F0B" w:rsidRPr="00F55576" w:rsidRDefault="00992F0B" w:rsidP="00992F0B">
      <w:pPr>
        <w:rPr>
          <w:rFonts w:eastAsia="Times New Roman" w:cs="Times New Roman"/>
          <w:i/>
          <w:sz w:val="20"/>
          <w:szCs w:val="20"/>
          <w:lang w:eastAsia="en-CA"/>
        </w:rPr>
      </w:pPr>
      <w:r w:rsidRPr="00F55576">
        <w:rPr>
          <w:rFonts w:eastAsia="Times New Roman" w:cs="Times New Roman"/>
          <w:b/>
          <w:bCs/>
          <w:sz w:val="20"/>
          <w:szCs w:val="20"/>
          <w:lang w:eastAsia="en-CA"/>
        </w:rPr>
        <w:t>UPON APPLICATION</w:t>
      </w:r>
      <w:r w:rsidRPr="00F55576">
        <w:rPr>
          <w:rFonts w:eastAsia="Times New Roman" w:cs="Times New Roman"/>
          <w:sz w:val="20"/>
          <w:szCs w:val="20"/>
          <w:lang w:eastAsia="en-CA"/>
        </w:rPr>
        <w:t xml:space="preserve"> by the Criminal Lawyers’ Association (Ontario) for leave to intervene in the above appeal;</w:t>
      </w:r>
    </w:p>
    <w:p w:rsidR="00992F0B" w:rsidRPr="00F55576" w:rsidRDefault="00992F0B" w:rsidP="00992F0B">
      <w:pPr>
        <w:rPr>
          <w:rFonts w:eastAsia="Times New Roman" w:cs="Times New Roman"/>
          <w:sz w:val="20"/>
          <w:szCs w:val="20"/>
          <w:lang w:eastAsia="en-CA"/>
        </w:rPr>
      </w:pPr>
    </w:p>
    <w:p w:rsidR="00992F0B" w:rsidRPr="00F55576" w:rsidRDefault="00992F0B" w:rsidP="00992F0B">
      <w:pPr>
        <w:spacing w:line="233" w:lineRule="auto"/>
        <w:rPr>
          <w:rFonts w:eastAsia="Times New Roman" w:cs="Times New Roman"/>
          <w:sz w:val="20"/>
          <w:szCs w:val="20"/>
          <w:lang w:eastAsia="en-CA"/>
        </w:rPr>
      </w:pPr>
      <w:r w:rsidRPr="00F55576">
        <w:rPr>
          <w:rFonts w:eastAsia="Times New Roman" w:cs="Times New Roman"/>
          <w:b/>
          <w:bCs/>
          <w:sz w:val="20"/>
          <w:szCs w:val="20"/>
          <w:lang w:eastAsia="en-CA"/>
        </w:rPr>
        <w:t>AND UPON REQUEST</w:t>
      </w:r>
      <w:r w:rsidRPr="00F55576">
        <w:rPr>
          <w:sz w:val="20"/>
          <w:szCs w:val="20"/>
        </w:rPr>
        <w:t xml:space="preserve"> </w:t>
      </w:r>
      <w:r w:rsidRPr="00F55576">
        <w:rPr>
          <w:rFonts w:eastAsia="Times New Roman" w:cs="Times New Roman"/>
          <w:sz w:val="20"/>
          <w:szCs w:val="20"/>
          <w:lang w:eastAsia="en-CA"/>
        </w:rPr>
        <w:t>by the respondent to serve and file a factum in reply to the intervention;</w:t>
      </w:r>
    </w:p>
    <w:p w:rsidR="00992F0B" w:rsidRPr="00F55576" w:rsidRDefault="00992F0B" w:rsidP="00992F0B">
      <w:pPr>
        <w:rPr>
          <w:rFonts w:eastAsia="Times New Roman" w:cs="Times New Roman"/>
          <w:sz w:val="20"/>
          <w:szCs w:val="20"/>
          <w:lang w:eastAsia="en-CA"/>
        </w:rPr>
      </w:pPr>
    </w:p>
    <w:p w:rsidR="00992F0B" w:rsidRPr="00F55576" w:rsidRDefault="00992F0B" w:rsidP="00992F0B">
      <w:pPr>
        <w:spacing w:line="233" w:lineRule="auto"/>
        <w:rPr>
          <w:rFonts w:cs="Times New Roman"/>
          <w:sz w:val="20"/>
          <w:szCs w:val="20"/>
        </w:rPr>
      </w:pPr>
      <w:r w:rsidRPr="00F55576">
        <w:rPr>
          <w:rFonts w:cs="Times New Roman"/>
          <w:b/>
          <w:bCs/>
          <w:sz w:val="20"/>
          <w:szCs w:val="20"/>
        </w:rPr>
        <w:t>AND THE MATERIAL FILED</w:t>
      </w:r>
      <w:r w:rsidRPr="00F55576">
        <w:rPr>
          <w:rFonts w:cs="Times New Roman"/>
          <w:sz w:val="20"/>
          <w:szCs w:val="20"/>
        </w:rPr>
        <w:t xml:space="preserve"> having been read;</w:t>
      </w:r>
    </w:p>
    <w:p w:rsidR="00992F0B" w:rsidRPr="00F55576" w:rsidRDefault="00992F0B" w:rsidP="00992F0B">
      <w:pPr>
        <w:spacing w:line="233" w:lineRule="auto"/>
        <w:rPr>
          <w:rFonts w:cs="Times New Roman"/>
          <w:sz w:val="20"/>
          <w:szCs w:val="20"/>
        </w:rPr>
      </w:pPr>
    </w:p>
    <w:p w:rsidR="00992F0B" w:rsidRPr="00F55576" w:rsidRDefault="00992F0B" w:rsidP="00992F0B">
      <w:pPr>
        <w:spacing w:line="233" w:lineRule="auto"/>
        <w:rPr>
          <w:rFonts w:cs="Times New Roman"/>
          <w:b/>
          <w:bCs/>
          <w:sz w:val="20"/>
          <w:szCs w:val="20"/>
        </w:rPr>
      </w:pPr>
      <w:r w:rsidRPr="00F55576">
        <w:rPr>
          <w:rFonts w:cs="Times New Roman"/>
          <w:b/>
          <w:bCs/>
          <w:sz w:val="20"/>
          <w:szCs w:val="20"/>
        </w:rPr>
        <w:t>IT IS HEREBY ORDERED THAT:</w:t>
      </w:r>
    </w:p>
    <w:p w:rsidR="00992F0B" w:rsidRPr="00F55576" w:rsidRDefault="00992F0B" w:rsidP="00992F0B">
      <w:pPr>
        <w:spacing w:line="233" w:lineRule="auto"/>
        <w:rPr>
          <w:rFonts w:cs="Times New Roman"/>
          <w:sz w:val="20"/>
          <w:szCs w:val="20"/>
        </w:rPr>
      </w:pPr>
    </w:p>
    <w:p w:rsidR="00992F0B" w:rsidRPr="00F55576" w:rsidRDefault="00992F0B" w:rsidP="00992F0B">
      <w:pPr>
        <w:rPr>
          <w:rFonts w:cs="Times New Roman"/>
          <w:sz w:val="20"/>
          <w:szCs w:val="20"/>
        </w:rPr>
      </w:pPr>
      <w:r w:rsidRPr="00F55576">
        <w:rPr>
          <w:rFonts w:cs="Times New Roman"/>
          <w:sz w:val="20"/>
          <w:szCs w:val="20"/>
        </w:rPr>
        <w:t>The motion for leave to intervene is granted and the said intervener shall be entitled to serve and file a factum not to exceed ten (10) pages in length. The deadline set by the Registrar on November 21, 2019, is varied and the intervener shall serve and file its factum and book of authorities, if any, on or before February 3, 2020.</w:t>
      </w:r>
    </w:p>
    <w:p w:rsidR="00992F0B" w:rsidRPr="00F55576" w:rsidRDefault="00992F0B" w:rsidP="00992F0B">
      <w:pPr>
        <w:spacing w:line="233" w:lineRule="auto"/>
        <w:rPr>
          <w:rFonts w:cs="Times New Roman"/>
          <w:sz w:val="20"/>
          <w:szCs w:val="20"/>
        </w:rPr>
      </w:pPr>
    </w:p>
    <w:p w:rsidR="00992F0B" w:rsidRPr="00F55576" w:rsidRDefault="00992F0B" w:rsidP="00992F0B">
      <w:pPr>
        <w:rPr>
          <w:rFonts w:cs="Times New Roman"/>
          <w:sz w:val="20"/>
          <w:szCs w:val="20"/>
        </w:rPr>
      </w:pPr>
      <w:r w:rsidRPr="00F55576">
        <w:rPr>
          <w:rFonts w:cs="Times New Roman"/>
          <w:sz w:val="20"/>
          <w:szCs w:val="20"/>
        </w:rPr>
        <w:t>The said intervener is granted permission to present oral argument not exceeding five (5) minutes at the hearing of the appeal.</w:t>
      </w:r>
    </w:p>
    <w:p w:rsidR="00992F0B" w:rsidRPr="00F55576" w:rsidRDefault="00992F0B" w:rsidP="00992F0B">
      <w:pPr>
        <w:rPr>
          <w:rFonts w:cs="Times New Roman"/>
          <w:sz w:val="20"/>
          <w:szCs w:val="20"/>
        </w:rPr>
      </w:pPr>
    </w:p>
    <w:p w:rsidR="00992F0B" w:rsidRPr="00F55576" w:rsidRDefault="00992F0B" w:rsidP="00992F0B">
      <w:pPr>
        <w:rPr>
          <w:rFonts w:cs="Times New Roman"/>
          <w:sz w:val="20"/>
          <w:szCs w:val="20"/>
        </w:rPr>
      </w:pPr>
      <w:r w:rsidRPr="00F55576">
        <w:rPr>
          <w:rFonts w:cs="Times New Roman"/>
          <w:sz w:val="20"/>
          <w:szCs w:val="20"/>
        </w:rPr>
        <w:t>The respondent is granted permission to serve and file a single reply factum to the intervener’s factum not to exceed five (5) pages in length on or before February 5, 2020, at 12 p.m. EST.</w:t>
      </w:r>
    </w:p>
    <w:p w:rsidR="00992F0B" w:rsidRPr="00F55576" w:rsidRDefault="00992F0B" w:rsidP="00992F0B">
      <w:pPr>
        <w:rPr>
          <w:sz w:val="20"/>
          <w:szCs w:val="20"/>
          <w:lang w:eastAsia="fr-FR"/>
        </w:rPr>
      </w:pPr>
    </w:p>
    <w:p w:rsidR="00992F0B" w:rsidRPr="00F55576" w:rsidRDefault="00992F0B" w:rsidP="00992F0B">
      <w:pPr>
        <w:spacing w:line="233" w:lineRule="auto"/>
        <w:rPr>
          <w:rFonts w:cs="Times New Roman"/>
          <w:b/>
          <w:sz w:val="20"/>
          <w:szCs w:val="20"/>
        </w:rPr>
      </w:pPr>
      <w:r w:rsidRPr="00F55576">
        <w:rPr>
          <w:rFonts w:cs="Times New Roman"/>
          <w:b/>
          <w:sz w:val="20"/>
          <w:szCs w:val="20"/>
        </w:rPr>
        <w:t xml:space="preserve">The intervener is not entitled to raise new issues or to adduce further evidence or otherwise to supplement the record of the parties. </w:t>
      </w:r>
    </w:p>
    <w:p w:rsidR="00992F0B" w:rsidRPr="00F55576" w:rsidRDefault="00992F0B" w:rsidP="00992F0B">
      <w:pPr>
        <w:spacing w:line="233" w:lineRule="auto"/>
        <w:rPr>
          <w:rFonts w:cs="Times New Roman"/>
          <w:sz w:val="20"/>
          <w:szCs w:val="20"/>
        </w:rPr>
      </w:pPr>
    </w:p>
    <w:p w:rsidR="00992F0B" w:rsidRPr="00F55576" w:rsidRDefault="00992F0B" w:rsidP="00992F0B">
      <w:pPr>
        <w:spacing w:line="233" w:lineRule="auto"/>
        <w:rPr>
          <w:rFonts w:cs="Times New Roman"/>
          <w:sz w:val="20"/>
          <w:szCs w:val="20"/>
        </w:rPr>
      </w:pPr>
      <w:r w:rsidRPr="00F55576">
        <w:rPr>
          <w:rFonts w:cs="Times New Roman"/>
          <w:sz w:val="20"/>
          <w:szCs w:val="20"/>
        </w:rPr>
        <w:t>Pursuant to Rule 59(1</w:t>
      </w:r>
      <w:proofErr w:type="gramStart"/>
      <w:r w:rsidRPr="00F55576">
        <w:rPr>
          <w:rFonts w:cs="Times New Roman"/>
          <w:sz w:val="20"/>
          <w:szCs w:val="20"/>
        </w:rPr>
        <w:t>)(</w:t>
      </w:r>
      <w:proofErr w:type="gramEnd"/>
      <w:r w:rsidRPr="00F55576">
        <w:rPr>
          <w:rFonts w:cs="Times New Roman"/>
          <w:i/>
          <w:iCs/>
          <w:sz w:val="20"/>
          <w:szCs w:val="20"/>
        </w:rPr>
        <w:t>a</w:t>
      </w:r>
      <w:r w:rsidRPr="00F55576">
        <w:rPr>
          <w:rFonts w:cs="Times New Roman"/>
          <w:sz w:val="20"/>
          <w:szCs w:val="20"/>
        </w:rPr>
        <w:t xml:space="preserve">) of the </w:t>
      </w:r>
      <w:r w:rsidRPr="00F55576">
        <w:rPr>
          <w:rFonts w:cs="Times New Roman"/>
          <w:i/>
          <w:iCs/>
          <w:sz w:val="20"/>
          <w:szCs w:val="20"/>
        </w:rPr>
        <w:t>Rules of the Supreme Court of Canada</w:t>
      </w:r>
      <w:r w:rsidRPr="00F55576">
        <w:rPr>
          <w:rFonts w:cs="Times New Roman"/>
          <w:sz w:val="20"/>
          <w:szCs w:val="20"/>
        </w:rPr>
        <w:t>, the intervener shall pay to the appellant and respondent any additional disbursements resulting from its intervention.</w:t>
      </w:r>
    </w:p>
    <w:p w:rsidR="00102792" w:rsidRPr="00F55576" w:rsidRDefault="00102792" w:rsidP="00102792">
      <w:pPr>
        <w:spacing w:line="232" w:lineRule="auto"/>
        <w:rPr>
          <w:rFonts w:cs="Times New Roman"/>
          <w:sz w:val="20"/>
          <w:szCs w:val="24"/>
        </w:rPr>
      </w:pPr>
    </w:p>
    <w:p w:rsidR="005967EF" w:rsidRPr="00F55576" w:rsidRDefault="005967EF" w:rsidP="00102792">
      <w:pPr>
        <w:spacing w:line="232" w:lineRule="auto"/>
        <w:rPr>
          <w:rFonts w:cs="Times New Roman"/>
          <w:sz w:val="20"/>
          <w:szCs w:val="20"/>
          <w:lang w:val="en-US"/>
        </w:rPr>
      </w:pPr>
    </w:p>
    <w:p w:rsidR="00992F0B" w:rsidRPr="00F55576" w:rsidRDefault="00992F0B" w:rsidP="00992F0B">
      <w:pPr>
        <w:rPr>
          <w:rFonts w:cs="Times New Roman"/>
          <w:sz w:val="20"/>
          <w:szCs w:val="20"/>
          <w:lang w:val="fr-CA"/>
        </w:rPr>
      </w:pPr>
      <w:r w:rsidRPr="00F55576">
        <w:rPr>
          <w:rFonts w:cs="Times New Roman"/>
          <w:b/>
          <w:sz w:val="20"/>
          <w:szCs w:val="20"/>
          <w:lang w:val="fr-CA"/>
        </w:rPr>
        <w:t>À LA SUITE DE LA DEMANDE</w:t>
      </w:r>
      <w:r w:rsidRPr="00F55576">
        <w:rPr>
          <w:rFonts w:cs="Times New Roman"/>
          <w:sz w:val="20"/>
          <w:szCs w:val="20"/>
          <w:lang w:val="fr-CA"/>
        </w:rPr>
        <w:t xml:space="preserve"> présentée par la </w:t>
      </w:r>
      <w:r w:rsidRPr="00F55576">
        <w:rPr>
          <w:rFonts w:eastAsia="Times New Roman" w:cs="Times New Roman"/>
          <w:sz w:val="20"/>
          <w:szCs w:val="20"/>
          <w:lang w:val="fr-CA" w:eastAsia="en-CA"/>
        </w:rPr>
        <w:t>Criminal Lawyers’ Association (Ontario)</w:t>
      </w:r>
      <w:r w:rsidRPr="00F55576">
        <w:rPr>
          <w:rFonts w:cs="Times New Roman"/>
          <w:sz w:val="20"/>
          <w:szCs w:val="20"/>
          <w:lang w:val="fr-CA"/>
        </w:rPr>
        <w:t>, en vue d’intervenir dans l’appel;</w:t>
      </w:r>
    </w:p>
    <w:p w:rsidR="00992F0B" w:rsidRPr="00F55576" w:rsidRDefault="00992F0B" w:rsidP="00992F0B">
      <w:pPr>
        <w:rPr>
          <w:rFonts w:cs="Times New Roman"/>
          <w:sz w:val="20"/>
          <w:szCs w:val="20"/>
          <w:lang w:val="fr-CA"/>
        </w:rPr>
      </w:pPr>
    </w:p>
    <w:p w:rsidR="00992F0B" w:rsidRPr="00F55576" w:rsidRDefault="00992F0B" w:rsidP="00992F0B">
      <w:pPr>
        <w:rPr>
          <w:rFonts w:cs="Times New Roman"/>
          <w:sz w:val="20"/>
          <w:szCs w:val="20"/>
          <w:lang w:val="fr-CA"/>
        </w:rPr>
      </w:pPr>
      <w:r w:rsidRPr="00F55576">
        <w:rPr>
          <w:rFonts w:cs="Times New Roman"/>
          <w:b/>
          <w:sz w:val="20"/>
          <w:szCs w:val="20"/>
          <w:lang w:val="fr-CA"/>
        </w:rPr>
        <w:t>ET À LA SUITE DE LA REQUÊTE</w:t>
      </w:r>
      <w:r w:rsidRPr="00F55576">
        <w:rPr>
          <w:rFonts w:cs="Times New Roman"/>
          <w:sz w:val="20"/>
          <w:szCs w:val="20"/>
          <w:lang w:val="fr-CA"/>
        </w:rPr>
        <w:t xml:space="preserve"> de l’intimée en vue de signifier et de déposer un mémoire en réponse à l’intervention; </w:t>
      </w:r>
    </w:p>
    <w:p w:rsidR="00992F0B" w:rsidRPr="00F55576" w:rsidRDefault="00992F0B" w:rsidP="00992F0B">
      <w:pPr>
        <w:rPr>
          <w:rFonts w:cs="Times New Roman"/>
          <w:sz w:val="20"/>
          <w:szCs w:val="20"/>
          <w:lang w:val="fr-CA"/>
        </w:rPr>
      </w:pPr>
    </w:p>
    <w:p w:rsidR="00992F0B" w:rsidRPr="00F55576" w:rsidRDefault="00992F0B" w:rsidP="00992F0B">
      <w:pPr>
        <w:rPr>
          <w:rFonts w:cs="Times New Roman"/>
          <w:sz w:val="20"/>
          <w:szCs w:val="20"/>
          <w:lang w:val="fr-CA"/>
        </w:rPr>
      </w:pPr>
      <w:r w:rsidRPr="00F55576">
        <w:rPr>
          <w:rFonts w:cs="Times New Roman"/>
          <w:b/>
          <w:sz w:val="20"/>
          <w:szCs w:val="20"/>
          <w:lang w:val="fr-CA"/>
        </w:rPr>
        <w:t>ET APRÈS EXAMEN</w:t>
      </w:r>
      <w:r w:rsidRPr="00F55576">
        <w:rPr>
          <w:rFonts w:cs="Times New Roman"/>
          <w:sz w:val="20"/>
          <w:szCs w:val="20"/>
          <w:lang w:val="fr-CA"/>
        </w:rPr>
        <w:t xml:space="preserve"> des documents déposés;</w:t>
      </w:r>
    </w:p>
    <w:p w:rsidR="00992F0B" w:rsidRPr="00F55576" w:rsidRDefault="00992F0B" w:rsidP="00992F0B">
      <w:pPr>
        <w:rPr>
          <w:rFonts w:cs="Times New Roman"/>
          <w:sz w:val="20"/>
          <w:szCs w:val="20"/>
          <w:lang w:val="fr-CA"/>
        </w:rPr>
      </w:pPr>
    </w:p>
    <w:p w:rsidR="00992F0B" w:rsidRPr="00F55576" w:rsidRDefault="00992F0B" w:rsidP="00992F0B">
      <w:pPr>
        <w:rPr>
          <w:rFonts w:cs="Times New Roman"/>
          <w:b/>
          <w:sz w:val="20"/>
          <w:szCs w:val="20"/>
          <w:lang w:val="fr-CA"/>
        </w:rPr>
      </w:pPr>
      <w:r w:rsidRPr="00F55576">
        <w:rPr>
          <w:rFonts w:cs="Times New Roman"/>
          <w:b/>
          <w:sz w:val="20"/>
          <w:szCs w:val="20"/>
          <w:lang w:val="fr-CA"/>
        </w:rPr>
        <w:t>IL EST ORDONNÉ CE QUI SUIT :</w:t>
      </w:r>
    </w:p>
    <w:p w:rsidR="00992F0B" w:rsidRPr="00F55576" w:rsidRDefault="00992F0B" w:rsidP="00992F0B">
      <w:pPr>
        <w:rPr>
          <w:rFonts w:cs="Times New Roman"/>
          <w:sz w:val="20"/>
          <w:szCs w:val="20"/>
          <w:lang w:val="fr-CA"/>
        </w:rPr>
      </w:pPr>
    </w:p>
    <w:p w:rsidR="00992F0B" w:rsidRPr="00F55576" w:rsidRDefault="00992F0B" w:rsidP="00992F0B">
      <w:pPr>
        <w:rPr>
          <w:rFonts w:cs="Times New Roman"/>
          <w:sz w:val="20"/>
          <w:szCs w:val="20"/>
          <w:lang w:val="fr-CA"/>
        </w:rPr>
      </w:pPr>
      <w:r w:rsidRPr="00F55576">
        <w:rPr>
          <w:rFonts w:cs="Times New Roman"/>
          <w:sz w:val="20"/>
          <w:szCs w:val="20"/>
          <w:lang w:val="fr-CA"/>
        </w:rPr>
        <w:t xml:space="preserve">La requête en autorisation d’intervenir est accueillie et l’intervenante pourra signifier et déposer un mémoire d’au plus dix (10) pages. L’échéance fixée par le registraire au 21 novembre 2019 est reportée et l’intervenante pourra signifier et déposer </w:t>
      </w:r>
      <w:proofErr w:type="gramStart"/>
      <w:r w:rsidRPr="00F55576">
        <w:rPr>
          <w:rFonts w:cs="Times New Roman"/>
          <w:sz w:val="20"/>
          <w:szCs w:val="20"/>
          <w:lang w:val="fr-CA"/>
        </w:rPr>
        <w:t>ses mémoire</w:t>
      </w:r>
      <w:proofErr w:type="gramEnd"/>
      <w:r w:rsidRPr="00F55576">
        <w:rPr>
          <w:rFonts w:cs="Times New Roman"/>
          <w:sz w:val="20"/>
          <w:szCs w:val="20"/>
          <w:lang w:val="fr-CA"/>
        </w:rPr>
        <w:t xml:space="preserve"> et recueil de sources, le cas échéant, au plus tard le 3 février 2020.</w:t>
      </w:r>
    </w:p>
    <w:p w:rsidR="00992F0B" w:rsidRPr="00F55576" w:rsidRDefault="00992F0B" w:rsidP="00992F0B">
      <w:pPr>
        <w:rPr>
          <w:rFonts w:cs="Times New Roman"/>
          <w:sz w:val="20"/>
          <w:szCs w:val="20"/>
          <w:lang w:val="fr-CA"/>
        </w:rPr>
      </w:pPr>
    </w:p>
    <w:p w:rsidR="00992F0B" w:rsidRPr="00F55576" w:rsidRDefault="00992F0B" w:rsidP="00992F0B">
      <w:pPr>
        <w:rPr>
          <w:rFonts w:cs="Times New Roman"/>
          <w:sz w:val="20"/>
          <w:szCs w:val="20"/>
          <w:lang w:val="fr-CA"/>
        </w:rPr>
      </w:pPr>
      <w:r w:rsidRPr="00F55576">
        <w:rPr>
          <w:rFonts w:cs="Times New Roman"/>
          <w:sz w:val="20"/>
          <w:szCs w:val="20"/>
          <w:lang w:val="fr-CA"/>
        </w:rPr>
        <w:t>L’intervenante est autorisée à présenter une plaidoirie orale d’au plus cinq (5) minutes lors de l’audition de l’appel.</w:t>
      </w:r>
    </w:p>
    <w:p w:rsidR="00992F0B" w:rsidRPr="00F55576" w:rsidRDefault="00992F0B" w:rsidP="00992F0B">
      <w:pPr>
        <w:rPr>
          <w:rFonts w:cs="Times New Roman"/>
          <w:sz w:val="20"/>
          <w:szCs w:val="20"/>
          <w:lang w:val="fr-CA"/>
        </w:rPr>
      </w:pPr>
    </w:p>
    <w:p w:rsidR="00992F0B" w:rsidRPr="00F55576" w:rsidRDefault="00992F0B" w:rsidP="00992F0B">
      <w:pPr>
        <w:rPr>
          <w:rFonts w:cs="Times New Roman"/>
          <w:sz w:val="20"/>
          <w:szCs w:val="20"/>
          <w:lang w:val="fr-CA"/>
        </w:rPr>
      </w:pPr>
      <w:r w:rsidRPr="00F55576">
        <w:rPr>
          <w:rFonts w:cs="Times New Roman"/>
          <w:sz w:val="20"/>
          <w:szCs w:val="20"/>
          <w:lang w:val="fr-CA"/>
        </w:rPr>
        <w:t xml:space="preserve">L’intimée est autorisée à signifier et à déposer en réponse au mémoire de l’intervenante un seul mémoire d’au plus cinq (5) pages, au plus tard le 5 février 2020 à midi HNE. </w:t>
      </w:r>
    </w:p>
    <w:p w:rsidR="00992F0B" w:rsidRPr="00F55576" w:rsidRDefault="00992F0B" w:rsidP="00992F0B">
      <w:pPr>
        <w:rPr>
          <w:rFonts w:cs="Times New Roman"/>
          <w:sz w:val="20"/>
          <w:szCs w:val="20"/>
          <w:lang w:val="fr-CA"/>
        </w:rPr>
      </w:pPr>
    </w:p>
    <w:p w:rsidR="00992F0B" w:rsidRPr="00F55576" w:rsidRDefault="00992F0B" w:rsidP="00992F0B">
      <w:pPr>
        <w:rPr>
          <w:rFonts w:cs="Times New Roman"/>
          <w:b/>
          <w:sz w:val="20"/>
          <w:szCs w:val="20"/>
          <w:lang w:val="fr-CA"/>
        </w:rPr>
      </w:pPr>
      <w:r w:rsidRPr="00F55576">
        <w:rPr>
          <w:rFonts w:cs="Times New Roman"/>
          <w:b/>
          <w:sz w:val="20"/>
          <w:szCs w:val="20"/>
          <w:lang w:val="fr-CA"/>
        </w:rPr>
        <w:t>L’intervenante n’a pas le droit de soulever de nouvelles questions, de produire d’autres éléments de preuve ni de compléter de quelque autre façon le dossier des parties.</w:t>
      </w:r>
    </w:p>
    <w:p w:rsidR="00992F0B" w:rsidRPr="00F55576" w:rsidRDefault="00992F0B" w:rsidP="00992F0B">
      <w:pPr>
        <w:rPr>
          <w:rFonts w:cs="Times New Roman"/>
          <w:sz w:val="20"/>
          <w:szCs w:val="20"/>
          <w:lang w:val="fr-CA"/>
        </w:rPr>
      </w:pPr>
    </w:p>
    <w:p w:rsidR="00992F0B" w:rsidRPr="00F55576" w:rsidRDefault="00992F0B" w:rsidP="00992F0B">
      <w:pPr>
        <w:rPr>
          <w:rFonts w:cs="Times New Roman"/>
          <w:sz w:val="20"/>
          <w:szCs w:val="20"/>
          <w:lang w:val="fr-CA"/>
        </w:rPr>
      </w:pPr>
      <w:r w:rsidRPr="00F55576">
        <w:rPr>
          <w:rFonts w:cs="Times New Roman"/>
          <w:sz w:val="20"/>
          <w:szCs w:val="20"/>
          <w:lang w:val="fr-CA"/>
        </w:rPr>
        <w:t>Conformément à l’alinéa 59(1)</w:t>
      </w:r>
      <w:r w:rsidRPr="00F55576">
        <w:rPr>
          <w:rFonts w:cs="Times New Roman"/>
          <w:i/>
          <w:sz w:val="20"/>
          <w:szCs w:val="20"/>
          <w:lang w:val="fr-CA"/>
        </w:rPr>
        <w:t>a</w:t>
      </w:r>
      <w:r w:rsidRPr="00F55576">
        <w:rPr>
          <w:rFonts w:cs="Times New Roman"/>
          <w:sz w:val="20"/>
          <w:szCs w:val="20"/>
          <w:lang w:val="fr-CA"/>
        </w:rPr>
        <w:t xml:space="preserve">) des </w:t>
      </w:r>
      <w:r w:rsidRPr="00F55576">
        <w:rPr>
          <w:rFonts w:cs="Times New Roman"/>
          <w:i/>
          <w:sz w:val="20"/>
          <w:szCs w:val="20"/>
          <w:lang w:val="fr-CA"/>
        </w:rPr>
        <w:t>Règles de la Cour suprême du Canada</w:t>
      </w:r>
      <w:r w:rsidRPr="00F55576">
        <w:rPr>
          <w:rFonts w:cs="Times New Roman"/>
          <w:sz w:val="20"/>
          <w:szCs w:val="20"/>
          <w:lang w:val="fr-CA"/>
        </w:rPr>
        <w:t>, l’intervenante paiera à l’appelant et à l’intimée tous dépens supplémentaires résultant de son intervention.</w:t>
      </w:r>
    </w:p>
    <w:p w:rsidR="00102792" w:rsidRPr="00F55576" w:rsidRDefault="00102792" w:rsidP="00102792">
      <w:pPr>
        <w:widowControl w:val="0"/>
        <w:rPr>
          <w:rFonts w:eastAsia="Times New Roman" w:cs="Times New Roman"/>
          <w:sz w:val="20"/>
          <w:szCs w:val="20"/>
          <w:lang w:val="fr-CA" w:eastAsia="en-CA"/>
        </w:rPr>
      </w:pPr>
    </w:p>
    <w:p w:rsidR="00CA2DEA" w:rsidRPr="00F55576" w:rsidRDefault="007B1953"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CA2DEA" w:rsidRPr="00F55576" w:rsidRDefault="00CA2DEA" w:rsidP="00CA2DEA">
      <w:pPr>
        <w:widowControl w:val="0"/>
        <w:rPr>
          <w:rFonts w:eastAsia="Times New Roman" w:cs="Times New Roman"/>
          <w:sz w:val="20"/>
          <w:szCs w:val="20"/>
          <w:lang w:val="en-US" w:eastAsia="en-CA"/>
        </w:rPr>
      </w:pPr>
    </w:p>
    <w:p w:rsidR="00CA2DEA" w:rsidRPr="00F55576" w:rsidRDefault="00CA2DEA" w:rsidP="0010587F">
      <w:pPr>
        <w:tabs>
          <w:tab w:val="left" w:pos="-1440"/>
          <w:tab w:val="left" w:pos="-720"/>
        </w:tabs>
        <w:jc w:val="both"/>
        <w:rPr>
          <w:sz w:val="20"/>
          <w:szCs w:val="20"/>
          <w:lang w:val="fr-CA"/>
        </w:rPr>
      </w:pPr>
    </w:p>
    <w:p w:rsidR="00C8030A" w:rsidRPr="00F55576" w:rsidRDefault="00C8030A">
      <w:pPr>
        <w:rPr>
          <w:sz w:val="20"/>
          <w:szCs w:val="20"/>
          <w:lang w:val="fr-CA"/>
        </w:rPr>
      </w:pPr>
      <w:r w:rsidRPr="00F55576">
        <w:rPr>
          <w:sz w:val="20"/>
          <w:szCs w:val="20"/>
          <w:lang w:val="fr-CA"/>
        </w:rPr>
        <w:br w:type="page"/>
      </w:r>
    </w:p>
    <w:p w:rsidR="008042C9" w:rsidRPr="008042C9" w:rsidRDefault="008042C9" w:rsidP="008042C9">
      <w:pPr>
        <w:rPr>
          <w:b/>
          <w:sz w:val="20"/>
          <w:szCs w:val="20"/>
          <w:lang w:val="fr-CA"/>
        </w:rPr>
      </w:pPr>
      <w:r>
        <w:rPr>
          <w:b/>
          <w:sz w:val="20"/>
          <w:szCs w:val="20"/>
          <w:lang w:val="fr-CA"/>
        </w:rPr>
        <w:lastRenderedPageBreak/>
        <w:t xml:space="preserve">REVISED </w:t>
      </w:r>
      <w:r w:rsidRPr="008042C9">
        <w:rPr>
          <w:b/>
          <w:sz w:val="20"/>
          <w:szCs w:val="20"/>
          <w:lang w:val="fr-CA"/>
        </w:rPr>
        <w:t xml:space="preserve">JANUARY </w:t>
      </w:r>
      <w:r>
        <w:rPr>
          <w:b/>
          <w:sz w:val="20"/>
          <w:szCs w:val="20"/>
          <w:lang w:val="fr-CA"/>
        </w:rPr>
        <w:t>22</w:t>
      </w:r>
      <w:r w:rsidRPr="008042C9">
        <w:rPr>
          <w:b/>
          <w:sz w:val="20"/>
          <w:szCs w:val="20"/>
          <w:lang w:val="fr-CA"/>
        </w:rPr>
        <w:t xml:space="preserve">, 2020 / </w:t>
      </w:r>
      <w:r>
        <w:rPr>
          <w:b/>
          <w:sz w:val="20"/>
          <w:szCs w:val="20"/>
          <w:lang w:val="fr-CA"/>
        </w:rPr>
        <w:t xml:space="preserve">RÉVISÉE </w:t>
      </w:r>
      <w:r w:rsidRPr="008042C9">
        <w:rPr>
          <w:b/>
          <w:sz w:val="20"/>
          <w:szCs w:val="20"/>
          <w:lang w:val="fr-CA"/>
        </w:rPr>
        <w:t xml:space="preserve">LE </w:t>
      </w:r>
      <w:r>
        <w:rPr>
          <w:b/>
          <w:sz w:val="20"/>
          <w:szCs w:val="20"/>
          <w:lang w:val="fr-CA"/>
        </w:rPr>
        <w:t>22</w:t>
      </w:r>
      <w:r w:rsidRPr="008042C9">
        <w:rPr>
          <w:b/>
          <w:sz w:val="20"/>
          <w:szCs w:val="20"/>
          <w:lang w:val="fr-CA"/>
        </w:rPr>
        <w:t xml:space="preserve"> JANVIER 2020</w:t>
      </w:r>
    </w:p>
    <w:p w:rsidR="00C8030A" w:rsidRPr="008042C9" w:rsidRDefault="00C8030A" w:rsidP="00C8030A">
      <w:pPr>
        <w:rPr>
          <w:b/>
          <w:sz w:val="20"/>
          <w:szCs w:val="20"/>
          <w:lang w:val="fr-CA"/>
        </w:rPr>
      </w:pPr>
      <w:r w:rsidRPr="008042C9">
        <w:rPr>
          <w:b/>
          <w:sz w:val="20"/>
          <w:szCs w:val="20"/>
          <w:lang w:val="fr-CA"/>
        </w:rPr>
        <w:t>JANUARY 16, 2020 / LE 16 JANVIER 2020</w:t>
      </w:r>
    </w:p>
    <w:p w:rsidR="00C8030A" w:rsidRPr="008042C9" w:rsidRDefault="00C8030A" w:rsidP="00C8030A">
      <w:pPr>
        <w:spacing w:line="232" w:lineRule="auto"/>
        <w:jc w:val="both"/>
        <w:rPr>
          <w:rFonts w:cs="Times New Roman"/>
          <w:sz w:val="20"/>
          <w:szCs w:val="20"/>
          <w:lang w:val="fr-CA"/>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C8030A" w:rsidRPr="008042C9" w:rsidTr="00C41B1B">
        <w:tc>
          <w:tcPr>
            <w:tcW w:w="4804" w:type="dxa"/>
          </w:tcPr>
          <w:p w:rsidR="00C8030A" w:rsidRPr="00F55576" w:rsidRDefault="00C8030A" w:rsidP="00C41B1B">
            <w:pPr>
              <w:spacing w:line="232" w:lineRule="auto"/>
              <w:jc w:val="both"/>
              <w:rPr>
                <w:b/>
                <w:bCs/>
                <w:sz w:val="20"/>
                <w:szCs w:val="20"/>
              </w:rPr>
            </w:pPr>
            <w:r w:rsidRPr="00F55576">
              <w:rPr>
                <w:b/>
                <w:bCs/>
                <w:sz w:val="20"/>
                <w:szCs w:val="20"/>
              </w:rPr>
              <w:t>Motion to extend the time to serve and file the</w:t>
            </w:r>
          </w:p>
          <w:p w:rsidR="00C8030A" w:rsidRPr="00F55576" w:rsidRDefault="00C8030A" w:rsidP="00C41B1B">
            <w:pPr>
              <w:spacing w:line="232" w:lineRule="auto"/>
              <w:jc w:val="both"/>
              <w:rPr>
                <w:rFonts w:cs="Times New Roman"/>
                <w:b/>
                <w:sz w:val="20"/>
                <w:szCs w:val="20"/>
              </w:rPr>
            </w:pPr>
            <w:r w:rsidRPr="00F55576">
              <w:rPr>
                <w:b/>
                <w:bCs/>
                <w:sz w:val="20"/>
                <w:szCs w:val="20"/>
              </w:rPr>
              <w:t>notice of appeal</w:t>
            </w:r>
          </w:p>
        </w:tc>
        <w:tc>
          <w:tcPr>
            <w:tcW w:w="4805" w:type="dxa"/>
          </w:tcPr>
          <w:p w:rsidR="00C8030A" w:rsidRPr="00F55576" w:rsidRDefault="00C8030A" w:rsidP="00C41B1B">
            <w:pPr>
              <w:spacing w:line="232" w:lineRule="auto"/>
              <w:jc w:val="both"/>
              <w:rPr>
                <w:rFonts w:cs="Times New Roman"/>
                <w:b/>
                <w:sz w:val="20"/>
                <w:szCs w:val="20"/>
                <w:lang w:val="fr-CA"/>
              </w:rPr>
            </w:pPr>
            <w:r w:rsidRPr="00F55576">
              <w:rPr>
                <w:rFonts w:cs="Times New Roman"/>
                <w:b/>
                <w:sz w:val="20"/>
                <w:szCs w:val="20"/>
                <w:lang w:val="fr-CA"/>
              </w:rPr>
              <w:t>Requête en prorogation de délai pour signifier et déposer l'avis d'appel</w:t>
            </w:r>
          </w:p>
        </w:tc>
      </w:tr>
    </w:tbl>
    <w:p w:rsidR="00C8030A" w:rsidRPr="00F55576" w:rsidRDefault="00C8030A" w:rsidP="00C8030A">
      <w:pPr>
        <w:spacing w:line="232" w:lineRule="auto"/>
        <w:jc w:val="both"/>
        <w:rPr>
          <w:rFonts w:cs="Times New Roman"/>
          <w:sz w:val="20"/>
          <w:szCs w:val="20"/>
          <w:lang w:val="fr-CA"/>
        </w:rPr>
      </w:pPr>
    </w:p>
    <w:p w:rsidR="00C8030A" w:rsidRDefault="00C8030A" w:rsidP="00C8030A">
      <w:pPr>
        <w:spacing w:line="232" w:lineRule="auto"/>
        <w:jc w:val="both"/>
        <w:rPr>
          <w:rFonts w:cs="Times New Roman"/>
          <w:sz w:val="20"/>
          <w:szCs w:val="20"/>
          <w:lang w:val="fr-CA"/>
        </w:rPr>
      </w:pPr>
    </w:p>
    <w:p w:rsidR="00A07287" w:rsidRPr="00F55576" w:rsidRDefault="00A07287" w:rsidP="00C8030A">
      <w:pPr>
        <w:spacing w:line="232" w:lineRule="auto"/>
        <w:jc w:val="both"/>
        <w:rPr>
          <w:rFonts w:cs="Times New Roman"/>
          <w:sz w:val="20"/>
          <w:szCs w:val="20"/>
          <w:lang w:val="fr-CA"/>
        </w:rPr>
      </w:pPr>
    </w:p>
    <w:p w:rsidR="005C3AFB" w:rsidRPr="005C3AFB" w:rsidRDefault="005C3AFB" w:rsidP="005C3AFB">
      <w:pPr>
        <w:rPr>
          <w:rFonts w:cs="Times New Roman"/>
          <w:b/>
          <w:bCs/>
          <w:sz w:val="20"/>
          <w:szCs w:val="20"/>
        </w:rPr>
      </w:pPr>
      <w:r w:rsidRPr="005C3AFB">
        <w:rPr>
          <w:rFonts w:cs="Times New Roman"/>
          <w:b/>
          <w:bCs/>
          <w:caps/>
          <w:sz w:val="20"/>
          <w:szCs w:val="20"/>
        </w:rPr>
        <w:t>cheung wai wallace li</w:t>
      </w:r>
      <w:r w:rsidRPr="005C3AFB">
        <w:rPr>
          <w:rFonts w:cs="Times New Roman"/>
          <w:b/>
          <w:bCs/>
          <w:sz w:val="20"/>
          <w:szCs w:val="20"/>
        </w:rPr>
        <w:t xml:space="preserve"> v. </w:t>
      </w:r>
      <w:r w:rsidRPr="005C3AFB">
        <w:rPr>
          <w:rFonts w:cs="Times New Roman"/>
          <w:b/>
          <w:bCs/>
          <w:caps/>
          <w:sz w:val="20"/>
          <w:szCs w:val="20"/>
        </w:rPr>
        <w:t>her majesty the queen</w:t>
      </w:r>
    </w:p>
    <w:p w:rsidR="005C3AFB" w:rsidRPr="005C3AFB" w:rsidRDefault="005C3AFB" w:rsidP="005C3AFB">
      <w:pPr>
        <w:rPr>
          <w:rFonts w:cs="Times New Roman"/>
          <w:bCs/>
          <w:sz w:val="20"/>
          <w:szCs w:val="20"/>
        </w:rPr>
      </w:pPr>
      <w:r w:rsidRPr="005C3AFB">
        <w:rPr>
          <w:rFonts w:cs="Times New Roman"/>
          <w:bCs/>
          <w:sz w:val="20"/>
          <w:szCs w:val="20"/>
        </w:rPr>
        <w:t xml:space="preserve">(B.C.) (38903) </w:t>
      </w:r>
    </w:p>
    <w:p w:rsidR="005C3AFB" w:rsidRPr="005C3AFB" w:rsidRDefault="005C3AFB" w:rsidP="005C3AFB">
      <w:pPr>
        <w:rPr>
          <w:rFonts w:cs="Times New Roman"/>
          <w:bCs/>
          <w:sz w:val="20"/>
          <w:szCs w:val="20"/>
        </w:rPr>
      </w:pPr>
    </w:p>
    <w:p w:rsidR="005C3AFB" w:rsidRPr="005C3AFB" w:rsidRDefault="005C3AFB" w:rsidP="005C3AFB">
      <w:pPr>
        <w:rPr>
          <w:rFonts w:cs="Times New Roman"/>
          <w:sz w:val="20"/>
          <w:szCs w:val="20"/>
        </w:rPr>
      </w:pPr>
      <w:r w:rsidRPr="005C3AFB">
        <w:rPr>
          <w:rFonts w:cs="Times New Roman"/>
          <w:b/>
          <w:bCs/>
          <w:sz w:val="20"/>
          <w:szCs w:val="20"/>
          <w:u w:val="single"/>
        </w:rPr>
        <w:t>KARAKATSANIS J.</w:t>
      </w:r>
      <w:r w:rsidRPr="005C3AFB">
        <w:rPr>
          <w:rFonts w:cs="Times New Roman"/>
          <w:b/>
          <w:bCs/>
          <w:sz w:val="20"/>
          <w:szCs w:val="20"/>
        </w:rPr>
        <w:t>:</w:t>
      </w:r>
    </w:p>
    <w:p w:rsidR="005C3AFB" w:rsidRPr="005C3AFB" w:rsidRDefault="005C3AFB" w:rsidP="005C3AFB">
      <w:pPr>
        <w:rPr>
          <w:rFonts w:cs="Times New Roman"/>
          <w:sz w:val="20"/>
          <w:szCs w:val="20"/>
        </w:rPr>
      </w:pPr>
    </w:p>
    <w:p w:rsidR="005C3AFB" w:rsidRPr="005C3AFB" w:rsidRDefault="005C3AFB" w:rsidP="005C3AFB">
      <w:pPr>
        <w:rPr>
          <w:rFonts w:eastAsia="Times New Roman" w:cs="Times New Roman"/>
          <w:i/>
          <w:sz w:val="20"/>
          <w:szCs w:val="20"/>
          <w:lang w:eastAsia="en-CA"/>
        </w:rPr>
      </w:pPr>
      <w:r w:rsidRPr="005C3AFB">
        <w:rPr>
          <w:rFonts w:eastAsia="Times New Roman" w:cs="Times New Roman"/>
          <w:b/>
          <w:bCs/>
          <w:sz w:val="20"/>
          <w:szCs w:val="20"/>
          <w:lang w:eastAsia="en-CA"/>
        </w:rPr>
        <w:t>UPON APPLICATION</w:t>
      </w:r>
      <w:r w:rsidRPr="005C3AFB">
        <w:rPr>
          <w:rFonts w:eastAsia="Times New Roman" w:cs="Times New Roman"/>
          <w:sz w:val="20"/>
          <w:szCs w:val="20"/>
          <w:lang w:eastAsia="en-CA"/>
        </w:rPr>
        <w:t xml:space="preserve"> by the appellant for an order extending the time to serve and file the notice of appeal as of right to </w:t>
      </w:r>
      <w:r w:rsidRPr="005C3AFB">
        <w:rPr>
          <w:rFonts w:eastAsia="Times New Roman" w:cs="Times New Roman"/>
          <w:sz w:val="20"/>
          <w:szCs w:val="20"/>
          <w:u w:val="single"/>
          <w:lang w:eastAsia="en-CA"/>
        </w:rPr>
        <w:t>November</w:t>
      </w:r>
      <w:r w:rsidRPr="005C3AFB">
        <w:rPr>
          <w:rFonts w:eastAsia="Times New Roman" w:cs="Times New Roman"/>
          <w:sz w:val="20"/>
          <w:szCs w:val="20"/>
          <w:lang w:eastAsia="en-CA"/>
        </w:rPr>
        <w:t xml:space="preserve"> 21, 2019;</w:t>
      </w:r>
    </w:p>
    <w:p w:rsidR="005C3AFB" w:rsidRPr="007B1953" w:rsidRDefault="005C3AFB" w:rsidP="005C3AFB">
      <w:pPr>
        <w:rPr>
          <w:rFonts w:eastAsia="Times New Roman" w:cs="Times New Roman"/>
          <w:sz w:val="20"/>
          <w:szCs w:val="20"/>
          <w:lang w:eastAsia="en-CA"/>
        </w:rPr>
      </w:pPr>
    </w:p>
    <w:p w:rsidR="005C3AFB" w:rsidRPr="005C3AFB" w:rsidRDefault="005C3AFB" w:rsidP="005C3AFB">
      <w:pPr>
        <w:spacing w:line="233" w:lineRule="auto"/>
        <w:rPr>
          <w:rFonts w:cs="Times New Roman"/>
          <w:sz w:val="20"/>
          <w:szCs w:val="20"/>
        </w:rPr>
      </w:pPr>
      <w:r w:rsidRPr="005C3AFB">
        <w:rPr>
          <w:rFonts w:cs="Times New Roman"/>
          <w:b/>
          <w:bCs/>
          <w:sz w:val="20"/>
          <w:szCs w:val="20"/>
        </w:rPr>
        <w:t>AND THE MATERIAL FILED</w:t>
      </w:r>
      <w:r w:rsidRPr="005C3AFB">
        <w:rPr>
          <w:rFonts w:cs="Times New Roman"/>
          <w:sz w:val="20"/>
          <w:szCs w:val="20"/>
        </w:rPr>
        <w:t xml:space="preserve"> having been read;</w:t>
      </w:r>
    </w:p>
    <w:p w:rsidR="005C3AFB" w:rsidRPr="005C3AFB" w:rsidRDefault="005C3AFB" w:rsidP="005C3AFB">
      <w:pPr>
        <w:spacing w:line="233" w:lineRule="auto"/>
        <w:rPr>
          <w:rFonts w:cs="Times New Roman"/>
          <w:sz w:val="20"/>
          <w:szCs w:val="20"/>
        </w:rPr>
      </w:pPr>
    </w:p>
    <w:p w:rsidR="005C3AFB" w:rsidRPr="005C3AFB" w:rsidRDefault="005C3AFB" w:rsidP="005C3AFB">
      <w:pPr>
        <w:spacing w:line="233" w:lineRule="auto"/>
        <w:rPr>
          <w:rFonts w:cs="Times New Roman"/>
          <w:b/>
          <w:bCs/>
          <w:sz w:val="20"/>
          <w:szCs w:val="20"/>
        </w:rPr>
      </w:pPr>
      <w:r w:rsidRPr="005C3AFB">
        <w:rPr>
          <w:rFonts w:eastAsia="Times New Roman" w:cs="Times New Roman"/>
          <w:b/>
          <w:bCs/>
          <w:sz w:val="20"/>
          <w:szCs w:val="20"/>
          <w:lang w:eastAsia="en-CA"/>
        </w:rPr>
        <w:t>IT IS HEREBY ORDERED THAT:</w:t>
      </w:r>
    </w:p>
    <w:p w:rsidR="005C3AFB" w:rsidRPr="005C3AFB" w:rsidRDefault="005C3AFB" w:rsidP="005C3AFB">
      <w:pPr>
        <w:spacing w:line="233" w:lineRule="auto"/>
        <w:rPr>
          <w:rFonts w:cs="Times New Roman"/>
          <w:sz w:val="20"/>
          <w:szCs w:val="20"/>
        </w:rPr>
      </w:pPr>
    </w:p>
    <w:p w:rsidR="005C3AFB" w:rsidRPr="005C3AFB" w:rsidRDefault="005C3AFB" w:rsidP="005C3AFB">
      <w:pPr>
        <w:spacing w:line="233" w:lineRule="auto"/>
        <w:rPr>
          <w:rFonts w:cs="Times New Roman"/>
          <w:sz w:val="20"/>
          <w:szCs w:val="20"/>
        </w:rPr>
      </w:pPr>
      <w:r w:rsidRPr="005C3AFB">
        <w:rPr>
          <w:rFonts w:cs="Times New Roman"/>
          <w:sz w:val="20"/>
          <w:szCs w:val="20"/>
        </w:rPr>
        <w:t>The motion is granted.</w:t>
      </w:r>
    </w:p>
    <w:p w:rsidR="005C3AFB" w:rsidRPr="005C3AFB" w:rsidRDefault="005C3AFB" w:rsidP="005C3AFB">
      <w:pPr>
        <w:spacing w:line="233" w:lineRule="auto"/>
        <w:rPr>
          <w:rFonts w:cs="Times New Roman"/>
          <w:sz w:val="20"/>
          <w:szCs w:val="20"/>
        </w:rPr>
      </w:pPr>
    </w:p>
    <w:p w:rsidR="005C3AFB" w:rsidRPr="005C3AFB" w:rsidRDefault="005C3AFB" w:rsidP="005C3AFB">
      <w:pPr>
        <w:spacing w:line="233" w:lineRule="auto"/>
        <w:rPr>
          <w:rFonts w:cs="Times New Roman"/>
          <w:sz w:val="20"/>
          <w:szCs w:val="20"/>
        </w:rPr>
      </w:pPr>
      <w:r w:rsidRPr="005C3AFB">
        <w:rPr>
          <w:rFonts w:cs="Times New Roman"/>
          <w:sz w:val="20"/>
          <w:szCs w:val="20"/>
        </w:rPr>
        <w:t>The parties are invited to provide written submissions in their appeal factums addressing this Court’s jurisdiction to hear the appeal as of right.</w:t>
      </w:r>
    </w:p>
    <w:p w:rsidR="005C3AFB" w:rsidRPr="005C3AFB" w:rsidRDefault="005C3AFB" w:rsidP="005C3AFB">
      <w:pPr>
        <w:rPr>
          <w:rFonts w:cs="Times New Roman"/>
          <w:sz w:val="20"/>
          <w:szCs w:val="20"/>
        </w:rPr>
      </w:pPr>
    </w:p>
    <w:p w:rsidR="005C3AFB" w:rsidRPr="005C3AFB" w:rsidRDefault="005C3AFB" w:rsidP="005C3AFB">
      <w:pPr>
        <w:rPr>
          <w:rFonts w:cs="Times New Roman"/>
          <w:sz w:val="20"/>
          <w:szCs w:val="20"/>
        </w:rPr>
      </w:pPr>
    </w:p>
    <w:p w:rsidR="005C3AFB" w:rsidRPr="005C3AFB" w:rsidRDefault="005C3AFB" w:rsidP="005C3AFB">
      <w:pPr>
        <w:rPr>
          <w:rFonts w:cs="Times New Roman"/>
          <w:sz w:val="20"/>
          <w:szCs w:val="20"/>
          <w:lang w:val="fr-CA"/>
        </w:rPr>
      </w:pPr>
      <w:r w:rsidRPr="005C3AFB">
        <w:rPr>
          <w:rFonts w:cs="Times New Roman"/>
          <w:b/>
          <w:sz w:val="20"/>
          <w:szCs w:val="20"/>
          <w:lang w:val="fr-CA"/>
        </w:rPr>
        <w:t>À LA SUITE DE LA DEMANDE</w:t>
      </w:r>
      <w:r w:rsidRPr="005C3AFB">
        <w:rPr>
          <w:rFonts w:cs="Times New Roman"/>
          <w:sz w:val="20"/>
          <w:szCs w:val="20"/>
          <w:lang w:val="fr-CA"/>
        </w:rPr>
        <w:t xml:space="preserve"> de l’appelant en prorogation du délai pour signifier et déposer l’avis d’appel de plein droit au 21 novembre 2019;</w:t>
      </w:r>
    </w:p>
    <w:p w:rsidR="005C3AFB" w:rsidRPr="005C3AFB" w:rsidRDefault="005C3AFB" w:rsidP="005C3AFB">
      <w:pPr>
        <w:rPr>
          <w:rFonts w:cs="Times New Roman"/>
          <w:sz w:val="20"/>
          <w:szCs w:val="20"/>
          <w:lang w:val="fr-CA"/>
        </w:rPr>
      </w:pPr>
    </w:p>
    <w:p w:rsidR="005C3AFB" w:rsidRPr="005C3AFB" w:rsidRDefault="005C3AFB" w:rsidP="005C3AFB">
      <w:pPr>
        <w:rPr>
          <w:rFonts w:cs="Times New Roman"/>
          <w:sz w:val="20"/>
          <w:szCs w:val="20"/>
          <w:lang w:val="fr-CA"/>
        </w:rPr>
      </w:pPr>
      <w:r w:rsidRPr="005C3AFB">
        <w:rPr>
          <w:rFonts w:cs="Times New Roman"/>
          <w:b/>
          <w:sz w:val="20"/>
          <w:szCs w:val="20"/>
          <w:lang w:val="fr-CA"/>
        </w:rPr>
        <w:t>ET APRÈS EXAMEN</w:t>
      </w:r>
      <w:r w:rsidRPr="005C3AFB">
        <w:rPr>
          <w:rFonts w:cs="Times New Roman"/>
          <w:sz w:val="20"/>
          <w:szCs w:val="20"/>
          <w:lang w:val="fr-CA"/>
        </w:rPr>
        <w:t xml:space="preserve"> des documents déposés;</w:t>
      </w:r>
    </w:p>
    <w:p w:rsidR="005C3AFB" w:rsidRPr="005C3AFB" w:rsidRDefault="005C3AFB" w:rsidP="005C3AFB">
      <w:pPr>
        <w:rPr>
          <w:rFonts w:cs="Times New Roman"/>
          <w:sz w:val="20"/>
          <w:szCs w:val="20"/>
          <w:lang w:val="fr-CA"/>
        </w:rPr>
      </w:pPr>
    </w:p>
    <w:p w:rsidR="005C3AFB" w:rsidRPr="005C3AFB" w:rsidRDefault="005C3AFB" w:rsidP="005C3AFB">
      <w:pPr>
        <w:rPr>
          <w:rFonts w:cs="Times New Roman"/>
          <w:b/>
          <w:sz w:val="20"/>
          <w:szCs w:val="20"/>
          <w:lang w:val="fr-CA"/>
        </w:rPr>
      </w:pPr>
      <w:r w:rsidRPr="005C3AFB">
        <w:rPr>
          <w:rFonts w:cs="Times New Roman"/>
          <w:b/>
          <w:sz w:val="20"/>
          <w:szCs w:val="20"/>
          <w:lang w:val="fr-CA"/>
        </w:rPr>
        <w:t>IL EST ORDONNÉ CE QUI SUIT :</w:t>
      </w:r>
    </w:p>
    <w:p w:rsidR="005C3AFB" w:rsidRPr="005C3AFB" w:rsidRDefault="005C3AFB" w:rsidP="005C3AFB">
      <w:pPr>
        <w:rPr>
          <w:rFonts w:cs="Times New Roman"/>
          <w:sz w:val="20"/>
          <w:szCs w:val="20"/>
          <w:lang w:val="fr-CA"/>
        </w:rPr>
      </w:pPr>
    </w:p>
    <w:p w:rsidR="005C3AFB" w:rsidRPr="005C3AFB" w:rsidRDefault="005C3AFB" w:rsidP="005C3AFB">
      <w:pPr>
        <w:rPr>
          <w:rFonts w:cs="Times New Roman"/>
          <w:sz w:val="20"/>
          <w:szCs w:val="20"/>
          <w:lang w:val="fr-CA"/>
        </w:rPr>
      </w:pPr>
      <w:r w:rsidRPr="005C3AFB">
        <w:rPr>
          <w:rFonts w:cs="Times New Roman"/>
          <w:sz w:val="20"/>
          <w:szCs w:val="20"/>
          <w:lang w:val="fr-CA"/>
        </w:rPr>
        <w:t>La requête est accueillie.</w:t>
      </w:r>
    </w:p>
    <w:p w:rsidR="005C3AFB" w:rsidRPr="005C3AFB" w:rsidRDefault="005C3AFB" w:rsidP="005C3AFB">
      <w:pPr>
        <w:rPr>
          <w:rFonts w:cs="Times New Roman"/>
          <w:sz w:val="20"/>
          <w:szCs w:val="20"/>
          <w:lang w:val="fr-CA"/>
        </w:rPr>
      </w:pPr>
      <w:bookmarkStart w:id="6" w:name="_GoBack"/>
      <w:bookmarkEnd w:id="6"/>
    </w:p>
    <w:p w:rsidR="005C3AFB" w:rsidRPr="005C3AFB" w:rsidRDefault="005C3AFB" w:rsidP="005C3AFB">
      <w:pPr>
        <w:rPr>
          <w:rFonts w:cs="Times New Roman"/>
          <w:sz w:val="20"/>
          <w:szCs w:val="20"/>
          <w:lang w:val="fr-CA"/>
        </w:rPr>
      </w:pPr>
      <w:r w:rsidRPr="005C3AFB">
        <w:rPr>
          <w:rFonts w:cs="Times New Roman"/>
          <w:sz w:val="20"/>
          <w:szCs w:val="20"/>
          <w:lang w:val="fr-CA"/>
        </w:rPr>
        <w:t>Les parties sont invitées à présenter dans leur mémoire d’appel leurs observations écrites relatives à la question de la compétence de la Cour pour entendre l’appel de plein droit.</w:t>
      </w:r>
    </w:p>
    <w:p w:rsidR="00C8030A" w:rsidRPr="00F55576" w:rsidRDefault="00C8030A" w:rsidP="0010587F">
      <w:pPr>
        <w:tabs>
          <w:tab w:val="left" w:pos="-1440"/>
          <w:tab w:val="left" w:pos="-720"/>
        </w:tabs>
        <w:jc w:val="both"/>
        <w:rPr>
          <w:sz w:val="20"/>
          <w:szCs w:val="20"/>
          <w:lang w:val="fr-CA"/>
        </w:rPr>
      </w:pPr>
    </w:p>
    <w:p w:rsidR="00C8030A" w:rsidRPr="00F55576" w:rsidRDefault="007B1953"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68" style="width:2in;height:1pt" o:hrpct="0" o:hralign="center" o:hrstd="t" o:hrnoshade="t" o:hr="t" fillcolor="black [3213]" stroked="f"/>
        </w:pict>
      </w:r>
    </w:p>
    <w:p w:rsidR="00C8030A" w:rsidRPr="00F55576" w:rsidRDefault="00C8030A" w:rsidP="0010587F">
      <w:pPr>
        <w:tabs>
          <w:tab w:val="left" w:pos="-1440"/>
          <w:tab w:val="left" w:pos="-720"/>
        </w:tabs>
        <w:jc w:val="both"/>
        <w:rPr>
          <w:sz w:val="20"/>
          <w:szCs w:val="20"/>
          <w:lang w:val="fr-CA"/>
        </w:rPr>
      </w:pPr>
    </w:p>
    <w:p w:rsidR="00C8030A" w:rsidRPr="00F55576" w:rsidRDefault="00C8030A" w:rsidP="0010587F">
      <w:pPr>
        <w:tabs>
          <w:tab w:val="left" w:pos="-1440"/>
          <w:tab w:val="left" w:pos="-720"/>
        </w:tabs>
        <w:jc w:val="both"/>
        <w:rPr>
          <w:sz w:val="20"/>
          <w:szCs w:val="20"/>
          <w:lang w:val="fr-CA"/>
        </w:rPr>
      </w:pPr>
    </w:p>
    <w:p w:rsidR="00890FEB" w:rsidRPr="00F55576" w:rsidRDefault="00890FEB" w:rsidP="00831CA9">
      <w:pPr>
        <w:jc w:val="both"/>
        <w:rPr>
          <w:sz w:val="20"/>
          <w:szCs w:val="20"/>
          <w:lang w:val="fr-CA"/>
        </w:rPr>
      </w:pPr>
    </w:p>
    <w:p w:rsidR="00831CA9" w:rsidRPr="00F55576" w:rsidRDefault="00831CA9" w:rsidP="00831CA9">
      <w:pPr>
        <w:jc w:val="both"/>
        <w:rPr>
          <w:sz w:val="20"/>
          <w:szCs w:val="20"/>
          <w:lang w:val="fr-CA"/>
        </w:rPr>
        <w:sectPr w:rsidR="00831CA9" w:rsidRPr="00F55576" w:rsidSect="00831CA9">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720" w:footer="965" w:gutter="0"/>
          <w:cols w:space="720"/>
          <w:titlePg/>
          <w:docGrid w:linePitch="326"/>
        </w:sectPr>
      </w:pPr>
    </w:p>
    <w:p w:rsidR="00567602" w:rsidRPr="00F55576" w:rsidRDefault="001434B9" w:rsidP="00567602">
      <w:pPr>
        <w:pStyle w:val="Header1StyleE"/>
        <w:pBdr>
          <w:bottom w:val="single" w:sz="12" w:space="1" w:color="auto"/>
        </w:pBdr>
        <w:rPr>
          <w:sz w:val="20"/>
          <w:lang w:val="en-US"/>
        </w:rPr>
      </w:pPr>
      <w:bookmarkStart w:id="7" w:name="_Toc29890995"/>
      <w:r w:rsidRPr="00F55576">
        <w:lastRenderedPageBreak/>
        <w:t>Notices of appeal filed since the last issue</w:t>
      </w:r>
      <w:r w:rsidR="00271E1E" w:rsidRPr="00F55576">
        <w:t xml:space="preserve"> / </w:t>
      </w:r>
      <w:r w:rsidR="00567602" w:rsidRPr="00F55576">
        <w:br/>
      </w:r>
      <w:r w:rsidRPr="00F55576">
        <w:rPr>
          <w:lang w:val="fr-CA"/>
        </w:rPr>
        <w:t>Avis d’appel déposés depuis la dernière parution</w:t>
      </w:r>
      <w:bookmarkEnd w:id="7"/>
    </w:p>
    <w:p w:rsidR="00FB1DB6" w:rsidRPr="00F55576"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F55576" w:rsidTr="005F1ED8">
        <w:trPr>
          <w:cantSplit/>
        </w:trPr>
        <w:tc>
          <w:tcPr>
            <w:tcW w:w="2206" w:type="pct"/>
            <w:tcMar>
              <w:left w:w="0" w:type="dxa"/>
              <w:right w:w="0" w:type="dxa"/>
            </w:tcMar>
          </w:tcPr>
          <w:p w:rsidR="0086340B" w:rsidRPr="00F55576" w:rsidRDefault="008859F1" w:rsidP="005F1ED8">
            <w:pPr>
              <w:rPr>
                <w:sz w:val="20"/>
                <w:szCs w:val="20"/>
              </w:rPr>
            </w:pPr>
            <w:r w:rsidRPr="00F55576">
              <w:rPr>
                <w:sz w:val="20"/>
                <w:szCs w:val="20"/>
              </w:rPr>
              <w:t xml:space="preserve">January </w:t>
            </w:r>
            <w:r w:rsidR="00CC204E" w:rsidRPr="00F55576">
              <w:rPr>
                <w:sz w:val="20"/>
                <w:szCs w:val="20"/>
              </w:rPr>
              <w:t>2</w:t>
            </w:r>
            <w:r w:rsidRPr="00F55576">
              <w:rPr>
                <w:sz w:val="20"/>
                <w:szCs w:val="20"/>
              </w:rPr>
              <w:t>, 20</w:t>
            </w:r>
            <w:r w:rsidR="005967EF" w:rsidRPr="00F55576">
              <w:rPr>
                <w:sz w:val="20"/>
                <w:szCs w:val="20"/>
              </w:rPr>
              <w:t>20</w:t>
            </w:r>
          </w:p>
          <w:p w:rsidR="0034657E" w:rsidRPr="00F55576" w:rsidRDefault="0034657E" w:rsidP="005F1ED8">
            <w:pPr>
              <w:rPr>
                <w:sz w:val="20"/>
                <w:szCs w:val="20"/>
              </w:rPr>
            </w:pPr>
          </w:p>
          <w:p w:rsidR="0086340B" w:rsidRPr="00F55576" w:rsidRDefault="00CC204E" w:rsidP="005F1ED8">
            <w:pPr>
              <w:rPr>
                <w:b/>
                <w:sz w:val="20"/>
                <w:szCs w:val="20"/>
              </w:rPr>
            </w:pPr>
            <w:r w:rsidRPr="00F55576">
              <w:rPr>
                <w:b/>
                <w:sz w:val="20"/>
                <w:szCs w:val="20"/>
              </w:rPr>
              <w:t>Owners, Strata Plan LMS 3905</w:t>
            </w:r>
          </w:p>
          <w:p w:rsidR="0086340B" w:rsidRPr="00F55576" w:rsidRDefault="0086340B" w:rsidP="005F1ED8">
            <w:pPr>
              <w:rPr>
                <w:sz w:val="20"/>
                <w:szCs w:val="20"/>
              </w:rPr>
            </w:pPr>
          </w:p>
          <w:p w:rsidR="0086340B" w:rsidRPr="00F55576" w:rsidRDefault="0086340B" w:rsidP="005F1ED8">
            <w:pPr>
              <w:rPr>
                <w:b/>
                <w:sz w:val="20"/>
                <w:szCs w:val="20"/>
              </w:rPr>
            </w:pPr>
            <w:r w:rsidRPr="00F55576">
              <w:rPr>
                <w:b/>
                <w:sz w:val="20"/>
                <w:szCs w:val="20"/>
              </w:rPr>
              <w:tab/>
              <w:t>v. (3</w:t>
            </w:r>
            <w:r w:rsidR="00CC204E" w:rsidRPr="00F55576">
              <w:rPr>
                <w:b/>
                <w:sz w:val="20"/>
                <w:szCs w:val="20"/>
              </w:rPr>
              <w:t>8741</w:t>
            </w:r>
            <w:r w:rsidRPr="00F55576">
              <w:rPr>
                <w:b/>
                <w:sz w:val="20"/>
                <w:szCs w:val="20"/>
              </w:rPr>
              <w:t>)</w:t>
            </w:r>
          </w:p>
          <w:p w:rsidR="0086340B" w:rsidRPr="00F55576" w:rsidRDefault="0086340B" w:rsidP="005F1ED8">
            <w:pPr>
              <w:rPr>
                <w:sz w:val="20"/>
                <w:szCs w:val="20"/>
              </w:rPr>
            </w:pPr>
          </w:p>
          <w:p w:rsidR="0086340B" w:rsidRPr="00F55576" w:rsidRDefault="00CC204E" w:rsidP="005F1ED8">
            <w:pPr>
              <w:rPr>
                <w:b/>
                <w:sz w:val="20"/>
                <w:szCs w:val="20"/>
              </w:rPr>
            </w:pPr>
            <w:r w:rsidRPr="00F55576">
              <w:rPr>
                <w:b/>
                <w:sz w:val="20"/>
                <w:szCs w:val="20"/>
              </w:rPr>
              <w:t xml:space="preserve">Crystal Square Parking Corporation </w:t>
            </w:r>
            <w:r w:rsidR="0086340B" w:rsidRPr="00F55576">
              <w:rPr>
                <w:b/>
                <w:sz w:val="20"/>
                <w:szCs w:val="20"/>
              </w:rPr>
              <w:t>(</w:t>
            </w:r>
            <w:r w:rsidRPr="00F55576">
              <w:rPr>
                <w:b/>
                <w:sz w:val="20"/>
                <w:szCs w:val="20"/>
              </w:rPr>
              <w:t>B</w:t>
            </w:r>
            <w:r w:rsidR="0086340B" w:rsidRPr="00F55576">
              <w:rPr>
                <w:b/>
                <w:sz w:val="20"/>
                <w:szCs w:val="20"/>
              </w:rPr>
              <w:t>.</w:t>
            </w:r>
            <w:r w:rsidRPr="00F55576">
              <w:rPr>
                <w:b/>
                <w:sz w:val="20"/>
                <w:szCs w:val="20"/>
              </w:rPr>
              <w:t>C</w:t>
            </w:r>
            <w:r w:rsidR="0086340B" w:rsidRPr="00F55576">
              <w:rPr>
                <w:b/>
                <w:sz w:val="20"/>
                <w:szCs w:val="20"/>
              </w:rPr>
              <w:t>.)</w:t>
            </w:r>
          </w:p>
          <w:p w:rsidR="0086340B" w:rsidRPr="00F55576" w:rsidRDefault="0086340B" w:rsidP="005F1ED8">
            <w:pPr>
              <w:rPr>
                <w:sz w:val="20"/>
                <w:szCs w:val="20"/>
              </w:rPr>
            </w:pPr>
          </w:p>
          <w:p w:rsidR="0086340B" w:rsidRPr="00F55576" w:rsidRDefault="0086340B" w:rsidP="005F1ED8">
            <w:pPr>
              <w:rPr>
                <w:sz w:val="20"/>
                <w:szCs w:val="20"/>
              </w:rPr>
            </w:pPr>
            <w:r w:rsidRPr="00F55576">
              <w:rPr>
                <w:sz w:val="20"/>
                <w:szCs w:val="20"/>
              </w:rPr>
              <w:t>(By Leave)</w:t>
            </w:r>
          </w:p>
          <w:p w:rsidR="0086340B" w:rsidRPr="00F55576" w:rsidRDefault="0086340B" w:rsidP="005F1ED8">
            <w:pPr>
              <w:rPr>
                <w:sz w:val="20"/>
                <w:szCs w:val="20"/>
              </w:rPr>
            </w:pPr>
          </w:p>
          <w:p w:rsidR="0086340B" w:rsidRPr="00F55576" w:rsidRDefault="007B1953" w:rsidP="005F1ED8">
            <w:pPr>
              <w:rPr>
                <w:sz w:val="20"/>
                <w:szCs w:val="20"/>
                <w:lang w:val="fr-CA"/>
              </w:rPr>
            </w:pPr>
            <w:r>
              <w:rPr>
                <w:sz w:val="20"/>
                <w:szCs w:val="20"/>
                <w:lang w:val="fr-CA"/>
              </w:rPr>
              <w:pict>
                <v:rect id="_x0000_i1071" style="width:106.1pt;height:1pt" o:hrpct="500" o:hrstd="t" o:hrnoshade="t" o:hr="t" fillcolor="black [3213]" stroked="f"/>
              </w:pict>
            </w:r>
          </w:p>
        </w:tc>
        <w:tc>
          <w:tcPr>
            <w:tcW w:w="588" w:type="pct"/>
          </w:tcPr>
          <w:p w:rsidR="0086340B" w:rsidRPr="00F55576" w:rsidRDefault="0086340B" w:rsidP="005F1ED8">
            <w:pPr>
              <w:jc w:val="center"/>
              <w:rPr>
                <w:sz w:val="20"/>
                <w:szCs w:val="20"/>
              </w:rPr>
            </w:pPr>
          </w:p>
          <w:p w:rsidR="0086340B" w:rsidRPr="00F55576" w:rsidRDefault="0086340B" w:rsidP="005F1ED8">
            <w:pPr>
              <w:jc w:val="center"/>
              <w:rPr>
                <w:sz w:val="20"/>
                <w:szCs w:val="20"/>
              </w:rPr>
            </w:pPr>
          </w:p>
          <w:p w:rsidR="0086340B" w:rsidRPr="00F55576" w:rsidRDefault="0086340B" w:rsidP="005F1ED8">
            <w:pPr>
              <w:jc w:val="center"/>
              <w:rPr>
                <w:sz w:val="20"/>
                <w:szCs w:val="20"/>
              </w:rPr>
            </w:pPr>
          </w:p>
          <w:p w:rsidR="0086340B" w:rsidRPr="00F55576" w:rsidRDefault="0086340B" w:rsidP="005F1ED8">
            <w:pPr>
              <w:jc w:val="center"/>
              <w:rPr>
                <w:sz w:val="20"/>
                <w:szCs w:val="20"/>
              </w:rPr>
            </w:pPr>
          </w:p>
          <w:p w:rsidR="0086340B" w:rsidRPr="00F55576" w:rsidRDefault="0086340B" w:rsidP="005F1ED8">
            <w:pPr>
              <w:jc w:val="center"/>
              <w:rPr>
                <w:sz w:val="20"/>
                <w:szCs w:val="20"/>
              </w:rPr>
            </w:pPr>
          </w:p>
          <w:p w:rsidR="0086340B" w:rsidRPr="00F55576" w:rsidRDefault="0086340B" w:rsidP="005F1ED8">
            <w:pPr>
              <w:jc w:val="center"/>
              <w:rPr>
                <w:sz w:val="20"/>
                <w:szCs w:val="20"/>
              </w:rPr>
            </w:pPr>
          </w:p>
          <w:p w:rsidR="0086340B" w:rsidRPr="00F55576" w:rsidRDefault="0086340B" w:rsidP="005F1ED8">
            <w:pPr>
              <w:jc w:val="center"/>
              <w:rPr>
                <w:sz w:val="20"/>
                <w:szCs w:val="20"/>
              </w:rPr>
            </w:pPr>
          </w:p>
          <w:p w:rsidR="0086340B" w:rsidRPr="00F55576" w:rsidRDefault="0086340B" w:rsidP="005F1ED8">
            <w:pPr>
              <w:jc w:val="center"/>
              <w:rPr>
                <w:sz w:val="20"/>
                <w:szCs w:val="20"/>
              </w:rPr>
            </w:pPr>
          </w:p>
          <w:p w:rsidR="0086340B" w:rsidRPr="00F55576" w:rsidRDefault="0086340B" w:rsidP="005F1ED8">
            <w:pPr>
              <w:jc w:val="center"/>
              <w:rPr>
                <w:sz w:val="20"/>
                <w:szCs w:val="20"/>
              </w:rPr>
            </w:pPr>
          </w:p>
          <w:p w:rsidR="0086340B" w:rsidRPr="00F55576" w:rsidRDefault="0086340B" w:rsidP="005F1ED8">
            <w:pPr>
              <w:jc w:val="center"/>
              <w:rPr>
                <w:sz w:val="20"/>
                <w:szCs w:val="20"/>
              </w:rPr>
            </w:pPr>
          </w:p>
          <w:p w:rsidR="0086340B" w:rsidRPr="00F55576" w:rsidRDefault="0086340B" w:rsidP="005F1ED8">
            <w:pPr>
              <w:jc w:val="center"/>
              <w:rPr>
                <w:sz w:val="20"/>
                <w:szCs w:val="20"/>
              </w:rPr>
            </w:pPr>
          </w:p>
          <w:p w:rsidR="0086340B" w:rsidRPr="00F55576" w:rsidRDefault="0086340B" w:rsidP="005F1ED8">
            <w:pPr>
              <w:jc w:val="center"/>
              <w:rPr>
                <w:sz w:val="20"/>
                <w:szCs w:val="20"/>
              </w:rPr>
            </w:pPr>
          </w:p>
        </w:tc>
        <w:tc>
          <w:tcPr>
            <w:tcW w:w="2206" w:type="pct"/>
          </w:tcPr>
          <w:p w:rsidR="0086340B" w:rsidRPr="00F55576" w:rsidRDefault="001E0120" w:rsidP="005F1ED8">
            <w:pPr>
              <w:rPr>
                <w:sz w:val="20"/>
                <w:szCs w:val="20"/>
                <w:lang w:val="en-US"/>
              </w:rPr>
            </w:pPr>
            <w:r w:rsidRPr="00F55576">
              <w:rPr>
                <w:sz w:val="20"/>
                <w:szCs w:val="20"/>
                <w:lang w:val="en-US"/>
              </w:rPr>
              <w:t>J</w:t>
            </w:r>
            <w:r w:rsidR="008859F1" w:rsidRPr="00F55576">
              <w:rPr>
                <w:sz w:val="20"/>
                <w:szCs w:val="20"/>
                <w:lang w:val="en-US"/>
              </w:rPr>
              <w:t>an</w:t>
            </w:r>
            <w:r w:rsidRPr="00F55576">
              <w:rPr>
                <w:sz w:val="20"/>
                <w:szCs w:val="20"/>
                <w:lang w:val="en-US"/>
              </w:rPr>
              <w:t>uary 6,</w:t>
            </w:r>
            <w:r w:rsidR="008859F1" w:rsidRPr="00F55576">
              <w:rPr>
                <w:sz w:val="20"/>
                <w:szCs w:val="20"/>
                <w:lang w:val="en-US"/>
              </w:rPr>
              <w:t xml:space="preserve"> 20</w:t>
            </w:r>
            <w:r w:rsidR="005967EF" w:rsidRPr="00F55576">
              <w:rPr>
                <w:sz w:val="20"/>
                <w:szCs w:val="20"/>
                <w:lang w:val="en-US"/>
              </w:rPr>
              <w:t>20</w:t>
            </w:r>
          </w:p>
          <w:p w:rsidR="0086340B" w:rsidRPr="00F55576" w:rsidRDefault="0086340B" w:rsidP="005F1ED8">
            <w:pPr>
              <w:rPr>
                <w:sz w:val="20"/>
                <w:szCs w:val="20"/>
                <w:lang w:val="en-US"/>
              </w:rPr>
            </w:pPr>
          </w:p>
          <w:p w:rsidR="0086340B" w:rsidRPr="00F55576" w:rsidRDefault="001E0120" w:rsidP="005F1ED8">
            <w:pPr>
              <w:rPr>
                <w:b/>
                <w:sz w:val="20"/>
                <w:szCs w:val="20"/>
                <w:lang w:val="en-US"/>
              </w:rPr>
            </w:pPr>
            <w:r w:rsidRPr="00F55576">
              <w:rPr>
                <w:b/>
                <w:sz w:val="20"/>
                <w:szCs w:val="20"/>
                <w:lang w:val="en-US"/>
              </w:rPr>
              <w:t>Randy Desmond Riley</w:t>
            </w:r>
          </w:p>
          <w:p w:rsidR="0086340B" w:rsidRPr="00F55576" w:rsidRDefault="0086340B" w:rsidP="005F1ED8">
            <w:pPr>
              <w:rPr>
                <w:sz w:val="20"/>
                <w:szCs w:val="20"/>
                <w:lang w:val="en-US"/>
              </w:rPr>
            </w:pPr>
          </w:p>
          <w:p w:rsidR="0086340B" w:rsidRPr="00F55576" w:rsidRDefault="0086340B" w:rsidP="005F1ED8">
            <w:pPr>
              <w:rPr>
                <w:b/>
                <w:sz w:val="20"/>
                <w:szCs w:val="20"/>
                <w:lang w:val="en-US"/>
              </w:rPr>
            </w:pPr>
            <w:r w:rsidRPr="00F55576">
              <w:rPr>
                <w:b/>
                <w:sz w:val="20"/>
                <w:szCs w:val="20"/>
                <w:lang w:val="en-US"/>
              </w:rPr>
              <w:tab/>
            </w:r>
            <w:r w:rsidR="001E0120" w:rsidRPr="00F55576">
              <w:rPr>
                <w:b/>
                <w:sz w:val="20"/>
                <w:szCs w:val="20"/>
                <w:lang w:val="en-US"/>
              </w:rPr>
              <w:t>v</w:t>
            </w:r>
            <w:r w:rsidRPr="00F55576">
              <w:rPr>
                <w:b/>
                <w:sz w:val="20"/>
                <w:szCs w:val="20"/>
                <w:lang w:val="en-US"/>
              </w:rPr>
              <w:t>. (3</w:t>
            </w:r>
            <w:r w:rsidR="001E0120" w:rsidRPr="00F55576">
              <w:rPr>
                <w:b/>
                <w:sz w:val="20"/>
                <w:szCs w:val="20"/>
                <w:lang w:val="en-US"/>
              </w:rPr>
              <w:t>9006</w:t>
            </w:r>
            <w:r w:rsidRPr="00F55576">
              <w:rPr>
                <w:b/>
                <w:sz w:val="20"/>
                <w:szCs w:val="20"/>
                <w:lang w:val="en-US"/>
              </w:rPr>
              <w:t>)</w:t>
            </w:r>
          </w:p>
          <w:p w:rsidR="0086340B" w:rsidRPr="00F55576" w:rsidRDefault="0086340B" w:rsidP="005F1ED8">
            <w:pPr>
              <w:rPr>
                <w:sz w:val="20"/>
                <w:szCs w:val="20"/>
                <w:lang w:val="en-US"/>
              </w:rPr>
            </w:pPr>
          </w:p>
          <w:p w:rsidR="0086340B" w:rsidRPr="00F55576" w:rsidRDefault="001E0120" w:rsidP="005F1ED8">
            <w:pPr>
              <w:rPr>
                <w:b/>
                <w:sz w:val="20"/>
                <w:szCs w:val="20"/>
                <w:lang w:val="en-US"/>
              </w:rPr>
            </w:pPr>
            <w:r w:rsidRPr="00F55576">
              <w:rPr>
                <w:b/>
                <w:sz w:val="20"/>
                <w:szCs w:val="20"/>
                <w:lang w:val="en-US"/>
              </w:rPr>
              <w:t>Her Majesty the Queen</w:t>
            </w:r>
            <w:r w:rsidR="0086340B" w:rsidRPr="00F55576">
              <w:rPr>
                <w:b/>
                <w:sz w:val="20"/>
                <w:szCs w:val="20"/>
                <w:lang w:val="en-US"/>
              </w:rPr>
              <w:t xml:space="preserve"> (</w:t>
            </w:r>
            <w:r w:rsidRPr="00F55576">
              <w:rPr>
                <w:b/>
                <w:sz w:val="20"/>
                <w:szCs w:val="20"/>
                <w:lang w:val="en-US"/>
              </w:rPr>
              <w:t>N.S.</w:t>
            </w:r>
            <w:r w:rsidR="0086340B" w:rsidRPr="00F55576">
              <w:rPr>
                <w:b/>
                <w:sz w:val="20"/>
                <w:szCs w:val="20"/>
                <w:lang w:val="en-US"/>
              </w:rPr>
              <w:t>)</w:t>
            </w:r>
          </w:p>
          <w:p w:rsidR="0086340B" w:rsidRPr="00F55576" w:rsidRDefault="0086340B" w:rsidP="005F1ED8">
            <w:pPr>
              <w:rPr>
                <w:sz w:val="20"/>
                <w:szCs w:val="20"/>
                <w:lang w:val="en-US"/>
              </w:rPr>
            </w:pPr>
          </w:p>
          <w:p w:rsidR="0086340B" w:rsidRPr="00F55576" w:rsidRDefault="0086340B" w:rsidP="005F1ED8">
            <w:pPr>
              <w:rPr>
                <w:sz w:val="20"/>
                <w:szCs w:val="20"/>
              </w:rPr>
            </w:pPr>
            <w:r w:rsidRPr="00F55576">
              <w:rPr>
                <w:sz w:val="20"/>
                <w:szCs w:val="20"/>
              </w:rPr>
              <w:t>(A</w:t>
            </w:r>
            <w:r w:rsidR="001E0120" w:rsidRPr="00F55576">
              <w:rPr>
                <w:sz w:val="20"/>
                <w:szCs w:val="20"/>
              </w:rPr>
              <w:t>s of Right</w:t>
            </w:r>
            <w:r w:rsidRPr="00F55576">
              <w:rPr>
                <w:sz w:val="20"/>
                <w:szCs w:val="20"/>
              </w:rPr>
              <w:t>)</w:t>
            </w:r>
          </w:p>
          <w:p w:rsidR="0086340B" w:rsidRPr="00F55576" w:rsidRDefault="0086340B" w:rsidP="005F1ED8">
            <w:pPr>
              <w:rPr>
                <w:sz w:val="20"/>
                <w:szCs w:val="20"/>
              </w:rPr>
            </w:pPr>
          </w:p>
          <w:p w:rsidR="0086340B" w:rsidRPr="00F55576" w:rsidRDefault="007B1953" w:rsidP="005F1ED8">
            <w:pPr>
              <w:rPr>
                <w:sz w:val="20"/>
                <w:szCs w:val="20"/>
              </w:rPr>
            </w:pPr>
            <w:r>
              <w:rPr>
                <w:sz w:val="20"/>
                <w:szCs w:val="20"/>
                <w:lang w:val="fr-CA"/>
              </w:rPr>
              <w:pict>
                <v:rect id="_x0000_i1072" style="width:106.1pt;height:1pt" o:hrpct="500" o:hrstd="t" o:hrnoshade="t" o:hr="t" fillcolor="black [3213]" stroked="f"/>
              </w:pict>
            </w:r>
          </w:p>
        </w:tc>
      </w:tr>
    </w:tbl>
    <w:p w:rsidR="008277C4" w:rsidRPr="00F55576" w:rsidRDefault="008277C4" w:rsidP="00F40249">
      <w:pPr>
        <w:rPr>
          <w:sz w:val="20"/>
          <w:szCs w:val="20"/>
        </w:rPr>
      </w:pPr>
    </w:p>
    <w:p w:rsidR="008277C4" w:rsidRPr="00F55576" w:rsidRDefault="008277C4" w:rsidP="00F40249">
      <w:pPr>
        <w:rPr>
          <w:sz w:val="20"/>
          <w:szCs w:val="20"/>
        </w:rPr>
      </w:pPr>
    </w:p>
    <w:p w:rsidR="0010587F" w:rsidRPr="00F55576" w:rsidRDefault="0010587F" w:rsidP="00F40249">
      <w:pPr>
        <w:rPr>
          <w:sz w:val="20"/>
          <w:szCs w:val="20"/>
        </w:rPr>
      </w:pPr>
    </w:p>
    <w:p w:rsidR="00EB2B90" w:rsidRPr="00F55576" w:rsidRDefault="00EB2B90" w:rsidP="00F40249">
      <w:pPr>
        <w:rPr>
          <w:sz w:val="20"/>
          <w:szCs w:val="20"/>
        </w:rPr>
        <w:sectPr w:rsidR="00EB2B90" w:rsidRPr="00F55576" w:rsidSect="00F40249">
          <w:headerReference w:type="even" r:id="rId99"/>
          <w:headerReference w:type="default" r:id="rId100"/>
          <w:footerReference w:type="even" r:id="rId101"/>
          <w:footerReference w:type="default" r:id="rId102"/>
          <w:headerReference w:type="first" r:id="rId103"/>
          <w:footerReference w:type="first" r:id="rId104"/>
          <w:pgSz w:w="12240" w:h="15840"/>
          <w:pgMar w:top="720" w:right="965" w:bottom="1080" w:left="1656" w:header="720" w:footer="965" w:gutter="0"/>
          <w:cols w:space="720"/>
          <w:titlePg/>
          <w:docGrid w:linePitch="326"/>
        </w:sectPr>
      </w:pPr>
    </w:p>
    <w:p w:rsidR="00567602" w:rsidRPr="00F55576" w:rsidRDefault="001434B9" w:rsidP="00567602">
      <w:pPr>
        <w:pStyle w:val="Header1StyleE"/>
        <w:pBdr>
          <w:bottom w:val="single" w:sz="12" w:space="1" w:color="auto"/>
        </w:pBdr>
        <w:rPr>
          <w:lang w:val="fr-CA"/>
        </w:rPr>
      </w:pPr>
      <w:bookmarkStart w:id="8" w:name="_Toc29890996"/>
      <w:r w:rsidRPr="00F55576">
        <w:rPr>
          <w:lang w:val="fr-CA"/>
        </w:rPr>
        <w:lastRenderedPageBreak/>
        <w:t>Appeals heard since the last issue and disposition</w:t>
      </w:r>
      <w:r w:rsidR="00271E1E" w:rsidRPr="00F55576">
        <w:rPr>
          <w:lang w:val="fr-CA"/>
        </w:rPr>
        <w:t xml:space="preserve"> / </w:t>
      </w:r>
      <w:r w:rsidR="00567602" w:rsidRPr="00F55576">
        <w:rPr>
          <w:lang w:val="fr-CA"/>
        </w:rPr>
        <w:br/>
      </w:r>
      <w:r w:rsidRPr="00F55576">
        <w:rPr>
          <w:lang w:val="fr-CA"/>
        </w:rPr>
        <w:t>Appels entendus depuis la dernière parution et résultat</w:t>
      </w:r>
      <w:bookmarkEnd w:id="8"/>
    </w:p>
    <w:p w:rsidR="00567602" w:rsidRPr="00F55576" w:rsidRDefault="00567602" w:rsidP="00567602">
      <w:pPr>
        <w:keepNext/>
        <w:keepLines/>
        <w:widowControl w:val="0"/>
        <w:jc w:val="both"/>
        <w:rPr>
          <w:sz w:val="20"/>
          <w:szCs w:val="20"/>
          <w:lang w:val="fr-CA"/>
        </w:rPr>
      </w:pPr>
    </w:p>
    <w:p w:rsidR="00717608" w:rsidRPr="00F55576" w:rsidRDefault="00717608" w:rsidP="00717608">
      <w:pPr>
        <w:rPr>
          <w:b/>
          <w:sz w:val="20"/>
          <w:szCs w:val="20"/>
        </w:rPr>
      </w:pPr>
      <w:r w:rsidRPr="00F55576">
        <w:rPr>
          <w:b/>
          <w:sz w:val="20"/>
          <w:szCs w:val="20"/>
        </w:rPr>
        <w:t>JANUARY 1</w:t>
      </w:r>
      <w:r w:rsidR="00172473" w:rsidRPr="00F55576">
        <w:rPr>
          <w:b/>
          <w:sz w:val="20"/>
          <w:szCs w:val="20"/>
        </w:rPr>
        <w:t>6</w:t>
      </w:r>
      <w:r w:rsidRPr="00F55576">
        <w:rPr>
          <w:b/>
          <w:sz w:val="20"/>
          <w:szCs w:val="20"/>
        </w:rPr>
        <w:t>, 20</w:t>
      </w:r>
      <w:r w:rsidR="00172473" w:rsidRPr="00F55576">
        <w:rPr>
          <w:b/>
          <w:sz w:val="20"/>
          <w:szCs w:val="20"/>
        </w:rPr>
        <w:t>20</w:t>
      </w:r>
      <w:r w:rsidRPr="00F55576">
        <w:rPr>
          <w:b/>
          <w:sz w:val="20"/>
          <w:szCs w:val="20"/>
        </w:rPr>
        <w:t xml:space="preserve"> / LE 1</w:t>
      </w:r>
      <w:r w:rsidR="00172473" w:rsidRPr="00F55576">
        <w:rPr>
          <w:b/>
          <w:sz w:val="20"/>
          <w:szCs w:val="20"/>
        </w:rPr>
        <w:t>6</w:t>
      </w:r>
      <w:r w:rsidRPr="00F55576">
        <w:rPr>
          <w:b/>
          <w:sz w:val="20"/>
          <w:szCs w:val="20"/>
        </w:rPr>
        <w:t xml:space="preserve"> JANVIER 20</w:t>
      </w:r>
      <w:r w:rsidR="00172473" w:rsidRPr="00F55576">
        <w:rPr>
          <w:b/>
          <w:sz w:val="20"/>
          <w:szCs w:val="20"/>
        </w:rPr>
        <w:t>20</w:t>
      </w:r>
    </w:p>
    <w:p w:rsidR="00172473" w:rsidRPr="00F55576" w:rsidRDefault="00172473" w:rsidP="00717608">
      <w:pPr>
        <w:rPr>
          <w:sz w:val="20"/>
          <w:szCs w:val="20"/>
        </w:rPr>
      </w:pPr>
    </w:p>
    <w:p w:rsidR="00BA1418" w:rsidRPr="00F55576" w:rsidRDefault="00BA1418" w:rsidP="00BA1418">
      <w:pPr>
        <w:widowControl w:val="0"/>
        <w:rPr>
          <w:sz w:val="20"/>
          <w:szCs w:val="20"/>
        </w:rPr>
      </w:pPr>
      <w:r w:rsidRPr="00F55576">
        <w:rPr>
          <w:b/>
          <w:sz w:val="20"/>
          <w:szCs w:val="20"/>
        </w:rPr>
        <w:t xml:space="preserve">Attorney General of British Columbia v. Attorney General of Canada </w:t>
      </w:r>
      <w:r w:rsidRPr="00F55576">
        <w:rPr>
          <w:sz w:val="20"/>
          <w:szCs w:val="20"/>
        </w:rPr>
        <w:t xml:space="preserve">(B.C.) (Civil) (As of Right) </w:t>
      </w:r>
      <w:r w:rsidRPr="00F55576">
        <w:rPr>
          <w:iCs/>
          <w:sz w:val="20"/>
          <w:szCs w:val="20"/>
        </w:rPr>
        <w:t>(</w:t>
      </w:r>
      <w:hyperlink r:id="rId105" w:history="1">
        <w:r w:rsidRPr="00F55576">
          <w:rPr>
            <w:rStyle w:val="Hyperlink"/>
            <w:iCs/>
            <w:sz w:val="20"/>
            <w:szCs w:val="20"/>
          </w:rPr>
          <w:t>38682</w:t>
        </w:r>
      </w:hyperlink>
      <w:r w:rsidRPr="00F55576">
        <w:rPr>
          <w:iCs/>
          <w:sz w:val="20"/>
          <w:szCs w:val="20"/>
        </w:rPr>
        <w:t>)</w:t>
      </w:r>
    </w:p>
    <w:p w:rsidR="00C672CC" w:rsidRPr="00F55576" w:rsidRDefault="00C672CC" w:rsidP="00C672CC">
      <w:pPr>
        <w:widowControl w:val="0"/>
        <w:ind w:left="1109" w:hanging="1109"/>
        <w:rPr>
          <w:sz w:val="20"/>
          <w:szCs w:val="20"/>
        </w:rPr>
      </w:pPr>
      <w:r w:rsidRPr="00F55576">
        <w:rPr>
          <w:b/>
          <w:sz w:val="20"/>
          <w:szCs w:val="20"/>
        </w:rPr>
        <w:t>2020 SCC 1 / 2020 CSC 1</w:t>
      </w:r>
    </w:p>
    <w:p w:rsidR="00102792" w:rsidRPr="00F55576" w:rsidRDefault="00102792" w:rsidP="00102792">
      <w:pPr>
        <w:ind w:left="1109" w:hanging="1109"/>
        <w:rPr>
          <w:color w:val="000000"/>
          <w:sz w:val="20"/>
          <w:szCs w:val="20"/>
        </w:rPr>
      </w:pPr>
    </w:p>
    <w:p w:rsidR="00102792" w:rsidRPr="00F55576" w:rsidRDefault="00102792" w:rsidP="00102792">
      <w:pPr>
        <w:ind w:left="1109" w:hanging="1109"/>
        <w:rPr>
          <w:color w:val="000000"/>
          <w:sz w:val="20"/>
          <w:szCs w:val="27"/>
        </w:rPr>
      </w:pPr>
      <w:r w:rsidRPr="00F55576">
        <w:rPr>
          <w:color w:val="000000"/>
          <w:sz w:val="20"/>
          <w:szCs w:val="27"/>
        </w:rPr>
        <w:t>Coram:</w:t>
      </w:r>
      <w:r w:rsidR="00D82BFF" w:rsidRPr="00F55576">
        <w:rPr>
          <w:sz w:val="20"/>
        </w:rPr>
        <w:t xml:space="preserve"> </w:t>
      </w:r>
      <w:r w:rsidR="00D82BFF" w:rsidRPr="00F55576">
        <w:rPr>
          <w:sz w:val="20"/>
        </w:rPr>
        <w:tab/>
      </w:r>
      <w:r w:rsidR="00BA1418" w:rsidRPr="00F55576">
        <w:rPr>
          <w:color w:val="000000"/>
          <w:sz w:val="20"/>
          <w:szCs w:val="27"/>
        </w:rPr>
        <w:t>Wagner C.J. and Abella, Moldaver, Karakatsanis, Côté, Brown, Rowe, Martin and Kasirer JJ.</w:t>
      </w:r>
    </w:p>
    <w:p w:rsidR="00102792" w:rsidRPr="00F55576" w:rsidRDefault="00102792" w:rsidP="00102792">
      <w:pPr>
        <w:ind w:left="1109" w:hanging="1109"/>
        <w:rPr>
          <w:color w:val="000000"/>
          <w:sz w:val="20"/>
          <w:szCs w:val="27"/>
        </w:rPr>
      </w:pPr>
    </w:p>
    <w:p w:rsidR="006B2B24" w:rsidRPr="00562E45" w:rsidRDefault="006B2B24" w:rsidP="006B2B24">
      <w:pPr>
        <w:jc w:val="both"/>
      </w:pPr>
      <w:r w:rsidRPr="00562E45">
        <w:t xml:space="preserve">The appeal from the judgment of the Court of Appeal for British Columbia (Vancouver), Number CA45253,  2019 BCCA 181, dated May 24, 2019, was heard on January 16, 2020 and the Court on that day delivered the following judgment orally: </w:t>
      </w:r>
    </w:p>
    <w:p w:rsidR="006B2B24" w:rsidRPr="00562E45" w:rsidRDefault="006B2B24" w:rsidP="006B2B24">
      <w:pPr>
        <w:jc w:val="both"/>
      </w:pPr>
    </w:p>
    <w:p w:rsidR="005709E4" w:rsidRDefault="006B2B24" w:rsidP="006B2B24">
      <w:pPr>
        <w:widowControl w:val="0"/>
        <w:tabs>
          <w:tab w:val="left" w:pos="720"/>
          <w:tab w:val="left" w:pos="1440"/>
          <w:tab w:val="left" w:pos="2851"/>
          <w:tab w:val="left" w:pos="4320"/>
          <w:tab w:val="left" w:pos="10224"/>
          <w:tab w:val="left" w:pos="11376"/>
        </w:tabs>
        <w:rPr>
          <w:rFonts w:cs="Times New Roman"/>
        </w:rPr>
      </w:pPr>
      <w:r w:rsidRPr="00562E45">
        <w:rPr>
          <w:smallCaps/>
        </w:rPr>
        <w:t>The Chief Justice</w:t>
      </w:r>
      <w:r w:rsidRPr="00562E45">
        <w:rPr>
          <w:rFonts w:cs="Times New Roman"/>
        </w:rPr>
        <w:t xml:space="preserve"> — </w:t>
      </w:r>
      <w:proofErr w:type="gramStart"/>
      <w:r w:rsidRPr="00562E45">
        <w:rPr>
          <w:rFonts w:cs="Times New Roman"/>
        </w:rPr>
        <w:t>We</w:t>
      </w:r>
      <w:proofErr w:type="gramEnd"/>
      <w:r w:rsidRPr="00562E45">
        <w:rPr>
          <w:rFonts w:cs="Times New Roman"/>
        </w:rPr>
        <w:t xml:space="preserve"> are all of the view to dismiss the appeal for the unanimous reasons of the Court of Appeal for British Columbia.</w:t>
      </w:r>
    </w:p>
    <w:p w:rsidR="006B2B24" w:rsidRDefault="006B2B24" w:rsidP="006B2B24">
      <w:pPr>
        <w:widowControl w:val="0"/>
        <w:tabs>
          <w:tab w:val="left" w:pos="720"/>
          <w:tab w:val="left" w:pos="1440"/>
          <w:tab w:val="left" w:pos="2851"/>
          <w:tab w:val="left" w:pos="4320"/>
          <w:tab w:val="left" w:pos="10224"/>
          <w:tab w:val="left" w:pos="11376"/>
        </w:tabs>
        <w:rPr>
          <w:rFonts w:cs="Times New Roman"/>
        </w:rPr>
      </w:pPr>
    </w:p>
    <w:p w:rsidR="006B2B24" w:rsidRPr="00562E45" w:rsidRDefault="006B2B24" w:rsidP="006B2B24">
      <w:pPr>
        <w:jc w:val="both"/>
        <w:rPr>
          <w:lang w:val="fr-CA"/>
        </w:rPr>
      </w:pPr>
      <w:r w:rsidRPr="00562E45">
        <w:rPr>
          <w:lang w:val="fr-CA"/>
        </w:rPr>
        <w:t>L’appel interjeté contre l’arrêt de la Cour d’appel de la Colombie-Britannique (Vancouver), numéro CA45253,  2019 BCCA 181, daté du 24 mai 2019, a été entendu le 16 janvier 2020 et la Cour a prononcé oralement le même jour le jugement suivant :</w:t>
      </w:r>
    </w:p>
    <w:p w:rsidR="006B2B24" w:rsidRPr="00562E45" w:rsidRDefault="006B2B24" w:rsidP="006B2B24">
      <w:pPr>
        <w:jc w:val="both"/>
        <w:rPr>
          <w:lang w:val="fr-CA"/>
        </w:rPr>
      </w:pPr>
    </w:p>
    <w:p w:rsidR="006B2B24" w:rsidRPr="00562E45" w:rsidRDefault="006B2B24" w:rsidP="006B2B24">
      <w:pPr>
        <w:jc w:val="both"/>
        <w:rPr>
          <w:lang w:val="fr-CA"/>
        </w:rPr>
      </w:pPr>
      <w:r w:rsidRPr="00562E45">
        <w:rPr>
          <w:lang w:val="fr-CA"/>
        </w:rPr>
        <w:t>[</w:t>
      </w:r>
      <w:r w:rsidRPr="00562E45">
        <w:rPr>
          <w:smallCaps/>
          <w:lang w:val="fr-CA"/>
        </w:rPr>
        <w:t>traduction</w:t>
      </w:r>
      <w:r w:rsidRPr="00562E45">
        <w:rPr>
          <w:lang w:val="fr-CA"/>
        </w:rPr>
        <w:t>]</w:t>
      </w:r>
    </w:p>
    <w:p w:rsidR="006B2B24" w:rsidRPr="006B2B24" w:rsidRDefault="006B2B24" w:rsidP="006B2B24">
      <w:pPr>
        <w:widowControl w:val="0"/>
        <w:tabs>
          <w:tab w:val="left" w:pos="720"/>
          <w:tab w:val="left" w:pos="1440"/>
          <w:tab w:val="left" w:pos="2851"/>
          <w:tab w:val="left" w:pos="4320"/>
          <w:tab w:val="left" w:pos="10224"/>
          <w:tab w:val="left" w:pos="11376"/>
        </w:tabs>
        <w:rPr>
          <w:rFonts w:cs="Times New Roman"/>
          <w:lang w:val="fr-CA"/>
        </w:rPr>
      </w:pPr>
      <w:r w:rsidRPr="00562E45">
        <w:rPr>
          <w:smallCaps/>
          <w:lang w:val="fr-CA"/>
        </w:rPr>
        <w:t>Le juge en chef</w:t>
      </w:r>
      <w:r w:rsidRPr="00562E45">
        <w:rPr>
          <w:lang w:val="fr-CA"/>
        </w:rPr>
        <w:t xml:space="preserve"> — Nous sommes toutes et tous d’avis de rejeter l’appel pour les motifs unanimes exposés par la Cour d’appel de la Colombie-Britannique.</w:t>
      </w:r>
    </w:p>
    <w:p w:rsidR="006B2B24" w:rsidRPr="006B2B24" w:rsidRDefault="006B2B24" w:rsidP="006B2B24">
      <w:pPr>
        <w:widowControl w:val="0"/>
        <w:tabs>
          <w:tab w:val="left" w:pos="720"/>
          <w:tab w:val="left" w:pos="1440"/>
          <w:tab w:val="left" w:pos="2851"/>
          <w:tab w:val="left" w:pos="4320"/>
          <w:tab w:val="left" w:pos="10224"/>
          <w:tab w:val="left" w:pos="11376"/>
        </w:tabs>
        <w:rPr>
          <w:sz w:val="20"/>
          <w:szCs w:val="20"/>
          <w:lang w:val="fr-CA"/>
        </w:rPr>
      </w:pPr>
    </w:p>
    <w:p w:rsidR="00E06F20" w:rsidRPr="00F55576" w:rsidRDefault="007B1953" w:rsidP="005709E4">
      <w:pPr>
        <w:rPr>
          <w:bCs/>
          <w:color w:val="000000"/>
          <w:sz w:val="20"/>
          <w:szCs w:val="27"/>
        </w:rPr>
      </w:pPr>
      <w:r>
        <w:rPr>
          <w:sz w:val="20"/>
          <w:szCs w:val="20"/>
        </w:rPr>
        <w:pict>
          <v:rect id="_x0000_i1075" style="width:2in;height:1pt" o:hrpct="0" o:hralign="center" o:hrstd="t" o:hrnoshade="t" o:hr="t" fillcolor="black [3213]" stroked="f"/>
        </w:pict>
      </w:r>
    </w:p>
    <w:p w:rsidR="00102792" w:rsidRPr="00F55576" w:rsidRDefault="00102792" w:rsidP="00102792">
      <w:pPr>
        <w:widowControl w:val="0"/>
        <w:rPr>
          <w:sz w:val="20"/>
          <w:szCs w:val="20"/>
        </w:rPr>
      </w:pPr>
    </w:p>
    <w:p w:rsidR="00172473" w:rsidRPr="00F55576" w:rsidRDefault="00172473" w:rsidP="00172473">
      <w:pPr>
        <w:rPr>
          <w:b/>
          <w:sz w:val="20"/>
          <w:szCs w:val="20"/>
        </w:rPr>
      </w:pPr>
      <w:r w:rsidRPr="00F55576">
        <w:rPr>
          <w:b/>
          <w:sz w:val="20"/>
          <w:szCs w:val="20"/>
        </w:rPr>
        <w:t>JANUARY 17, 2020 / LE 17 JANVIER 2020</w:t>
      </w:r>
    </w:p>
    <w:p w:rsidR="00A234E1" w:rsidRPr="00F55576" w:rsidRDefault="00A234E1" w:rsidP="00A234E1">
      <w:pPr>
        <w:widowControl w:val="0"/>
        <w:rPr>
          <w:sz w:val="20"/>
          <w:szCs w:val="24"/>
        </w:rPr>
      </w:pPr>
    </w:p>
    <w:p w:rsidR="00C672CC" w:rsidRPr="00F55576" w:rsidRDefault="00C672CC" w:rsidP="00C672CC">
      <w:pPr>
        <w:widowControl w:val="0"/>
        <w:rPr>
          <w:sz w:val="20"/>
          <w:szCs w:val="20"/>
        </w:rPr>
      </w:pPr>
      <w:r w:rsidRPr="00F55576">
        <w:rPr>
          <w:b/>
          <w:sz w:val="20"/>
          <w:szCs w:val="20"/>
        </w:rPr>
        <w:t xml:space="preserve">Ken Chung v. Her Majesty the Queen </w:t>
      </w:r>
      <w:r w:rsidRPr="00F55576">
        <w:rPr>
          <w:sz w:val="20"/>
          <w:szCs w:val="20"/>
        </w:rPr>
        <w:t xml:space="preserve">(B.C.) (Criminal) (As of Right) </w:t>
      </w:r>
      <w:r w:rsidRPr="00F55576">
        <w:rPr>
          <w:iCs/>
          <w:sz w:val="20"/>
          <w:szCs w:val="20"/>
        </w:rPr>
        <w:t>(</w:t>
      </w:r>
      <w:hyperlink r:id="rId106" w:history="1">
        <w:r w:rsidRPr="00F55576">
          <w:rPr>
            <w:rStyle w:val="Hyperlink"/>
            <w:iCs/>
            <w:sz w:val="20"/>
            <w:szCs w:val="20"/>
          </w:rPr>
          <w:t>38739</w:t>
        </w:r>
      </w:hyperlink>
      <w:r w:rsidRPr="00F55576">
        <w:rPr>
          <w:iCs/>
          <w:sz w:val="20"/>
          <w:szCs w:val="20"/>
        </w:rPr>
        <w:t>)</w:t>
      </w:r>
    </w:p>
    <w:p w:rsidR="00A234E1" w:rsidRPr="00F55576" w:rsidRDefault="00A234E1" w:rsidP="00A234E1">
      <w:pPr>
        <w:widowControl w:val="0"/>
        <w:ind w:left="1109" w:hanging="1109"/>
        <w:rPr>
          <w:sz w:val="20"/>
        </w:rPr>
      </w:pPr>
    </w:p>
    <w:p w:rsidR="00A234E1" w:rsidRPr="00F55576" w:rsidRDefault="00A234E1" w:rsidP="00A234E1">
      <w:pPr>
        <w:widowControl w:val="0"/>
        <w:ind w:left="1109" w:hanging="1109"/>
        <w:rPr>
          <w:sz w:val="20"/>
        </w:rPr>
      </w:pPr>
      <w:r w:rsidRPr="00F55576">
        <w:rPr>
          <w:sz w:val="20"/>
        </w:rPr>
        <w:t xml:space="preserve">Coram: </w:t>
      </w:r>
      <w:r w:rsidRPr="00F55576">
        <w:rPr>
          <w:sz w:val="20"/>
        </w:rPr>
        <w:tab/>
      </w:r>
      <w:r w:rsidR="00C672CC" w:rsidRPr="00F55576">
        <w:rPr>
          <w:sz w:val="20"/>
        </w:rPr>
        <w:t>Karakatsanis, Brown, Rowe, Martin and Kasirer JJ.</w:t>
      </w:r>
    </w:p>
    <w:p w:rsidR="00A234E1" w:rsidRPr="00F55576" w:rsidRDefault="00A234E1" w:rsidP="00A234E1">
      <w:pPr>
        <w:widowControl w:val="0"/>
        <w:ind w:left="1109" w:hanging="1109"/>
        <w:rPr>
          <w:sz w:val="20"/>
        </w:rPr>
      </w:pPr>
    </w:p>
    <w:p w:rsidR="00C672CC" w:rsidRPr="00F55576" w:rsidRDefault="00C672CC" w:rsidP="00C672CC">
      <w:pPr>
        <w:ind w:left="1109" w:hanging="1109"/>
        <w:rPr>
          <w:b/>
          <w:bCs/>
          <w:color w:val="000000"/>
          <w:sz w:val="20"/>
          <w:szCs w:val="20"/>
        </w:rPr>
      </w:pPr>
      <w:r w:rsidRPr="00F55576">
        <w:rPr>
          <w:b/>
          <w:bCs/>
          <w:color w:val="000000"/>
          <w:sz w:val="20"/>
          <w:szCs w:val="20"/>
        </w:rPr>
        <w:t>RESERVED / EN DÉLIBÉRÉ</w:t>
      </w:r>
    </w:p>
    <w:p w:rsidR="00E06F20" w:rsidRPr="00F55576" w:rsidRDefault="00E06F20" w:rsidP="00A234E1">
      <w:pPr>
        <w:jc w:val="both"/>
        <w:rPr>
          <w:sz w:val="20"/>
          <w:lang w:val="fr-CA"/>
        </w:rPr>
      </w:pPr>
    </w:p>
    <w:p w:rsidR="00D004FC" w:rsidRPr="00F55576" w:rsidRDefault="007B1953" w:rsidP="00102792">
      <w:pPr>
        <w:rPr>
          <w:sz w:val="20"/>
          <w:szCs w:val="20"/>
          <w:lang w:val="fr-CA"/>
        </w:rPr>
      </w:pPr>
      <w:r>
        <w:rPr>
          <w:sz w:val="20"/>
          <w:szCs w:val="20"/>
        </w:rPr>
        <w:pict>
          <v:rect id="_x0000_i1076" style="width:2in;height:1pt" o:hrpct="0" o:hralign="center" o:hrstd="t" o:hrnoshade="t" o:hr="t" fillcolor="black [3213]" stroked="f"/>
        </w:pict>
      </w:r>
    </w:p>
    <w:p w:rsidR="0056248C" w:rsidRPr="00F55576" w:rsidRDefault="0056248C" w:rsidP="00732DB7">
      <w:pPr>
        <w:widowControl w:val="0"/>
        <w:rPr>
          <w:sz w:val="20"/>
          <w:szCs w:val="20"/>
          <w:lang w:val="fr-CA"/>
        </w:rPr>
      </w:pPr>
    </w:p>
    <w:p w:rsidR="00172473" w:rsidRPr="00F55576" w:rsidRDefault="00172473" w:rsidP="00732DB7">
      <w:pPr>
        <w:widowControl w:val="0"/>
        <w:rPr>
          <w:sz w:val="20"/>
          <w:szCs w:val="20"/>
          <w:lang w:val="fr-CA"/>
        </w:rPr>
      </w:pPr>
    </w:p>
    <w:p w:rsidR="00732DB7" w:rsidRPr="00F55576" w:rsidRDefault="00732DB7" w:rsidP="00732DB7">
      <w:pPr>
        <w:widowControl w:val="0"/>
        <w:rPr>
          <w:sz w:val="20"/>
          <w:szCs w:val="20"/>
          <w:lang w:val="fr-CA"/>
        </w:rPr>
      </w:pPr>
    </w:p>
    <w:p w:rsidR="00732DB7" w:rsidRPr="00F55576" w:rsidRDefault="00732DB7" w:rsidP="00732DB7">
      <w:pPr>
        <w:widowControl w:val="0"/>
        <w:rPr>
          <w:sz w:val="20"/>
          <w:szCs w:val="20"/>
          <w:lang w:val="fr-CA"/>
        </w:rPr>
        <w:sectPr w:rsidR="00732DB7" w:rsidRPr="00F55576" w:rsidSect="00732DB7">
          <w:headerReference w:type="even" r:id="rId107"/>
          <w:headerReference w:type="default" r:id="rId108"/>
          <w:footerReference w:type="even" r:id="rId109"/>
          <w:footerReference w:type="default" r:id="rId110"/>
          <w:headerReference w:type="first" r:id="rId111"/>
          <w:footerReference w:type="first" r:id="rId112"/>
          <w:pgSz w:w="12240" w:h="15840"/>
          <w:pgMar w:top="720" w:right="965" w:bottom="1080" w:left="1656" w:header="720" w:footer="960" w:gutter="0"/>
          <w:cols w:space="720"/>
          <w:titlePg/>
          <w:docGrid w:linePitch="326"/>
        </w:sectPr>
      </w:pPr>
    </w:p>
    <w:p w:rsidR="00D323A8" w:rsidRPr="00F55576" w:rsidRDefault="00D323A8" w:rsidP="00D323A8">
      <w:pPr>
        <w:tabs>
          <w:tab w:val="center" w:pos="5220"/>
          <w:tab w:val="right" w:pos="10800"/>
        </w:tabs>
        <w:jc w:val="center"/>
        <w:rPr>
          <w:rFonts w:ascii="Arial" w:hAnsi="Arial" w:cs="Arial"/>
          <w:sz w:val="16"/>
          <w:szCs w:val="18"/>
          <w:lang w:val="fr-CA"/>
        </w:rPr>
      </w:pPr>
      <w:bookmarkStart w:id="9" w:name="1"/>
      <w:bookmarkStart w:id="10" w:name="QuickMark"/>
      <w:bookmarkEnd w:id="9"/>
      <w:bookmarkEnd w:id="10"/>
      <w:r w:rsidRPr="00F55576">
        <w:rPr>
          <w:rFonts w:ascii="Arial" w:hAnsi="Arial" w:cs="Arial"/>
          <w:b/>
          <w:szCs w:val="28"/>
          <w:lang w:val="fr-FR"/>
        </w:rPr>
        <w:lastRenderedPageBreak/>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D323A8" w:rsidRPr="00F55576" w:rsidTr="00F74A40">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DECEMBER – DÉCEMBRE</w:t>
            </w:r>
          </w:p>
        </w:tc>
      </w:tr>
      <w:tr w:rsidR="00D323A8" w:rsidRPr="00F55576" w:rsidTr="00F74A40">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4"/>
                <w:szCs w:val="14"/>
                <w:lang w:val="fr-FR"/>
              </w:rPr>
            </w:pPr>
            <w:r w:rsidRPr="00F55576">
              <w:rPr>
                <w:rFonts w:ascii="Arial" w:hAnsi="Arial" w:cs="Arial"/>
                <w:b/>
                <w:sz w:val="14"/>
                <w:szCs w:val="14"/>
                <w:lang w:val="fr-FR"/>
              </w:rPr>
              <w:t>S</w:t>
            </w:r>
          </w:p>
          <w:p w:rsidR="00D323A8" w:rsidRPr="00F55576" w:rsidRDefault="00D323A8" w:rsidP="00F74A40">
            <w:pPr>
              <w:tabs>
                <w:tab w:val="center" w:pos="5220"/>
                <w:tab w:val="right" w:pos="10440"/>
              </w:tabs>
              <w:jc w:val="center"/>
              <w:rPr>
                <w:rFonts w:ascii="Arial" w:hAnsi="Arial" w:cs="Arial"/>
                <w:b/>
                <w:sz w:val="14"/>
                <w:szCs w:val="14"/>
                <w:lang w:val="fr-FR"/>
              </w:rPr>
            </w:pPr>
            <w:r w:rsidRPr="00F55576">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M</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T</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W</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T</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F</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S</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S</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M</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T</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W</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T</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F</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S</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S</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M</w:t>
            </w:r>
          </w:p>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lang w:val="fr-FR"/>
              </w:rPr>
            </w:pPr>
            <w:r w:rsidRPr="00F55576">
              <w:rPr>
                <w:rFonts w:ascii="Arial" w:hAnsi="Arial" w:cs="Arial"/>
                <w:b/>
                <w:sz w:val="13"/>
                <w:szCs w:val="13"/>
                <w:lang w:val="fr-FR"/>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W</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F</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tc>
      </w:tr>
      <w:tr w:rsidR="00D323A8" w:rsidRPr="00F55576" w:rsidTr="00F74A4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RH</w:t>
            </w:r>
          </w:p>
          <w:p w:rsidR="00D323A8" w:rsidRPr="00F55576" w:rsidRDefault="00D323A8" w:rsidP="00F74A40">
            <w:pPr>
              <w:jc w:val="center"/>
              <w:rPr>
                <w:rFonts w:ascii="Arial" w:hAnsi="Arial" w:cs="Arial"/>
                <w:sz w:val="13"/>
                <w:szCs w:val="13"/>
              </w:rPr>
            </w:pPr>
            <w:r w:rsidRPr="00F55576">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CC</w:t>
            </w:r>
          </w:p>
          <w:p w:rsidR="00D323A8" w:rsidRPr="00F55576" w:rsidRDefault="00D323A8" w:rsidP="00F74A40">
            <w:pPr>
              <w:jc w:val="center"/>
              <w:rPr>
                <w:rFonts w:ascii="Arial" w:hAnsi="Arial" w:cs="Arial"/>
                <w:sz w:val="13"/>
                <w:szCs w:val="13"/>
              </w:rPr>
            </w:pPr>
            <w:r w:rsidRPr="00F55576">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7</w:t>
            </w:r>
          </w:p>
        </w:tc>
      </w:tr>
      <w:tr w:rsidR="00D323A8" w:rsidRPr="00F55576" w:rsidTr="00F74A4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CC</w:t>
            </w:r>
          </w:p>
          <w:p w:rsidR="00D323A8" w:rsidRPr="00F55576" w:rsidRDefault="00D323A8" w:rsidP="00F74A40">
            <w:pPr>
              <w:jc w:val="center"/>
              <w:rPr>
                <w:rFonts w:ascii="Arial" w:hAnsi="Arial" w:cs="Arial"/>
                <w:sz w:val="13"/>
                <w:szCs w:val="13"/>
              </w:rPr>
            </w:pPr>
            <w:r w:rsidRPr="00F55576">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YK</w:t>
            </w:r>
          </w:p>
          <w:p w:rsidR="00D323A8" w:rsidRPr="00F55576" w:rsidRDefault="00D323A8" w:rsidP="00F74A40">
            <w:pPr>
              <w:jc w:val="center"/>
              <w:rPr>
                <w:rFonts w:ascii="Arial" w:hAnsi="Arial" w:cs="Arial"/>
                <w:sz w:val="13"/>
                <w:szCs w:val="13"/>
              </w:rPr>
            </w:pPr>
            <w:r w:rsidRPr="00F55576">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CC</w:t>
            </w:r>
          </w:p>
          <w:p w:rsidR="00D323A8" w:rsidRPr="00F55576" w:rsidRDefault="00D323A8" w:rsidP="00F74A40">
            <w:pPr>
              <w:jc w:val="center"/>
              <w:rPr>
                <w:rFonts w:ascii="Arial" w:hAnsi="Arial" w:cs="Arial"/>
                <w:sz w:val="13"/>
                <w:szCs w:val="13"/>
              </w:rPr>
            </w:pPr>
            <w:r w:rsidRPr="00F5557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14</w:t>
            </w:r>
          </w:p>
        </w:tc>
      </w:tr>
      <w:tr w:rsidR="00D323A8" w:rsidRPr="00F55576" w:rsidTr="00F74A40">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H</w:t>
            </w:r>
          </w:p>
          <w:p w:rsidR="00D323A8" w:rsidRPr="00F55576" w:rsidRDefault="00D323A8" w:rsidP="00F74A40">
            <w:pPr>
              <w:jc w:val="center"/>
              <w:rPr>
                <w:rFonts w:ascii="Arial" w:hAnsi="Arial" w:cs="Arial"/>
                <w:sz w:val="13"/>
                <w:szCs w:val="13"/>
              </w:rPr>
            </w:pPr>
            <w:r w:rsidRPr="00F55576">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H</w:t>
            </w:r>
          </w:p>
          <w:p w:rsidR="00D323A8" w:rsidRPr="00F55576" w:rsidRDefault="00D323A8" w:rsidP="00F74A40">
            <w:pPr>
              <w:jc w:val="center"/>
              <w:rPr>
                <w:rFonts w:ascii="Arial" w:hAnsi="Arial" w:cs="Arial"/>
                <w:sz w:val="13"/>
                <w:szCs w:val="13"/>
              </w:rPr>
            </w:pPr>
            <w:r w:rsidRPr="00F55576">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21</w:t>
            </w:r>
          </w:p>
        </w:tc>
      </w:tr>
      <w:tr w:rsidR="00D323A8" w:rsidRPr="00F55576" w:rsidTr="00F74A4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H</w:t>
            </w:r>
          </w:p>
          <w:p w:rsidR="00D323A8" w:rsidRPr="00F55576" w:rsidRDefault="00D323A8" w:rsidP="00F74A40">
            <w:pPr>
              <w:jc w:val="center"/>
              <w:rPr>
                <w:rFonts w:ascii="Arial" w:hAnsi="Arial" w:cs="Arial"/>
                <w:sz w:val="13"/>
                <w:szCs w:val="13"/>
              </w:rPr>
            </w:pPr>
            <w:r w:rsidRPr="00F55576">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H</w:t>
            </w:r>
          </w:p>
          <w:p w:rsidR="00D323A8" w:rsidRPr="00F55576" w:rsidRDefault="00D323A8" w:rsidP="00F74A40">
            <w:pPr>
              <w:jc w:val="center"/>
              <w:rPr>
                <w:rFonts w:ascii="Arial" w:hAnsi="Arial" w:cs="Arial"/>
                <w:sz w:val="13"/>
                <w:szCs w:val="13"/>
              </w:rPr>
            </w:pPr>
            <w:r w:rsidRPr="00F55576">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28</w:t>
            </w:r>
          </w:p>
        </w:tc>
      </w:tr>
      <w:tr w:rsidR="00D323A8" w:rsidRPr="00F55576" w:rsidTr="00F74A40">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r>
    </w:tbl>
    <w:p w:rsidR="00D323A8" w:rsidRPr="00F55576" w:rsidRDefault="00D323A8" w:rsidP="00D323A8">
      <w:pPr>
        <w:tabs>
          <w:tab w:val="center" w:pos="5220"/>
          <w:tab w:val="right" w:pos="10440"/>
        </w:tabs>
        <w:jc w:val="center"/>
        <w:rPr>
          <w:rFonts w:ascii="Arial" w:hAnsi="Arial" w:cs="Arial"/>
          <w:szCs w:val="28"/>
        </w:rPr>
      </w:pPr>
      <w:r w:rsidRPr="00F55576">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D323A8" w:rsidRPr="00F55576" w:rsidTr="00F74A40">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MARCH – MARS</w:t>
            </w:r>
          </w:p>
        </w:tc>
      </w:tr>
      <w:tr w:rsidR="00D323A8" w:rsidRPr="00F55576" w:rsidTr="00F74A4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W</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F</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W</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F</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W</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F</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tc>
      </w:tr>
      <w:tr w:rsidR="00D323A8" w:rsidRPr="00F55576" w:rsidTr="00F74A4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H</w:t>
            </w:r>
          </w:p>
          <w:p w:rsidR="00D323A8" w:rsidRPr="00F55576" w:rsidRDefault="00D323A8" w:rsidP="00F74A40">
            <w:pPr>
              <w:jc w:val="center"/>
              <w:rPr>
                <w:rFonts w:ascii="Arial" w:hAnsi="Arial" w:cs="Arial"/>
                <w:sz w:val="13"/>
                <w:szCs w:val="13"/>
              </w:rPr>
            </w:pPr>
            <w:r w:rsidRPr="00F55576">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7</w:t>
            </w:r>
          </w:p>
        </w:tc>
      </w:tr>
      <w:tr w:rsidR="00D323A8" w:rsidRPr="00F55576" w:rsidTr="00F74A4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14</w:t>
            </w:r>
          </w:p>
        </w:tc>
      </w:tr>
      <w:tr w:rsidR="00D323A8" w:rsidRPr="00F55576" w:rsidTr="00F74A4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CC</w:t>
            </w:r>
          </w:p>
          <w:p w:rsidR="00D323A8" w:rsidRPr="00F55576" w:rsidRDefault="00D323A8" w:rsidP="00F74A40">
            <w:pPr>
              <w:jc w:val="center"/>
              <w:rPr>
                <w:rFonts w:ascii="Arial" w:hAnsi="Arial" w:cs="Arial"/>
                <w:sz w:val="13"/>
                <w:szCs w:val="13"/>
              </w:rPr>
            </w:pPr>
            <w:r w:rsidRPr="00F5557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CC</w:t>
            </w:r>
          </w:p>
          <w:p w:rsidR="00D323A8" w:rsidRPr="00F55576" w:rsidRDefault="00D323A8" w:rsidP="00F74A40">
            <w:pPr>
              <w:jc w:val="center"/>
              <w:rPr>
                <w:rFonts w:ascii="Arial" w:hAnsi="Arial" w:cs="Arial"/>
                <w:sz w:val="13"/>
                <w:szCs w:val="13"/>
              </w:rPr>
            </w:pPr>
            <w:r w:rsidRPr="00F5557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CC</w:t>
            </w:r>
          </w:p>
          <w:p w:rsidR="00D323A8" w:rsidRPr="00F55576" w:rsidRDefault="00D323A8" w:rsidP="00F74A40">
            <w:pPr>
              <w:jc w:val="center"/>
              <w:rPr>
                <w:rFonts w:ascii="Arial" w:hAnsi="Arial" w:cs="Arial"/>
                <w:sz w:val="13"/>
                <w:szCs w:val="13"/>
              </w:rPr>
            </w:pPr>
            <w:r w:rsidRPr="00F5557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21</w:t>
            </w:r>
          </w:p>
        </w:tc>
      </w:tr>
      <w:tr w:rsidR="00D323A8" w:rsidRPr="00F55576" w:rsidTr="00F74A4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28</w:t>
            </w:r>
          </w:p>
        </w:tc>
      </w:tr>
      <w:tr w:rsidR="00D323A8" w:rsidRPr="00F55576" w:rsidTr="00F74A4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r>
      <w:tr w:rsidR="00D323A8" w:rsidRPr="00F55576" w:rsidTr="00F74A40">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JUNE – JUIN</w:t>
            </w:r>
          </w:p>
        </w:tc>
      </w:tr>
      <w:tr w:rsidR="00D323A8" w:rsidRPr="00F55576" w:rsidTr="00F74A4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W</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F</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W</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F</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W</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F</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tc>
      </w:tr>
      <w:tr w:rsidR="00D323A8" w:rsidRPr="00F55576" w:rsidTr="00F74A4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6</w:t>
            </w:r>
          </w:p>
        </w:tc>
      </w:tr>
      <w:tr w:rsidR="00D323A8" w:rsidRPr="00F55576" w:rsidTr="00F74A4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H</w:t>
            </w:r>
          </w:p>
          <w:p w:rsidR="00D323A8" w:rsidRPr="00F55576" w:rsidRDefault="00D323A8" w:rsidP="00F74A40">
            <w:pPr>
              <w:jc w:val="center"/>
              <w:rPr>
                <w:rFonts w:ascii="Arial" w:hAnsi="Arial" w:cs="Arial"/>
                <w:sz w:val="13"/>
                <w:szCs w:val="13"/>
              </w:rPr>
            </w:pPr>
            <w:r w:rsidRPr="00F55576">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CC</w:t>
            </w:r>
          </w:p>
          <w:p w:rsidR="00D323A8" w:rsidRPr="00F55576" w:rsidRDefault="00D323A8" w:rsidP="00F74A40">
            <w:pPr>
              <w:jc w:val="center"/>
              <w:rPr>
                <w:rFonts w:ascii="Arial" w:hAnsi="Arial" w:cs="Arial"/>
                <w:sz w:val="13"/>
                <w:szCs w:val="13"/>
              </w:rPr>
            </w:pPr>
            <w:r w:rsidRPr="00F5557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13</w:t>
            </w:r>
          </w:p>
        </w:tc>
      </w:tr>
      <w:tr w:rsidR="00D323A8" w:rsidRPr="00F55576" w:rsidTr="00F74A40">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H</w:t>
            </w:r>
          </w:p>
          <w:p w:rsidR="00D323A8" w:rsidRPr="00F55576" w:rsidRDefault="00D323A8" w:rsidP="00F74A40">
            <w:pPr>
              <w:jc w:val="center"/>
              <w:rPr>
                <w:rFonts w:ascii="Arial" w:hAnsi="Arial" w:cs="Arial"/>
                <w:sz w:val="13"/>
                <w:szCs w:val="13"/>
              </w:rPr>
            </w:pPr>
            <w:r w:rsidRPr="00F55576">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CC</w:t>
            </w:r>
          </w:p>
          <w:p w:rsidR="00D323A8" w:rsidRPr="00F55576" w:rsidRDefault="00D323A8" w:rsidP="00F74A40">
            <w:pPr>
              <w:jc w:val="center"/>
              <w:rPr>
                <w:rFonts w:ascii="Arial" w:hAnsi="Arial" w:cs="Arial"/>
                <w:sz w:val="13"/>
                <w:szCs w:val="13"/>
              </w:rPr>
            </w:pPr>
            <w:r w:rsidRPr="00F5557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GO</w:t>
            </w:r>
          </w:p>
          <w:p w:rsidR="00D323A8" w:rsidRPr="00F55576" w:rsidRDefault="00D323A8" w:rsidP="00F74A40">
            <w:pPr>
              <w:jc w:val="center"/>
              <w:rPr>
                <w:rFonts w:ascii="Arial" w:hAnsi="Arial" w:cs="Arial"/>
                <w:sz w:val="13"/>
                <w:szCs w:val="13"/>
              </w:rPr>
            </w:pPr>
            <w:r w:rsidRPr="00F5557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GO</w:t>
            </w:r>
          </w:p>
          <w:p w:rsidR="00D323A8" w:rsidRPr="00F55576" w:rsidRDefault="00D323A8" w:rsidP="00F74A40">
            <w:pPr>
              <w:jc w:val="center"/>
              <w:rPr>
                <w:rFonts w:ascii="Arial" w:hAnsi="Arial" w:cs="Arial"/>
                <w:sz w:val="13"/>
                <w:szCs w:val="13"/>
              </w:rPr>
            </w:pPr>
            <w:r w:rsidRPr="00F55576">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CC</w:t>
            </w:r>
          </w:p>
          <w:p w:rsidR="00D323A8" w:rsidRPr="00F55576" w:rsidRDefault="00D323A8" w:rsidP="00F74A40">
            <w:pPr>
              <w:jc w:val="center"/>
              <w:rPr>
                <w:rFonts w:ascii="Arial" w:hAnsi="Arial" w:cs="Arial"/>
                <w:sz w:val="13"/>
                <w:szCs w:val="13"/>
              </w:rPr>
            </w:pPr>
            <w:r w:rsidRPr="00F5557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20</w:t>
            </w:r>
          </w:p>
        </w:tc>
      </w:tr>
      <w:tr w:rsidR="00D323A8" w:rsidRPr="00F55576" w:rsidTr="00F74A4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GO</w:t>
            </w:r>
          </w:p>
          <w:p w:rsidR="00D323A8" w:rsidRPr="00F55576" w:rsidRDefault="00D323A8" w:rsidP="00F74A40">
            <w:pPr>
              <w:jc w:val="center"/>
              <w:rPr>
                <w:rFonts w:ascii="Arial" w:hAnsi="Arial" w:cs="Arial"/>
                <w:sz w:val="13"/>
                <w:szCs w:val="13"/>
              </w:rPr>
            </w:pPr>
            <w:r w:rsidRPr="00F55576">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GO</w:t>
            </w:r>
          </w:p>
          <w:p w:rsidR="00D323A8" w:rsidRPr="00F55576" w:rsidRDefault="00D323A8" w:rsidP="00F74A40">
            <w:pPr>
              <w:jc w:val="center"/>
              <w:rPr>
                <w:rFonts w:ascii="Arial" w:hAnsi="Arial" w:cs="Arial"/>
                <w:sz w:val="13"/>
                <w:szCs w:val="13"/>
              </w:rPr>
            </w:pPr>
            <w:r w:rsidRPr="00F5557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H</w:t>
            </w:r>
          </w:p>
          <w:p w:rsidR="00D323A8" w:rsidRPr="00F55576" w:rsidRDefault="00D323A8" w:rsidP="00F74A40">
            <w:pPr>
              <w:jc w:val="center"/>
              <w:rPr>
                <w:rFonts w:ascii="Arial" w:hAnsi="Arial" w:cs="Arial"/>
                <w:sz w:val="13"/>
                <w:szCs w:val="13"/>
              </w:rPr>
            </w:pPr>
            <w:r w:rsidRPr="00F55576">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27</w:t>
            </w:r>
          </w:p>
        </w:tc>
      </w:tr>
      <w:tr w:rsidR="00D323A8" w:rsidRPr="00F55576" w:rsidTr="00F74A4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rPr>
                <w:rFonts w:ascii="Arial" w:hAnsi="Arial" w:cs="Arial"/>
                <w:sz w:val="13"/>
                <w:szCs w:val="13"/>
              </w:rPr>
            </w:pPr>
            <w:r w:rsidRPr="00F55576">
              <w:rPr>
                <w:rFonts w:ascii="Arial" w:hAnsi="Arial" w:cs="Arial"/>
                <w:sz w:val="13"/>
                <w:szCs w:val="13"/>
              </w:rPr>
              <w:t xml:space="preserve"> 24 </w:t>
            </w:r>
            <w:r w:rsidRPr="00F55576">
              <w:rPr>
                <w:rFonts w:ascii="Arial" w:hAnsi="Arial" w:cs="Arial"/>
                <w:sz w:val="13"/>
                <w:szCs w:val="13"/>
                <w:lang w:val="en-US"/>
              </w:rPr>
              <w:t>/</w:t>
            </w:r>
          </w:p>
          <w:p w:rsidR="00D323A8" w:rsidRPr="00F55576" w:rsidRDefault="00D323A8" w:rsidP="00F74A40">
            <w:pPr>
              <w:jc w:val="right"/>
              <w:rPr>
                <w:rFonts w:ascii="Arial" w:hAnsi="Arial" w:cs="Arial"/>
                <w:sz w:val="13"/>
                <w:szCs w:val="13"/>
              </w:rPr>
            </w:pPr>
            <w:r w:rsidRPr="00F55576">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r>
      <w:tr w:rsidR="00D323A8" w:rsidRPr="00F55576" w:rsidTr="00F74A40">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SEPTEMBER – SEPTEMBRE</w:t>
            </w:r>
          </w:p>
        </w:tc>
      </w:tr>
      <w:tr w:rsidR="00D323A8" w:rsidRPr="00F55576" w:rsidTr="00F74A4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6"/>
                <w:szCs w:val="16"/>
              </w:rPr>
            </w:pPr>
            <w:r w:rsidRPr="00F5557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W</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F</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W</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F</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D323A8" w:rsidRPr="00F55576" w:rsidRDefault="00D323A8" w:rsidP="00F74A4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W</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T</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F</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p w:rsidR="00D323A8" w:rsidRPr="00F55576" w:rsidRDefault="00D323A8" w:rsidP="00F74A40">
            <w:pPr>
              <w:tabs>
                <w:tab w:val="center" w:pos="5220"/>
                <w:tab w:val="right" w:pos="10440"/>
              </w:tabs>
              <w:jc w:val="center"/>
              <w:rPr>
                <w:rFonts w:ascii="Arial" w:hAnsi="Arial" w:cs="Arial"/>
                <w:b/>
                <w:sz w:val="13"/>
                <w:szCs w:val="13"/>
              </w:rPr>
            </w:pPr>
            <w:r w:rsidRPr="00F55576">
              <w:rPr>
                <w:rFonts w:ascii="Arial" w:hAnsi="Arial" w:cs="Arial"/>
                <w:b/>
                <w:sz w:val="13"/>
                <w:szCs w:val="13"/>
              </w:rPr>
              <w:t>S</w:t>
            </w:r>
          </w:p>
        </w:tc>
      </w:tr>
      <w:tr w:rsidR="00D323A8" w:rsidRPr="00F55576" w:rsidTr="00F74A4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H</w:t>
            </w:r>
          </w:p>
          <w:p w:rsidR="00D323A8" w:rsidRPr="00F55576" w:rsidRDefault="00D323A8" w:rsidP="00F74A40">
            <w:pPr>
              <w:jc w:val="center"/>
              <w:rPr>
                <w:rFonts w:ascii="Arial" w:hAnsi="Arial" w:cs="Arial"/>
                <w:sz w:val="13"/>
                <w:szCs w:val="13"/>
              </w:rPr>
            </w:pPr>
            <w:r w:rsidRPr="00F55576">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5</w:t>
            </w:r>
          </w:p>
        </w:tc>
      </w:tr>
      <w:tr w:rsidR="00D323A8" w:rsidRPr="00F55576" w:rsidTr="00F74A4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H</w:t>
            </w:r>
          </w:p>
          <w:p w:rsidR="00D323A8" w:rsidRPr="00F55576" w:rsidRDefault="00D323A8" w:rsidP="00F74A40">
            <w:pPr>
              <w:jc w:val="center"/>
              <w:rPr>
                <w:rFonts w:ascii="Arial" w:hAnsi="Arial" w:cs="Arial"/>
                <w:sz w:val="13"/>
                <w:szCs w:val="13"/>
              </w:rPr>
            </w:pPr>
            <w:r w:rsidRPr="00F55576">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H</w:t>
            </w:r>
          </w:p>
          <w:p w:rsidR="00D323A8" w:rsidRPr="00F55576" w:rsidRDefault="00D323A8" w:rsidP="00F74A40">
            <w:pPr>
              <w:jc w:val="center"/>
              <w:rPr>
                <w:rFonts w:ascii="Arial" w:hAnsi="Arial" w:cs="Arial"/>
                <w:sz w:val="13"/>
                <w:szCs w:val="13"/>
              </w:rPr>
            </w:pPr>
            <w:r w:rsidRPr="00F55576">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12</w:t>
            </w:r>
          </w:p>
        </w:tc>
      </w:tr>
      <w:tr w:rsidR="00D323A8" w:rsidRPr="00F55576" w:rsidTr="00F74A4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RH</w:t>
            </w:r>
          </w:p>
          <w:p w:rsidR="00D323A8" w:rsidRPr="00F55576" w:rsidRDefault="00D323A8" w:rsidP="00F74A40">
            <w:pPr>
              <w:jc w:val="center"/>
              <w:rPr>
                <w:rFonts w:ascii="Arial" w:hAnsi="Arial" w:cs="Arial"/>
                <w:sz w:val="13"/>
                <w:szCs w:val="13"/>
              </w:rPr>
            </w:pPr>
            <w:r w:rsidRPr="00F55576">
              <w:rPr>
                <w:rFonts w:ascii="Arial" w:hAnsi="Arial" w:cs="Arial"/>
                <w:sz w:val="13"/>
                <w:szCs w:val="13"/>
              </w:rPr>
              <w:t>19</w:t>
            </w:r>
          </w:p>
        </w:tc>
      </w:tr>
      <w:tr w:rsidR="00D323A8" w:rsidRPr="00F55576" w:rsidTr="00F74A4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RH</w:t>
            </w:r>
          </w:p>
          <w:p w:rsidR="00D323A8" w:rsidRPr="00F55576" w:rsidRDefault="00D323A8" w:rsidP="00F74A40">
            <w:pPr>
              <w:jc w:val="center"/>
              <w:rPr>
                <w:rFonts w:ascii="Arial" w:hAnsi="Arial" w:cs="Arial"/>
                <w:sz w:val="13"/>
                <w:szCs w:val="13"/>
              </w:rPr>
            </w:pPr>
            <w:r w:rsidRPr="00F55576">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26</w:t>
            </w:r>
          </w:p>
        </w:tc>
      </w:tr>
      <w:tr w:rsidR="00D323A8" w:rsidRPr="00F55576" w:rsidTr="00F74A4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rPr>
                <w:rFonts w:ascii="Arial" w:hAnsi="Arial" w:cs="Arial"/>
                <w:sz w:val="13"/>
                <w:szCs w:val="13"/>
              </w:rPr>
            </w:pPr>
            <w:r w:rsidRPr="00F55576">
              <w:rPr>
                <w:rFonts w:ascii="Arial" w:hAnsi="Arial" w:cs="Arial"/>
                <w:sz w:val="13"/>
                <w:szCs w:val="13"/>
              </w:rPr>
              <w:t> 23 /</w:t>
            </w:r>
          </w:p>
          <w:p w:rsidR="00D323A8" w:rsidRPr="00F55576" w:rsidRDefault="00D323A8" w:rsidP="00F74A40">
            <w:pPr>
              <w:jc w:val="right"/>
              <w:rPr>
                <w:rFonts w:ascii="Arial" w:hAnsi="Arial" w:cs="Arial"/>
                <w:sz w:val="13"/>
                <w:szCs w:val="13"/>
              </w:rPr>
            </w:pPr>
            <w:r w:rsidRPr="00F55576">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rPr>
                <w:rFonts w:ascii="Arial" w:hAnsi="Arial" w:cs="Arial"/>
                <w:sz w:val="13"/>
                <w:szCs w:val="13"/>
              </w:rPr>
            </w:pPr>
            <w:r w:rsidRPr="00F55576">
              <w:rPr>
                <w:rFonts w:ascii="Arial" w:hAnsi="Arial" w:cs="Arial"/>
                <w:sz w:val="13"/>
                <w:szCs w:val="13"/>
              </w:rPr>
              <w:t> 24 /</w:t>
            </w:r>
          </w:p>
          <w:p w:rsidR="00D323A8" w:rsidRPr="00F55576" w:rsidRDefault="00D323A8" w:rsidP="00F74A40">
            <w:pPr>
              <w:jc w:val="right"/>
              <w:rPr>
                <w:rFonts w:ascii="Arial" w:hAnsi="Arial" w:cs="Arial"/>
                <w:sz w:val="13"/>
                <w:szCs w:val="13"/>
              </w:rPr>
            </w:pPr>
            <w:r w:rsidRPr="00F55576">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323A8" w:rsidRPr="00F55576" w:rsidRDefault="00D323A8" w:rsidP="00F74A40">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b/>
                <w:sz w:val="13"/>
                <w:szCs w:val="13"/>
              </w:rPr>
            </w:pPr>
            <w:r w:rsidRPr="00F55576">
              <w:rPr>
                <w:rFonts w:ascii="Arial" w:hAnsi="Arial" w:cs="Arial"/>
                <w:b/>
                <w:sz w:val="13"/>
                <w:szCs w:val="13"/>
              </w:rPr>
              <w:t>YK</w:t>
            </w:r>
          </w:p>
          <w:p w:rsidR="00D323A8" w:rsidRPr="00F55576" w:rsidRDefault="00D323A8" w:rsidP="00F74A40">
            <w:pPr>
              <w:jc w:val="center"/>
              <w:rPr>
                <w:rFonts w:ascii="Arial" w:hAnsi="Arial" w:cs="Arial"/>
                <w:sz w:val="13"/>
                <w:szCs w:val="13"/>
              </w:rPr>
            </w:pPr>
            <w:r w:rsidRPr="00F55576">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D323A8" w:rsidRPr="00F55576" w:rsidRDefault="00D323A8" w:rsidP="00F74A40">
            <w:pPr>
              <w:jc w:val="center"/>
              <w:rPr>
                <w:rFonts w:ascii="Arial" w:hAnsi="Arial" w:cs="Arial"/>
                <w:sz w:val="13"/>
                <w:szCs w:val="13"/>
              </w:rPr>
            </w:pPr>
            <w:r w:rsidRPr="00F5557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323A8" w:rsidRPr="00F55576" w:rsidRDefault="00D323A8" w:rsidP="00F74A40">
            <w:pPr>
              <w:jc w:val="center"/>
              <w:rPr>
                <w:rFonts w:ascii="Arial" w:hAnsi="Arial" w:cs="Arial"/>
                <w:sz w:val="13"/>
                <w:szCs w:val="13"/>
              </w:rPr>
            </w:pPr>
          </w:p>
        </w:tc>
      </w:tr>
    </w:tbl>
    <w:p w:rsidR="00D323A8" w:rsidRPr="00F55576" w:rsidRDefault="00D323A8" w:rsidP="00D323A8">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D323A8" w:rsidRPr="00F55576" w:rsidTr="00F74A40">
        <w:tc>
          <w:tcPr>
            <w:tcW w:w="1890" w:type="dxa"/>
            <w:tcBorders>
              <w:top w:val="nil"/>
              <w:left w:val="nil"/>
              <w:bottom w:val="nil"/>
              <w:right w:val="single" w:sz="4" w:space="0" w:color="000000" w:themeColor="text1"/>
            </w:tcBorders>
            <w:vAlign w:val="center"/>
            <w:hideMark/>
          </w:tcPr>
          <w:p w:rsidR="00D323A8" w:rsidRPr="00F55576" w:rsidRDefault="00D323A8" w:rsidP="00F74A40">
            <w:pPr>
              <w:rPr>
                <w:rFonts w:ascii="Arial" w:hAnsi="Arial" w:cs="Arial"/>
                <w:b/>
                <w:sz w:val="14"/>
                <w:szCs w:val="14"/>
              </w:rPr>
            </w:pPr>
            <w:r w:rsidRPr="00F55576">
              <w:rPr>
                <w:rFonts w:ascii="Arial" w:hAnsi="Arial" w:cs="Arial"/>
                <w:b/>
                <w:sz w:val="14"/>
                <w:szCs w:val="14"/>
              </w:rPr>
              <w:t>Sitting of the Court /</w:t>
            </w:r>
          </w:p>
          <w:p w:rsidR="00D323A8" w:rsidRPr="00F55576" w:rsidRDefault="00D323A8" w:rsidP="00F74A40">
            <w:pPr>
              <w:rPr>
                <w:rFonts w:ascii="Arial" w:hAnsi="Arial" w:cs="Arial"/>
                <w:b/>
                <w:sz w:val="14"/>
                <w:szCs w:val="14"/>
              </w:rPr>
            </w:pPr>
            <w:r w:rsidRPr="00F55576">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323A8" w:rsidRPr="00F55576" w:rsidRDefault="00D323A8" w:rsidP="00F74A40">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D323A8" w:rsidRPr="00F55576" w:rsidRDefault="00D323A8" w:rsidP="00F74A40">
            <w:pPr>
              <w:tabs>
                <w:tab w:val="left" w:pos="203"/>
              </w:tabs>
              <w:spacing w:after="120"/>
              <w:rPr>
                <w:rFonts w:ascii="Arial" w:hAnsi="Arial" w:cs="Arial"/>
                <w:b/>
                <w:sz w:val="14"/>
                <w:szCs w:val="14"/>
                <w:lang w:val="fr-CA"/>
              </w:rPr>
            </w:pPr>
            <w:r w:rsidRPr="00F55576">
              <w:rPr>
                <w:rFonts w:ascii="Arial" w:hAnsi="Arial" w:cs="Arial"/>
                <w:b/>
                <w:sz w:val="14"/>
                <w:szCs w:val="14"/>
                <w:lang w:val="fr-CA"/>
              </w:rPr>
              <w:t>18</w:t>
            </w:r>
            <w:r w:rsidRPr="00F55576">
              <w:rPr>
                <w:rFonts w:ascii="Arial" w:hAnsi="Arial" w:cs="Arial"/>
                <w:b/>
                <w:sz w:val="14"/>
                <w:szCs w:val="14"/>
                <w:lang w:val="fr-CA"/>
              </w:rPr>
              <w:tab/>
              <w:t xml:space="preserve"> </w:t>
            </w:r>
            <w:proofErr w:type="spellStart"/>
            <w:r w:rsidRPr="00F55576">
              <w:rPr>
                <w:rFonts w:ascii="Arial" w:hAnsi="Arial" w:cs="Arial"/>
                <w:b/>
                <w:sz w:val="14"/>
                <w:szCs w:val="14"/>
                <w:lang w:val="fr-CA"/>
              </w:rPr>
              <w:t>sitting</w:t>
            </w:r>
            <w:proofErr w:type="spellEnd"/>
            <w:r w:rsidRPr="00F55576">
              <w:rPr>
                <w:rFonts w:ascii="Arial" w:hAnsi="Arial" w:cs="Arial"/>
                <w:b/>
                <w:sz w:val="14"/>
                <w:szCs w:val="14"/>
                <w:lang w:val="fr-CA"/>
              </w:rPr>
              <w:t xml:space="preserve"> </w:t>
            </w:r>
            <w:proofErr w:type="spellStart"/>
            <w:r w:rsidRPr="00F55576">
              <w:rPr>
                <w:rFonts w:ascii="Arial" w:hAnsi="Arial" w:cs="Arial"/>
                <w:b/>
                <w:sz w:val="14"/>
                <w:szCs w:val="14"/>
                <w:lang w:val="fr-CA"/>
              </w:rPr>
              <w:t>weeks</w:t>
            </w:r>
            <w:proofErr w:type="spellEnd"/>
            <w:r w:rsidRPr="00F55576">
              <w:rPr>
                <w:rFonts w:ascii="Arial" w:hAnsi="Arial" w:cs="Arial"/>
                <w:b/>
                <w:sz w:val="14"/>
                <w:szCs w:val="14"/>
                <w:lang w:val="fr-CA"/>
              </w:rPr>
              <w:t xml:space="preserve"> / semaines séances de la Cour</w:t>
            </w:r>
          </w:p>
          <w:p w:rsidR="00D323A8" w:rsidRPr="00F55576" w:rsidRDefault="00D323A8" w:rsidP="00F74A40">
            <w:pPr>
              <w:tabs>
                <w:tab w:val="left" w:pos="203"/>
              </w:tabs>
              <w:rPr>
                <w:rFonts w:ascii="Arial" w:hAnsi="Arial" w:cs="Arial"/>
                <w:b/>
                <w:sz w:val="14"/>
                <w:szCs w:val="14"/>
                <w:lang w:val="fr-CA"/>
              </w:rPr>
            </w:pPr>
            <w:r w:rsidRPr="00F55576">
              <w:rPr>
                <w:rFonts w:ascii="Arial" w:hAnsi="Arial" w:cs="Arial"/>
                <w:b/>
                <w:sz w:val="14"/>
                <w:szCs w:val="14"/>
                <w:lang w:val="fr-CA"/>
              </w:rPr>
              <w:t>86</w:t>
            </w:r>
            <w:r w:rsidRPr="00F55576">
              <w:rPr>
                <w:rFonts w:ascii="Arial" w:hAnsi="Arial" w:cs="Arial"/>
                <w:b/>
                <w:sz w:val="14"/>
                <w:szCs w:val="14"/>
                <w:lang w:val="fr-CA"/>
              </w:rPr>
              <w:tab/>
              <w:t xml:space="preserve"> </w:t>
            </w:r>
            <w:proofErr w:type="spellStart"/>
            <w:r w:rsidRPr="00F55576">
              <w:rPr>
                <w:rFonts w:ascii="Arial" w:hAnsi="Arial" w:cs="Arial"/>
                <w:b/>
                <w:sz w:val="14"/>
                <w:szCs w:val="14"/>
                <w:lang w:val="fr-CA"/>
              </w:rPr>
              <w:t>sitting</w:t>
            </w:r>
            <w:proofErr w:type="spellEnd"/>
            <w:r w:rsidRPr="00F55576">
              <w:rPr>
                <w:rFonts w:ascii="Arial" w:hAnsi="Arial" w:cs="Arial"/>
                <w:b/>
                <w:sz w:val="14"/>
                <w:szCs w:val="14"/>
                <w:lang w:val="fr-CA"/>
              </w:rPr>
              <w:t xml:space="preserve"> </w:t>
            </w:r>
            <w:proofErr w:type="spellStart"/>
            <w:r w:rsidRPr="00F55576">
              <w:rPr>
                <w:rFonts w:ascii="Arial" w:hAnsi="Arial" w:cs="Arial"/>
                <w:b/>
                <w:sz w:val="14"/>
                <w:szCs w:val="14"/>
                <w:lang w:val="fr-CA"/>
              </w:rPr>
              <w:t>days</w:t>
            </w:r>
            <w:proofErr w:type="spellEnd"/>
            <w:r w:rsidRPr="00F55576">
              <w:rPr>
                <w:rFonts w:ascii="Arial" w:hAnsi="Arial" w:cs="Arial"/>
                <w:b/>
                <w:sz w:val="14"/>
                <w:szCs w:val="14"/>
                <w:lang w:val="fr-CA"/>
              </w:rPr>
              <w:t xml:space="preserve"> / journées séances de la Cour</w:t>
            </w:r>
          </w:p>
        </w:tc>
        <w:tc>
          <w:tcPr>
            <w:tcW w:w="3828" w:type="dxa"/>
            <w:tcMar>
              <w:top w:w="0" w:type="dxa"/>
              <w:left w:w="58" w:type="dxa"/>
              <w:bottom w:w="0" w:type="dxa"/>
              <w:right w:w="58" w:type="dxa"/>
            </w:tcMar>
            <w:hideMark/>
          </w:tcPr>
          <w:p w:rsidR="00D323A8" w:rsidRPr="00F55576" w:rsidRDefault="00D323A8" w:rsidP="00F74A40">
            <w:pPr>
              <w:spacing w:after="120"/>
              <w:rPr>
                <w:rFonts w:ascii="Arial" w:hAnsi="Arial" w:cs="Arial"/>
                <w:b/>
                <w:sz w:val="14"/>
                <w:szCs w:val="14"/>
                <w:lang w:val="fr-FR"/>
              </w:rPr>
            </w:pPr>
            <w:r w:rsidRPr="00F55576">
              <w:rPr>
                <w:rFonts w:ascii="Arial" w:hAnsi="Arial" w:cs="Arial"/>
                <w:b/>
                <w:sz w:val="14"/>
                <w:szCs w:val="14"/>
                <w:lang w:val="fr-FR"/>
              </w:rPr>
              <w:t xml:space="preserve">Rosh </w:t>
            </w:r>
            <w:proofErr w:type="spellStart"/>
            <w:r w:rsidRPr="00F55576">
              <w:rPr>
                <w:rFonts w:ascii="Arial" w:hAnsi="Arial" w:cs="Arial"/>
                <w:b/>
                <w:sz w:val="14"/>
                <w:szCs w:val="14"/>
                <w:lang w:val="fr-FR"/>
              </w:rPr>
              <w:t>Hashanah</w:t>
            </w:r>
            <w:proofErr w:type="spellEnd"/>
            <w:r w:rsidRPr="00F55576">
              <w:rPr>
                <w:rFonts w:ascii="Arial" w:hAnsi="Arial" w:cs="Arial"/>
                <w:b/>
                <w:sz w:val="14"/>
                <w:szCs w:val="14"/>
                <w:lang w:val="fr-FR"/>
              </w:rPr>
              <w:t xml:space="preserve"> / Nouvel An juif</w:t>
            </w:r>
          </w:p>
          <w:p w:rsidR="00D323A8" w:rsidRPr="00F55576" w:rsidRDefault="00D323A8" w:rsidP="00F74A40">
            <w:pPr>
              <w:spacing w:after="120"/>
              <w:rPr>
                <w:rFonts w:ascii="Arial" w:hAnsi="Arial" w:cs="Arial"/>
                <w:b/>
                <w:sz w:val="14"/>
                <w:szCs w:val="14"/>
                <w:lang w:val="fr-CA"/>
              </w:rPr>
            </w:pPr>
            <w:r w:rsidRPr="00F55576">
              <w:rPr>
                <w:rFonts w:ascii="Arial" w:hAnsi="Arial" w:cs="Arial"/>
                <w:b/>
                <w:sz w:val="14"/>
                <w:szCs w:val="14"/>
                <w:lang w:val="fr-FR"/>
              </w:rPr>
              <w:t xml:space="preserve">Yom </w:t>
            </w:r>
            <w:proofErr w:type="spellStart"/>
            <w:r w:rsidRPr="00F55576">
              <w:rPr>
                <w:rFonts w:ascii="Arial" w:hAnsi="Arial" w:cs="Arial"/>
                <w:b/>
                <w:sz w:val="14"/>
                <w:szCs w:val="14"/>
                <w:lang w:val="fr-FR"/>
              </w:rPr>
              <w:t>Kippur</w:t>
            </w:r>
            <w:proofErr w:type="spellEnd"/>
            <w:r w:rsidRPr="00F55576">
              <w:rPr>
                <w:rFonts w:ascii="Arial" w:hAnsi="Arial" w:cs="Arial"/>
                <w:b/>
                <w:sz w:val="14"/>
                <w:szCs w:val="14"/>
                <w:lang w:val="fr-FR"/>
              </w:rPr>
              <w:t xml:space="preserve"> / Yom Kippour</w:t>
            </w:r>
          </w:p>
        </w:tc>
        <w:tc>
          <w:tcPr>
            <w:tcW w:w="567" w:type="dxa"/>
            <w:hideMark/>
          </w:tcPr>
          <w:p w:rsidR="00D323A8" w:rsidRPr="00F55576" w:rsidRDefault="00D323A8" w:rsidP="00F74A40">
            <w:pPr>
              <w:spacing w:after="120"/>
              <w:jc w:val="center"/>
              <w:rPr>
                <w:rFonts w:ascii="Arial" w:hAnsi="Arial" w:cs="Arial"/>
                <w:b/>
                <w:sz w:val="14"/>
                <w:szCs w:val="14"/>
                <w:lang w:val="fr-CA"/>
              </w:rPr>
            </w:pPr>
            <w:r w:rsidRPr="00F55576">
              <w:rPr>
                <w:rFonts w:ascii="Arial" w:hAnsi="Arial" w:cs="Arial"/>
                <w:b/>
                <w:sz w:val="14"/>
                <w:szCs w:val="14"/>
                <w:lang w:val="fr-CA"/>
              </w:rPr>
              <w:t>RH</w:t>
            </w:r>
          </w:p>
          <w:p w:rsidR="00D323A8" w:rsidRPr="00F55576" w:rsidRDefault="00D323A8" w:rsidP="00F74A40">
            <w:pPr>
              <w:jc w:val="center"/>
              <w:rPr>
                <w:rFonts w:ascii="Arial" w:hAnsi="Arial" w:cs="Arial"/>
                <w:b/>
                <w:sz w:val="14"/>
                <w:szCs w:val="14"/>
                <w:lang w:val="fr-CA"/>
              </w:rPr>
            </w:pPr>
            <w:r w:rsidRPr="00F55576">
              <w:rPr>
                <w:rFonts w:ascii="Arial" w:hAnsi="Arial" w:cs="Arial"/>
                <w:b/>
                <w:sz w:val="14"/>
                <w:szCs w:val="14"/>
                <w:lang w:val="fr-CA"/>
              </w:rPr>
              <w:t>YK</w:t>
            </w:r>
          </w:p>
        </w:tc>
      </w:tr>
      <w:tr w:rsidR="00D323A8" w:rsidRPr="00F55576" w:rsidTr="00F74A40">
        <w:tc>
          <w:tcPr>
            <w:tcW w:w="1890" w:type="dxa"/>
            <w:tcBorders>
              <w:top w:val="nil"/>
              <w:left w:val="nil"/>
              <w:bottom w:val="nil"/>
              <w:right w:val="double" w:sz="4" w:space="0" w:color="auto"/>
            </w:tcBorders>
            <w:vAlign w:val="center"/>
            <w:hideMark/>
          </w:tcPr>
          <w:p w:rsidR="00D323A8" w:rsidRPr="00F55576" w:rsidRDefault="00D323A8" w:rsidP="00F74A40">
            <w:pPr>
              <w:spacing w:before="60"/>
              <w:rPr>
                <w:rFonts w:ascii="Arial" w:hAnsi="Arial" w:cs="Arial"/>
                <w:b/>
                <w:sz w:val="14"/>
                <w:szCs w:val="14"/>
                <w:lang w:val="fr-CA"/>
              </w:rPr>
            </w:pPr>
            <w:r w:rsidRPr="00F55576">
              <w:rPr>
                <w:rFonts w:ascii="Arial" w:hAnsi="Arial" w:cs="Arial"/>
                <w:b/>
                <w:sz w:val="14"/>
                <w:szCs w:val="14"/>
                <w:lang w:val="fr-CA"/>
              </w:rPr>
              <w:t xml:space="preserve">Court </w:t>
            </w:r>
            <w:proofErr w:type="spellStart"/>
            <w:r w:rsidRPr="00F55576">
              <w:rPr>
                <w:rFonts w:ascii="Arial" w:hAnsi="Arial" w:cs="Arial"/>
                <w:b/>
                <w:sz w:val="14"/>
                <w:szCs w:val="14"/>
                <w:lang w:val="fr-CA"/>
              </w:rPr>
              <w:t>conference</w:t>
            </w:r>
            <w:proofErr w:type="spellEnd"/>
            <w:r w:rsidRPr="00F55576">
              <w:rPr>
                <w:rFonts w:ascii="Arial" w:hAnsi="Arial" w:cs="Arial"/>
                <w:b/>
                <w:sz w:val="14"/>
                <w:szCs w:val="14"/>
                <w:lang w:val="fr-CA"/>
              </w:rPr>
              <w:t xml:space="preserve"> /</w:t>
            </w:r>
          </w:p>
          <w:p w:rsidR="00D323A8" w:rsidRPr="00F55576" w:rsidRDefault="00D323A8" w:rsidP="00F74A40">
            <w:pPr>
              <w:rPr>
                <w:rFonts w:ascii="Arial" w:hAnsi="Arial" w:cs="Arial"/>
                <w:b/>
                <w:sz w:val="14"/>
                <w:szCs w:val="14"/>
                <w:lang w:val="fr-CA"/>
              </w:rPr>
            </w:pPr>
            <w:r w:rsidRPr="00F55576">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D323A8" w:rsidRPr="00F55576" w:rsidRDefault="00D323A8" w:rsidP="00F74A40">
            <w:pPr>
              <w:jc w:val="center"/>
              <w:rPr>
                <w:rFonts w:ascii="Arial" w:hAnsi="Arial" w:cs="Arial"/>
                <w:b/>
                <w:sz w:val="14"/>
                <w:szCs w:val="14"/>
                <w:lang w:val="fr-FR"/>
              </w:rPr>
            </w:pPr>
            <w:r w:rsidRPr="00F55576">
              <w:rPr>
                <w:rFonts w:ascii="Arial" w:hAnsi="Arial" w:cs="Arial"/>
                <w:b/>
                <w:sz w:val="14"/>
                <w:szCs w:val="14"/>
                <w:lang w:val="fr-FR"/>
              </w:rPr>
              <w:t>CC</w:t>
            </w:r>
          </w:p>
        </w:tc>
        <w:tc>
          <w:tcPr>
            <w:tcW w:w="3524" w:type="dxa"/>
            <w:tcBorders>
              <w:top w:val="nil"/>
              <w:left w:val="double" w:sz="4" w:space="0" w:color="auto"/>
              <w:bottom w:val="nil"/>
              <w:right w:val="nil"/>
            </w:tcBorders>
            <w:hideMark/>
          </w:tcPr>
          <w:p w:rsidR="00D323A8" w:rsidRPr="00F55576" w:rsidRDefault="00D323A8" w:rsidP="00F74A40">
            <w:pPr>
              <w:tabs>
                <w:tab w:val="left" w:pos="203"/>
              </w:tabs>
              <w:spacing w:before="120"/>
              <w:rPr>
                <w:rFonts w:ascii="Arial" w:hAnsi="Arial" w:cs="Arial"/>
                <w:b/>
                <w:sz w:val="14"/>
                <w:szCs w:val="14"/>
                <w:lang w:val="fr-CA"/>
              </w:rPr>
            </w:pPr>
            <w:r w:rsidRPr="00F55576">
              <w:rPr>
                <w:rFonts w:ascii="Arial" w:hAnsi="Arial" w:cs="Arial"/>
                <w:b/>
                <w:sz w:val="14"/>
                <w:szCs w:val="14"/>
                <w:lang w:val="fr-CA"/>
              </w:rPr>
              <w:t>9</w:t>
            </w:r>
            <w:r w:rsidRPr="00F55576">
              <w:rPr>
                <w:rFonts w:ascii="Arial" w:hAnsi="Arial" w:cs="Arial"/>
                <w:b/>
                <w:sz w:val="14"/>
                <w:szCs w:val="14"/>
                <w:lang w:val="fr-CA"/>
              </w:rPr>
              <w:tab/>
              <w:t xml:space="preserve">Court </w:t>
            </w:r>
            <w:proofErr w:type="spellStart"/>
            <w:r w:rsidRPr="00F55576">
              <w:rPr>
                <w:rFonts w:ascii="Arial" w:hAnsi="Arial" w:cs="Arial"/>
                <w:b/>
                <w:sz w:val="14"/>
                <w:szCs w:val="14"/>
                <w:lang w:val="fr-CA"/>
              </w:rPr>
              <w:t>conference</w:t>
            </w:r>
            <w:proofErr w:type="spellEnd"/>
            <w:r w:rsidRPr="00F55576">
              <w:rPr>
                <w:rFonts w:ascii="Arial" w:hAnsi="Arial" w:cs="Arial"/>
                <w:b/>
                <w:sz w:val="14"/>
                <w:szCs w:val="14"/>
                <w:lang w:val="fr-CA"/>
              </w:rPr>
              <w:t xml:space="preserve"> </w:t>
            </w:r>
            <w:proofErr w:type="spellStart"/>
            <w:r w:rsidRPr="00F55576">
              <w:rPr>
                <w:rFonts w:ascii="Arial" w:hAnsi="Arial" w:cs="Arial"/>
                <w:b/>
                <w:sz w:val="14"/>
                <w:szCs w:val="14"/>
                <w:lang w:val="fr-CA"/>
              </w:rPr>
              <w:t>days</w:t>
            </w:r>
            <w:proofErr w:type="spellEnd"/>
            <w:r w:rsidRPr="00F55576">
              <w:rPr>
                <w:rFonts w:ascii="Arial" w:hAnsi="Arial" w:cs="Arial"/>
                <w:b/>
                <w:sz w:val="14"/>
                <w:szCs w:val="14"/>
                <w:lang w:val="fr-CA"/>
              </w:rPr>
              <w:t xml:space="preserve"> /</w:t>
            </w:r>
          </w:p>
          <w:p w:rsidR="00D323A8" w:rsidRPr="00F55576" w:rsidRDefault="00D323A8" w:rsidP="00F74A40">
            <w:pPr>
              <w:tabs>
                <w:tab w:val="left" w:pos="203"/>
              </w:tabs>
              <w:rPr>
                <w:rFonts w:ascii="Arial" w:hAnsi="Arial" w:cs="Arial"/>
                <w:b/>
                <w:sz w:val="14"/>
                <w:szCs w:val="14"/>
                <w:lang w:val="fr-CA"/>
              </w:rPr>
            </w:pPr>
            <w:r w:rsidRPr="00F55576">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D323A8" w:rsidRPr="00F55576" w:rsidRDefault="00D323A8" w:rsidP="00F74A40">
            <w:pPr>
              <w:rPr>
                <w:rFonts w:ascii="Arial" w:hAnsi="Arial" w:cs="Arial"/>
                <w:b/>
                <w:sz w:val="14"/>
                <w:szCs w:val="14"/>
                <w:lang w:val="en-US"/>
              </w:rPr>
            </w:pPr>
            <w:r w:rsidRPr="00F55576">
              <w:rPr>
                <w:rFonts w:ascii="Arial" w:hAnsi="Arial" w:cs="Arial"/>
                <w:b/>
                <w:sz w:val="14"/>
                <w:szCs w:val="14"/>
                <w:lang w:val="en-US"/>
              </w:rPr>
              <w:t xml:space="preserve">Greek Orthodox Easter / </w:t>
            </w:r>
            <w:proofErr w:type="spellStart"/>
            <w:r w:rsidRPr="00F55576">
              <w:rPr>
                <w:rFonts w:ascii="Arial" w:hAnsi="Arial" w:cs="Arial"/>
                <w:b/>
                <w:sz w:val="14"/>
                <w:szCs w:val="14"/>
                <w:lang w:val="en-US"/>
              </w:rPr>
              <w:t>Pâques</w:t>
            </w:r>
            <w:proofErr w:type="spellEnd"/>
            <w:r w:rsidRPr="00F55576">
              <w:rPr>
                <w:rFonts w:ascii="Arial" w:hAnsi="Arial" w:cs="Arial"/>
                <w:b/>
                <w:sz w:val="14"/>
                <w:szCs w:val="14"/>
                <w:lang w:val="en-US"/>
              </w:rPr>
              <w:t xml:space="preserve"> </w:t>
            </w:r>
            <w:proofErr w:type="spellStart"/>
            <w:r w:rsidRPr="00F55576">
              <w:rPr>
                <w:rFonts w:ascii="Arial" w:hAnsi="Arial" w:cs="Arial"/>
                <w:b/>
                <w:sz w:val="14"/>
                <w:szCs w:val="14"/>
                <w:lang w:val="en-US"/>
              </w:rPr>
              <w:t>orthodoxe</w:t>
            </w:r>
            <w:proofErr w:type="spellEnd"/>
            <w:r w:rsidRPr="00F55576">
              <w:rPr>
                <w:rFonts w:ascii="Arial" w:hAnsi="Arial" w:cs="Arial"/>
                <w:b/>
                <w:sz w:val="14"/>
                <w:szCs w:val="14"/>
                <w:lang w:val="en-US"/>
              </w:rPr>
              <w:t xml:space="preserve"> </w:t>
            </w:r>
            <w:proofErr w:type="spellStart"/>
            <w:r w:rsidRPr="00F55576">
              <w:rPr>
                <w:rFonts w:ascii="Arial" w:hAnsi="Arial" w:cs="Arial"/>
                <w:b/>
                <w:sz w:val="14"/>
                <w:szCs w:val="14"/>
                <w:lang w:val="en-US"/>
              </w:rPr>
              <w:t>grecque</w:t>
            </w:r>
            <w:proofErr w:type="spellEnd"/>
          </w:p>
        </w:tc>
        <w:tc>
          <w:tcPr>
            <w:tcW w:w="567" w:type="dxa"/>
            <w:hideMark/>
          </w:tcPr>
          <w:p w:rsidR="00D323A8" w:rsidRPr="00F55576" w:rsidRDefault="00D323A8" w:rsidP="00F74A40">
            <w:pPr>
              <w:jc w:val="center"/>
              <w:rPr>
                <w:rFonts w:ascii="Arial" w:hAnsi="Arial" w:cs="Arial"/>
                <w:b/>
                <w:sz w:val="14"/>
                <w:szCs w:val="14"/>
                <w:lang w:val="en-US"/>
              </w:rPr>
            </w:pPr>
            <w:r w:rsidRPr="00F55576">
              <w:rPr>
                <w:rFonts w:ascii="Arial" w:hAnsi="Arial" w:cs="Arial"/>
                <w:b/>
                <w:sz w:val="14"/>
                <w:szCs w:val="14"/>
                <w:lang w:val="en-US"/>
              </w:rPr>
              <w:t>GO</w:t>
            </w:r>
          </w:p>
        </w:tc>
      </w:tr>
      <w:tr w:rsidR="00D323A8" w:rsidTr="00F74A40">
        <w:trPr>
          <w:trHeight w:val="420"/>
        </w:trPr>
        <w:tc>
          <w:tcPr>
            <w:tcW w:w="1890" w:type="dxa"/>
            <w:tcBorders>
              <w:top w:val="nil"/>
              <w:left w:val="nil"/>
              <w:bottom w:val="nil"/>
              <w:right w:val="double" w:sz="4" w:space="0" w:color="auto"/>
            </w:tcBorders>
            <w:vAlign w:val="center"/>
            <w:hideMark/>
          </w:tcPr>
          <w:p w:rsidR="00D323A8" w:rsidRPr="00F55576" w:rsidRDefault="00D323A8" w:rsidP="00F74A40">
            <w:pPr>
              <w:rPr>
                <w:rFonts w:ascii="Arial" w:hAnsi="Arial" w:cs="Arial"/>
                <w:b/>
                <w:sz w:val="14"/>
                <w:szCs w:val="14"/>
              </w:rPr>
            </w:pPr>
            <w:r w:rsidRPr="00F55576">
              <w:rPr>
                <w:rFonts w:ascii="Arial" w:hAnsi="Arial" w:cs="Arial"/>
                <w:b/>
                <w:sz w:val="14"/>
                <w:szCs w:val="14"/>
              </w:rPr>
              <w:t xml:space="preserve">Holiday / </w:t>
            </w:r>
            <w:r w:rsidRPr="00F55576">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D323A8" w:rsidRPr="00F55576" w:rsidRDefault="00D323A8" w:rsidP="00F74A40">
            <w:pPr>
              <w:jc w:val="center"/>
              <w:rPr>
                <w:rFonts w:ascii="Arial" w:hAnsi="Arial" w:cs="Arial"/>
                <w:b/>
                <w:sz w:val="14"/>
                <w:szCs w:val="14"/>
              </w:rPr>
            </w:pPr>
            <w:r w:rsidRPr="00F55576">
              <w:rPr>
                <w:rFonts w:ascii="Arial" w:hAnsi="Arial" w:cs="Arial"/>
                <w:b/>
                <w:sz w:val="14"/>
                <w:szCs w:val="14"/>
              </w:rPr>
              <w:t>H</w:t>
            </w:r>
          </w:p>
        </w:tc>
        <w:tc>
          <w:tcPr>
            <w:tcW w:w="3524" w:type="dxa"/>
            <w:tcBorders>
              <w:top w:val="nil"/>
              <w:left w:val="double" w:sz="4" w:space="0" w:color="auto"/>
              <w:bottom w:val="nil"/>
              <w:right w:val="nil"/>
            </w:tcBorders>
            <w:hideMark/>
          </w:tcPr>
          <w:p w:rsidR="00D323A8" w:rsidRPr="00F55576" w:rsidRDefault="00D323A8" w:rsidP="00F74A40">
            <w:pPr>
              <w:tabs>
                <w:tab w:val="left" w:pos="203"/>
              </w:tabs>
              <w:spacing w:before="120"/>
              <w:rPr>
                <w:rFonts w:ascii="Arial" w:hAnsi="Arial" w:cs="Arial"/>
                <w:b/>
                <w:sz w:val="14"/>
                <w:szCs w:val="14"/>
              </w:rPr>
            </w:pPr>
            <w:r w:rsidRPr="00F55576">
              <w:rPr>
                <w:rFonts w:ascii="Arial" w:hAnsi="Arial" w:cs="Arial"/>
                <w:b/>
                <w:sz w:val="14"/>
                <w:szCs w:val="14"/>
              </w:rPr>
              <w:t>4</w:t>
            </w:r>
            <w:r w:rsidRPr="00F55576">
              <w:rPr>
                <w:rFonts w:ascii="Arial" w:hAnsi="Arial" w:cs="Arial"/>
                <w:b/>
                <w:sz w:val="14"/>
                <w:szCs w:val="14"/>
              </w:rPr>
              <w:tab/>
              <w:t xml:space="preserve">holidays during sitting days / </w:t>
            </w:r>
          </w:p>
          <w:p w:rsidR="00D323A8" w:rsidRDefault="00D323A8" w:rsidP="00F74A40">
            <w:pPr>
              <w:tabs>
                <w:tab w:val="left" w:pos="203"/>
              </w:tabs>
              <w:rPr>
                <w:rFonts w:ascii="Arial" w:hAnsi="Arial" w:cs="Arial"/>
                <w:b/>
                <w:sz w:val="14"/>
                <w:szCs w:val="14"/>
                <w:lang w:val="fr-CA"/>
              </w:rPr>
            </w:pPr>
            <w:r w:rsidRPr="00F55576">
              <w:rPr>
                <w:rFonts w:ascii="Arial" w:hAnsi="Arial" w:cs="Arial"/>
                <w:b/>
                <w:sz w:val="14"/>
                <w:szCs w:val="14"/>
              </w:rPr>
              <w:tab/>
            </w:r>
            <w:r w:rsidRPr="00F55576">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D323A8" w:rsidRDefault="00D323A8" w:rsidP="00F74A40">
            <w:pPr>
              <w:rPr>
                <w:rFonts w:ascii="Arial" w:hAnsi="Arial" w:cs="Arial"/>
                <w:b/>
                <w:sz w:val="14"/>
                <w:szCs w:val="14"/>
                <w:lang w:val="fr-FR"/>
              </w:rPr>
            </w:pPr>
          </w:p>
        </w:tc>
        <w:tc>
          <w:tcPr>
            <w:tcW w:w="567" w:type="dxa"/>
          </w:tcPr>
          <w:p w:rsidR="00D323A8" w:rsidRDefault="00D323A8" w:rsidP="00F74A40">
            <w:pPr>
              <w:jc w:val="center"/>
              <w:rPr>
                <w:rFonts w:ascii="Arial" w:hAnsi="Arial" w:cs="Arial"/>
                <w:b/>
                <w:sz w:val="14"/>
                <w:szCs w:val="14"/>
                <w:lang w:val="fr-FR"/>
              </w:rPr>
            </w:pPr>
          </w:p>
        </w:tc>
      </w:tr>
    </w:tbl>
    <w:p w:rsidR="002410B8" w:rsidRPr="0022323B" w:rsidRDefault="002410B8" w:rsidP="00D323A8">
      <w:pPr>
        <w:tabs>
          <w:tab w:val="center" w:pos="5220"/>
          <w:tab w:val="right" w:pos="10800"/>
        </w:tabs>
        <w:jc w:val="center"/>
        <w:rPr>
          <w:lang w:val="fr-CA"/>
        </w:rPr>
      </w:pPr>
    </w:p>
    <w:sectPr w:rsidR="002410B8" w:rsidRPr="0022323B" w:rsidSect="003008F5">
      <w:headerReference w:type="default" r:id="rId113"/>
      <w:footerReference w:type="default" r:id="rId114"/>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4D" w:rsidRDefault="00BA4C4D" w:rsidP="00A87207">
      <w:r>
        <w:separator/>
      </w:r>
    </w:p>
  </w:endnote>
  <w:endnote w:type="continuationSeparator" w:id="0">
    <w:p w:rsidR="00BA4C4D" w:rsidRDefault="00BA4C4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7B1953" w:rsidP="00A87207">
    <w:pPr>
      <w:pStyle w:val="Footer"/>
    </w:pPr>
    <w:r>
      <w:pict>
        <v:rect id="_x0000_i1028" style="width:480.95pt;height:1pt" o:hralign="center" o:hrstd="t" o:hrnoshade="t" o:hr="t" fillcolor="black [3213]" stroked="f"/>
      </w:pict>
    </w:r>
  </w:p>
  <w:p w:rsidR="00BA4C4D" w:rsidRPr="00B7374B" w:rsidRDefault="00BA4C4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7B1953" w:rsidP="00EB2B90">
    <w:pPr>
      <w:tabs>
        <w:tab w:val="center" w:pos="4680"/>
      </w:tabs>
    </w:pPr>
    <w:r>
      <w:pict>
        <v:rect id="_x0000_i1070" style="width:480.95pt;height:1pt" o:hralign="center" o:hrstd="t" o:hrnoshade="t" o:hr="t" fillcolor="black [3213]" stroked="f"/>
      </w:pict>
    </w:r>
  </w:p>
  <w:p w:rsidR="00BA4C4D" w:rsidRPr="0031432F" w:rsidRDefault="00BA4C4D" w:rsidP="00EB2B90">
    <w:pPr>
      <w:tabs>
        <w:tab w:val="center" w:pos="4680"/>
      </w:tabs>
    </w:pPr>
    <w:r>
      <w:tab/>
      <w:t xml:space="preserve">- </w:t>
    </w:r>
    <w:r>
      <w:fldChar w:fldCharType="begin"/>
    </w:r>
    <w:r>
      <w:instrText xml:space="preserve"> PAGE   \* MERGEFORMAT </w:instrText>
    </w:r>
    <w:r>
      <w:fldChar w:fldCharType="separate"/>
    </w:r>
    <w:r w:rsidR="007B1953">
      <w:rPr>
        <w:noProof/>
      </w:rPr>
      <w:t>32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4C4D"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4C4D" w:rsidRDefault="00BA4C4D">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7B19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3" style="width:480.95pt;height:1pt" o:hralign="center" o:hrstd="t" o:hrnoshade="t" o:hr="t" fillcolor="black [3213]" stroked="f"/>
      </w:pict>
    </w:r>
  </w:p>
  <w:p w:rsidR="00BA4C4D" w:rsidRDefault="00BA4C4D"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7B1953">
    <w:pPr>
      <w:pStyle w:val="Footer"/>
      <w:rPr>
        <w:lang w:val="fr-CA"/>
      </w:rPr>
    </w:pPr>
    <w:r>
      <w:rPr>
        <w:lang w:val="fr-CA"/>
      </w:rPr>
      <w:pict>
        <v:rect id="_x0000_i1074" style="width:480.95pt;height:1pt" o:hralign="center" o:hrstd="t" o:hrnoshade="t" o:hr="t" fillcolor="black [3213]" stroked="f"/>
      </w:pict>
    </w:r>
  </w:p>
  <w:p w:rsidR="00BA4C4D" w:rsidRDefault="00BA4C4D" w:rsidP="00EB2B90">
    <w:pPr>
      <w:tabs>
        <w:tab w:val="center" w:pos="4680"/>
      </w:tabs>
    </w:pPr>
    <w:r>
      <w:tab/>
      <w:t xml:space="preserve">- </w:t>
    </w:r>
    <w:r>
      <w:fldChar w:fldCharType="begin"/>
    </w:r>
    <w:r>
      <w:instrText xml:space="preserve"> PAGE   \* MERGEFORMAT </w:instrText>
    </w:r>
    <w:r>
      <w:fldChar w:fldCharType="separate"/>
    </w:r>
    <w:r w:rsidR="007B1953">
      <w:rPr>
        <w:noProof/>
      </w:rPr>
      <w:t>36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4C4D"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4C4D" w:rsidRDefault="00BA4C4D">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7B1953" w:rsidP="00732DB7">
    <w:r>
      <w:pict>
        <v:rect id="_x0000_i1077" style="width:480.95pt;height:1pt" o:hralign="center" o:hrstd="t" o:hrnoshade="t" o:hr="t" fillcolor="black" stroked="f"/>
      </w:pict>
    </w:r>
  </w:p>
  <w:p w:rsidR="00BA4C4D" w:rsidRDefault="00BA4C4D">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7B1953">
    <w:pPr>
      <w:pStyle w:val="Footer"/>
    </w:pPr>
    <w:r>
      <w:pict>
        <v:rect id="_x0000_i1078" style="width:480.95pt;height:1pt" o:hralign="center" o:hrstd="t" o:hrnoshade="t" o:hr="t" fillcolor="black" stroked="f"/>
      </w:pict>
    </w:r>
  </w:p>
  <w:p w:rsidR="00BA4C4D" w:rsidRPr="00283C52" w:rsidRDefault="00BA4C4D">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Pr="00924065" w:rsidRDefault="007B195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7B1953" w:rsidP="00755F22">
    <w:pPr>
      <w:tabs>
        <w:tab w:val="left" w:pos="-1440"/>
        <w:tab w:val="left" w:pos="-720"/>
      </w:tabs>
    </w:pPr>
    <w:r>
      <w:pict>
        <v:rect id="_x0000_i1029" style="width:480.95pt;height:1pt" o:hralign="center" o:hrstd="t" o:hrnoshade="t" o:hr="t" fillcolor="black [3213]" stroked="f"/>
      </w:pict>
    </w:r>
  </w:p>
  <w:p w:rsidR="00BA4C4D" w:rsidRPr="00954D22" w:rsidRDefault="00BA4C4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B1953">
      <w:rPr>
        <w:noProof/>
        <w:szCs w:val="24"/>
      </w:rPr>
      <w:t>1</w:t>
    </w:r>
    <w:r>
      <w:rPr>
        <w:szCs w:val="24"/>
      </w:rPr>
      <w:fldChar w:fldCharType="end"/>
    </w:r>
    <w:r w:rsidRPr="00954D22">
      <w:rPr>
        <w:szCs w:val="24"/>
      </w:rPr>
      <w:t xml:space="preserve"> -</w:t>
    </w:r>
  </w:p>
  <w:p w:rsidR="00BA4C4D" w:rsidRDefault="00BA4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7B1953" w:rsidP="00A87207">
    <w:pPr>
      <w:pStyle w:val="Footer"/>
    </w:pPr>
    <w:r>
      <w:pict>
        <v:rect id="_x0000_i1032" style="width:480.95pt;height:1pt" o:hralign="center" o:hrstd="t" o:hrnoshade="t" o:hr="t" fillcolor="black [3213]" stroked="f"/>
      </w:pict>
    </w:r>
  </w:p>
  <w:p w:rsidR="00BA4C4D" w:rsidRPr="00B7374B" w:rsidRDefault="00BA4C4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C3AFB">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7B195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BA4C4D" w:rsidRPr="00954D22" w:rsidRDefault="00BA4C4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C3AFB">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A4C4D"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4C4D" w:rsidRDefault="00BA4C4D">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7B19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BA4C4D" w:rsidRPr="0009648D" w:rsidRDefault="00BA4C4D" w:rsidP="00ED7E83">
    <w:pPr>
      <w:tabs>
        <w:tab w:val="center" w:pos="4680"/>
      </w:tabs>
    </w:pPr>
    <w:r>
      <w:tab/>
    </w:r>
    <w:r w:rsidRPr="0009648D">
      <w:t xml:space="preserve">- </w:t>
    </w:r>
    <w:r>
      <w:fldChar w:fldCharType="begin"/>
    </w:r>
    <w:r>
      <w:instrText xml:space="preserve"> PAGE   \* MERGEFORMAT </w:instrText>
    </w:r>
    <w:r>
      <w:fldChar w:fldCharType="separate"/>
    </w:r>
    <w:r w:rsidR="007B1953">
      <w:rPr>
        <w:noProof/>
      </w:rPr>
      <w:t>31</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7B1953">
    <w:pPr>
      <w:pStyle w:val="Footer"/>
      <w:rPr>
        <w:lang w:val="fr-CA"/>
      </w:rPr>
    </w:pPr>
    <w:r>
      <w:rPr>
        <w:lang w:val="fr-CA"/>
      </w:rPr>
      <w:pict>
        <v:rect id="_x0000_i1065" style="width:480.95pt;height:1pt" o:hralign="center" o:hrstd="t" o:hrnoshade="t" o:hr="t" fillcolor="black [3213]" stroked="f"/>
      </w:pict>
    </w:r>
  </w:p>
  <w:p w:rsidR="00BA4C4D" w:rsidRDefault="00BA4C4D" w:rsidP="00245129">
    <w:pPr>
      <w:tabs>
        <w:tab w:val="center" w:pos="4680"/>
      </w:tabs>
    </w:pPr>
    <w:r>
      <w:tab/>
    </w:r>
    <w:r w:rsidRPr="0009648D">
      <w:t xml:space="preserve">- </w:t>
    </w:r>
    <w:r>
      <w:fldChar w:fldCharType="begin"/>
    </w:r>
    <w:r>
      <w:instrText xml:space="preserve"> PAGE   \* MERGEFORMAT </w:instrText>
    </w:r>
    <w:r>
      <w:fldChar w:fldCharType="separate"/>
    </w:r>
    <w:r w:rsidR="005C3AFB">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4C4D"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4C4D" w:rsidRDefault="00BA4C4D">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7B1953" w:rsidP="00755F22">
    <w:pPr>
      <w:tabs>
        <w:tab w:val="left" w:pos="-1440"/>
        <w:tab w:val="left" w:pos="-720"/>
      </w:tabs>
    </w:pPr>
    <w:r>
      <w:pict>
        <v:rect id="_x0000_i1069" style="width:480.95pt;height:1pt" o:hralign="center" o:hrstd="t" o:hrnoshade="t" o:hr="t" fillcolor="black [3213]" stroked="f"/>
      </w:pict>
    </w:r>
  </w:p>
  <w:p w:rsidR="00BA4C4D" w:rsidRDefault="00BA4C4D" w:rsidP="00EB2B90">
    <w:pPr>
      <w:tabs>
        <w:tab w:val="center" w:pos="4680"/>
      </w:tabs>
    </w:pPr>
    <w:r>
      <w:tab/>
      <w:t xml:space="preserve">- </w:t>
    </w:r>
    <w:r>
      <w:fldChar w:fldCharType="begin"/>
    </w:r>
    <w:r>
      <w:instrText xml:space="preserve"> PAGE   \* MERGEFORMAT </w:instrText>
    </w:r>
    <w:r>
      <w:fldChar w:fldCharType="separate"/>
    </w:r>
    <w:r w:rsidR="007B1953">
      <w:rPr>
        <w:noProof/>
      </w:rPr>
      <w:t>35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4D" w:rsidRDefault="00BA4C4D" w:rsidP="00A87207">
      <w:r>
        <w:separator/>
      </w:r>
    </w:p>
  </w:footnote>
  <w:footnote w:type="continuationSeparator" w:id="0">
    <w:p w:rsidR="00BA4C4D" w:rsidRDefault="00BA4C4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A4C4D" w:rsidRPr="0044776A" w:rsidTr="00245129">
      <w:tc>
        <w:tcPr>
          <w:tcW w:w="4290" w:type="dxa"/>
          <w:tcMar>
            <w:left w:w="0" w:type="dxa"/>
            <w:right w:w="0" w:type="dxa"/>
          </w:tcMar>
        </w:tcPr>
        <w:p w:rsidR="00BA4C4D" w:rsidRPr="00D31809" w:rsidRDefault="00BA4C4D" w:rsidP="00D31809">
          <w:pPr>
            <w:keepNext/>
            <w:keepLines/>
            <w:rPr>
              <w:sz w:val="20"/>
              <w:szCs w:val="20"/>
              <w:lang w:val="en-US"/>
            </w:rPr>
          </w:pPr>
          <w:r w:rsidRPr="00D31809">
            <w:rPr>
              <w:sz w:val="20"/>
              <w:szCs w:val="20"/>
              <w:lang w:val="en-US"/>
            </w:rPr>
            <w:t>Applications for leave to appeal filed</w:t>
          </w:r>
        </w:p>
        <w:p w:rsidR="00BA4C4D" w:rsidRPr="00D31809" w:rsidRDefault="00BA4C4D" w:rsidP="00D31809">
          <w:pPr>
            <w:keepNext/>
            <w:keepLines/>
            <w:rPr>
              <w:sz w:val="20"/>
              <w:szCs w:val="20"/>
            </w:rPr>
          </w:pPr>
        </w:p>
      </w:tc>
      <w:tc>
        <w:tcPr>
          <w:tcW w:w="1200" w:type="dxa"/>
          <w:tcMar>
            <w:left w:w="0" w:type="dxa"/>
            <w:right w:w="0" w:type="dxa"/>
          </w:tcMar>
        </w:tcPr>
        <w:p w:rsidR="00BA4C4D" w:rsidRPr="00D31809" w:rsidRDefault="00BA4C4D" w:rsidP="002E2327">
          <w:pPr>
            <w:keepNext/>
            <w:keepLines/>
            <w:tabs>
              <w:tab w:val="left" w:pos="-1440"/>
              <w:tab w:val="left" w:pos="-720"/>
            </w:tabs>
            <w:jc w:val="center"/>
            <w:rPr>
              <w:sz w:val="20"/>
              <w:szCs w:val="20"/>
            </w:rPr>
          </w:pPr>
        </w:p>
      </w:tc>
      <w:tc>
        <w:tcPr>
          <w:tcW w:w="4320" w:type="dxa"/>
          <w:tcMar>
            <w:left w:w="0" w:type="dxa"/>
            <w:right w:w="0" w:type="dxa"/>
          </w:tcMar>
        </w:tcPr>
        <w:p w:rsidR="00BA4C4D" w:rsidRPr="00D31809" w:rsidRDefault="00BA4C4D" w:rsidP="002E2327">
          <w:pPr>
            <w:keepLines/>
            <w:rPr>
              <w:sz w:val="20"/>
              <w:szCs w:val="20"/>
              <w:lang w:val="fr-CA"/>
            </w:rPr>
          </w:pPr>
          <w:r w:rsidRPr="00D31809">
            <w:rPr>
              <w:sz w:val="20"/>
              <w:szCs w:val="20"/>
              <w:lang w:val="fr-CA"/>
            </w:rPr>
            <w:t>Demandes d’autorisation d’appel déposées</w:t>
          </w:r>
        </w:p>
      </w:tc>
    </w:tr>
  </w:tbl>
  <w:p w:rsidR="00BA4C4D" w:rsidRDefault="00BA4C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BA4C4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4C4D" w:rsidRPr="008042C9">
      <w:tc>
        <w:tcPr>
          <w:tcW w:w="4200" w:type="dxa"/>
          <w:tcMar>
            <w:left w:w="0" w:type="dxa"/>
            <w:right w:w="0" w:type="dxa"/>
          </w:tcMar>
        </w:tcPr>
        <w:p w:rsidR="00BA4C4D" w:rsidRDefault="00BA4C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A4C4D" w:rsidRDefault="00BA4C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4C4D" w:rsidRPr="00B01A03" w:rsidRDefault="00BA4C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A4C4D" w:rsidRPr="00B01A03"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A4C4D" w:rsidRPr="00B01A03"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A4C4D" w:rsidRPr="008042C9" w:rsidTr="00245129">
      <w:tc>
        <w:tcPr>
          <w:tcW w:w="4200" w:type="dxa"/>
          <w:tcMar>
            <w:left w:w="0" w:type="dxa"/>
            <w:right w:w="0" w:type="dxa"/>
          </w:tcMar>
        </w:tcPr>
        <w:p w:rsidR="00BA4C4D" w:rsidRPr="00F40249" w:rsidRDefault="00BA4C4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A4C4D" w:rsidRDefault="00BA4C4D" w:rsidP="00102926">
          <w:pPr>
            <w:keepNext/>
            <w:keepLines/>
            <w:tabs>
              <w:tab w:val="left" w:pos="-1440"/>
              <w:tab w:val="left" w:pos="-720"/>
            </w:tabs>
            <w:jc w:val="center"/>
            <w:rPr>
              <w:sz w:val="20"/>
              <w:szCs w:val="20"/>
            </w:rPr>
          </w:pPr>
        </w:p>
        <w:p w:rsidR="00BA4C4D" w:rsidRDefault="00BA4C4D" w:rsidP="00102926">
          <w:pPr>
            <w:keepNext/>
            <w:keepLines/>
            <w:tabs>
              <w:tab w:val="left" w:pos="-1440"/>
              <w:tab w:val="left" w:pos="-720"/>
            </w:tabs>
            <w:jc w:val="center"/>
            <w:rPr>
              <w:sz w:val="20"/>
              <w:szCs w:val="20"/>
            </w:rPr>
          </w:pPr>
        </w:p>
        <w:p w:rsidR="00BA4C4D" w:rsidRPr="00F40249" w:rsidRDefault="00BA4C4D" w:rsidP="00102926">
          <w:pPr>
            <w:keepNext/>
            <w:keepLines/>
            <w:tabs>
              <w:tab w:val="left" w:pos="-1440"/>
              <w:tab w:val="left" w:pos="-720"/>
            </w:tabs>
            <w:jc w:val="center"/>
            <w:rPr>
              <w:sz w:val="20"/>
              <w:szCs w:val="20"/>
            </w:rPr>
          </w:pPr>
        </w:p>
      </w:tc>
      <w:tc>
        <w:tcPr>
          <w:tcW w:w="4230" w:type="dxa"/>
          <w:tcMar>
            <w:left w:w="0" w:type="dxa"/>
            <w:right w:w="0" w:type="dxa"/>
          </w:tcMar>
        </w:tcPr>
        <w:p w:rsidR="00BA4C4D" w:rsidRPr="00F40249" w:rsidRDefault="00BA4C4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A4C4D" w:rsidRPr="00B01A03" w:rsidRDefault="00BA4C4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BA4C4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4C4D" w:rsidRPr="008042C9">
      <w:tc>
        <w:tcPr>
          <w:tcW w:w="4200" w:type="dxa"/>
          <w:tcMar>
            <w:left w:w="0" w:type="dxa"/>
            <w:right w:w="0" w:type="dxa"/>
          </w:tcMar>
        </w:tcPr>
        <w:p w:rsidR="00BA4C4D" w:rsidRDefault="00BA4C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A4C4D" w:rsidRDefault="00BA4C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4C4D" w:rsidRPr="00283C52" w:rsidRDefault="00BA4C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A4C4D" w:rsidRPr="00283C52"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A4C4D" w:rsidRPr="00283C52"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4C4D" w:rsidRPr="008042C9" w:rsidTr="00245129">
      <w:tc>
        <w:tcPr>
          <w:tcW w:w="4200" w:type="dxa"/>
          <w:tcMar>
            <w:left w:w="0" w:type="dxa"/>
            <w:right w:w="0" w:type="dxa"/>
          </w:tcMar>
        </w:tcPr>
        <w:p w:rsidR="00BA4C4D" w:rsidRPr="00732DB7" w:rsidRDefault="00BA4C4D"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BA4C4D" w:rsidRPr="00732DB7" w:rsidRDefault="00BA4C4D" w:rsidP="00732DB7">
          <w:pPr>
            <w:keepNext/>
            <w:keepLines/>
            <w:tabs>
              <w:tab w:val="left" w:pos="-1440"/>
              <w:tab w:val="left" w:pos="-720"/>
            </w:tabs>
            <w:jc w:val="center"/>
            <w:rPr>
              <w:sz w:val="20"/>
              <w:szCs w:val="20"/>
            </w:rPr>
          </w:pPr>
        </w:p>
        <w:p w:rsidR="00BA4C4D" w:rsidRPr="00732DB7" w:rsidRDefault="00BA4C4D" w:rsidP="00732DB7">
          <w:pPr>
            <w:keepNext/>
            <w:keepLines/>
            <w:tabs>
              <w:tab w:val="left" w:pos="-1440"/>
              <w:tab w:val="left" w:pos="-720"/>
            </w:tabs>
            <w:jc w:val="center"/>
            <w:rPr>
              <w:sz w:val="20"/>
              <w:szCs w:val="20"/>
            </w:rPr>
          </w:pPr>
        </w:p>
        <w:p w:rsidR="00BA4C4D" w:rsidRPr="00732DB7" w:rsidRDefault="00BA4C4D" w:rsidP="00732DB7">
          <w:pPr>
            <w:keepNext/>
            <w:keepLines/>
            <w:tabs>
              <w:tab w:val="left" w:pos="-1440"/>
              <w:tab w:val="left" w:pos="-720"/>
            </w:tabs>
            <w:jc w:val="center"/>
            <w:rPr>
              <w:sz w:val="20"/>
              <w:szCs w:val="20"/>
            </w:rPr>
          </w:pPr>
        </w:p>
      </w:tc>
      <w:tc>
        <w:tcPr>
          <w:tcW w:w="4080" w:type="dxa"/>
          <w:tcMar>
            <w:left w:w="0" w:type="dxa"/>
            <w:right w:w="0" w:type="dxa"/>
          </w:tcMar>
        </w:tcPr>
        <w:p w:rsidR="00BA4C4D" w:rsidRPr="00732DB7" w:rsidRDefault="00BA4C4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BA4C4D" w:rsidRPr="00283C52" w:rsidRDefault="00BA4C4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BA4C4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7B1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BA4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4C4D" w:rsidRPr="008042C9" w:rsidTr="00245129">
      <w:tc>
        <w:tcPr>
          <w:tcW w:w="4200" w:type="dxa"/>
          <w:tcMar>
            <w:left w:w="0" w:type="dxa"/>
            <w:right w:w="0" w:type="dxa"/>
          </w:tcMar>
        </w:tcPr>
        <w:p w:rsidR="00BA4C4D" w:rsidRPr="00A81DCF" w:rsidRDefault="00BA4C4D"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BA4C4D" w:rsidRPr="0044776A" w:rsidRDefault="00BA4C4D" w:rsidP="0044776A">
          <w:pPr>
            <w:keepNext/>
            <w:keepLines/>
            <w:widowControl w:val="0"/>
            <w:jc w:val="center"/>
            <w:rPr>
              <w:sz w:val="20"/>
              <w:szCs w:val="20"/>
            </w:rPr>
          </w:pPr>
        </w:p>
        <w:p w:rsidR="00BA4C4D" w:rsidRPr="0044776A" w:rsidRDefault="00BA4C4D" w:rsidP="0044776A">
          <w:pPr>
            <w:keepNext/>
            <w:keepLines/>
            <w:widowControl w:val="0"/>
            <w:jc w:val="center"/>
            <w:rPr>
              <w:sz w:val="20"/>
              <w:szCs w:val="20"/>
            </w:rPr>
          </w:pPr>
        </w:p>
        <w:p w:rsidR="00BA4C4D" w:rsidRPr="0044776A" w:rsidRDefault="00BA4C4D" w:rsidP="0044776A">
          <w:pPr>
            <w:keepNext/>
            <w:keepLines/>
            <w:widowControl w:val="0"/>
            <w:jc w:val="center"/>
            <w:rPr>
              <w:sz w:val="20"/>
              <w:szCs w:val="20"/>
            </w:rPr>
          </w:pPr>
        </w:p>
      </w:tc>
      <w:tc>
        <w:tcPr>
          <w:tcW w:w="4080" w:type="dxa"/>
          <w:tcMar>
            <w:left w:w="0" w:type="dxa"/>
            <w:right w:w="0" w:type="dxa"/>
          </w:tcMar>
        </w:tcPr>
        <w:p w:rsidR="00BA4C4D" w:rsidRPr="0044776A" w:rsidRDefault="00BA4C4D"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BA4C4D" w:rsidRPr="002E2327" w:rsidRDefault="00BA4C4D">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BA4C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4C4D" w:rsidRPr="008042C9">
      <w:tc>
        <w:tcPr>
          <w:tcW w:w="4200" w:type="dxa"/>
          <w:tcMar>
            <w:left w:w="0" w:type="dxa"/>
            <w:right w:w="0" w:type="dxa"/>
          </w:tcMar>
        </w:tcPr>
        <w:p w:rsidR="00BA4C4D" w:rsidRDefault="00BA4C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A4C4D" w:rsidRDefault="00BA4C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A4C4D" w:rsidRDefault="00BA4C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4C4D" w:rsidRPr="00FF6BA5" w:rsidRDefault="00BA4C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A4C4D" w:rsidRPr="00FF6BA5"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A4C4D" w:rsidRPr="00FF6BA5"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A4C4D" w:rsidRPr="00FF6BA5"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4C4D" w:rsidRPr="008042C9" w:rsidTr="00245129">
      <w:tc>
        <w:tcPr>
          <w:tcW w:w="4200" w:type="dxa"/>
          <w:tcMar>
            <w:left w:w="0" w:type="dxa"/>
            <w:right w:w="0" w:type="dxa"/>
          </w:tcMar>
        </w:tcPr>
        <w:p w:rsidR="00BA4C4D" w:rsidRPr="00634F42" w:rsidRDefault="00BA4C4D"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BA4C4D" w:rsidRPr="00755F22" w:rsidRDefault="00BA4C4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A4C4D" w:rsidRPr="00755F22" w:rsidRDefault="00BA4C4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A4C4D" w:rsidRPr="00755F22" w:rsidRDefault="00BA4C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BA4C4D" w:rsidRPr="00FF6BA5" w:rsidRDefault="00BA4C4D"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D" w:rsidRDefault="00BA4C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A4C4D">
      <w:tc>
        <w:tcPr>
          <w:tcW w:w="4230" w:type="dxa"/>
          <w:tcMar>
            <w:left w:w="0" w:type="dxa"/>
            <w:right w:w="0" w:type="dxa"/>
          </w:tcMar>
        </w:tcPr>
        <w:p w:rsidR="00BA4C4D" w:rsidRDefault="00BA4C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A4C4D" w:rsidRDefault="00BA4C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4C4D" w:rsidRDefault="00BA4C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A4C4D">
      <w:trPr>
        <w:gridAfter w:val="2"/>
        <w:wAfter w:w="5250" w:type="dxa"/>
      </w:trPr>
      <w:tc>
        <w:tcPr>
          <w:tcW w:w="4230" w:type="dxa"/>
          <w:tcMar>
            <w:left w:w="0" w:type="dxa"/>
            <w:right w:w="0" w:type="dxa"/>
          </w:tcMar>
        </w:tcPr>
        <w:p w:rsidR="00BA4C4D"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A4C4D" w:rsidRDefault="00BA4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A4C4D" w:rsidRPr="00755F22" w:rsidTr="00245129">
      <w:tc>
        <w:tcPr>
          <w:tcW w:w="4230" w:type="dxa"/>
          <w:tcMar>
            <w:left w:w="0" w:type="dxa"/>
            <w:right w:w="0" w:type="dxa"/>
          </w:tcMar>
        </w:tcPr>
        <w:p w:rsidR="00BA4C4D" w:rsidRPr="00755F22" w:rsidRDefault="00BA4C4D" w:rsidP="00831CA9">
          <w:pPr>
            <w:keepNext/>
            <w:keepLines/>
            <w:rPr>
              <w:sz w:val="20"/>
              <w:szCs w:val="20"/>
            </w:rPr>
          </w:pPr>
          <w:r w:rsidRPr="00755F22">
            <w:rPr>
              <w:sz w:val="20"/>
              <w:szCs w:val="20"/>
            </w:rPr>
            <w:t>Motions</w:t>
          </w:r>
        </w:p>
      </w:tc>
      <w:tc>
        <w:tcPr>
          <w:tcW w:w="1170" w:type="dxa"/>
          <w:tcMar>
            <w:left w:w="0" w:type="dxa"/>
            <w:right w:w="0" w:type="dxa"/>
          </w:tcMar>
        </w:tcPr>
        <w:p w:rsidR="00BA4C4D" w:rsidRPr="00755F22" w:rsidRDefault="00BA4C4D" w:rsidP="00831CA9">
          <w:pPr>
            <w:keepLines/>
            <w:jc w:val="center"/>
            <w:rPr>
              <w:sz w:val="20"/>
              <w:szCs w:val="20"/>
            </w:rPr>
          </w:pPr>
        </w:p>
        <w:p w:rsidR="00BA4C4D" w:rsidRPr="00755F22" w:rsidRDefault="00BA4C4D" w:rsidP="00831CA9">
          <w:pPr>
            <w:keepLines/>
            <w:tabs>
              <w:tab w:val="left" w:pos="-1440"/>
              <w:tab w:val="left" w:pos="-720"/>
            </w:tabs>
            <w:jc w:val="center"/>
            <w:rPr>
              <w:sz w:val="20"/>
              <w:szCs w:val="20"/>
            </w:rPr>
          </w:pPr>
        </w:p>
      </w:tc>
      <w:tc>
        <w:tcPr>
          <w:tcW w:w="4080" w:type="dxa"/>
          <w:tcMar>
            <w:left w:w="0" w:type="dxa"/>
            <w:right w:w="0" w:type="dxa"/>
          </w:tcMar>
        </w:tcPr>
        <w:p w:rsidR="00BA4C4D" w:rsidRPr="00BA6468" w:rsidRDefault="00BA4C4D" w:rsidP="00BA6468">
          <w:pPr>
            <w:keepLines/>
            <w:rPr>
              <w:sz w:val="20"/>
              <w:szCs w:val="20"/>
              <w:lang w:val="fr-CA"/>
            </w:rPr>
          </w:pPr>
          <w:r w:rsidRPr="00BA6468">
            <w:rPr>
              <w:sz w:val="20"/>
              <w:szCs w:val="20"/>
              <w:lang w:val="fr-CA"/>
            </w:rPr>
            <w:t>Requêtes</w:t>
          </w:r>
        </w:p>
      </w:tc>
    </w:tr>
  </w:tbl>
  <w:p w:rsidR="00BA4C4D" w:rsidRDefault="00BA4C4D"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E5E5F"/>
    <w:multiLevelType w:val="hybridMultilevel"/>
    <w:tmpl w:val="ACDE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F6D0E"/>
    <w:multiLevelType w:val="multilevel"/>
    <w:tmpl w:val="E50EE7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B3588"/>
    <w:multiLevelType w:val="hybridMultilevel"/>
    <w:tmpl w:val="9F5AD0E6"/>
    <w:lvl w:ilvl="0" w:tplc="942C021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64C8B"/>
    <w:multiLevelType w:val="hybridMultilevel"/>
    <w:tmpl w:val="82B0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5"/>
  </w:num>
  <w:num w:numId="10">
    <w:abstractNumId w:val="27"/>
  </w:num>
  <w:num w:numId="11">
    <w:abstractNumId w:val="25"/>
  </w:num>
  <w:num w:numId="12">
    <w:abstractNumId w:val="2"/>
  </w:num>
  <w:num w:numId="13">
    <w:abstractNumId w:val="26"/>
  </w:num>
  <w:num w:numId="14">
    <w:abstractNumId w:val="20"/>
  </w:num>
  <w:num w:numId="15">
    <w:abstractNumId w:val="17"/>
  </w:num>
  <w:num w:numId="16">
    <w:abstractNumId w:val="16"/>
  </w:num>
  <w:num w:numId="17">
    <w:abstractNumId w:val="15"/>
  </w:num>
  <w:num w:numId="18">
    <w:abstractNumId w:val="28"/>
  </w:num>
  <w:num w:numId="19">
    <w:abstractNumId w:val="1"/>
  </w:num>
  <w:num w:numId="20">
    <w:abstractNumId w:val="10"/>
  </w:num>
  <w:num w:numId="21">
    <w:abstractNumId w:val="4"/>
  </w:num>
  <w:num w:numId="22">
    <w:abstractNumId w:val="6"/>
  </w:num>
  <w:num w:numId="23">
    <w:abstractNumId w:val="13"/>
  </w:num>
  <w:num w:numId="24">
    <w:abstractNumId w:val="11"/>
  </w:num>
  <w:num w:numId="25">
    <w:abstractNumId w:val="0"/>
  </w:num>
  <w:num w:numId="26">
    <w:abstractNumId w:val="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8"/>
  </w:num>
  <w:num w:numId="30">
    <w:abstractNumId w:val="22"/>
  </w:num>
  <w:num w:numId="31">
    <w:abstractNumId w:val="9"/>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0E"/>
    <w:rsid w:val="00002704"/>
    <w:rsid w:val="00020DC3"/>
    <w:rsid w:val="00025D44"/>
    <w:rsid w:val="0003223B"/>
    <w:rsid w:val="000327B2"/>
    <w:rsid w:val="00033A57"/>
    <w:rsid w:val="0004528B"/>
    <w:rsid w:val="00064780"/>
    <w:rsid w:val="00064FBA"/>
    <w:rsid w:val="00076D16"/>
    <w:rsid w:val="00091BA6"/>
    <w:rsid w:val="00091D0B"/>
    <w:rsid w:val="00091FA6"/>
    <w:rsid w:val="0009686C"/>
    <w:rsid w:val="00096BD9"/>
    <w:rsid w:val="000B3C9A"/>
    <w:rsid w:val="000B40A2"/>
    <w:rsid w:val="000B4624"/>
    <w:rsid w:val="000C0ACD"/>
    <w:rsid w:val="000C0D2A"/>
    <w:rsid w:val="000C1D9D"/>
    <w:rsid w:val="000C2B90"/>
    <w:rsid w:val="000C3B71"/>
    <w:rsid w:val="000C5CE8"/>
    <w:rsid w:val="000D1EF8"/>
    <w:rsid w:val="000E27A5"/>
    <w:rsid w:val="000E2959"/>
    <w:rsid w:val="000E3F13"/>
    <w:rsid w:val="000F0B60"/>
    <w:rsid w:val="000F2CA3"/>
    <w:rsid w:val="00102792"/>
    <w:rsid w:val="00102926"/>
    <w:rsid w:val="0010587F"/>
    <w:rsid w:val="00111C6B"/>
    <w:rsid w:val="00114614"/>
    <w:rsid w:val="0012102B"/>
    <w:rsid w:val="00124612"/>
    <w:rsid w:val="00124D41"/>
    <w:rsid w:val="00125B8F"/>
    <w:rsid w:val="0013369E"/>
    <w:rsid w:val="0013595D"/>
    <w:rsid w:val="001434B9"/>
    <w:rsid w:val="00143EF6"/>
    <w:rsid w:val="00152E76"/>
    <w:rsid w:val="00164E6D"/>
    <w:rsid w:val="0016538E"/>
    <w:rsid w:val="00172473"/>
    <w:rsid w:val="00183454"/>
    <w:rsid w:val="0019203D"/>
    <w:rsid w:val="00195F99"/>
    <w:rsid w:val="00197D66"/>
    <w:rsid w:val="001B0C65"/>
    <w:rsid w:val="001B157C"/>
    <w:rsid w:val="001B1994"/>
    <w:rsid w:val="001B4006"/>
    <w:rsid w:val="001B5C23"/>
    <w:rsid w:val="001D0D5F"/>
    <w:rsid w:val="001D41C9"/>
    <w:rsid w:val="001D4C6D"/>
    <w:rsid w:val="001D6B8C"/>
    <w:rsid w:val="001E0120"/>
    <w:rsid w:val="001F1F83"/>
    <w:rsid w:val="001F40DF"/>
    <w:rsid w:val="001F43F8"/>
    <w:rsid w:val="001F62D9"/>
    <w:rsid w:val="001F6B2D"/>
    <w:rsid w:val="002021A9"/>
    <w:rsid w:val="002139A7"/>
    <w:rsid w:val="00215574"/>
    <w:rsid w:val="00215F7C"/>
    <w:rsid w:val="00221DEF"/>
    <w:rsid w:val="0022323B"/>
    <w:rsid w:val="002410B8"/>
    <w:rsid w:val="00242AEE"/>
    <w:rsid w:val="00245129"/>
    <w:rsid w:val="00245879"/>
    <w:rsid w:val="00253236"/>
    <w:rsid w:val="002534CE"/>
    <w:rsid w:val="002630D2"/>
    <w:rsid w:val="00267FD5"/>
    <w:rsid w:val="00271E1E"/>
    <w:rsid w:val="00274D34"/>
    <w:rsid w:val="00283AFF"/>
    <w:rsid w:val="00283ED8"/>
    <w:rsid w:val="002868D0"/>
    <w:rsid w:val="0028760B"/>
    <w:rsid w:val="002A008C"/>
    <w:rsid w:val="002A1BA5"/>
    <w:rsid w:val="002A27D1"/>
    <w:rsid w:val="002A4AFA"/>
    <w:rsid w:val="002B2610"/>
    <w:rsid w:val="002B516C"/>
    <w:rsid w:val="002B5D82"/>
    <w:rsid w:val="002C4BF1"/>
    <w:rsid w:val="002C4FA4"/>
    <w:rsid w:val="002D72EB"/>
    <w:rsid w:val="002E2327"/>
    <w:rsid w:val="002E3583"/>
    <w:rsid w:val="002E5576"/>
    <w:rsid w:val="002F7C27"/>
    <w:rsid w:val="0030050B"/>
    <w:rsid w:val="003008F5"/>
    <w:rsid w:val="00304081"/>
    <w:rsid w:val="003308AA"/>
    <w:rsid w:val="00331B52"/>
    <w:rsid w:val="00333403"/>
    <w:rsid w:val="003359D3"/>
    <w:rsid w:val="0034657E"/>
    <w:rsid w:val="00351475"/>
    <w:rsid w:val="00355967"/>
    <w:rsid w:val="0036482E"/>
    <w:rsid w:val="00382C47"/>
    <w:rsid w:val="00384384"/>
    <w:rsid w:val="003866AE"/>
    <w:rsid w:val="003A27EC"/>
    <w:rsid w:val="003B3977"/>
    <w:rsid w:val="003C7249"/>
    <w:rsid w:val="003D49B1"/>
    <w:rsid w:val="003E1D4C"/>
    <w:rsid w:val="003E4E66"/>
    <w:rsid w:val="003E5F3E"/>
    <w:rsid w:val="00407C5D"/>
    <w:rsid w:val="0041245B"/>
    <w:rsid w:val="004137A0"/>
    <w:rsid w:val="0042085D"/>
    <w:rsid w:val="00422D9A"/>
    <w:rsid w:val="00423A9F"/>
    <w:rsid w:val="004317DE"/>
    <w:rsid w:val="00432989"/>
    <w:rsid w:val="004342A0"/>
    <w:rsid w:val="00440E24"/>
    <w:rsid w:val="0044776A"/>
    <w:rsid w:val="00455AC5"/>
    <w:rsid w:val="00460AFC"/>
    <w:rsid w:val="0047471F"/>
    <w:rsid w:val="00475125"/>
    <w:rsid w:val="0048496F"/>
    <w:rsid w:val="00490767"/>
    <w:rsid w:val="004A2D78"/>
    <w:rsid w:val="004B195E"/>
    <w:rsid w:val="004B66B4"/>
    <w:rsid w:val="004B7F60"/>
    <w:rsid w:val="004C1AAC"/>
    <w:rsid w:val="004C1C35"/>
    <w:rsid w:val="004D2725"/>
    <w:rsid w:val="004E1E0A"/>
    <w:rsid w:val="004E44A7"/>
    <w:rsid w:val="004E5524"/>
    <w:rsid w:val="004F090E"/>
    <w:rsid w:val="00501F3C"/>
    <w:rsid w:val="00506BE1"/>
    <w:rsid w:val="00520970"/>
    <w:rsid w:val="00520F9E"/>
    <w:rsid w:val="0052229C"/>
    <w:rsid w:val="00523B71"/>
    <w:rsid w:val="00527CC7"/>
    <w:rsid w:val="0053735D"/>
    <w:rsid w:val="00552444"/>
    <w:rsid w:val="00560DF1"/>
    <w:rsid w:val="0056248C"/>
    <w:rsid w:val="00564B09"/>
    <w:rsid w:val="00567602"/>
    <w:rsid w:val="00567680"/>
    <w:rsid w:val="005709E4"/>
    <w:rsid w:val="00571CA4"/>
    <w:rsid w:val="00573AF2"/>
    <w:rsid w:val="00582136"/>
    <w:rsid w:val="005873A0"/>
    <w:rsid w:val="005967EF"/>
    <w:rsid w:val="005C2BAE"/>
    <w:rsid w:val="005C3AFB"/>
    <w:rsid w:val="005C6840"/>
    <w:rsid w:val="005F1ED8"/>
    <w:rsid w:val="005F263E"/>
    <w:rsid w:val="00600252"/>
    <w:rsid w:val="00612A40"/>
    <w:rsid w:val="00624188"/>
    <w:rsid w:val="00624F83"/>
    <w:rsid w:val="0062714A"/>
    <w:rsid w:val="0063345D"/>
    <w:rsid w:val="00634E99"/>
    <w:rsid w:val="00634F42"/>
    <w:rsid w:val="0065008A"/>
    <w:rsid w:val="006615F4"/>
    <w:rsid w:val="00666E17"/>
    <w:rsid w:val="00674A7B"/>
    <w:rsid w:val="00675479"/>
    <w:rsid w:val="0067614C"/>
    <w:rsid w:val="00680709"/>
    <w:rsid w:val="00681F61"/>
    <w:rsid w:val="00684F23"/>
    <w:rsid w:val="00693C38"/>
    <w:rsid w:val="00696BF9"/>
    <w:rsid w:val="00697C62"/>
    <w:rsid w:val="006A329B"/>
    <w:rsid w:val="006A4B84"/>
    <w:rsid w:val="006A7EB8"/>
    <w:rsid w:val="006B2B24"/>
    <w:rsid w:val="006B6926"/>
    <w:rsid w:val="006C3F47"/>
    <w:rsid w:val="006C5F7A"/>
    <w:rsid w:val="006E06AF"/>
    <w:rsid w:val="006E1CB0"/>
    <w:rsid w:val="006F350F"/>
    <w:rsid w:val="007108F1"/>
    <w:rsid w:val="00717608"/>
    <w:rsid w:val="00727571"/>
    <w:rsid w:val="00732DB7"/>
    <w:rsid w:val="0074238B"/>
    <w:rsid w:val="00745EF7"/>
    <w:rsid w:val="00755F22"/>
    <w:rsid w:val="00766E4A"/>
    <w:rsid w:val="007820CE"/>
    <w:rsid w:val="00782AE4"/>
    <w:rsid w:val="00796DA5"/>
    <w:rsid w:val="0079724F"/>
    <w:rsid w:val="007A3EAE"/>
    <w:rsid w:val="007B1953"/>
    <w:rsid w:val="007B4DFF"/>
    <w:rsid w:val="007C04FC"/>
    <w:rsid w:val="007C3D5F"/>
    <w:rsid w:val="007C3DB0"/>
    <w:rsid w:val="007C47C2"/>
    <w:rsid w:val="007C5C00"/>
    <w:rsid w:val="007D3E0F"/>
    <w:rsid w:val="007E4282"/>
    <w:rsid w:val="007E7827"/>
    <w:rsid w:val="007F387B"/>
    <w:rsid w:val="00802863"/>
    <w:rsid w:val="008042C9"/>
    <w:rsid w:val="008112A9"/>
    <w:rsid w:val="0081473A"/>
    <w:rsid w:val="00815B3C"/>
    <w:rsid w:val="0081610A"/>
    <w:rsid w:val="00825800"/>
    <w:rsid w:val="008277C4"/>
    <w:rsid w:val="0082783A"/>
    <w:rsid w:val="00831CA9"/>
    <w:rsid w:val="00831F49"/>
    <w:rsid w:val="00834E76"/>
    <w:rsid w:val="00842B6B"/>
    <w:rsid w:val="00844E40"/>
    <w:rsid w:val="00845C2A"/>
    <w:rsid w:val="00850E1F"/>
    <w:rsid w:val="0085476B"/>
    <w:rsid w:val="00856EA7"/>
    <w:rsid w:val="00861C14"/>
    <w:rsid w:val="0086340B"/>
    <w:rsid w:val="008652F9"/>
    <w:rsid w:val="00877592"/>
    <w:rsid w:val="008859F1"/>
    <w:rsid w:val="008902B1"/>
    <w:rsid w:val="00890FEB"/>
    <w:rsid w:val="00893449"/>
    <w:rsid w:val="00895E7E"/>
    <w:rsid w:val="008961FD"/>
    <w:rsid w:val="008A5C1A"/>
    <w:rsid w:val="008B12EF"/>
    <w:rsid w:val="008C2318"/>
    <w:rsid w:val="008C6B76"/>
    <w:rsid w:val="008D085E"/>
    <w:rsid w:val="008D292F"/>
    <w:rsid w:val="008D3D4B"/>
    <w:rsid w:val="008E03DC"/>
    <w:rsid w:val="008E0E3C"/>
    <w:rsid w:val="008E4847"/>
    <w:rsid w:val="008F2EA4"/>
    <w:rsid w:val="00902E51"/>
    <w:rsid w:val="009058B9"/>
    <w:rsid w:val="00911D4A"/>
    <w:rsid w:val="00915FC2"/>
    <w:rsid w:val="00924065"/>
    <w:rsid w:val="00930B8A"/>
    <w:rsid w:val="00930D68"/>
    <w:rsid w:val="00932DB4"/>
    <w:rsid w:val="00941A4B"/>
    <w:rsid w:val="00946242"/>
    <w:rsid w:val="0095096B"/>
    <w:rsid w:val="00955827"/>
    <w:rsid w:val="00957556"/>
    <w:rsid w:val="00961A14"/>
    <w:rsid w:val="00961C83"/>
    <w:rsid w:val="0096659C"/>
    <w:rsid w:val="00970CD3"/>
    <w:rsid w:val="009723FA"/>
    <w:rsid w:val="00984546"/>
    <w:rsid w:val="00992F0B"/>
    <w:rsid w:val="00994C1E"/>
    <w:rsid w:val="00996510"/>
    <w:rsid w:val="009A75CF"/>
    <w:rsid w:val="009C4E23"/>
    <w:rsid w:val="009D1F15"/>
    <w:rsid w:val="009D555E"/>
    <w:rsid w:val="009F3024"/>
    <w:rsid w:val="009F39BA"/>
    <w:rsid w:val="00A0355E"/>
    <w:rsid w:val="00A03FEE"/>
    <w:rsid w:val="00A07287"/>
    <w:rsid w:val="00A234E1"/>
    <w:rsid w:val="00A242F4"/>
    <w:rsid w:val="00A375D1"/>
    <w:rsid w:val="00A41D2B"/>
    <w:rsid w:val="00A44EDA"/>
    <w:rsid w:val="00A51D10"/>
    <w:rsid w:val="00A52A83"/>
    <w:rsid w:val="00A61252"/>
    <w:rsid w:val="00A6552C"/>
    <w:rsid w:val="00A71A86"/>
    <w:rsid w:val="00A744AF"/>
    <w:rsid w:val="00A760C7"/>
    <w:rsid w:val="00A81DCF"/>
    <w:rsid w:val="00A87207"/>
    <w:rsid w:val="00A935AA"/>
    <w:rsid w:val="00A956D3"/>
    <w:rsid w:val="00AB2201"/>
    <w:rsid w:val="00AB5529"/>
    <w:rsid w:val="00AB75C1"/>
    <w:rsid w:val="00AC3CBD"/>
    <w:rsid w:val="00AD1D34"/>
    <w:rsid w:val="00AD3259"/>
    <w:rsid w:val="00AE043C"/>
    <w:rsid w:val="00AF1715"/>
    <w:rsid w:val="00AF3904"/>
    <w:rsid w:val="00AF65B9"/>
    <w:rsid w:val="00B010C0"/>
    <w:rsid w:val="00B02362"/>
    <w:rsid w:val="00B15CBE"/>
    <w:rsid w:val="00B24DB0"/>
    <w:rsid w:val="00B40FD9"/>
    <w:rsid w:val="00B4740D"/>
    <w:rsid w:val="00B61629"/>
    <w:rsid w:val="00B635E0"/>
    <w:rsid w:val="00B65C5D"/>
    <w:rsid w:val="00B67395"/>
    <w:rsid w:val="00B7374B"/>
    <w:rsid w:val="00B75C8D"/>
    <w:rsid w:val="00B76114"/>
    <w:rsid w:val="00B81A82"/>
    <w:rsid w:val="00B83C52"/>
    <w:rsid w:val="00B87020"/>
    <w:rsid w:val="00B90B77"/>
    <w:rsid w:val="00B90DC0"/>
    <w:rsid w:val="00B92F50"/>
    <w:rsid w:val="00B94079"/>
    <w:rsid w:val="00BA116A"/>
    <w:rsid w:val="00BA1418"/>
    <w:rsid w:val="00BA4C4D"/>
    <w:rsid w:val="00BA5582"/>
    <w:rsid w:val="00BA6468"/>
    <w:rsid w:val="00BB15A8"/>
    <w:rsid w:val="00BB1D44"/>
    <w:rsid w:val="00BC680C"/>
    <w:rsid w:val="00BD06DA"/>
    <w:rsid w:val="00BD264E"/>
    <w:rsid w:val="00BD4217"/>
    <w:rsid w:val="00BD42EA"/>
    <w:rsid w:val="00BD7415"/>
    <w:rsid w:val="00BE34F7"/>
    <w:rsid w:val="00BF25F3"/>
    <w:rsid w:val="00C01FCB"/>
    <w:rsid w:val="00C1697B"/>
    <w:rsid w:val="00C21644"/>
    <w:rsid w:val="00C21CB5"/>
    <w:rsid w:val="00C257CD"/>
    <w:rsid w:val="00C25A0E"/>
    <w:rsid w:val="00C2698C"/>
    <w:rsid w:val="00C27015"/>
    <w:rsid w:val="00C406CA"/>
    <w:rsid w:val="00C46376"/>
    <w:rsid w:val="00C50A5C"/>
    <w:rsid w:val="00C50FDF"/>
    <w:rsid w:val="00C63381"/>
    <w:rsid w:val="00C672CC"/>
    <w:rsid w:val="00C73D06"/>
    <w:rsid w:val="00C73E1B"/>
    <w:rsid w:val="00C73EE8"/>
    <w:rsid w:val="00C7556C"/>
    <w:rsid w:val="00C759B4"/>
    <w:rsid w:val="00C77713"/>
    <w:rsid w:val="00C8030A"/>
    <w:rsid w:val="00C8528C"/>
    <w:rsid w:val="00C85BB7"/>
    <w:rsid w:val="00C86E0F"/>
    <w:rsid w:val="00C97062"/>
    <w:rsid w:val="00CA2DEA"/>
    <w:rsid w:val="00CB3520"/>
    <w:rsid w:val="00CB43D5"/>
    <w:rsid w:val="00CC204E"/>
    <w:rsid w:val="00CC4D84"/>
    <w:rsid w:val="00CD5B3A"/>
    <w:rsid w:val="00CE198A"/>
    <w:rsid w:val="00CE2C84"/>
    <w:rsid w:val="00CF08C8"/>
    <w:rsid w:val="00D004FC"/>
    <w:rsid w:val="00D22BC0"/>
    <w:rsid w:val="00D2764A"/>
    <w:rsid w:val="00D31809"/>
    <w:rsid w:val="00D323A8"/>
    <w:rsid w:val="00D37C74"/>
    <w:rsid w:val="00D40895"/>
    <w:rsid w:val="00D46FAB"/>
    <w:rsid w:val="00D6331A"/>
    <w:rsid w:val="00D64901"/>
    <w:rsid w:val="00D744BE"/>
    <w:rsid w:val="00D76BDF"/>
    <w:rsid w:val="00D811C1"/>
    <w:rsid w:val="00D818B6"/>
    <w:rsid w:val="00D82A57"/>
    <w:rsid w:val="00D82BFF"/>
    <w:rsid w:val="00D8443D"/>
    <w:rsid w:val="00D862C1"/>
    <w:rsid w:val="00D913B1"/>
    <w:rsid w:val="00D93B50"/>
    <w:rsid w:val="00D94028"/>
    <w:rsid w:val="00D94670"/>
    <w:rsid w:val="00DA46F6"/>
    <w:rsid w:val="00DA756F"/>
    <w:rsid w:val="00DC0577"/>
    <w:rsid w:val="00DC6B2E"/>
    <w:rsid w:val="00DD0B49"/>
    <w:rsid w:val="00DD0BDC"/>
    <w:rsid w:val="00DE0502"/>
    <w:rsid w:val="00DE349D"/>
    <w:rsid w:val="00E0270C"/>
    <w:rsid w:val="00E06DFA"/>
    <w:rsid w:val="00E06F20"/>
    <w:rsid w:val="00E20A0A"/>
    <w:rsid w:val="00E240C2"/>
    <w:rsid w:val="00E337D9"/>
    <w:rsid w:val="00E356C7"/>
    <w:rsid w:val="00E414CA"/>
    <w:rsid w:val="00E41A5A"/>
    <w:rsid w:val="00E45FE4"/>
    <w:rsid w:val="00E54ADB"/>
    <w:rsid w:val="00E56987"/>
    <w:rsid w:val="00E64FA7"/>
    <w:rsid w:val="00E65960"/>
    <w:rsid w:val="00E664DA"/>
    <w:rsid w:val="00E670F7"/>
    <w:rsid w:val="00E71254"/>
    <w:rsid w:val="00E75CFD"/>
    <w:rsid w:val="00E770CB"/>
    <w:rsid w:val="00E85017"/>
    <w:rsid w:val="00E8544A"/>
    <w:rsid w:val="00E903A1"/>
    <w:rsid w:val="00E92A37"/>
    <w:rsid w:val="00E940EB"/>
    <w:rsid w:val="00E942C2"/>
    <w:rsid w:val="00E96583"/>
    <w:rsid w:val="00E9703F"/>
    <w:rsid w:val="00E972E0"/>
    <w:rsid w:val="00E97984"/>
    <w:rsid w:val="00EA7399"/>
    <w:rsid w:val="00EB2B90"/>
    <w:rsid w:val="00EB512E"/>
    <w:rsid w:val="00ED078F"/>
    <w:rsid w:val="00ED0DC0"/>
    <w:rsid w:val="00ED1AD5"/>
    <w:rsid w:val="00ED7E83"/>
    <w:rsid w:val="00EE091F"/>
    <w:rsid w:val="00EF4B63"/>
    <w:rsid w:val="00F0068D"/>
    <w:rsid w:val="00F0576D"/>
    <w:rsid w:val="00F11D95"/>
    <w:rsid w:val="00F138C1"/>
    <w:rsid w:val="00F14E6D"/>
    <w:rsid w:val="00F15EA8"/>
    <w:rsid w:val="00F16063"/>
    <w:rsid w:val="00F16953"/>
    <w:rsid w:val="00F16C8D"/>
    <w:rsid w:val="00F253CC"/>
    <w:rsid w:val="00F26C61"/>
    <w:rsid w:val="00F33CCE"/>
    <w:rsid w:val="00F34BCC"/>
    <w:rsid w:val="00F40249"/>
    <w:rsid w:val="00F526C8"/>
    <w:rsid w:val="00F554B5"/>
    <w:rsid w:val="00F55576"/>
    <w:rsid w:val="00F65803"/>
    <w:rsid w:val="00F663FF"/>
    <w:rsid w:val="00F75954"/>
    <w:rsid w:val="00F761A3"/>
    <w:rsid w:val="00F9272D"/>
    <w:rsid w:val="00F9518C"/>
    <w:rsid w:val="00FA316E"/>
    <w:rsid w:val="00FA3373"/>
    <w:rsid w:val="00FA59EF"/>
    <w:rsid w:val="00FB19A2"/>
    <w:rsid w:val="00FB1DB6"/>
    <w:rsid w:val="00FB4A2E"/>
    <w:rsid w:val="00FD053D"/>
    <w:rsid w:val="00FF6356"/>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AB75C1"/>
    <w:pPr>
      <w:jc w:val="both"/>
    </w:pPr>
    <w:rPr>
      <w:rFonts w:eastAsia="Calibri" w:cs="Times New Roman"/>
      <w:smallCaps/>
    </w:rPr>
  </w:style>
  <w:style w:type="character" w:customStyle="1" w:styleId="SCCBanSummaryChar">
    <w:name w:val="SCC.BanSummary Char"/>
    <w:basedOn w:val="DefaultParagraphFont"/>
    <w:link w:val="SCCBanSummary0"/>
    <w:rsid w:val="00AB75C1"/>
    <w:rPr>
      <w:rFonts w:eastAsia="Calibri" w:cs="Times New Roman"/>
      <w:smallCaps/>
      <w:lang w:val="en-CA"/>
    </w:rPr>
  </w:style>
  <w:style w:type="paragraph" w:styleId="NoSpacing">
    <w:name w:val="No Spacing"/>
    <w:uiPriority w:val="1"/>
    <w:qFormat/>
    <w:rsid w:val="00AB75C1"/>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AB75C1"/>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AB75C1"/>
    <w:rPr>
      <w:rFonts w:ascii="Tahoma" w:eastAsia="Times New Roman" w:hAnsi="Tahoma" w:cs="Tahoma"/>
      <w:sz w:val="16"/>
      <w:szCs w:val="16"/>
    </w:rPr>
  </w:style>
  <w:style w:type="paragraph" w:customStyle="1" w:styleId="Style268435469">
    <w:name w:val="Style268435469"/>
    <w:rsid w:val="00AB75C1"/>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AB75C1"/>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AB75C1"/>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AB75C1"/>
    <w:rPr>
      <w:sz w:val="16"/>
      <w:szCs w:val="16"/>
    </w:rPr>
  </w:style>
  <w:style w:type="paragraph" w:styleId="CommentText">
    <w:name w:val="annotation text"/>
    <w:basedOn w:val="Normal"/>
    <w:link w:val="CommentTextChar"/>
    <w:uiPriority w:val="99"/>
    <w:semiHidden/>
    <w:unhideWhenUsed/>
    <w:rsid w:val="00AB75C1"/>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AB75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5C1"/>
    <w:rPr>
      <w:b/>
      <w:bCs/>
    </w:rPr>
  </w:style>
  <w:style w:type="character" w:customStyle="1" w:styleId="CommentSubjectChar">
    <w:name w:val="Comment Subject Char"/>
    <w:basedOn w:val="CommentTextChar"/>
    <w:link w:val="CommentSubject"/>
    <w:uiPriority w:val="99"/>
    <w:semiHidden/>
    <w:rsid w:val="00AB75C1"/>
    <w:rPr>
      <w:rFonts w:eastAsia="Times New Roman" w:cs="Times New Roman"/>
      <w:b/>
      <w:bCs/>
      <w:sz w:val="20"/>
      <w:szCs w:val="20"/>
    </w:rPr>
  </w:style>
  <w:style w:type="paragraph" w:customStyle="1" w:styleId="mainparagraph1">
    <w:name w:val="mainparagraph1"/>
    <w:basedOn w:val="Normal"/>
    <w:rsid w:val="00AB75C1"/>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AB75C1"/>
    <w:pPr>
      <w:spacing w:before="120" w:after="120"/>
      <w:jc w:val="both"/>
    </w:pPr>
    <w:rPr>
      <w:rFonts w:ascii="Arial" w:eastAsia="Times New Roman" w:hAnsi="Arial" w:cs="Arial"/>
      <w:sz w:val="26"/>
      <w:szCs w:val="26"/>
      <w:lang w:val="en-US"/>
    </w:rPr>
  </w:style>
  <w:style w:type="paragraph" w:customStyle="1" w:styleId="number1">
    <w:name w:val="number1"/>
    <w:basedOn w:val="Normal"/>
    <w:rsid w:val="00AB75C1"/>
    <w:pPr>
      <w:jc w:val="both"/>
    </w:pPr>
    <w:rPr>
      <w:rFonts w:ascii="Tahoma" w:eastAsia="Times New Roman" w:hAnsi="Tahoma" w:cs="Tahoma"/>
      <w:szCs w:val="24"/>
      <w:lang w:val="en-US"/>
    </w:rPr>
  </w:style>
  <w:style w:type="character" w:customStyle="1" w:styleId="reflex3-block">
    <w:name w:val="reflex3-block"/>
    <w:basedOn w:val="DefaultParagraphFont"/>
    <w:rsid w:val="00AB75C1"/>
  </w:style>
  <w:style w:type="character" w:customStyle="1" w:styleId="reflex3-alt">
    <w:name w:val="reflex3-alt"/>
    <w:basedOn w:val="DefaultParagraphFont"/>
    <w:rsid w:val="00AB75C1"/>
  </w:style>
  <w:style w:type="paragraph" w:customStyle="1" w:styleId="scjnumber1">
    <w:name w:val="scjnumber1"/>
    <w:basedOn w:val="Normal"/>
    <w:rsid w:val="00AB75C1"/>
    <w:pPr>
      <w:spacing w:after="240"/>
    </w:pPr>
    <w:rPr>
      <w:rFonts w:ascii="Arial" w:eastAsia="Times New Roman" w:hAnsi="Arial" w:cs="Arial"/>
      <w:szCs w:val="24"/>
      <w:lang w:val="en-US"/>
    </w:rPr>
  </w:style>
  <w:style w:type="paragraph" w:customStyle="1" w:styleId="subsection">
    <w:name w:val="subsection"/>
    <w:basedOn w:val="Normal"/>
    <w:rsid w:val="00AB75C1"/>
    <w:pPr>
      <w:spacing w:before="168" w:after="120"/>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9/2019qcca963/2019qcca963.pdf" TargetMode="External"/><Relationship Id="rId21" Type="http://schemas.openxmlformats.org/officeDocument/2006/relationships/hyperlink" Target="https://www.canlii.org/en/bc/bcsc/doc/2019/2019bcsc531/2019bcsc531.html?autocompleteStr=2019%20BCSC%20531&amp;autocompletePos=1" TargetMode="External"/><Relationship Id="rId42" Type="http://schemas.openxmlformats.org/officeDocument/2006/relationships/hyperlink" Target="http://canlii.ca/t/j0vzn%3e" TargetMode="External"/><Relationship Id="rId47" Type="http://schemas.openxmlformats.org/officeDocument/2006/relationships/hyperlink" Target="http://canlii.ca/t/hvx8s" TargetMode="External"/><Relationship Id="rId63" Type="http://schemas.openxmlformats.org/officeDocument/2006/relationships/hyperlink" Target="https://www.canlii.org/en/sk/skqb/doc/2018/2018skqb308/2018skqb308.html" TargetMode="External"/><Relationship Id="rId68" Type="http://schemas.openxmlformats.org/officeDocument/2006/relationships/hyperlink" Target="https://www.canlii.org/en/bc/bcca/doc/2019/2019bcca194/2019bcca194.html?searchUrlHash=AAAAAQANMjAxOSBCQ0NBIDE5NAAAAAAB&amp;resultIndex=1" TargetMode="External"/><Relationship Id="rId84" Type="http://schemas.openxmlformats.org/officeDocument/2006/relationships/hyperlink" Target="https://www.canlii.org/en/bc/laws/stat/sbc-2003-c-53/latest/sbc-2003-c-53.html" TargetMode="External"/><Relationship Id="rId89" Type="http://schemas.openxmlformats.org/officeDocument/2006/relationships/footer" Target="footer5.xml"/><Relationship Id="rId112" Type="http://schemas.openxmlformats.org/officeDocument/2006/relationships/footer" Target="footer16.xml"/><Relationship Id="rId16" Type="http://schemas.openxmlformats.org/officeDocument/2006/relationships/footer" Target="footer3.xml"/><Relationship Id="rId107"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yperlink" Target="https://www.canlii.org/fr/qc/qcca/doc/2019/2019qcca963/2019qcca963.pdf" TargetMode="External"/><Relationship Id="rId32" Type="http://schemas.openxmlformats.org/officeDocument/2006/relationships/hyperlink" Target="https://www.canlii.org/en/bc/bcca/doc/2019/2019bcca267/2019bcca267.html?searchUrlHash=AAAAAQANMjAxOSBCQ0NBIDI2NwAAAAAB&amp;resultIndex=1" TargetMode="External"/><Relationship Id="rId37" Type="http://schemas.openxmlformats.org/officeDocument/2006/relationships/hyperlink" Target="http://canlii.ca/t/hr39m" TargetMode="External"/><Relationship Id="rId40" Type="http://schemas.openxmlformats.org/officeDocument/2006/relationships/hyperlink" Target="http://canlii.ca/t/j0vzn%3e" TargetMode="External"/><Relationship Id="rId45" Type="http://schemas.openxmlformats.org/officeDocument/2006/relationships/hyperlink" Target="https://www.canlii.org/en/ca/tcc/doc/2016/2016tcc104/2016tcc104.html?autocompleteStr=2016%20TCC%20104&amp;autocompletePos=1" TargetMode="External"/><Relationship Id="rId53" Type="http://schemas.openxmlformats.org/officeDocument/2006/relationships/hyperlink" Target="https://www.canlii.org/en/on/laws/stat/rso-1990-c-c12/latest/rso-1990-c-c12.html" TargetMode="External"/><Relationship Id="rId58" Type="http://schemas.openxmlformats.org/officeDocument/2006/relationships/hyperlink" Target="https://www.canlii.org/en/on/laws/stat/rso-1990-c-c12/latest/rso-1990-c-c12.html" TargetMode="External"/><Relationship Id="rId66" Type="http://schemas.openxmlformats.org/officeDocument/2006/relationships/hyperlink" Target="https://www.canlii.org/en/ca/fca/doc/2019/2019fca189/2019fca189.html?resultIndex=1" TargetMode="External"/><Relationship Id="rId74" Type="http://schemas.openxmlformats.org/officeDocument/2006/relationships/hyperlink" Target="http://canlii.ca/t/hxgp7" TargetMode="External"/><Relationship Id="rId79" Type="http://schemas.openxmlformats.org/officeDocument/2006/relationships/hyperlink" Target="https://www.canlii.org/en/bc/bcsc/doc/2016/2016bcsc845/2016bcsc845.html?autocompleteStr=2016%20BCSC%20845&amp;autocompletePos=1" TargetMode="External"/><Relationship Id="rId87" Type="http://schemas.openxmlformats.org/officeDocument/2006/relationships/header" Target="header5.xml"/><Relationship Id="rId102" Type="http://schemas.openxmlformats.org/officeDocument/2006/relationships/footer" Target="footer12.xml"/><Relationship Id="rId110" Type="http://schemas.openxmlformats.org/officeDocument/2006/relationships/footer" Target="footer15.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sk/skqb/doc/2018/2018skqb308/2018skqb308.html" TargetMode="External"/><Relationship Id="rId82" Type="http://schemas.openxmlformats.org/officeDocument/2006/relationships/hyperlink" Target="http://canlii.ca/t/hphvr" TargetMode="External"/><Relationship Id="rId90" Type="http://schemas.openxmlformats.org/officeDocument/2006/relationships/footer" Target="footer6.xml"/><Relationship Id="rId95" Type="http://schemas.openxmlformats.org/officeDocument/2006/relationships/footer" Target="footer8.xml"/><Relationship Id="rId19" Type="http://schemas.openxmlformats.org/officeDocument/2006/relationships/hyperlink" Target="https://www.canlii.org/en/bc/bcsc/doc/2019/2019bcsc531/2019bcsc531.html?autocompleteStr=2019%20BCSC%20531&amp;autocompletePos=1" TargetMode="External"/><Relationship Id="rId14" Type="http://schemas.openxmlformats.org/officeDocument/2006/relationships/footer" Target="footer2.xml"/><Relationship Id="rId22" Type="http://schemas.openxmlformats.org/officeDocument/2006/relationships/hyperlink" Target="https://www.canlii.org/en/bc/bcsc/doc/2019/2019bcsc532/2019bcsc532.html?resultIndex=1" TargetMode="External"/><Relationship Id="rId27" Type="http://schemas.openxmlformats.org/officeDocument/2006/relationships/hyperlink" Target="https://www.canlii.org/en/bc/bcsc/doc/2018/2018bcsc1530/2018bcsc1530.html?searchUrlHash=AAAAAQAOMjAxOCBCQ1NDIDE1MzAAAAAAAQ&amp;resultIndex=1" TargetMode="External"/><Relationship Id="rId30" Type="http://schemas.openxmlformats.org/officeDocument/2006/relationships/hyperlink" Target="https://www.canlii.org/en/bc/bcsc/doc/2018/2018bcsc1530/2018bcsc1530.html?searchUrlHash=AAAAAQAOMjAxOCBCQ1NDIDE1MzAAAAAAAQ&amp;resultIndex=1" TargetMode="External"/><Relationship Id="rId35" Type="http://schemas.openxmlformats.org/officeDocument/2006/relationships/hyperlink" Target="http://canlii.ca/t/j021s" TargetMode="External"/><Relationship Id="rId43" Type="http://schemas.openxmlformats.org/officeDocument/2006/relationships/hyperlink" Target="https://www.canlii.org/en/ca/tcc/doc/2016/2016tcc104/2016tcc104.html?autocompleteStr=2016%20TCC%20104&amp;autocompletePos=1" TargetMode="External"/><Relationship Id="rId48" Type="http://schemas.openxmlformats.org/officeDocument/2006/relationships/hyperlink" Target="http://canlii.ca/t/j1lbn" TargetMode="External"/><Relationship Id="rId56" Type="http://schemas.openxmlformats.org/officeDocument/2006/relationships/hyperlink" Target="https://www.canlii.org/en/on/laws/regu/o-reg-114-99/latest/o-reg-114-99.html" TargetMode="External"/><Relationship Id="rId64" Type="http://schemas.openxmlformats.org/officeDocument/2006/relationships/hyperlink" Target="https://www.canlii.org/en/sk/skca/doc/2019/2019skca56/2019skca56.html?autocompleteStr=R%20v%20Horse%202019&amp;autocompletePos=1" TargetMode="External"/><Relationship Id="rId69" Type="http://schemas.openxmlformats.org/officeDocument/2006/relationships/hyperlink" Target="https://www.canlii.org/en/bc/bcsc/doc/2018/2018bcsc1850/2018bcsc1850.html" TargetMode="External"/><Relationship Id="rId77" Type="http://schemas.openxmlformats.org/officeDocument/2006/relationships/hyperlink" Target="https://www.canlii.org/en/bc/bcsc/doc/2016/2016bcsc845/2016bcsc845.html?autocompleteStr=2016%20BCSC%20845&amp;autocompletePos=1" TargetMode="External"/><Relationship Id="rId100" Type="http://schemas.openxmlformats.org/officeDocument/2006/relationships/header" Target="header12.xml"/><Relationship Id="rId105" Type="http://schemas.openxmlformats.org/officeDocument/2006/relationships/hyperlink" Target="http://www.scc-csc.ca/case-dossier/info/sum-som-eng.aspx?cas=38682" TargetMode="External"/><Relationship Id="rId113" Type="http://schemas.openxmlformats.org/officeDocument/2006/relationships/header" Target="header17.xml"/><Relationship Id="rId8" Type="http://schemas.openxmlformats.org/officeDocument/2006/relationships/image" Target="media/image1.wmf"/><Relationship Id="rId51" Type="http://schemas.openxmlformats.org/officeDocument/2006/relationships/hyperlink" Target="https://www.canlii.org/en/on/laws/regu/o-reg-114-99/latest/o-reg-114-99.html" TargetMode="External"/><Relationship Id="rId72" Type="http://schemas.openxmlformats.org/officeDocument/2006/relationships/hyperlink" Target="http://canlii.ca/t/hwx9h" TargetMode="External"/><Relationship Id="rId80" Type="http://schemas.openxmlformats.org/officeDocument/2006/relationships/hyperlink" Target="https://www.canlii.org/en/bc/bcca/doc/2019/2019bcca201/2019bcca201.html?autocompleteStr=2019%20BCCA%20201&amp;autocompletePos=1" TargetMode="External"/><Relationship Id="rId85" Type="http://schemas.openxmlformats.org/officeDocument/2006/relationships/hyperlink" Target="http://canlii.ca/t/hphvr" TargetMode="External"/><Relationship Id="rId93" Type="http://schemas.openxmlformats.org/officeDocument/2006/relationships/header" Target="header8.xml"/><Relationship Id="rId98"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qc/qccs/doc/2017/2017qccs5250/2017qccs5250.pdf" TargetMode="External"/><Relationship Id="rId33" Type="http://schemas.openxmlformats.org/officeDocument/2006/relationships/hyperlink" Target="http://canlii.ca/t/hr122" TargetMode="External"/><Relationship Id="rId38" Type="http://schemas.openxmlformats.org/officeDocument/2006/relationships/hyperlink" Target="http://canlii.ca/t/j021s" TargetMode="External"/><Relationship Id="rId46" Type="http://schemas.openxmlformats.org/officeDocument/2006/relationships/hyperlink" Target="https://www.canlii.org/en/ca/fca/doc/2019/2019fca191/2019fca191.html?autocompleteStr=2019%20FCA%20191&amp;autocompletePos=1" TargetMode="External"/><Relationship Id="rId59" Type="http://schemas.openxmlformats.org/officeDocument/2006/relationships/hyperlink" Target="http://canlii.ca/t/hwb95" TargetMode="External"/><Relationship Id="rId67" Type="http://schemas.openxmlformats.org/officeDocument/2006/relationships/hyperlink" Target="https://www.canlii.org/en/bc/bcsc/doc/2018/2018bcsc1850/2018bcsc1850.html" TargetMode="External"/><Relationship Id="rId103" Type="http://schemas.openxmlformats.org/officeDocument/2006/relationships/header" Target="header13.xml"/><Relationship Id="rId108" Type="http://schemas.openxmlformats.org/officeDocument/2006/relationships/header" Target="header15.xml"/><Relationship Id="rId116" Type="http://schemas.openxmlformats.org/officeDocument/2006/relationships/theme" Target="theme/theme1.xml"/><Relationship Id="rId20" Type="http://schemas.openxmlformats.org/officeDocument/2006/relationships/hyperlink" Target="https://www.canlii.org/en/bc/bcsc/doc/2019/2019bcsc532/2019bcsc532.html?resultIndex=1" TargetMode="External"/><Relationship Id="rId41" Type="http://schemas.openxmlformats.org/officeDocument/2006/relationships/hyperlink" Target="http://canlii.ca/t/hqqzl" TargetMode="External"/><Relationship Id="rId54" Type="http://schemas.openxmlformats.org/officeDocument/2006/relationships/hyperlink" Target="http://canlii.ca/t/hwb95" TargetMode="External"/><Relationship Id="rId62" Type="http://schemas.openxmlformats.org/officeDocument/2006/relationships/hyperlink" Target="https://www.canlii.org/en/sk/skca/doc/2019/2019skca56/2019skca56.html?autocompleteStr=R%20v%20Horse%202019&amp;autocompletePos=1" TargetMode="External"/><Relationship Id="rId70" Type="http://schemas.openxmlformats.org/officeDocument/2006/relationships/hyperlink" Target="https://www.canlii.org/en/bc/bcca/doc/2019/2019bcca194/2019bcca194.html?searchUrlHash=AAAAAQANMjAxOSBCQ0NBIDE5NAAAAAAB&amp;resultIndex=1" TargetMode="External"/><Relationship Id="rId75" Type="http://schemas.openxmlformats.org/officeDocument/2006/relationships/hyperlink" Target="http://canlii.ca/t/hwx9h" TargetMode="External"/><Relationship Id="rId83" Type="http://schemas.openxmlformats.org/officeDocument/2006/relationships/hyperlink" Target="http://canlii.ca/t/hzkdh" TargetMode="External"/><Relationship Id="rId88" Type="http://schemas.openxmlformats.org/officeDocument/2006/relationships/header" Target="header6.xml"/><Relationship Id="rId91" Type="http://schemas.openxmlformats.org/officeDocument/2006/relationships/header" Target="header7.xml"/><Relationship Id="rId96" Type="http://schemas.openxmlformats.org/officeDocument/2006/relationships/footer" Target="footer9.xml"/><Relationship Id="rId11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fr/qc/qccs/doc/2017/2017qccs5250/2017qccs5250.pdf" TargetMode="External"/><Relationship Id="rId28" Type="http://schemas.openxmlformats.org/officeDocument/2006/relationships/hyperlink" Target="https://www.canlii.org/en/bc/bcca/doc/2018/2018bcca310/2018bcca310.html" TargetMode="External"/><Relationship Id="rId36" Type="http://schemas.openxmlformats.org/officeDocument/2006/relationships/hyperlink" Target="http://canlii.ca/t/hr122" TargetMode="External"/><Relationship Id="rId49" Type="http://schemas.openxmlformats.org/officeDocument/2006/relationships/hyperlink" Target="http://canlii.ca/t/hvx8s" TargetMode="External"/><Relationship Id="rId57" Type="http://schemas.openxmlformats.org/officeDocument/2006/relationships/hyperlink" Target="https://www.canlii.org/en/on/laws/stat/rso-1990-c-f3/latest/rso-1990-c-f3.html" TargetMode="External"/><Relationship Id="rId106" Type="http://schemas.openxmlformats.org/officeDocument/2006/relationships/hyperlink" Target="http://www.scc-csc.ca/case-dossier/info/sum-som-eng.aspx?cas=38739" TargetMode="External"/><Relationship Id="rId114" Type="http://schemas.openxmlformats.org/officeDocument/2006/relationships/footer" Target="footer17.xml"/><Relationship Id="rId10" Type="http://schemas.openxmlformats.org/officeDocument/2006/relationships/hyperlink" Target="https://www.scc-csc.ca" TargetMode="External"/><Relationship Id="rId31" Type="http://schemas.openxmlformats.org/officeDocument/2006/relationships/hyperlink" Target="https://www.canlii.org/en/bc/bcca/doc/2018/2018bcca310/2018bcca310.html" TargetMode="External"/><Relationship Id="rId44" Type="http://schemas.openxmlformats.org/officeDocument/2006/relationships/hyperlink" Target="https://www.canlii.org/en/ca/fca/doc/2019/2019fca191/2019fca191.html?autocompleteStr=2019%20FCA%20191&amp;autocompletePos=1" TargetMode="External"/><Relationship Id="rId52" Type="http://schemas.openxmlformats.org/officeDocument/2006/relationships/hyperlink" Target="https://www.canlii.org/en/on/laws/stat/rso-1990-c-f3/latest/rso-1990-c-f3.html" TargetMode="External"/><Relationship Id="rId60" Type="http://schemas.openxmlformats.org/officeDocument/2006/relationships/hyperlink" Target="http://canlii.ca/t/j140j%3e" TargetMode="External"/><Relationship Id="rId65" Type="http://schemas.openxmlformats.org/officeDocument/2006/relationships/hyperlink" Target="https://www.canlii.org/en/ca/fca/doc/2019/2019fca189/2019fca189.html?resultIndex=1" TargetMode="External"/><Relationship Id="rId73" Type="http://schemas.openxmlformats.org/officeDocument/2006/relationships/hyperlink" Target="http://canlii.ca/t/j1w4t" TargetMode="External"/><Relationship Id="rId78" Type="http://schemas.openxmlformats.org/officeDocument/2006/relationships/hyperlink" Target="https://www.canlii.org/en/bc/bcca/doc/2019/2019bcca201/2019bcca201.html?autocompleteStr=2019%20BCCA%20201&amp;autocompletePos=1" TargetMode="External"/><Relationship Id="rId81" Type="http://schemas.openxmlformats.org/officeDocument/2006/relationships/hyperlink" Target="https://www.canlii.org/en/bc/laws/stat/sbc-2003-c-53/latest/sbc-2003-c-53.html" TargetMode="External"/><Relationship Id="rId86" Type="http://schemas.openxmlformats.org/officeDocument/2006/relationships/hyperlink" Target="http://canlii.ca/t/hzkdh" TargetMode="External"/><Relationship Id="rId94" Type="http://schemas.openxmlformats.org/officeDocument/2006/relationships/header" Target="header9.xml"/><Relationship Id="rId99" Type="http://schemas.openxmlformats.org/officeDocument/2006/relationships/header" Target="header11.xml"/><Relationship Id="rId10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canlii.ca/t/hqqzl" TargetMode="External"/><Relationship Id="rId109" Type="http://schemas.openxmlformats.org/officeDocument/2006/relationships/footer" Target="footer14.xml"/><Relationship Id="rId34" Type="http://schemas.openxmlformats.org/officeDocument/2006/relationships/hyperlink" Target="http://canlii.ca/t/hr39m" TargetMode="External"/><Relationship Id="rId50" Type="http://schemas.openxmlformats.org/officeDocument/2006/relationships/hyperlink" Target="http://canlii.ca/t/j1lbn" TargetMode="External"/><Relationship Id="rId55" Type="http://schemas.openxmlformats.org/officeDocument/2006/relationships/hyperlink" Target="http://canlii.ca/t/j140j%3e" TargetMode="External"/><Relationship Id="rId76" Type="http://schemas.openxmlformats.org/officeDocument/2006/relationships/hyperlink" Target="http://canlii.ca/t/j1w4t" TargetMode="External"/><Relationship Id="rId97" Type="http://schemas.openxmlformats.org/officeDocument/2006/relationships/header" Target="header10.xml"/><Relationship Id="rId104"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yperlink" Target="http://canlii.ca/t/hxgp7" TargetMode="External"/><Relationship Id="rId92"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hyperlink" Target="https://www.canlii.org/en/bc/bcca/doc/2019/2019bcca267/2019bcca267.html?searchUrlHash=AAAAAQANMjAxOSBCQ0NBIDI2NwAAAAAB&amp;resultIndex=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D282-6CB9-4997-A880-3001AEBD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40</Pages>
  <Words>16034</Words>
  <Characters>91396</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2020-01-06T19:25:00Z</dcterms:created>
  <dcterms:modified xsi:type="dcterms:W3CDTF">2020-01-23T19:49:00Z</dcterms:modified>
</cp:coreProperties>
</file>