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47B76" w:rsidTr="00F138C1">
        <w:tc>
          <w:tcPr>
            <w:tcW w:w="9648" w:type="dxa"/>
            <w:gridSpan w:val="3"/>
          </w:tcPr>
          <w:p w:rsidR="00F138C1" w:rsidRPr="00047B76" w:rsidRDefault="00F138C1" w:rsidP="00F138C1">
            <w:pPr>
              <w:tabs>
                <w:tab w:val="left" w:pos="6075"/>
              </w:tabs>
              <w:jc w:val="center"/>
              <w:rPr>
                <w:b/>
                <w:sz w:val="32"/>
                <w:szCs w:val="32"/>
                <w:lang w:val="fr-CA"/>
              </w:rPr>
            </w:pPr>
            <w:r w:rsidRPr="00047B76">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047B76" w:rsidTr="00F138C1">
        <w:tc>
          <w:tcPr>
            <w:tcW w:w="4599" w:type="dxa"/>
            <w:tcMar>
              <w:top w:w="284" w:type="dxa"/>
            </w:tcMar>
          </w:tcPr>
          <w:p w:rsidR="00F138C1" w:rsidRPr="00047B76" w:rsidRDefault="00F138C1" w:rsidP="00F138C1">
            <w:pPr>
              <w:tabs>
                <w:tab w:val="left" w:pos="6075"/>
              </w:tabs>
              <w:jc w:val="center"/>
              <w:rPr>
                <w:b/>
                <w:sz w:val="32"/>
                <w:szCs w:val="32"/>
              </w:rPr>
            </w:pPr>
            <w:r w:rsidRPr="00047B76">
              <w:rPr>
                <w:b/>
                <w:sz w:val="32"/>
                <w:szCs w:val="32"/>
              </w:rPr>
              <w:t>SUPREME COURT OF CANADA</w:t>
            </w:r>
          </w:p>
        </w:tc>
        <w:tc>
          <w:tcPr>
            <w:tcW w:w="483" w:type="dxa"/>
          </w:tcPr>
          <w:p w:rsidR="00F138C1" w:rsidRPr="00047B76" w:rsidRDefault="00F138C1" w:rsidP="00F138C1">
            <w:pPr>
              <w:tabs>
                <w:tab w:val="left" w:pos="6075"/>
              </w:tabs>
              <w:jc w:val="center"/>
              <w:rPr>
                <w:sz w:val="32"/>
                <w:szCs w:val="32"/>
              </w:rPr>
            </w:pPr>
          </w:p>
        </w:tc>
        <w:tc>
          <w:tcPr>
            <w:tcW w:w="4566" w:type="dxa"/>
            <w:tcMar>
              <w:top w:w="284" w:type="dxa"/>
            </w:tcMar>
          </w:tcPr>
          <w:p w:rsidR="00F138C1" w:rsidRPr="00047B76" w:rsidRDefault="00F138C1" w:rsidP="00F138C1">
            <w:pPr>
              <w:tabs>
                <w:tab w:val="left" w:pos="6075"/>
              </w:tabs>
              <w:jc w:val="center"/>
              <w:rPr>
                <w:b/>
                <w:sz w:val="32"/>
                <w:szCs w:val="32"/>
                <w:lang w:val="fr-CA"/>
              </w:rPr>
            </w:pPr>
            <w:r w:rsidRPr="00047B76">
              <w:rPr>
                <w:b/>
                <w:sz w:val="32"/>
                <w:szCs w:val="32"/>
                <w:lang w:val="fr-CA"/>
              </w:rPr>
              <w:t>COUR SUPRÊME DU CANADA</w:t>
            </w:r>
          </w:p>
        </w:tc>
      </w:tr>
      <w:tr w:rsidR="00F138C1" w:rsidRPr="00047B76" w:rsidTr="00F138C1">
        <w:tc>
          <w:tcPr>
            <w:tcW w:w="4599" w:type="dxa"/>
            <w:tcMar>
              <w:top w:w="567" w:type="dxa"/>
            </w:tcMar>
          </w:tcPr>
          <w:p w:rsidR="00F138C1" w:rsidRPr="00047B76" w:rsidRDefault="00F138C1" w:rsidP="00F138C1">
            <w:pPr>
              <w:tabs>
                <w:tab w:val="left" w:pos="6075"/>
              </w:tabs>
              <w:jc w:val="center"/>
              <w:rPr>
                <w:sz w:val="28"/>
                <w:szCs w:val="28"/>
              </w:rPr>
            </w:pPr>
            <w:r w:rsidRPr="00047B76">
              <w:rPr>
                <w:sz w:val="28"/>
                <w:szCs w:val="28"/>
              </w:rPr>
              <w:t>BULLETIN OF</w:t>
            </w:r>
            <w:r>
              <w:rPr>
                <w:sz w:val="28"/>
                <w:szCs w:val="28"/>
              </w:rPr>
              <w:br/>
            </w:r>
            <w:r w:rsidRPr="00047B76">
              <w:rPr>
                <w:sz w:val="28"/>
                <w:szCs w:val="28"/>
              </w:rPr>
              <w:t xml:space="preserve"> PROCEEDINGS</w:t>
            </w:r>
          </w:p>
        </w:tc>
        <w:tc>
          <w:tcPr>
            <w:tcW w:w="483" w:type="dxa"/>
          </w:tcPr>
          <w:p w:rsidR="00F138C1" w:rsidRPr="00047B76" w:rsidRDefault="00F138C1" w:rsidP="00F138C1">
            <w:pPr>
              <w:tabs>
                <w:tab w:val="left" w:pos="6075"/>
              </w:tabs>
            </w:pPr>
          </w:p>
        </w:tc>
        <w:tc>
          <w:tcPr>
            <w:tcW w:w="4566" w:type="dxa"/>
            <w:tcMar>
              <w:top w:w="567" w:type="dxa"/>
            </w:tcMar>
          </w:tcPr>
          <w:p w:rsidR="00F138C1" w:rsidRPr="00047B76" w:rsidRDefault="00F138C1" w:rsidP="00F138C1">
            <w:pPr>
              <w:tabs>
                <w:tab w:val="left" w:pos="6075"/>
              </w:tabs>
              <w:jc w:val="center"/>
              <w:rPr>
                <w:sz w:val="28"/>
                <w:szCs w:val="28"/>
                <w:lang w:val="fr-CA"/>
              </w:rPr>
            </w:pPr>
            <w:r w:rsidRPr="00047B76">
              <w:rPr>
                <w:sz w:val="28"/>
                <w:szCs w:val="28"/>
                <w:lang w:val="fr-CA"/>
              </w:rPr>
              <w:t>BULLETIN DES</w:t>
            </w:r>
            <w:r>
              <w:rPr>
                <w:sz w:val="28"/>
                <w:szCs w:val="28"/>
                <w:lang w:val="fr-CA"/>
              </w:rPr>
              <w:br/>
            </w:r>
            <w:r w:rsidRPr="00047B76">
              <w:rPr>
                <w:sz w:val="28"/>
                <w:szCs w:val="28"/>
                <w:lang w:val="fr-CA"/>
              </w:rPr>
              <w:t xml:space="preserve"> PROCÉDURES</w:t>
            </w:r>
          </w:p>
        </w:tc>
      </w:tr>
      <w:tr w:rsidR="00F138C1" w:rsidRPr="005662E5" w:rsidTr="00F138C1">
        <w:tc>
          <w:tcPr>
            <w:tcW w:w="4599" w:type="dxa"/>
            <w:tcMar>
              <w:top w:w="567" w:type="dxa"/>
            </w:tcMar>
          </w:tcPr>
          <w:p w:rsidR="00F138C1" w:rsidRPr="00047B76" w:rsidRDefault="00F138C1" w:rsidP="00F138C1">
            <w:pPr>
              <w:tabs>
                <w:tab w:val="left" w:pos="6075"/>
              </w:tabs>
              <w:jc w:val="both"/>
              <w:rPr>
                <w:rFonts w:ascii="Arial" w:hAnsi="Arial" w:cs="Arial"/>
                <w:i/>
                <w:sz w:val="20"/>
                <w:szCs w:val="20"/>
              </w:rPr>
            </w:pPr>
            <w:r w:rsidRPr="00047B7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47B7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47B76" w:rsidRDefault="00F138C1" w:rsidP="00F138C1">
            <w:pPr>
              <w:tabs>
                <w:tab w:val="left" w:pos="6075"/>
              </w:tabs>
              <w:jc w:val="both"/>
              <w:rPr>
                <w:rFonts w:ascii="Arial" w:hAnsi="Arial" w:cs="Arial"/>
                <w:i/>
                <w:sz w:val="20"/>
                <w:szCs w:val="20"/>
                <w:lang w:val="fr-CA"/>
              </w:rPr>
            </w:pPr>
            <w:r w:rsidRPr="00047B7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662E5" w:rsidTr="00F138C1">
        <w:tc>
          <w:tcPr>
            <w:tcW w:w="4599" w:type="dxa"/>
            <w:tcMar>
              <w:top w:w="567" w:type="dxa"/>
            </w:tcMar>
          </w:tcPr>
          <w:p w:rsidR="00F138C1" w:rsidRPr="00047B76" w:rsidRDefault="00F138C1" w:rsidP="00F138C1">
            <w:pPr>
              <w:tabs>
                <w:tab w:val="left" w:pos="6075"/>
              </w:tabs>
              <w:jc w:val="both"/>
              <w:rPr>
                <w:rFonts w:ascii="Arial" w:hAnsi="Arial" w:cs="Arial"/>
                <w:i/>
                <w:sz w:val="20"/>
                <w:szCs w:val="20"/>
              </w:rPr>
            </w:pPr>
            <w:r w:rsidRPr="00047B76">
              <w:rPr>
                <w:rFonts w:ascii="Arial" w:hAnsi="Arial" w:cs="Arial"/>
                <w:i/>
                <w:sz w:val="20"/>
                <w:szCs w:val="20"/>
              </w:rPr>
              <w:t>During Court sessions, the Bulletin is usually issued weekly.</w:t>
            </w:r>
          </w:p>
        </w:tc>
        <w:tc>
          <w:tcPr>
            <w:tcW w:w="483" w:type="dxa"/>
          </w:tcPr>
          <w:p w:rsidR="00F138C1" w:rsidRPr="00047B7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47B76" w:rsidRDefault="00F138C1" w:rsidP="00F138C1">
            <w:pPr>
              <w:tabs>
                <w:tab w:val="left" w:pos="6075"/>
              </w:tabs>
              <w:jc w:val="both"/>
              <w:rPr>
                <w:rFonts w:ascii="Arial" w:hAnsi="Arial" w:cs="Arial"/>
                <w:i/>
                <w:sz w:val="20"/>
                <w:szCs w:val="20"/>
                <w:lang w:val="fr-CA"/>
              </w:rPr>
            </w:pPr>
            <w:r w:rsidRPr="00047B76">
              <w:rPr>
                <w:rFonts w:ascii="Arial" w:hAnsi="Arial" w:cs="Arial"/>
                <w:i/>
                <w:sz w:val="20"/>
                <w:szCs w:val="20"/>
                <w:lang w:val="fr-CA"/>
              </w:rPr>
              <w:t>Le Bulletin paraît en principe toutes les semaines pendant les sessions de la Cour.</w:t>
            </w:r>
          </w:p>
        </w:tc>
      </w:tr>
      <w:tr w:rsidR="00F138C1" w:rsidRPr="005662E5" w:rsidTr="00F138C1">
        <w:tc>
          <w:tcPr>
            <w:tcW w:w="4599" w:type="dxa"/>
            <w:tcMar>
              <w:top w:w="567" w:type="dxa"/>
            </w:tcMar>
          </w:tcPr>
          <w:p w:rsidR="00F138C1" w:rsidRPr="00047B76" w:rsidRDefault="00F138C1" w:rsidP="00F138C1">
            <w:pPr>
              <w:tabs>
                <w:tab w:val="left" w:pos="6075"/>
              </w:tabs>
              <w:jc w:val="both"/>
              <w:rPr>
                <w:rFonts w:ascii="Arial" w:hAnsi="Arial" w:cs="Arial"/>
                <w:i/>
                <w:sz w:val="20"/>
                <w:szCs w:val="20"/>
              </w:rPr>
            </w:pPr>
            <w:r w:rsidRPr="00047B76">
              <w:rPr>
                <w:rFonts w:ascii="Arial" w:hAnsi="Arial" w:cs="Arial"/>
                <w:i/>
                <w:sz w:val="20"/>
                <w:szCs w:val="20"/>
              </w:rPr>
              <w:fldChar w:fldCharType="begin"/>
            </w:r>
            <w:r w:rsidRPr="00047B76">
              <w:rPr>
                <w:rFonts w:ascii="Arial" w:hAnsi="Arial" w:cs="Arial"/>
                <w:i/>
                <w:sz w:val="20"/>
                <w:szCs w:val="20"/>
              </w:rPr>
              <w:instrText xml:space="preserve"> SEQ CHAPTER \h \r 1</w:instrText>
            </w:r>
            <w:r w:rsidRPr="00047B76">
              <w:rPr>
                <w:rFonts w:ascii="Arial" w:hAnsi="Arial" w:cs="Arial"/>
                <w:i/>
                <w:sz w:val="20"/>
                <w:szCs w:val="20"/>
              </w:rPr>
              <w:fldChar w:fldCharType="end"/>
            </w:r>
            <w:r w:rsidRPr="00047B7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47B7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47B76" w:rsidRDefault="00F138C1" w:rsidP="00F138C1">
            <w:pPr>
              <w:tabs>
                <w:tab w:val="left" w:pos="6075"/>
              </w:tabs>
              <w:jc w:val="both"/>
              <w:rPr>
                <w:rFonts w:ascii="Arial" w:hAnsi="Arial" w:cs="Arial"/>
                <w:i/>
                <w:sz w:val="20"/>
                <w:szCs w:val="20"/>
                <w:lang w:val="fr-CA"/>
              </w:rPr>
            </w:pPr>
            <w:r w:rsidRPr="00047B76">
              <w:rPr>
                <w:rFonts w:ascii="Arial" w:hAnsi="Arial" w:cs="Arial"/>
                <w:i/>
                <w:sz w:val="20"/>
                <w:szCs w:val="20"/>
                <w:lang w:val="fr-CA"/>
              </w:rPr>
              <w:fldChar w:fldCharType="begin"/>
            </w:r>
            <w:r w:rsidRPr="00047B76">
              <w:rPr>
                <w:rFonts w:ascii="Arial" w:hAnsi="Arial" w:cs="Arial"/>
                <w:i/>
                <w:sz w:val="20"/>
                <w:szCs w:val="20"/>
                <w:lang w:val="fr-CA"/>
              </w:rPr>
              <w:instrText xml:space="preserve"> SEQ CHAPTER \h \r 1</w:instrText>
            </w:r>
            <w:r w:rsidRPr="00047B76">
              <w:rPr>
                <w:rFonts w:ascii="Arial" w:hAnsi="Arial" w:cs="Arial"/>
                <w:i/>
                <w:sz w:val="20"/>
                <w:szCs w:val="20"/>
                <w:lang w:val="fr-CA"/>
              </w:rPr>
              <w:fldChar w:fldCharType="end"/>
            </w:r>
            <w:r w:rsidRPr="00047B7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662E5" w:rsidTr="00F138C1">
        <w:tc>
          <w:tcPr>
            <w:tcW w:w="4599" w:type="dxa"/>
            <w:tcMar>
              <w:top w:w="567" w:type="dxa"/>
            </w:tcMar>
          </w:tcPr>
          <w:p w:rsidR="00F138C1" w:rsidRPr="00047B76" w:rsidRDefault="00F138C1" w:rsidP="00F138C1">
            <w:pPr>
              <w:tabs>
                <w:tab w:val="left" w:pos="6075"/>
              </w:tabs>
              <w:jc w:val="both"/>
              <w:rPr>
                <w:rFonts w:ascii="Arial" w:hAnsi="Arial" w:cs="Arial"/>
                <w:i/>
                <w:sz w:val="20"/>
                <w:szCs w:val="20"/>
              </w:rPr>
            </w:pPr>
            <w:r w:rsidRPr="00047B76">
              <w:rPr>
                <w:rFonts w:ascii="Arial" w:hAnsi="Arial" w:cs="Arial"/>
                <w:i/>
                <w:sz w:val="20"/>
                <w:szCs w:val="20"/>
                <w:lang w:val="en-US"/>
              </w:rPr>
              <w:t>Please c</w:t>
            </w:r>
            <w:r w:rsidRPr="00047B76">
              <w:rPr>
                <w:rFonts w:ascii="Arial" w:hAnsi="Arial" w:cs="Arial"/>
                <w:i/>
                <w:sz w:val="20"/>
                <w:szCs w:val="20"/>
              </w:rPr>
              <w:t xml:space="preserve">onsult the Supreme Court of Canada website at </w:t>
            </w:r>
            <w:hyperlink r:id="rId9" w:history="1">
              <w:r>
                <w:rPr>
                  <w:rStyle w:val="Hyperlink"/>
                  <w:rFonts w:ascii="Arial" w:hAnsi="Arial" w:cs="Arial"/>
                  <w:i/>
                  <w:sz w:val="20"/>
                  <w:szCs w:val="20"/>
                </w:rPr>
                <w:t>www.scc-csc.ca</w:t>
              </w:r>
            </w:hyperlink>
            <w:r w:rsidRPr="00047B76">
              <w:rPr>
                <w:rFonts w:ascii="Arial" w:hAnsi="Arial" w:cs="Arial"/>
                <w:i/>
                <w:sz w:val="20"/>
                <w:szCs w:val="20"/>
              </w:rPr>
              <w:t xml:space="preserve"> for more information.</w:t>
            </w:r>
          </w:p>
        </w:tc>
        <w:tc>
          <w:tcPr>
            <w:tcW w:w="483" w:type="dxa"/>
          </w:tcPr>
          <w:p w:rsidR="00F138C1" w:rsidRPr="00047B7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47B76" w:rsidRDefault="00F138C1" w:rsidP="00F138C1">
            <w:pPr>
              <w:tabs>
                <w:tab w:val="left" w:pos="6075"/>
              </w:tabs>
              <w:jc w:val="both"/>
              <w:rPr>
                <w:rFonts w:ascii="Arial" w:hAnsi="Arial" w:cs="Arial"/>
                <w:i/>
                <w:sz w:val="20"/>
                <w:szCs w:val="20"/>
                <w:lang w:val="fr-CA"/>
              </w:rPr>
            </w:pPr>
            <w:r w:rsidRPr="00047B76">
              <w:rPr>
                <w:rFonts w:ascii="Arial" w:hAnsi="Arial" w:cs="Arial"/>
                <w:i/>
                <w:sz w:val="20"/>
                <w:szCs w:val="20"/>
                <w:lang w:val="fr-CA"/>
              </w:rPr>
              <w:t xml:space="preserve">Pour de plus amples informations, veuillez consulter le site Web de la Cour suprême du Canada à l’adresse suivante : </w:t>
            </w:r>
            <w:hyperlink r:id="rId10" w:history="1">
              <w:r w:rsidRPr="00047B76">
                <w:rPr>
                  <w:rStyle w:val="Hyperlink"/>
                  <w:rFonts w:ascii="Arial" w:hAnsi="Arial" w:cs="Arial"/>
                  <w:i/>
                  <w:sz w:val="20"/>
                  <w:szCs w:val="20"/>
                  <w:lang w:val="fr-CA"/>
                </w:rPr>
                <w:t>www.scc-csc.ca</w:t>
              </w:r>
            </w:hyperlink>
            <w:r w:rsidRPr="00047B76">
              <w:rPr>
                <w:rFonts w:ascii="Arial" w:hAnsi="Arial" w:cs="Arial"/>
                <w:i/>
                <w:sz w:val="20"/>
                <w:szCs w:val="20"/>
                <w:lang w:val="fr-CA"/>
              </w:rPr>
              <w:t xml:space="preserve"> </w:t>
            </w:r>
          </w:p>
        </w:tc>
      </w:tr>
    </w:tbl>
    <w:p w:rsidR="00F138C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47B76" w:rsidTr="00F138C1">
        <w:tc>
          <w:tcPr>
            <w:tcW w:w="2250" w:type="pct"/>
            <w:tcBorders>
              <w:top w:val="single" w:sz="4" w:space="0" w:color="auto"/>
            </w:tcBorders>
            <w:tcMar>
              <w:top w:w="284" w:type="dxa"/>
              <w:bottom w:w="284" w:type="dxa"/>
            </w:tcMar>
          </w:tcPr>
          <w:p w:rsidR="00F138C1" w:rsidRPr="00047B76" w:rsidRDefault="007B5129" w:rsidP="007B5129">
            <w:pPr>
              <w:tabs>
                <w:tab w:val="left" w:pos="6075"/>
              </w:tabs>
              <w:rPr>
                <w:rFonts w:ascii="Arial" w:hAnsi="Arial" w:cs="Arial"/>
                <w:i/>
                <w:sz w:val="20"/>
                <w:szCs w:val="20"/>
              </w:rPr>
            </w:pPr>
            <w:r>
              <w:rPr>
                <w:lang w:val="fr-CA"/>
              </w:rPr>
              <w:t>February</w:t>
            </w:r>
            <w:r w:rsidR="00F138C1" w:rsidRPr="00047B76">
              <w:rPr>
                <w:lang w:val="fr-CA"/>
              </w:rPr>
              <w:t xml:space="preserve"> </w:t>
            </w:r>
            <w:r>
              <w:rPr>
                <w:lang w:val="fr-CA"/>
              </w:rPr>
              <w:t>7</w:t>
            </w:r>
            <w:r w:rsidR="00F138C1" w:rsidRPr="00047B76">
              <w:rPr>
                <w:lang w:val="fr-CA"/>
              </w:rPr>
              <w:t>, 20</w:t>
            </w:r>
            <w:r w:rsidR="00F138C1">
              <w:rPr>
                <w:lang w:val="fr-CA"/>
              </w:rPr>
              <w:t>20</w:t>
            </w:r>
          </w:p>
        </w:tc>
        <w:tc>
          <w:tcPr>
            <w:tcW w:w="500" w:type="pct"/>
            <w:tcBorders>
              <w:top w:val="single" w:sz="4" w:space="0" w:color="auto"/>
            </w:tcBorders>
            <w:tcMar>
              <w:top w:w="284" w:type="dxa"/>
              <w:bottom w:w="284" w:type="dxa"/>
            </w:tcMar>
          </w:tcPr>
          <w:p w:rsidR="00F138C1" w:rsidRPr="00047B76" w:rsidRDefault="00F138C1" w:rsidP="00F138C1">
            <w:pPr>
              <w:tabs>
                <w:tab w:val="left" w:pos="6075"/>
              </w:tabs>
              <w:jc w:val="center"/>
              <w:rPr>
                <w:rFonts w:ascii="Arial" w:hAnsi="Arial" w:cs="Arial"/>
                <w:i/>
                <w:sz w:val="20"/>
                <w:szCs w:val="20"/>
              </w:rPr>
            </w:pPr>
            <w:r w:rsidRPr="00E80681">
              <w:rPr>
                <w:lang w:val="fr-CA"/>
              </w:rPr>
              <w:t>1 -</w:t>
            </w:r>
            <w:r w:rsidR="00E80681" w:rsidRPr="00E80681">
              <w:rPr>
                <w:lang w:val="fr-CA"/>
              </w:rPr>
              <w:t xml:space="preserve"> 13</w:t>
            </w:r>
            <w:r w:rsidRPr="0016082B">
              <w:rPr>
                <w:lang w:val="fr-CA"/>
              </w:rPr>
              <w:t xml:space="preserve"> </w:t>
            </w:r>
          </w:p>
        </w:tc>
        <w:tc>
          <w:tcPr>
            <w:tcW w:w="2250" w:type="pct"/>
            <w:tcBorders>
              <w:top w:val="single" w:sz="4" w:space="0" w:color="auto"/>
            </w:tcBorders>
            <w:tcMar>
              <w:top w:w="284" w:type="dxa"/>
              <w:bottom w:w="284" w:type="dxa"/>
            </w:tcMar>
          </w:tcPr>
          <w:p w:rsidR="00F138C1" w:rsidRPr="00047B76" w:rsidRDefault="00F138C1" w:rsidP="007B5129">
            <w:pPr>
              <w:tabs>
                <w:tab w:val="left" w:pos="6075"/>
              </w:tabs>
              <w:jc w:val="right"/>
              <w:rPr>
                <w:rFonts w:ascii="Arial" w:hAnsi="Arial" w:cs="Arial"/>
                <w:i/>
                <w:sz w:val="20"/>
                <w:szCs w:val="20"/>
                <w:lang w:val="fr-CA"/>
              </w:rPr>
            </w:pPr>
            <w:r w:rsidRPr="00047B76">
              <w:rPr>
                <w:lang w:val="fr-CA"/>
              </w:rPr>
              <w:t xml:space="preserve">Le </w:t>
            </w:r>
            <w:r w:rsidR="007B5129">
              <w:rPr>
                <w:lang w:val="fr-CA"/>
              </w:rPr>
              <w:t>7</w:t>
            </w:r>
            <w:r w:rsidRPr="00047B76">
              <w:rPr>
                <w:lang w:val="fr-CA"/>
              </w:rPr>
              <w:t xml:space="preserve"> </w:t>
            </w:r>
            <w:r w:rsidR="007B5129">
              <w:rPr>
                <w:lang w:val="fr-CA"/>
              </w:rPr>
              <w:t>févri</w:t>
            </w:r>
            <w:r>
              <w:rPr>
                <w:lang w:val="fr-CA"/>
              </w:rPr>
              <w:t>er</w:t>
            </w:r>
            <w:r w:rsidRPr="00047B76">
              <w:rPr>
                <w:lang w:val="fr-CA"/>
              </w:rPr>
              <w:t xml:space="preserve"> 20</w:t>
            </w:r>
            <w:r>
              <w:rPr>
                <w:lang w:val="fr-CA"/>
              </w:rPr>
              <w:t>20</w:t>
            </w:r>
          </w:p>
        </w:tc>
      </w:tr>
      <w:tr w:rsidR="00F138C1" w:rsidRPr="00937854" w:rsidTr="00F138C1">
        <w:tc>
          <w:tcPr>
            <w:tcW w:w="2250" w:type="pct"/>
            <w:tcBorders>
              <w:bottom w:val="single" w:sz="4" w:space="0" w:color="auto"/>
            </w:tcBorders>
            <w:tcMar>
              <w:top w:w="284" w:type="dxa"/>
              <w:bottom w:w="284" w:type="dxa"/>
            </w:tcMar>
          </w:tcPr>
          <w:p w:rsidR="00F138C1" w:rsidRPr="00047B76" w:rsidRDefault="00F138C1" w:rsidP="00F138C1">
            <w:pPr>
              <w:tabs>
                <w:tab w:val="left" w:pos="6075"/>
              </w:tabs>
              <w:rPr>
                <w:rFonts w:ascii="Arial" w:hAnsi="Arial" w:cs="Arial"/>
                <w:i/>
                <w:sz w:val="20"/>
                <w:szCs w:val="20"/>
              </w:rPr>
            </w:pPr>
            <w:r w:rsidRPr="0002634A">
              <w:rPr>
                <w:sz w:val="18"/>
                <w:szCs w:val="18"/>
                <w:lang w:val="en-US"/>
              </w:rPr>
              <w:t>© Supreme Court of Canada (20</w:t>
            </w:r>
            <w:r>
              <w:rPr>
                <w:sz w:val="18"/>
                <w:szCs w:val="18"/>
                <w:lang w:val="en-US"/>
              </w:rPr>
              <w:t>20</w:t>
            </w:r>
            <w:r w:rsidRPr="0002634A">
              <w:rPr>
                <w:sz w:val="18"/>
                <w:szCs w:val="18"/>
                <w:lang w:val="en-US"/>
              </w:rPr>
              <w:t>)</w:t>
            </w:r>
            <w:r w:rsidRPr="0002634A">
              <w:rPr>
                <w:sz w:val="18"/>
                <w:szCs w:val="18"/>
                <w:lang w:val="en-US"/>
              </w:rPr>
              <w:br/>
              <w:t>ISSN 1918-8358 (Online)</w:t>
            </w:r>
          </w:p>
        </w:tc>
        <w:tc>
          <w:tcPr>
            <w:tcW w:w="500" w:type="pct"/>
            <w:tcBorders>
              <w:bottom w:val="single" w:sz="4" w:space="0" w:color="auto"/>
            </w:tcBorders>
            <w:tcMar>
              <w:top w:w="284" w:type="dxa"/>
              <w:bottom w:w="284" w:type="dxa"/>
            </w:tcMar>
          </w:tcPr>
          <w:p w:rsidR="00F138C1" w:rsidRPr="00047B7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47B76" w:rsidRDefault="00F138C1" w:rsidP="00F138C1">
            <w:pPr>
              <w:tabs>
                <w:tab w:val="left" w:pos="6075"/>
              </w:tabs>
              <w:jc w:val="right"/>
              <w:rPr>
                <w:rFonts w:ascii="Arial" w:hAnsi="Arial" w:cs="Arial"/>
                <w:i/>
                <w:sz w:val="20"/>
                <w:szCs w:val="20"/>
                <w:lang w:val="fr-CA"/>
              </w:rPr>
            </w:pPr>
            <w:r w:rsidRPr="00047B76">
              <w:rPr>
                <w:sz w:val="18"/>
                <w:szCs w:val="18"/>
                <w:lang w:val="fr-CA"/>
              </w:rPr>
              <w:t>© Cour suprême du Canada (20</w:t>
            </w:r>
            <w:r>
              <w:rPr>
                <w:sz w:val="18"/>
                <w:szCs w:val="18"/>
                <w:lang w:val="fr-CA"/>
              </w:rPr>
              <w:t>20</w:t>
            </w:r>
            <w:proofErr w:type="gramStart"/>
            <w:r w:rsidRPr="00047B76">
              <w:rPr>
                <w:sz w:val="18"/>
                <w:szCs w:val="18"/>
                <w:lang w:val="fr-CA"/>
              </w:rPr>
              <w:t>)</w:t>
            </w:r>
            <w:proofErr w:type="gramEnd"/>
            <w:r>
              <w:rPr>
                <w:sz w:val="18"/>
                <w:szCs w:val="18"/>
                <w:lang w:val="fr-CA"/>
              </w:rPr>
              <w:br/>
            </w:r>
            <w:r w:rsidRPr="00047B76">
              <w:rPr>
                <w:sz w:val="18"/>
                <w:szCs w:val="18"/>
                <w:lang w:val="fr-CA"/>
              </w:rPr>
              <w:t>ISSN 1918-8358 (En ligne)</w:t>
            </w:r>
          </w:p>
        </w:tc>
      </w:tr>
    </w:tbl>
    <w:p w:rsidR="0030050B" w:rsidRDefault="0030050B" w:rsidP="00F138C1">
      <w:pPr>
        <w:tabs>
          <w:tab w:val="left" w:pos="6075"/>
        </w:tabs>
        <w:rPr>
          <w:lang w:val="fr-CA"/>
        </w:rPr>
      </w:pPr>
    </w:p>
    <w:p w:rsidR="00560DF1" w:rsidRDefault="00560DF1" w:rsidP="0095096B">
      <w:pPr>
        <w:tabs>
          <w:tab w:val="right" w:pos="9360"/>
        </w:tabs>
        <w:rPr>
          <w:lang w:val="fr-CA"/>
        </w:rPr>
      </w:pPr>
    </w:p>
    <w:p w:rsidR="00F138C1" w:rsidRPr="006615F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A50DD5"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31877304" w:history="1">
            <w:r w:rsidR="00A50DD5" w:rsidRPr="001317C5">
              <w:rPr>
                <w:rStyle w:val="Hyperlink"/>
                <w:noProof/>
                <w:lang w:val="fr-CA"/>
              </w:rPr>
              <w:t>Applications for leave to appeal filed /  Demandes d’autorisation d’appel déposées</w:t>
            </w:r>
            <w:r w:rsidR="00A50DD5">
              <w:rPr>
                <w:noProof/>
                <w:webHidden/>
              </w:rPr>
              <w:tab/>
            </w:r>
            <w:r w:rsidR="00A50DD5">
              <w:rPr>
                <w:noProof/>
                <w:webHidden/>
              </w:rPr>
              <w:fldChar w:fldCharType="begin"/>
            </w:r>
            <w:r w:rsidR="00A50DD5">
              <w:rPr>
                <w:noProof/>
                <w:webHidden/>
              </w:rPr>
              <w:instrText xml:space="preserve"> PAGEREF _Toc31877304 \h </w:instrText>
            </w:r>
            <w:r w:rsidR="00A50DD5">
              <w:rPr>
                <w:noProof/>
                <w:webHidden/>
              </w:rPr>
            </w:r>
            <w:r w:rsidR="00A50DD5">
              <w:rPr>
                <w:noProof/>
                <w:webHidden/>
              </w:rPr>
              <w:fldChar w:fldCharType="separate"/>
            </w:r>
            <w:r w:rsidR="001C76A4">
              <w:rPr>
                <w:noProof/>
                <w:webHidden/>
              </w:rPr>
              <w:t>1</w:t>
            </w:r>
            <w:r w:rsidR="00A50DD5">
              <w:rPr>
                <w:noProof/>
                <w:webHidden/>
              </w:rPr>
              <w:fldChar w:fldCharType="end"/>
            </w:r>
          </w:hyperlink>
        </w:p>
        <w:p w:rsidR="00A50DD5" w:rsidRDefault="00937854">
          <w:pPr>
            <w:pStyle w:val="TOC1"/>
            <w:tabs>
              <w:tab w:val="right" w:leader="dot" w:pos="9638"/>
            </w:tabs>
            <w:rPr>
              <w:rFonts w:asciiTheme="minorHAnsi" w:eastAsiaTheme="minorEastAsia" w:hAnsiTheme="minorHAnsi"/>
              <w:noProof/>
              <w:sz w:val="22"/>
              <w:lang w:val="en-US"/>
            </w:rPr>
          </w:pPr>
          <w:hyperlink w:anchor="_Toc31877305" w:history="1">
            <w:r w:rsidR="00A50DD5" w:rsidRPr="001317C5">
              <w:rPr>
                <w:rStyle w:val="Hyperlink"/>
                <w:noProof/>
                <w:lang w:val="fr-CA"/>
              </w:rPr>
              <w:t>Applications for leave submitted to the Court since the last issue /  Demandes soumises à la Cour depuis la dernière parution</w:t>
            </w:r>
            <w:r w:rsidR="00A50DD5">
              <w:rPr>
                <w:noProof/>
                <w:webHidden/>
              </w:rPr>
              <w:tab/>
            </w:r>
            <w:r w:rsidR="00A50DD5">
              <w:rPr>
                <w:noProof/>
                <w:webHidden/>
              </w:rPr>
              <w:fldChar w:fldCharType="begin"/>
            </w:r>
            <w:r w:rsidR="00A50DD5">
              <w:rPr>
                <w:noProof/>
                <w:webHidden/>
              </w:rPr>
              <w:instrText xml:space="preserve"> PAGEREF _Toc31877305 \h </w:instrText>
            </w:r>
            <w:r w:rsidR="00A50DD5">
              <w:rPr>
                <w:noProof/>
                <w:webHidden/>
              </w:rPr>
            </w:r>
            <w:r w:rsidR="00A50DD5">
              <w:rPr>
                <w:noProof/>
                <w:webHidden/>
              </w:rPr>
              <w:fldChar w:fldCharType="separate"/>
            </w:r>
            <w:r w:rsidR="001C76A4">
              <w:rPr>
                <w:noProof/>
                <w:webHidden/>
              </w:rPr>
              <w:t>2</w:t>
            </w:r>
            <w:r w:rsidR="00A50DD5">
              <w:rPr>
                <w:noProof/>
                <w:webHidden/>
              </w:rPr>
              <w:fldChar w:fldCharType="end"/>
            </w:r>
          </w:hyperlink>
        </w:p>
        <w:p w:rsidR="00A50DD5" w:rsidRDefault="00937854">
          <w:pPr>
            <w:pStyle w:val="TOC1"/>
            <w:tabs>
              <w:tab w:val="right" w:leader="dot" w:pos="9638"/>
            </w:tabs>
            <w:rPr>
              <w:rFonts w:asciiTheme="minorHAnsi" w:eastAsiaTheme="minorEastAsia" w:hAnsiTheme="minorHAnsi"/>
              <w:noProof/>
              <w:sz w:val="22"/>
              <w:lang w:val="en-US"/>
            </w:rPr>
          </w:pPr>
          <w:hyperlink w:anchor="_Toc31877306" w:history="1">
            <w:r w:rsidR="00A50DD5" w:rsidRPr="001317C5">
              <w:rPr>
                <w:rStyle w:val="Hyperlink"/>
                <w:noProof/>
                <w:lang w:val="fr-CA"/>
              </w:rPr>
              <w:t>Judgments on applications for leave /  Jugements rendus sur les demandes d’autorisation</w:t>
            </w:r>
            <w:r w:rsidR="00A50DD5">
              <w:rPr>
                <w:noProof/>
                <w:webHidden/>
              </w:rPr>
              <w:tab/>
            </w:r>
            <w:r w:rsidR="00A50DD5">
              <w:rPr>
                <w:noProof/>
                <w:webHidden/>
              </w:rPr>
              <w:fldChar w:fldCharType="begin"/>
            </w:r>
            <w:r w:rsidR="00A50DD5">
              <w:rPr>
                <w:noProof/>
                <w:webHidden/>
              </w:rPr>
              <w:instrText xml:space="preserve"> PAGEREF _Toc31877306 \h </w:instrText>
            </w:r>
            <w:r w:rsidR="00A50DD5">
              <w:rPr>
                <w:noProof/>
                <w:webHidden/>
              </w:rPr>
            </w:r>
            <w:r w:rsidR="00A50DD5">
              <w:rPr>
                <w:noProof/>
                <w:webHidden/>
              </w:rPr>
              <w:fldChar w:fldCharType="separate"/>
            </w:r>
            <w:r w:rsidR="001C76A4">
              <w:rPr>
                <w:noProof/>
                <w:webHidden/>
              </w:rPr>
              <w:t>4</w:t>
            </w:r>
            <w:r w:rsidR="00A50DD5">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662E5" w:rsidTr="00F138C1">
        <w:trPr>
          <w:jc w:val="center"/>
        </w:trPr>
        <w:tc>
          <w:tcPr>
            <w:tcW w:w="9638" w:type="dxa"/>
          </w:tcPr>
          <w:p w:rsidR="00F138C1" w:rsidRPr="00047B76" w:rsidRDefault="00F138C1" w:rsidP="00F138C1">
            <w:pPr>
              <w:keepNext/>
              <w:tabs>
                <w:tab w:val="right" w:pos="9360"/>
              </w:tabs>
              <w:spacing w:after="120"/>
              <w:jc w:val="center"/>
              <w:rPr>
                <w:szCs w:val="24"/>
              </w:rPr>
            </w:pPr>
            <w:r w:rsidRPr="00047B76">
              <w:rPr>
                <w:szCs w:val="24"/>
              </w:rPr>
              <w:t>NOTICE</w:t>
            </w:r>
          </w:p>
          <w:p w:rsidR="00F138C1" w:rsidRPr="00047B76" w:rsidRDefault="00F138C1" w:rsidP="00F138C1">
            <w:pPr>
              <w:keepNext/>
              <w:tabs>
                <w:tab w:val="right" w:pos="9360"/>
              </w:tabs>
              <w:spacing w:after="120"/>
              <w:jc w:val="both"/>
              <w:rPr>
                <w:szCs w:val="24"/>
              </w:rPr>
            </w:pPr>
            <w:r w:rsidRPr="00047B76">
              <w:rPr>
                <w:szCs w:val="24"/>
              </w:rPr>
              <w:t>Case summaries included in the Bulletin are prepared by the Office of the Registrar of the Supreme Court of Canada (Law Branch) for information purposes only.</w:t>
            </w:r>
          </w:p>
          <w:p w:rsidR="00F138C1" w:rsidRPr="00047B76" w:rsidRDefault="00F138C1" w:rsidP="00F138C1">
            <w:pPr>
              <w:keepNext/>
              <w:tabs>
                <w:tab w:val="right" w:pos="9360"/>
              </w:tabs>
              <w:spacing w:after="120"/>
              <w:jc w:val="center"/>
              <w:rPr>
                <w:szCs w:val="24"/>
                <w:lang w:val="fr-CA"/>
              </w:rPr>
            </w:pPr>
            <w:r w:rsidRPr="00047B76">
              <w:rPr>
                <w:szCs w:val="24"/>
                <w:lang w:val="fr-CA"/>
              </w:rPr>
              <w:t>AVIS</w:t>
            </w:r>
          </w:p>
          <w:p w:rsidR="00F138C1" w:rsidRPr="00047B76" w:rsidRDefault="00F138C1" w:rsidP="00F138C1">
            <w:pPr>
              <w:keepNext/>
              <w:tabs>
                <w:tab w:val="right" w:pos="9360"/>
              </w:tabs>
              <w:spacing w:after="120"/>
              <w:jc w:val="both"/>
              <w:rPr>
                <w:sz w:val="20"/>
                <w:szCs w:val="20"/>
                <w:lang w:val="fr-CA"/>
              </w:rPr>
            </w:pPr>
            <w:r w:rsidRPr="00047B76">
              <w:rPr>
                <w:szCs w:val="24"/>
                <w:lang w:val="fr-CA"/>
              </w:rPr>
              <w:t>Les résumés des causes publiés dans le bulletin sont préparés par le Bureau du registraire (Direction générale du droit) uniquement à titre d’information.</w:t>
            </w:r>
          </w:p>
        </w:tc>
      </w:tr>
    </w:tbl>
    <w:p w:rsidR="00F138C1" w:rsidRDefault="00F138C1" w:rsidP="00F138C1">
      <w:pPr>
        <w:tabs>
          <w:tab w:val="right" w:pos="9360"/>
        </w:tabs>
        <w:rPr>
          <w:lang w:val="fr-CA"/>
        </w:rPr>
      </w:pPr>
    </w:p>
    <w:p w:rsidR="00F138C1" w:rsidRDefault="00F138C1" w:rsidP="00F138C1">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31877304"/>
      <w:r w:rsidRPr="00DD0BDC">
        <w:rPr>
          <w:lang w:val="fr-CA"/>
        </w:rPr>
        <w:lastRenderedPageBreak/>
        <w:t>Applications for leave to appeal filed</w:t>
      </w:r>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138C1" w:rsidRPr="00DD0BDC"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47B76" w:rsidTr="00F138C1">
        <w:tc>
          <w:tcPr>
            <w:tcW w:w="4239" w:type="dxa"/>
            <w:shd w:val="clear" w:color="auto" w:fill="auto"/>
          </w:tcPr>
          <w:p w:rsidR="008A1011" w:rsidRDefault="008A1011" w:rsidP="00F138C1">
            <w:pPr>
              <w:tabs>
                <w:tab w:val="left" w:pos="-1440"/>
                <w:tab w:val="left" w:pos="-720"/>
              </w:tabs>
              <w:rPr>
                <w:b/>
                <w:sz w:val="20"/>
                <w:szCs w:val="20"/>
                <w:lang w:val="en-US"/>
              </w:rPr>
            </w:pPr>
            <w:proofErr w:type="spellStart"/>
            <w:r w:rsidRPr="008A1011">
              <w:rPr>
                <w:b/>
                <w:sz w:val="20"/>
                <w:szCs w:val="20"/>
                <w:lang w:val="en-US"/>
              </w:rPr>
              <w:t>Radu</w:t>
            </w:r>
            <w:proofErr w:type="spellEnd"/>
            <w:r w:rsidRPr="008A1011">
              <w:rPr>
                <w:b/>
                <w:sz w:val="20"/>
                <w:szCs w:val="20"/>
                <w:lang w:val="en-US"/>
              </w:rPr>
              <w:t xml:space="preserve"> </w:t>
            </w:r>
            <w:proofErr w:type="spellStart"/>
            <w:r w:rsidRPr="008A1011">
              <w:rPr>
                <w:b/>
                <w:sz w:val="20"/>
                <w:szCs w:val="20"/>
                <w:lang w:val="en-US"/>
              </w:rPr>
              <w:t>Hociung</w:t>
            </w:r>
            <w:proofErr w:type="spellEnd"/>
          </w:p>
          <w:p w:rsidR="00F138C1" w:rsidRPr="00F47208" w:rsidRDefault="00F138C1" w:rsidP="00F138C1">
            <w:pPr>
              <w:tabs>
                <w:tab w:val="left" w:pos="-1440"/>
                <w:tab w:val="left" w:pos="-720"/>
              </w:tabs>
              <w:rPr>
                <w:sz w:val="20"/>
                <w:szCs w:val="20"/>
                <w:lang w:val="en-US"/>
              </w:rPr>
            </w:pPr>
            <w:r w:rsidRPr="002607CB">
              <w:rPr>
                <w:sz w:val="20"/>
                <w:szCs w:val="20"/>
                <w:lang w:val="en-US"/>
              </w:rPr>
              <w:tab/>
            </w:r>
            <w:proofErr w:type="spellStart"/>
            <w:r w:rsidR="002607CB" w:rsidRPr="002607CB">
              <w:rPr>
                <w:sz w:val="20"/>
                <w:szCs w:val="20"/>
                <w:lang w:val="en-US"/>
              </w:rPr>
              <w:t>Radu</w:t>
            </w:r>
            <w:proofErr w:type="spellEnd"/>
            <w:r w:rsidR="002607CB" w:rsidRPr="002607CB">
              <w:rPr>
                <w:sz w:val="20"/>
                <w:szCs w:val="20"/>
                <w:lang w:val="en-US"/>
              </w:rPr>
              <w:t xml:space="preserve"> </w:t>
            </w:r>
            <w:proofErr w:type="spellStart"/>
            <w:r w:rsidR="002607CB" w:rsidRPr="002607CB">
              <w:rPr>
                <w:sz w:val="20"/>
                <w:szCs w:val="20"/>
                <w:lang w:val="en-US"/>
              </w:rPr>
              <w:t>Hociung</w:t>
            </w:r>
            <w:proofErr w:type="spellEnd"/>
          </w:p>
          <w:p w:rsidR="00F138C1" w:rsidRPr="00F47208" w:rsidRDefault="00F138C1" w:rsidP="00F138C1">
            <w:pPr>
              <w:tabs>
                <w:tab w:val="left" w:pos="-1440"/>
                <w:tab w:val="left" w:pos="-720"/>
              </w:tabs>
              <w:rPr>
                <w:sz w:val="20"/>
                <w:szCs w:val="20"/>
                <w:lang w:val="en-US"/>
              </w:rPr>
            </w:pPr>
          </w:p>
          <w:p w:rsidR="00F138C1" w:rsidRPr="00F47208" w:rsidRDefault="00F138C1" w:rsidP="00F138C1">
            <w:pPr>
              <w:tabs>
                <w:tab w:val="left" w:pos="-1440"/>
                <w:tab w:val="left" w:pos="-720"/>
              </w:tabs>
              <w:rPr>
                <w:sz w:val="20"/>
                <w:szCs w:val="20"/>
                <w:lang w:val="en-US"/>
              </w:rPr>
            </w:pPr>
            <w:r w:rsidRPr="00F47208">
              <w:rPr>
                <w:sz w:val="20"/>
                <w:szCs w:val="20"/>
                <w:lang w:val="en-US"/>
              </w:rPr>
              <w:tab/>
              <w:t>v. (</w:t>
            </w:r>
            <w:r w:rsidR="008A1011" w:rsidRPr="008A1011">
              <w:rPr>
                <w:sz w:val="20"/>
                <w:szCs w:val="20"/>
                <w:lang w:val="en-US"/>
              </w:rPr>
              <w:t>39018</w:t>
            </w:r>
            <w:r w:rsidRPr="00F47208">
              <w:rPr>
                <w:sz w:val="20"/>
                <w:szCs w:val="20"/>
                <w:lang w:val="en-US"/>
              </w:rPr>
              <w:t>)</w:t>
            </w:r>
          </w:p>
          <w:p w:rsidR="00F138C1" w:rsidRPr="00F47208" w:rsidRDefault="00F138C1" w:rsidP="00F138C1">
            <w:pPr>
              <w:tabs>
                <w:tab w:val="left" w:pos="-1440"/>
                <w:tab w:val="left" w:pos="-720"/>
              </w:tabs>
              <w:rPr>
                <w:sz w:val="20"/>
                <w:szCs w:val="20"/>
                <w:lang w:val="en-US"/>
              </w:rPr>
            </w:pPr>
          </w:p>
          <w:p w:rsidR="00F138C1" w:rsidRPr="00F47208" w:rsidRDefault="008A1011" w:rsidP="00F138C1">
            <w:pPr>
              <w:tabs>
                <w:tab w:val="left" w:pos="-1440"/>
                <w:tab w:val="left" w:pos="-720"/>
              </w:tabs>
              <w:rPr>
                <w:b/>
                <w:sz w:val="20"/>
                <w:szCs w:val="20"/>
                <w:lang w:val="en-US"/>
              </w:rPr>
            </w:pPr>
            <w:r w:rsidRPr="008A1011">
              <w:rPr>
                <w:b/>
                <w:sz w:val="20"/>
                <w:szCs w:val="20"/>
                <w:lang w:val="en-US"/>
              </w:rPr>
              <w:t xml:space="preserve">Minister of Public Safety and Emergency Preparedness </w:t>
            </w:r>
            <w:r w:rsidR="002607CB">
              <w:rPr>
                <w:b/>
                <w:sz w:val="20"/>
                <w:szCs w:val="20"/>
                <w:lang w:val="en-US"/>
              </w:rPr>
              <w:t>(F</w:t>
            </w:r>
            <w:r w:rsidR="00F138C1" w:rsidRPr="00F47208">
              <w:rPr>
                <w:b/>
                <w:sz w:val="20"/>
                <w:szCs w:val="20"/>
                <w:lang w:val="en-US"/>
              </w:rPr>
              <w:t>.</w:t>
            </w:r>
            <w:r w:rsidR="002607CB">
              <w:rPr>
                <w:b/>
                <w:sz w:val="20"/>
                <w:szCs w:val="20"/>
                <w:lang w:val="en-US"/>
              </w:rPr>
              <w:t>C.</w:t>
            </w:r>
            <w:r w:rsidR="00F138C1" w:rsidRPr="00F47208">
              <w:rPr>
                <w:b/>
                <w:sz w:val="20"/>
                <w:szCs w:val="20"/>
                <w:lang w:val="en-US"/>
              </w:rPr>
              <w:t>)</w:t>
            </w:r>
          </w:p>
          <w:p w:rsidR="00F138C1" w:rsidRPr="00F47208" w:rsidRDefault="00F138C1" w:rsidP="00F138C1">
            <w:pPr>
              <w:tabs>
                <w:tab w:val="left" w:pos="-1440"/>
                <w:tab w:val="left" w:pos="-720"/>
              </w:tabs>
              <w:rPr>
                <w:sz w:val="20"/>
                <w:szCs w:val="20"/>
                <w:lang w:val="en-US"/>
              </w:rPr>
            </w:pPr>
            <w:r w:rsidRPr="00F47208">
              <w:rPr>
                <w:sz w:val="20"/>
                <w:szCs w:val="20"/>
                <w:lang w:val="en-US"/>
              </w:rPr>
              <w:tab/>
            </w:r>
            <w:r w:rsidR="002607CB" w:rsidRPr="002607CB">
              <w:rPr>
                <w:sz w:val="20"/>
                <w:szCs w:val="20"/>
                <w:lang w:val="en-US"/>
              </w:rPr>
              <w:t>Peterson, Eric</w:t>
            </w:r>
          </w:p>
          <w:p w:rsidR="00F138C1" w:rsidRPr="00F47208" w:rsidRDefault="00F138C1" w:rsidP="00F138C1">
            <w:pPr>
              <w:tabs>
                <w:tab w:val="left" w:pos="-1440"/>
                <w:tab w:val="left" w:pos="-720"/>
              </w:tabs>
              <w:rPr>
                <w:sz w:val="20"/>
                <w:szCs w:val="20"/>
              </w:rPr>
            </w:pPr>
            <w:r w:rsidRPr="00F47208">
              <w:rPr>
                <w:sz w:val="20"/>
                <w:szCs w:val="20"/>
                <w:lang w:val="en-US"/>
              </w:rPr>
              <w:tab/>
            </w:r>
            <w:r w:rsidR="002607CB">
              <w:rPr>
                <w:sz w:val="20"/>
                <w:szCs w:val="20"/>
              </w:rPr>
              <w:t>Justice Canada</w:t>
            </w:r>
          </w:p>
          <w:p w:rsidR="00F138C1" w:rsidRPr="00F47208" w:rsidRDefault="00F138C1" w:rsidP="00F138C1">
            <w:pPr>
              <w:tabs>
                <w:tab w:val="left" w:pos="-1440"/>
                <w:tab w:val="left" w:pos="-720"/>
              </w:tabs>
              <w:rPr>
                <w:sz w:val="20"/>
                <w:szCs w:val="20"/>
              </w:rPr>
            </w:pPr>
          </w:p>
          <w:p w:rsidR="00F138C1" w:rsidRPr="00F47208" w:rsidRDefault="00F138C1" w:rsidP="00F138C1">
            <w:pPr>
              <w:rPr>
                <w:sz w:val="20"/>
                <w:szCs w:val="20"/>
              </w:rPr>
            </w:pPr>
            <w:r w:rsidRPr="00F47208">
              <w:rPr>
                <w:sz w:val="20"/>
                <w:szCs w:val="20"/>
              </w:rPr>
              <w:t xml:space="preserve">FILING DATE: </w:t>
            </w:r>
            <w:r w:rsidR="002607CB">
              <w:rPr>
                <w:sz w:val="20"/>
                <w:szCs w:val="20"/>
              </w:rPr>
              <w:t>October</w:t>
            </w:r>
            <w:r w:rsidRPr="00F47208">
              <w:rPr>
                <w:sz w:val="20"/>
                <w:szCs w:val="20"/>
              </w:rPr>
              <w:t xml:space="preserve"> </w:t>
            </w:r>
            <w:r w:rsidR="002607CB">
              <w:rPr>
                <w:sz w:val="20"/>
                <w:szCs w:val="20"/>
              </w:rPr>
              <w:t>2</w:t>
            </w:r>
            <w:r w:rsidRPr="00F47208">
              <w:rPr>
                <w:sz w:val="20"/>
                <w:szCs w:val="20"/>
              </w:rPr>
              <w:t>, 2019</w:t>
            </w:r>
          </w:p>
          <w:p w:rsidR="004B2E86" w:rsidRPr="00F47208" w:rsidRDefault="004B2E86" w:rsidP="00F138C1">
            <w:pPr>
              <w:rPr>
                <w:sz w:val="20"/>
                <w:szCs w:val="20"/>
              </w:rPr>
            </w:pPr>
          </w:p>
          <w:p w:rsidR="00F138C1" w:rsidRPr="00F47208" w:rsidRDefault="00937854"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F138C1" w:rsidRPr="00F47208" w:rsidRDefault="00F138C1" w:rsidP="00F138C1">
            <w:pPr>
              <w:jc w:val="center"/>
              <w:rPr>
                <w:sz w:val="20"/>
                <w:szCs w:val="20"/>
              </w:rPr>
            </w:pPr>
          </w:p>
          <w:p w:rsidR="004B2E86" w:rsidRPr="00F47208" w:rsidRDefault="004B2E86" w:rsidP="00F138C1">
            <w:pPr>
              <w:jc w:val="center"/>
              <w:rPr>
                <w:sz w:val="20"/>
                <w:szCs w:val="20"/>
              </w:rPr>
            </w:pPr>
          </w:p>
          <w:p w:rsidR="00F138C1" w:rsidRPr="00F47208" w:rsidRDefault="00F138C1" w:rsidP="00F138C1">
            <w:pPr>
              <w:jc w:val="center"/>
              <w:rPr>
                <w:sz w:val="20"/>
                <w:szCs w:val="20"/>
              </w:rPr>
            </w:pPr>
          </w:p>
        </w:tc>
        <w:tc>
          <w:tcPr>
            <w:tcW w:w="4239" w:type="dxa"/>
            <w:shd w:val="clear" w:color="auto" w:fill="auto"/>
          </w:tcPr>
          <w:p w:rsidR="002607CB" w:rsidRPr="005662E5" w:rsidRDefault="002607CB" w:rsidP="002607CB">
            <w:pPr>
              <w:tabs>
                <w:tab w:val="left" w:pos="-1440"/>
                <w:tab w:val="left" w:pos="-720"/>
              </w:tabs>
              <w:rPr>
                <w:b/>
                <w:sz w:val="20"/>
                <w:szCs w:val="20"/>
                <w:lang w:val="fr-CA"/>
              </w:rPr>
            </w:pPr>
            <w:r w:rsidRPr="005662E5">
              <w:rPr>
                <w:b/>
                <w:sz w:val="20"/>
                <w:szCs w:val="20"/>
                <w:lang w:val="fr-CA"/>
              </w:rPr>
              <w:t>Noel Ayangma</w:t>
            </w:r>
          </w:p>
          <w:p w:rsidR="002607CB" w:rsidRPr="005662E5" w:rsidRDefault="002607CB" w:rsidP="002607CB">
            <w:pPr>
              <w:tabs>
                <w:tab w:val="left" w:pos="-1440"/>
                <w:tab w:val="left" w:pos="-720"/>
              </w:tabs>
              <w:rPr>
                <w:sz w:val="20"/>
                <w:szCs w:val="20"/>
                <w:lang w:val="fr-CA"/>
              </w:rPr>
            </w:pPr>
            <w:r w:rsidRPr="005662E5">
              <w:rPr>
                <w:sz w:val="20"/>
                <w:szCs w:val="20"/>
                <w:lang w:val="fr-CA"/>
              </w:rPr>
              <w:tab/>
              <w:t>Noel Ayangma</w:t>
            </w:r>
          </w:p>
          <w:p w:rsidR="002607CB" w:rsidRPr="005662E5" w:rsidRDefault="002607CB" w:rsidP="002607CB">
            <w:pPr>
              <w:tabs>
                <w:tab w:val="left" w:pos="-1440"/>
                <w:tab w:val="left" w:pos="-720"/>
              </w:tabs>
              <w:rPr>
                <w:sz w:val="20"/>
                <w:szCs w:val="20"/>
                <w:lang w:val="fr-CA"/>
              </w:rPr>
            </w:pPr>
          </w:p>
          <w:p w:rsidR="002607CB" w:rsidRPr="005662E5" w:rsidRDefault="002607CB" w:rsidP="002607CB">
            <w:pPr>
              <w:tabs>
                <w:tab w:val="left" w:pos="-1440"/>
                <w:tab w:val="left" w:pos="-720"/>
              </w:tabs>
              <w:rPr>
                <w:sz w:val="20"/>
                <w:szCs w:val="20"/>
                <w:lang w:val="fr-CA"/>
              </w:rPr>
            </w:pPr>
            <w:r w:rsidRPr="005662E5">
              <w:rPr>
                <w:sz w:val="20"/>
                <w:szCs w:val="20"/>
                <w:lang w:val="fr-CA"/>
              </w:rPr>
              <w:tab/>
              <w:t>v. (39021)</w:t>
            </w:r>
          </w:p>
          <w:p w:rsidR="002607CB" w:rsidRPr="005662E5" w:rsidRDefault="002607CB" w:rsidP="002607CB">
            <w:pPr>
              <w:tabs>
                <w:tab w:val="left" w:pos="-1440"/>
                <w:tab w:val="left" w:pos="-720"/>
              </w:tabs>
              <w:rPr>
                <w:sz w:val="20"/>
                <w:szCs w:val="20"/>
                <w:lang w:val="fr-CA"/>
              </w:rPr>
            </w:pPr>
          </w:p>
          <w:p w:rsidR="002607CB" w:rsidRPr="00F47208" w:rsidRDefault="002607CB" w:rsidP="002607CB">
            <w:pPr>
              <w:tabs>
                <w:tab w:val="left" w:pos="-1440"/>
                <w:tab w:val="left" w:pos="-720"/>
              </w:tabs>
              <w:rPr>
                <w:b/>
                <w:sz w:val="20"/>
                <w:szCs w:val="20"/>
                <w:lang w:val="en-US"/>
              </w:rPr>
            </w:pPr>
            <w:r w:rsidRPr="002607CB">
              <w:rPr>
                <w:b/>
                <w:sz w:val="20"/>
                <w:szCs w:val="20"/>
                <w:lang w:val="en-US"/>
              </w:rPr>
              <w:t>French Language School Board, et al.</w:t>
            </w:r>
            <w:r w:rsidRPr="008A1011">
              <w:rPr>
                <w:b/>
                <w:sz w:val="20"/>
                <w:szCs w:val="20"/>
                <w:lang w:val="en-US"/>
              </w:rPr>
              <w:t xml:space="preserve"> </w:t>
            </w:r>
            <w:r>
              <w:rPr>
                <w:b/>
                <w:sz w:val="20"/>
                <w:szCs w:val="20"/>
                <w:lang w:val="en-US"/>
              </w:rPr>
              <w:t>(P.E.I.</w:t>
            </w:r>
            <w:r w:rsidRPr="00F47208">
              <w:rPr>
                <w:b/>
                <w:sz w:val="20"/>
                <w:szCs w:val="20"/>
                <w:lang w:val="en-US"/>
              </w:rPr>
              <w:t>)</w:t>
            </w:r>
          </w:p>
          <w:p w:rsidR="002607CB" w:rsidRPr="00F47208" w:rsidRDefault="002607CB" w:rsidP="002607CB">
            <w:pPr>
              <w:tabs>
                <w:tab w:val="left" w:pos="-1440"/>
                <w:tab w:val="left" w:pos="-720"/>
              </w:tabs>
              <w:rPr>
                <w:sz w:val="20"/>
                <w:szCs w:val="20"/>
                <w:lang w:val="en-US"/>
              </w:rPr>
            </w:pPr>
            <w:r w:rsidRPr="00F47208">
              <w:rPr>
                <w:sz w:val="20"/>
                <w:szCs w:val="20"/>
                <w:lang w:val="en-US"/>
              </w:rPr>
              <w:tab/>
            </w:r>
            <w:r w:rsidRPr="002607CB">
              <w:rPr>
                <w:sz w:val="20"/>
                <w:szCs w:val="20"/>
                <w:lang w:val="en-US"/>
              </w:rPr>
              <w:t>Campbell, Q.C., Karen A.</w:t>
            </w:r>
          </w:p>
          <w:p w:rsidR="002607CB" w:rsidRPr="00F47208" w:rsidRDefault="002607CB" w:rsidP="002607CB">
            <w:pPr>
              <w:tabs>
                <w:tab w:val="left" w:pos="-1440"/>
                <w:tab w:val="left" w:pos="-720"/>
              </w:tabs>
              <w:rPr>
                <w:sz w:val="20"/>
                <w:szCs w:val="20"/>
              </w:rPr>
            </w:pPr>
            <w:r w:rsidRPr="00F47208">
              <w:rPr>
                <w:sz w:val="20"/>
                <w:szCs w:val="20"/>
                <w:lang w:val="en-US"/>
              </w:rPr>
              <w:tab/>
            </w:r>
            <w:r w:rsidRPr="002607CB">
              <w:rPr>
                <w:sz w:val="20"/>
                <w:szCs w:val="20"/>
              </w:rPr>
              <w:t>Cox &amp; Palmer</w:t>
            </w:r>
          </w:p>
          <w:p w:rsidR="002607CB" w:rsidRPr="00F47208" w:rsidRDefault="002607CB" w:rsidP="002607CB">
            <w:pPr>
              <w:tabs>
                <w:tab w:val="left" w:pos="-1440"/>
                <w:tab w:val="left" w:pos="-720"/>
              </w:tabs>
              <w:rPr>
                <w:sz w:val="20"/>
                <w:szCs w:val="20"/>
              </w:rPr>
            </w:pPr>
          </w:p>
          <w:p w:rsidR="002607CB" w:rsidRPr="00F47208" w:rsidRDefault="002607CB" w:rsidP="002607CB">
            <w:pPr>
              <w:rPr>
                <w:sz w:val="20"/>
                <w:szCs w:val="20"/>
              </w:rPr>
            </w:pPr>
            <w:r w:rsidRPr="00F47208">
              <w:rPr>
                <w:sz w:val="20"/>
                <w:szCs w:val="20"/>
              </w:rPr>
              <w:t xml:space="preserve">FILING DATE: </w:t>
            </w:r>
            <w:r>
              <w:rPr>
                <w:sz w:val="20"/>
                <w:szCs w:val="20"/>
              </w:rPr>
              <w:t>October</w:t>
            </w:r>
            <w:r w:rsidRPr="00F47208">
              <w:rPr>
                <w:sz w:val="20"/>
                <w:szCs w:val="20"/>
              </w:rPr>
              <w:t xml:space="preserve"> </w:t>
            </w:r>
            <w:r>
              <w:rPr>
                <w:sz w:val="20"/>
                <w:szCs w:val="20"/>
              </w:rPr>
              <w:t>3</w:t>
            </w:r>
            <w:r w:rsidRPr="00F47208">
              <w:rPr>
                <w:sz w:val="20"/>
                <w:szCs w:val="20"/>
              </w:rPr>
              <w:t>, 2019</w:t>
            </w:r>
          </w:p>
          <w:p w:rsidR="002607CB" w:rsidRPr="00F47208" w:rsidRDefault="002607CB" w:rsidP="002607CB">
            <w:pPr>
              <w:rPr>
                <w:sz w:val="20"/>
                <w:szCs w:val="20"/>
              </w:rPr>
            </w:pPr>
          </w:p>
          <w:p w:rsidR="00F138C1" w:rsidRPr="00D061CA" w:rsidRDefault="00937854" w:rsidP="00D061CA">
            <w:pPr>
              <w:rPr>
                <w:sz w:val="20"/>
                <w:szCs w:val="20"/>
                <w:lang w:val="en-US"/>
              </w:rPr>
            </w:pPr>
            <w:r>
              <w:rPr>
                <w:sz w:val="20"/>
                <w:szCs w:val="20"/>
                <w:lang w:val="fr-CA"/>
              </w:rPr>
              <w:pict>
                <v:rect id="_x0000_i1026" style="width:108pt;height:1pt" o:hrpct="0" o:hrstd="t" o:hrnoshade="t" o:hr="t" fillcolor="black [3213]" stroked="f"/>
              </w:pict>
            </w:r>
          </w:p>
        </w:tc>
      </w:tr>
      <w:tr w:rsidR="00F138C1" w:rsidRPr="00047B76" w:rsidTr="002607CB">
        <w:tc>
          <w:tcPr>
            <w:tcW w:w="4239" w:type="dxa"/>
            <w:shd w:val="clear" w:color="auto" w:fill="auto"/>
          </w:tcPr>
          <w:p w:rsidR="002607CB" w:rsidRDefault="002607CB" w:rsidP="00F138C1">
            <w:pPr>
              <w:keepNext/>
              <w:keepLines/>
              <w:tabs>
                <w:tab w:val="left" w:pos="-1440"/>
                <w:tab w:val="left" w:pos="-720"/>
              </w:tabs>
              <w:rPr>
                <w:b/>
                <w:sz w:val="20"/>
                <w:szCs w:val="20"/>
                <w:lang w:val="en-US"/>
              </w:rPr>
            </w:pPr>
            <w:r w:rsidRPr="002607CB">
              <w:rPr>
                <w:b/>
                <w:sz w:val="20"/>
                <w:szCs w:val="20"/>
                <w:lang w:val="en-US"/>
              </w:rPr>
              <w:t>Elizabeth Bernard</w:t>
            </w:r>
          </w:p>
          <w:p w:rsidR="00F138C1" w:rsidRPr="002607CB" w:rsidRDefault="00F138C1" w:rsidP="00F138C1">
            <w:pPr>
              <w:keepNext/>
              <w:keepLines/>
              <w:tabs>
                <w:tab w:val="left" w:pos="-1440"/>
                <w:tab w:val="left" w:pos="-720"/>
              </w:tabs>
              <w:rPr>
                <w:sz w:val="20"/>
                <w:szCs w:val="20"/>
                <w:lang w:val="en-US"/>
              </w:rPr>
            </w:pPr>
            <w:r w:rsidRPr="002607CB">
              <w:rPr>
                <w:sz w:val="20"/>
                <w:szCs w:val="20"/>
                <w:lang w:val="en-US"/>
              </w:rPr>
              <w:tab/>
            </w:r>
            <w:r w:rsidR="002607CB" w:rsidRPr="002607CB">
              <w:rPr>
                <w:sz w:val="20"/>
                <w:szCs w:val="20"/>
                <w:lang w:val="en-US"/>
              </w:rPr>
              <w:t>Elizabeth Bernard</w:t>
            </w:r>
          </w:p>
          <w:p w:rsidR="00F138C1" w:rsidRPr="00F47208" w:rsidRDefault="00F138C1" w:rsidP="00F138C1">
            <w:pPr>
              <w:keepNext/>
              <w:keepLines/>
              <w:tabs>
                <w:tab w:val="left" w:pos="-1440"/>
                <w:tab w:val="left" w:pos="-720"/>
              </w:tabs>
              <w:rPr>
                <w:sz w:val="20"/>
                <w:szCs w:val="20"/>
                <w:lang w:val="en-US"/>
              </w:rPr>
            </w:pPr>
            <w:r w:rsidRPr="00F47208">
              <w:rPr>
                <w:sz w:val="20"/>
                <w:szCs w:val="20"/>
                <w:lang w:val="en-US"/>
              </w:rPr>
              <w:tab/>
            </w:r>
          </w:p>
          <w:p w:rsidR="00F138C1" w:rsidRPr="00F47208" w:rsidRDefault="00F138C1" w:rsidP="00F138C1">
            <w:pPr>
              <w:keepNext/>
              <w:keepLines/>
              <w:tabs>
                <w:tab w:val="left" w:pos="-1440"/>
                <w:tab w:val="left" w:pos="-720"/>
              </w:tabs>
              <w:rPr>
                <w:sz w:val="20"/>
                <w:szCs w:val="20"/>
                <w:lang w:val="en-US"/>
              </w:rPr>
            </w:pPr>
            <w:r w:rsidRPr="00F47208">
              <w:rPr>
                <w:sz w:val="20"/>
                <w:szCs w:val="20"/>
                <w:lang w:val="en-US"/>
              </w:rPr>
              <w:tab/>
              <w:t>v. (</w:t>
            </w:r>
            <w:r w:rsidR="002607CB" w:rsidRPr="002607CB">
              <w:rPr>
                <w:sz w:val="20"/>
                <w:szCs w:val="20"/>
                <w:lang w:val="en-US"/>
              </w:rPr>
              <w:t>39022</w:t>
            </w:r>
            <w:r w:rsidRPr="00F47208">
              <w:rPr>
                <w:sz w:val="20"/>
                <w:szCs w:val="20"/>
                <w:lang w:val="en-US"/>
              </w:rPr>
              <w:t>)</w:t>
            </w:r>
          </w:p>
          <w:p w:rsidR="00F138C1" w:rsidRPr="00F47208" w:rsidRDefault="00F138C1" w:rsidP="00F138C1">
            <w:pPr>
              <w:keepNext/>
              <w:keepLines/>
              <w:tabs>
                <w:tab w:val="left" w:pos="-1440"/>
                <w:tab w:val="left" w:pos="-720"/>
              </w:tabs>
              <w:rPr>
                <w:sz w:val="20"/>
                <w:szCs w:val="20"/>
                <w:lang w:val="en-US"/>
              </w:rPr>
            </w:pPr>
          </w:p>
          <w:p w:rsidR="00F138C1" w:rsidRPr="00F47208" w:rsidRDefault="002607CB" w:rsidP="00F138C1">
            <w:pPr>
              <w:keepNext/>
              <w:keepLines/>
              <w:tabs>
                <w:tab w:val="left" w:pos="-1440"/>
                <w:tab w:val="left" w:pos="-720"/>
              </w:tabs>
              <w:rPr>
                <w:b/>
                <w:sz w:val="20"/>
                <w:szCs w:val="20"/>
                <w:lang w:val="en-US"/>
              </w:rPr>
            </w:pPr>
            <w:r w:rsidRPr="002607CB">
              <w:rPr>
                <w:b/>
                <w:sz w:val="20"/>
                <w:szCs w:val="20"/>
                <w:lang w:val="en-US"/>
              </w:rPr>
              <w:t xml:space="preserve">Professional Institute of the Public Service of Canada </w:t>
            </w:r>
            <w:r w:rsidR="00F138C1" w:rsidRPr="00F47208">
              <w:rPr>
                <w:b/>
                <w:sz w:val="20"/>
                <w:szCs w:val="20"/>
                <w:lang w:val="en-US"/>
              </w:rPr>
              <w:t>(F.C.)</w:t>
            </w:r>
          </w:p>
          <w:p w:rsidR="00F138C1" w:rsidRPr="00F47208" w:rsidRDefault="00F138C1" w:rsidP="00F138C1">
            <w:pPr>
              <w:keepNext/>
              <w:keepLines/>
              <w:tabs>
                <w:tab w:val="left" w:pos="-1440"/>
                <w:tab w:val="left" w:pos="-720"/>
              </w:tabs>
              <w:rPr>
                <w:sz w:val="20"/>
                <w:szCs w:val="20"/>
                <w:lang w:val="en-US"/>
              </w:rPr>
            </w:pPr>
            <w:r w:rsidRPr="00F47208">
              <w:rPr>
                <w:sz w:val="20"/>
                <w:szCs w:val="20"/>
                <w:lang w:val="en-US"/>
              </w:rPr>
              <w:tab/>
            </w:r>
            <w:r w:rsidR="002607CB" w:rsidRPr="002607CB">
              <w:rPr>
                <w:sz w:val="20"/>
                <w:szCs w:val="20"/>
                <w:lang w:val="en-US"/>
              </w:rPr>
              <w:t>Engelmann, Peter C.</w:t>
            </w:r>
          </w:p>
          <w:p w:rsidR="00F138C1" w:rsidRPr="00F47208" w:rsidRDefault="00F138C1" w:rsidP="00F138C1">
            <w:pPr>
              <w:keepNext/>
              <w:keepLines/>
              <w:tabs>
                <w:tab w:val="left" w:pos="-1440"/>
                <w:tab w:val="left" w:pos="-720"/>
              </w:tabs>
              <w:rPr>
                <w:sz w:val="20"/>
                <w:szCs w:val="20"/>
                <w:lang w:val="en-US"/>
              </w:rPr>
            </w:pPr>
            <w:r w:rsidRPr="00F47208">
              <w:rPr>
                <w:sz w:val="20"/>
                <w:szCs w:val="20"/>
                <w:lang w:val="en-US"/>
              </w:rPr>
              <w:tab/>
            </w:r>
            <w:r w:rsidR="002607CB" w:rsidRPr="002607CB">
              <w:rPr>
                <w:sz w:val="20"/>
                <w:szCs w:val="20"/>
                <w:lang w:val="en-US"/>
              </w:rPr>
              <w:t>Goldblatt Partners LLP</w:t>
            </w:r>
          </w:p>
          <w:p w:rsidR="00F138C1" w:rsidRPr="00F47208" w:rsidRDefault="00F138C1" w:rsidP="00F138C1">
            <w:pPr>
              <w:keepNext/>
              <w:keepLines/>
              <w:tabs>
                <w:tab w:val="left" w:pos="-1440"/>
                <w:tab w:val="left" w:pos="-720"/>
              </w:tabs>
              <w:rPr>
                <w:sz w:val="20"/>
                <w:szCs w:val="20"/>
                <w:lang w:val="en-US"/>
              </w:rPr>
            </w:pPr>
          </w:p>
          <w:p w:rsidR="004B2E86" w:rsidRPr="00F47208" w:rsidRDefault="00F138C1" w:rsidP="00F138C1">
            <w:pPr>
              <w:rPr>
                <w:sz w:val="20"/>
                <w:szCs w:val="20"/>
                <w:lang w:val="fr-CA"/>
              </w:rPr>
            </w:pPr>
            <w:r w:rsidRPr="00F47208">
              <w:rPr>
                <w:sz w:val="20"/>
                <w:szCs w:val="20"/>
                <w:lang w:val="fr-CA"/>
              </w:rPr>
              <w:t xml:space="preserve">FILING DATE: </w:t>
            </w:r>
            <w:r w:rsidR="002607CB">
              <w:rPr>
                <w:sz w:val="20"/>
                <w:szCs w:val="20"/>
                <w:lang w:val="fr-CA"/>
              </w:rPr>
              <w:t>November</w:t>
            </w:r>
            <w:r w:rsidRPr="00F47208">
              <w:rPr>
                <w:sz w:val="20"/>
                <w:szCs w:val="20"/>
                <w:lang w:val="fr-CA"/>
              </w:rPr>
              <w:t xml:space="preserve"> 1</w:t>
            </w:r>
            <w:r w:rsidR="002607CB">
              <w:rPr>
                <w:sz w:val="20"/>
                <w:szCs w:val="20"/>
                <w:lang w:val="fr-CA"/>
              </w:rPr>
              <w:t>9</w:t>
            </w:r>
            <w:r w:rsidRPr="00F47208">
              <w:rPr>
                <w:sz w:val="20"/>
                <w:szCs w:val="20"/>
                <w:lang w:val="fr-CA"/>
              </w:rPr>
              <w:t>, 2019</w:t>
            </w:r>
          </w:p>
          <w:p w:rsidR="004B2E86" w:rsidRPr="00F47208" w:rsidRDefault="004B2E86" w:rsidP="00F138C1">
            <w:pPr>
              <w:rPr>
                <w:sz w:val="20"/>
                <w:szCs w:val="20"/>
                <w:lang w:val="fr-CA"/>
              </w:rPr>
            </w:pPr>
          </w:p>
          <w:p w:rsidR="00F138C1" w:rsidRPr="00F47208" w:rsidRDefault="00937854"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F138C1" w:rsidRPr="00F47208" w:rsidRDefault="00F138C1" w:rsidP="00F138C1">
            <w:pPr>
              <w:jc w:val="center"/>
              <w:rPr>
                <w:sz w:val="20"/>
                <w:szCs w:val="20"/>
                <w:lang w:val="en-US"/>
              </w:rPr>
            </w:pPr>
          </w:p>
          <w:p w:rsidR="004B2E86" w:rsidRPr="00F47208" w:rsidRDefault="004B2E86" w:rsidP="00F138C1">
            <w:pPr>
              <w:jc w:val="center"/>
              <w:rPr>
                <w:sz w:val="20"/>
                <w:szCs w:val="20"/>
                <w:lang w:val="en-US"/>
              </w:rPr>
            </w:pPr>
          </w:p>
        </w:tc>
        <w:tc>
          <w:tcPr>
            <w:tcW w:w="4239" w:type="dxa"/>
            <w:shd w:val="clear" w:color="auto" w:fill="auto"/>
          </w:tcPr>
          <w:p w:rsidR="002607CB" w:rsidRPr="005662E5" w:rsidRDefault="002607CB" w:rsidP="00F138C1">
            <w:pPr>
              <w:tabs>
                <w:tab w:val="left" w:pos="-1440"/>
                <w:tab w:val="left" w:pos="-720"/>
              </w:tabs>
              <w:rPr>
                <w:b/>
                <w:sz w:val="20"/>
                <w:szCs w:val="20"/>
                <w:lang w:val="en-US"/>
              </w:rPr>
            </w:pPr>
            <w:r w:rsidRPr="005662E5">
              <w:rPr>
                <w:b/>
                <w:sz w:val="20"/>
                <w:szCs w:val="20"/>
                <w:lang w:val="en-US"/>
              </w:rPr>
              <w:t>Nancy Rochon</w:t>
            </w:r>
          </w:p>
          <w:p w:rsidR="00F138C1" w:rsidRPr="005662E5" w:rsidRDefault="00F138C1" w:rsidP="00F138C1">
            <w:pPr>
              <w:tabs>
                <w:tab w:val="left" w:pos="-1440"/>
                <w:tab w:val="left" w:pos="-720"/>
              </w:tabs>
              <w:rPr>
                <w:sz w:val="20"/>
                <w:szCs w:val="20"/>
                <w:lang w:val="en-US"/>
              </w:rPr>
            </w:pPr>
            <w:r w:rsidRPr="005662E5">
              <w:rPr>
                <w:sz w:val="20"/>
                <w:szCs w:val="20"/>
                <w:lang w:val="en-US"/>
              </w:rPr>
              <w:tab/>
            </w:r>
            <w:r w:rsidR="002607CB" w:rsidRPr="005662E5">
              <w:rPr>
                <w:sz w:val="20"/>
                <w:szCs w:val="20"/>
                <w:lang w:val="en-US"/>
              </w:rPr>
              <w:t>Nancy Rochon</w:t>
            </w:r>
          </w:p>
          <w:p w:rsidR="00F138C1" w:rsidRPr="005662E5" w:rsidRDefault="00F138C1" w:rsidP="00F138C1">
            <w:pPr>
              <w:tabs>
                <w:tab w:val="left" w:pos="-1440"/>
                <w:tab w:val="left" w:pos="-720"/>
              </w:tabs>
              <w:rPr>
                <w:sz w:val="20"/>
                <w:szCs w:val="20"/>
                <w:lang w:val="en-US"/>
              </w:rPr>
            </w:pPr>
            <w:r w:rsidRPr="005662E5">
              <w:rPr>
                <w:sz w:val="20"/>
                <w:szCs w:val="20"/>
                <w:lang w:val="en-US"/>
              </w:rPr>
              <w:tab/>
            </w:r>
          </w:p>
          <w:p w:rsidR="00F138C1" w:rsidRPr="005662E5" w:rsidRDefault="00F138C1" w:rsidP="00F138C1">
            <w:pPr>
              <w:tabs>
                <w:tab w:val="left" w:pos="-1440"/>
                <w:tab w:val="left" w:pos="-720"/>
              </w:tabs>
              <w:rPr>
                <w:sz w:val="20"/>
                <w:szCs w:val="20"/>
                <w:lang w:val="en-US"/>
              </w:rPr>
            </w:pPr>
            <w:r w:rsidRPr="005662E5">
              <w:rPr>
                <w:sz w:val="20"/>
                <w:szCs w:val="20"/>
                <w:lang w:val="en-US"/>
              </w:rPr>
              <w:tab/>
              <w:t>c. (</w:t>
            </w:r>
            <w:r w:rsidR="002607CB" w:rsidRPr="005662E5">
              <w:rPr>
                <w:sz w:val="20"/>
                <w:szCs w:val="20"/>
                <w:lang w:val="en-US"/>
              </w:rPr>
              <w:t>39024</w:t>
            </w:r>
            <w:r w:rsidRPr="005662E5">
              <w:rPr>
                <w:sz w:val="20"/>
                <w:szCs w:val="20"/>
                <w:lang w:val="en-US"/>
              </w:rPr>
              <w:t>)</w:t>
            </w:r>
          </w:p>
          <w:p w:rsidR="00F138C1" w:rsidRPr="005662E5" w:rsidRDefault="00F138C1" w:rsidP="00F138C1">
            <w:pPr>
              <w:tabs>
                <w:tab w:val="left" w:pos="-1440"/>
                <w:tab w:val="left" w:pos="-720"/>
              </w:tabs>
              <w:rPr>
                <w:sz w:val="20"/>
                <w:szCs w:val="20"/>
                <w:lang w:val="en-US"/>
              </w:rPr>
            </w:pPr>
          </w:p>
          <w:p w:rsidR="00F138C1" w:rsidRPr="00F47208" w:rsidRDefault="002607CB" w:rsidP="00F138C1">
            <w:pPr>
              <w:tabs>
                <w:tab w:val="left" w:pos="-1440"/>
                <w:tab w:val="left" w:pos="-720"/>
              </w:tabs>
              <w:rPr>
                <w:b/>
                <w:sz w:val="20"/>
                <w:szCs w:val="20"/>
                <w:lang w:val="fr-CA"/>
              </w:rPr>
            </w:pPr>
            <w:r w:rsidRPr="002607CB">
              <w:rPr>
                <w:b/>
                <w:sz w:val="20"/>
                <w:szCs w:val="20"/>
                <w:lang w:val="fr-CA"/>
              </w:rPr>
              <w:t xml:space="preserve">Télé-Université </w:t>
            </w:r>
            <w:r w:rsidR="00F138C1" w:rsidRPr="00F47208">
              <w:rPr>
                <w:b/>
                <w:sz w:val="20"/>
                <w:szCs w:val="20"/>
                <w:lang w:val="fr-CA"/>
              </w:rPr>
              <w:t>(Qc)</w:t>
            </w:r>
          </w:p>
          <w:p w:rsidR="00F138C1" w:rsidRPr="00F47208" w:rsidRDefault="00F138C1" w:rsidP="00F138C1">
            <w:pPr>
              <w:tabs>
                <w:tab w:val="left" w:pos="-1440"/>
                <w:tab w:val="left" w:pos="-720"/>
              </w:tabs>
              <w:rPr>
                <w:sz w:val="20"/>
                <w:szCs w:val="20"/>
                <w:lang w:val="fr-CA"/>
              </w:rPr>
            </w:pPr>
            <w:r w:rsidRPr="00F47208">
              <w:rPr>
                <w:sz w:val="20"/>
                <w:szCs w:val="20"/>
                <w:lang w:val="fr-CA"/>
              </w:rPr>
              <w:tab/>
            </w:r>
            <w:r w:rsidR="002607CB" w:rsidRPr="002607CB">
              <w:rPr>
                <w:sz w:val="20"/>
                <w:szCs w:val="20"/>
                <w:lang w:val="fr-CA"/>
              </w:rPr>
              <w:t>Gauthier, Richard</w:t>
            </w:r>
          </w:p>
          <w:p w:rsidR="00F138C1" w:rsidRPr="00F47208" w:rsidRDefault="00F138C1" w:rsidP="00F138C1">
            <w:pPr>
              <w:tabs>
                <w:tab w:val="left" w:pos="-1440"/>
                <w:tab w:val="left" w:pos="-720"/>
              </w:tabs>
              <w:rPr>
                <w:sz w:val="20"/>
                <w:szCs w:val="20"/>
                <w:lang w:val="fr-CA"/>
              </w:rPr>
            </w:pPr>
            <w:r w:rsidRPr="00F47208">
              <w:rPr>
                <w:sz w:val="20"/>
                <w:szCs w:val="20"/>
                <w:lang w:val="fr-CA"/>
              </w:rPr>
              <w:tab/>
            </w:r>
            <w:proofErr w:type="spellStart"/>
            <w:r w:rsidR="002607CB" w:rsidRPr="002607CB">
              <w:rPr>
                <w:sz w:val="20"/>
                <w:szCs w:val="20"/>
                <w:lang w:val="fr-CA"/>
              </w:rPr>
              <w:t>Cain</w:t>
            </w:r>
            <w:proofErr w:type="spellEnd"/>
            <w:r w:rsidR="002607CB" w:rsidRPr="002607CB">
              <w:rPr>
                <w:sz w:val="20"/>
                <w:szCs w:val="20"/>
                <w:lang w:val="fr-CA"/>
              </w:rPr>
              <w:t xml:space="preserve"> Lamarre, S.E.N.C.R.L.</w:t>
            </w:r>
          </w:p>
          <w:p w:rsidR="00F138C1" w:rsidRPr="00F47208" w:rsidRDefault="00F138C1" w:rsidP="00F138C1">
            <w:pPr>
              <w:tabs>
                <w:tab w:val="left" w:pos="-1440"/>
                <w:tab w:val="left" w:pos="-720"/>
              </w:tabs>
              <w:rPr>
                <w:sz w:val="20"/>
                <w:szCs w:val="20"/>
                <w:lang w:val="fr-CA"/>
              </w:rPr>
            </w:pPr>
          </w:p>
          <w:p w:rsidR="00F138C1" w:rsidRPr="00F47208" w:rsidRDefault="002607CB" w:rsidP="00F138C1">
            <w:pPr>
              <w:rPr>
                <w:sz w:val="20"/>
                <w:szCs w:val="20"/>
                <w:lang w:val="fr-CA"/>
              </w:rPr>
            </w:pPr>
            <w:r>
              <w:rPr>
                <w:sz w:val="20"/>
                <w:szCs w:val="20"/>
                <w:lang w:val="fr-CA"/>
              </w:rPr>
              <w:t>DATE DE PRODUCTION: le 23 décembre</w:t>
            </w:r>
            <w:r w:rsidR="00F138C1" w:rsidRPr="00F47208">
              <w:rPr>
                <w:sz w:val="20"/>
                <w:szCs w:val="20"/>
                <w:lang w:val="fr-CA"/>
              </w:rPr>
              <w:t xml:space="preserve"> 2019</w:t>
            </w:r>
          </w:p>
          <w:p w:rsidR="004B2E86" w:rsidRPr="00F47208" w:rsidRDefault="004B2E86" w:rsidP="00F138C1">
            <w:pPr>
              <w:rPr>
                <w:sz w:val="20"/>
                <w:szCs w:val="20"/>
                <w:lang w:val="fr-CA"/>
              </w:rPr>
            </w:pPr>
          </w:p>
          <w:p w:rsidR="00F138C1" w:rsidRPr="00F47208" w:rsidRDefault="00937854" w:rsidP="00F138C1">
            <w:pPr>
              <w:rPr>
                <w:sz w:val="20"/>
                <w:szCs w:val="20"/>
                <w:lang w:val="en-US"/>
              </w:rPr>
            </w:pPr>
            <w:r>
              <w:rPr>
                <w:sz w:val="20"/>
                <w:szCs w:val="20"/>
                <w:lang w:val="fr-CA"/>
              </w:rPr>
              <w:pict>
                <v:rect id="_x0000_i1028" style="width:108pt;height:1pt" o:hrpct="0" o:hrstd="t" o:hrnoshade="t" o:hr="t" fillcolor="black [3213]" stroked="f"/>
              </w:pict>
            </w:r>
          </w:p>
        </w:tc>
      </w:tr>
      <w:tr w:rsidR="002607CB" w:rsidRPr="002607CB" w:rsidTr="002607C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239" w:type="dxa"/>
            <w:tcBorders>
              <w:top w:val="nil"/>
              <w:left w:val="nil"/>
              <w:bottom w:val="nil"/>
              <w:right w:val="nil"/>
            </w:tcBorders>
          </w:tcPr>
          <w:p w:rsidR="002607CB" w:rsidRPr="005662E5" w:rsidRDefault="002607CB" w:rsidP="005F4D83">
            <w:pPr>
              <w:tabs>
                <w:tab w:val="left" w:pos="-1440"/>
                <w:tab w:val="left" w:pos="-720"/>
              </w:tabs>
              <w:rPr>
                <w:b/>
                <w:sz w:val="20"/>
                <w:szCs w:val="20"/>
                <w:lang w:val="fr-CA"/>
              </w:rPr>
            </w:pPr>
            <w:r w:rsidRPr="005662E5">
              <w:rPr>
                <w:b/>
                <w:sz w:val="20"/>
                <w:szCs w:val="20"/>
                <w:lang w:val="fr-CA"/>
              </w:rPr>
              <w:t>Noel Ayangma</w:t>
            </w:r>
          </w:p>
          <w:p w:rsidR="002607CB" w:rsidRPr="005662E5" w:rsidRDefault="002607CB" w:rsidP="002607CB">
            <w:pPr>
              <w:tabs>
                <w:tab w:val="left" w:pos="-1440"/>
                <w:tab w:val="left" w:pos="-720"/>
              </w:tabs>
              <w:rPr>
                <w:sz w:val="20"/>
                <w:szCs w:val="20"/>
                <w:lang w:val="fr-CA"/>
              </w:rPr>
            </w:pPr>
            <w:r w:rsidRPr="005662E5">
              <w:rPr>
                <w:sz w:val="20"/>
                <w:szCs w:val="20"/>
                <w:lang w:val="fr-CA"/>
              </w:rPr>
              <w:tab/>
              <w:t>Noel Ayangma</w:t>
            </w:r>
          </w:p>
          <w:p w:rsidR="002607CB" w:rsidRPr="002607CB" w:rsidRDefault="002607CB" w:rsidP="005F4D83">
            <w:pPr>
              <w:tabs>
                <w:tab w:val="left" w:pos="-1440"/>
                <w:tab w:val="left" w:pos="-720"/>
              </w:tabs>
              <w:rPr>
                <w:sz w:val="20"/>
                <w:szCs w:val="20"/>
                <w:lang w:val="fr-CA"/>
              </w:rPr>
            </w:pPr>
          </w:p>
          <w:p w:rsidR="002607CB" w:rsidRPr="002607CB" w:rsidRDefault="002607CB" w:rsidP="005F4D83">
            <w:pPr>
              <w:tabs>
                <w:tab w:val="left" w:pos="-1440"/>
                <w:tab w:val="left" w:pos="-720"/>
              </w:tabs>
              <w:rPr>
                <w:sz w:val="20"/>
                <w:szCs w:val="20"/>
                <w:lang w:val="fr-CA"/>
              </w:rPr>
            </w:pPr>
            <w:r w:rsidRPr="002607CB">
              <w:rPr>
                <w:sz w:val="20"/>
                <w:szCs w:val="20"/>
                <w:lang w:val="fr-CA"/>
              </w:rPr>
              <w:tab/>
              <w:t>v. (39031)</w:t>
            </w:r>
          </w:p>
          <w:p w:rsidR="002607CB" w:rsidRPr="002607CB" w:rsidRDefault="002607CB" w:rsidP="005F4D83">
            <w:pPr>
              <w:tabs>
                <w:tab w:val="left" w:pos="-1440"/>
                <w:tab w:val="left" w:pos="-720"/>
              </w:tabs>
              <w:rPr>
                <w:sz w:val="20"/>
                <w:szCs w:val="20"/>
                <w:lang w:val="fr-CA"/>
              </w:rPr>
            </w:pPr>
          </w:p>
          <w:p w:rsidR="002607CB" w:rsidRPr="005F4D83" w:rsidRDefault="002607CB" w:rsidP="005F4D83">
            <w:pPr>
              <w:tabs>
                <w:tab w:val="left" w:pos="-1440"/>
                <w:tab w:val="left" w:pos="-720"/>
              </w:tabs>
              <w:rPr>
                <w:b/>
                <w:sz w:val="20"/>
                <w:szCs w:val="20"/>
                <w:lang w:val="fr-CA"/>
              </w:rPr>
            </w:pPr>
            <w:r w:rsidRPr="002607CB">
              <w:rPr>
                <w:b/>
                <w:sz w:val="20"/>
                <w:szCs w:val="20"/>
                <w:lang w:val="fr-CA"/>
              </w:rPr>
              <w:t xml:space="preserve">Université de Moncton, et al. </w:t>
            </w:r>
            <w:r w:rsidRPr="005F4D83">
              <w:rPr>
                <w:b/>
                <w:sz w:val="20"/>
                <w:szCs w:val="20"/>
                <w:lang w:val="fr-CA"/>
              </w:rPr>
              <w:t>(N.B.)</w:t>
            </w:r>
          </w:p>
          <w:p w:rsidR="002607CB" w:rsidRPr="005F4D83" w:rsidRDefault="002607CB" w:rsidP="005F4D83">
            <w:pPr>
              <w:tabs>
                <w:tab w:val="left" w:pos="-1440"/>
                <w:tab w:val="left" w:pos="-720"/>
              </w:tabs>
              <w:rPr>
                <w:sz w:val="20"/>
                <w:szCs w:val="20"/>
                <w:lang w:val="fr-CA"/>
              </w:rPr>
            </w:pPr>
            <w:r w:rsidRPr="005F4D83">
              <w:rPr>
                <w:sz w:val="20"/>
                <w:szCs w:val="20"/>
                <w:lang w:val="fr-CA"/>
              </w:rPr>
              <w:tab/>
            </w:r>
            <w:r w:rsidR="005F4D83" w:rsidRPr="005F4D83">
              <w:rPr>
                <w:sz w:val="20"/>
                <w:szCs w:val="20"/>
                <w:lang w:val="fr-CA"/>
              </w:rPr>
              <w:t>Morisset, Sacha D.</w:t>
            </w:r>
          </w:p>
          <w:p w:rsidR="002607CB" w:rsidRPr="00F47208" w:rsidRDefault="002607CB" w:rsidP="005F4D83">
            <w:pPr>
              <w:tabs>
                <w:tab w:val="left" w:pos="-1440"/>
                <w:tab w:val="left" w:pos="-720"/>
              </w:tabs>
              <w:rPr>
                <w:sz w:val="20"/>
                <w:szCs w:val="20"/>
              </w:rPr>
            </w:pPr>
            <w:r w:rsidRPr="005F4D83">
              <w:rPr>
                <w:sz w:val="20"/>
                <w:szCs w:val="20"/>
                <w:lang w:val="fr-CA"/>
              </w:rPr>
              <w:tab/>
            </w:r>
            <w:r w:rsidR="005F4D83" w:rsidRPr="005F4D83">
              <w:rPr>
                <w:sz w:val="20"/>
                <w:szCs w:val="20"/>
              </w:rPr>
              <w:t>Stewart McKelvey</w:t>
            </w:r>
          </w:p>
          <w:p w:rsidR="002607CB" w:rsidRPr="00F47208" w:rsidRDefault="002607CB" w:rsidP="005F4D83">
            <w:pPr>
              <w:tabs>
                <w:tab w:val="left" w:pos="-1440"/>
                <w:tab w:val="left" w:pos="-720"/>
              </w:tabs>
              <w:rPr>
                <w:sz w:val="20"/>
                <w:szCs w:val="20"/>
              </w:rPr>
            </w:pPr>
          </w:p>
          <w:p w:rsidR="002607CB" w:rsidRPr="00F47208" w:rsidRDefault="002607CB" w:rsidP="005F4D83">
            <w:pPr>
              <w:rPr>
                <w:sz w:val="20"/>
                <w:szCs w:val="20"/>
              </w:rPr>
            </w:pPr>
            <w:r w:rsidRPr="00F47208">
              <w:rPr>
                <w:sz w:val="20"/>
                <w:szCs w:val="20"/>
              </w:rPr>
              <w:t xml:space="preserve">FILING DATE: </w:t>
            </w:r>
            <w:r w:rsidR="005F4D83">
              <w:rPr>
                <w:sz w:val="20"/>
                <w:szCs w:val="20"/>
              </w:rPr>
              <w:t>December</w:t>
            </w:r>
            <w:r w:rsidRPr="00F47208">
              <w:rPr>
                <w:sz w:val="20"/>
                <w:szCs w:val="20"/>
              </w:rPr>
              <w:t xml:space="preserve"> </w:t>
            </w:r>
            <w:r w:rsidR="005F4D83">
              <w:rPr>
                <w:sz w:val="20"/>
                <w:szCs w:val="20"/>
              </w:rPr>
              <w:t>5</w:t>
            </w:r>
            <w:r w:rsidRPr="00F47208">
              <w:rPr>
                <w:sz w:val="20"/>
                <w:szCs w:val="20"/>
              </w:rPr>
              <w:t>, 2019</w:t>
            </w:r>
          </w:p>
          <w:p w:rsidR="002607CB" w:rsidRPr="00F47208" w:rsidRDefault="002607CB" w:rsidP="005F4D83">
            <w:pPr>
              <w:rPr>
                <w:sz w:val="20"/>
                <w:szCs w:val="20"/>
              </w:rPr>
            </w:pPr>
          </w:p>
          <w:p w:rsidR="002607CB" w:rsidRPr="00F47208" w:rsidRDefault="00937854" w:rsidP="005F4D83">
            <w:pPr>
              <w:rPr>
                <w:sz w:val="20"/>
                <w:szCs w:val="20"/>
              </w:rPr>
            </w:pPr>
            <w:r>
              <w:rPr>
                <w:sz w:val="20"/>
                <w:szCs w:val="20"/>
                <w:lang w:val="fr-CA"/>
              </w:rPr>
              <w:pict>
                <v:rect id="_x0000_i1029" style="width:108pt;height:1pt" o:hrpct="0" o:hrstd="t" o:hrnoshade="t" o:hr="t" fillcolor="black [3213]" stroked="f"/>
              </w:pict>
            </w:r>
          </w:p>
        </w:tc>
        <w:tc>
          <w:tcPr>
            <w:tcW w:w="1141" w:type="dxa"/>
            <w:tcBorders>
              <w:top w:val="nil"/>
              <w:left w:val="nil"/>
              <w:bottom w:val="nil"/>
              <w:right w:val="nil"/>
            </w:tcBorders>
          </w:tcPr>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p w:rsidR="002607CB" w:rsidRPr="00F47208" w:rsidRDefault="002607CB" w:rsidP="005F4D83">
            <w:pPr>
              <w:jc w:val="center"/>
              <w:rPr>
                <w:sz w:val="20"/>
                <w:szCs w:val="20"/>
              </w:rPr>
            </w:pPr>
          </w:p>
        </w:tc>
        <w:tc>
          <w:tcPr>
            <w:tcW w:w="4239" w:type="dxa"/>
            <w:tcBorders>
              <w:top w:val="nil"/>
              <w:left w:val="nil"/>
              <w:bottom w:val="nil"/>
              <w:right w:val="nil"/>
            </w:tcBorders>
          </w:tcPr>
          <w:p w:rsidR="002607CB" w:rsidRPr="002607CB" w:rsidRDefault="002607CB" w:rsidP="005F4D83">
            <w:pPr>
              <w:tabs>
                <w:tab w:val="left" w:pos="-1440"/>
                <w:tab w:val="left" w:pos="-720"/>
              </w:tabs>
              <w:rPr>
                <w:b/>
                <w:sz w:val="20"/>
                <w:szCs w:val="20"/>
                <w:lang w:val="fr-CA"/>
              </w:rPr>
            </w:pPr>
            <w:r w:rsidRPr="002607CB">
              <w:rPr>
                <w:b/>
                <w:sz w:val="20"/>
                <w:szCs w:val="20"/>
                <w:lang w:val="fr-CA"/>
              </w:rPr>
              <w:t>Noel Ayangma</w:t>
            </w:r>
          </w:p>
          <w:p w:rsidR="002607CB" w:rsidRPr="002607CB" w:rsidRDefault="002607CB" w:rsidP="005F4D83">
            <w:pPr>
              <w:tabs>
                <w:tab w:val="left" w:pos="-1440"/>
                <w:tab w:val="left" w:pos="-720"/>
              </w:tabs>
              <w:rPr>
                <w:sz w:val="20"/>
                <w:szCs w:val="20"/>
                <w:lang w:val="fr-CA"/>
              </w:rPr>
            </w:pPr>
            <w:r w:rsidRPr="002607CB">
              <w:rPr>
                <w:sz w:val="20"/>
                <w:szCs w:val="20"/>
                <w:lang w:val="fr-CA"/>
              </w:rPr>
              <w:tab/>
              <w:t>Noel Ayangma</w:t>
            </w:r>
          </w:p>
          <w:p w:rsidR="002607CB" w:rsidRPr="002607CB" w:rsidRDefault="002607CB" w:rsidP="005F4D83">
            <w:pPr>
              <w:tabs>
                <w:tab w:val="left" w:pos="-1440"/>
                <w:tab w:val="left" w:pos="-720"/>
              </w:tabs>
              <w:rPr>
                <w:sz w:val="20"/>
                <w:szCs w:val="20"/>
                <w:lang w:val="fr-CA"/>
              </w:rPr>
            </w:pPr>
          </w:p>
          <w:p w:rsidR="002607CB" w:rsidRPr="005662E5" w:rsidRDefault="002607CB" w:rsidP="005F4D83">
            <w:pPr>
              <w:tabs>
                <w:tab w:val="left" w:pos="-1440"/>
                <w:tab w:val="left" w:pos="-720"/>
              </w:tabs>
              <w:rPr>
                <w:sz w:val="20"/>
                <w:szCs w:val="20"/>
                <w:lang w:val="fr-CA"/>
              </w:rPr>
            </w:pPr>
            <w:r w:rsidRPr="002607CB">
              <w:rPr>
                <w:sz w:val="20"/>
                <w:szCs w:val="20"/>
                <w:lang w:val="fr-CA"/>
              </w:rPr>
              <w:tab/>
            </w:r>
            <w:r w:rsidRPr="005662E5">
              <w:rPr>
                <w:sz w:val="20"/>
                <w:szCs w:val="20"/>
                <w:lang w:val="fr-CA"/>
              </w:rPr>
              <w:t>v. (</w:t>
            </w:r>
            <w:r w:rsidR="005F4D83" w:rsidRPr="005662E5">
              <w:rPr>
                <w:sz w:val="20"/>
                <w:szCs w:val="20"/>
                <w:lang w:val="fr-CA"/>
              </w:rPr>
              <w:t>39028</w:t>
            </w:r>
            <w:r w:rsidRPr="005662E5">
              <w:rPr>
                <w:sz w:val="20"/>
                <w:szCs w:val="20"/>
                <w:lang w:val="fr-CA"/>
              </w:rPr>
              <w:t>)</w:t>
            </w:r>
          </w:p>
          <w:p w:rsidR="002607CB" w:rsidRPr="005662E5" w:rsidRDefault="002607CB" w:rsidP="005F4D83">
            <w:pPr>
              <w:tabs>
                <w:tab w:val="left" w:pos="-1440"/>
                <w:tab w:val="left" w:pos="-720"/>
              </w:tabs>
              <w:rPr>
                <w:sz w:val="20"/>
                <w:szCs w:val="20"/>
                <w:lang w:val="fr-CA"/>
              </w:rPr>
            </w:pPr>
          </w:p>
          <w:p w:rsidR="002607CB" w:rsidRPr="00F47208" w:rsidRDefault="005F4D83" w:rsidP="005F4D83">
            <w:pPr>
              <w:tabs>
                <w:tab w:val="left" w:pos="-1440"/>
                <w:tab w:val="left" w:pos="-720"/>
              </w:tabs>
              <w:rPr>
                <w:b/>
                <w:sz w:val="20"/>
                <w:szCs w:val="20"/>
                <w:lang w:val="en-US"/>
              </w:rPr>
            </w:pPr>
            <w:r w:rsidRPr="005F4D83">
              <w:rPr>
                <w:b/>
                <w:sz w:val="20"/>
                <w:szCs w:val="20"/>
                <w:lang w:val="en-US"/>
              </w:rPr>
              <w:t>University of Moncton, Campus of Moncton</w:t>
            </w:r>
            <w:r w:rsidR="002607CB" w:rsidRPr="008A1011">
              <w:rPr>
                <w:b/>
                <w:sz w:val="20"/>
                <w:szCs w:val="20"/>
                <w:lang w:val="en-US"/>
              </w:rPr>
              <w:t xml:space="preserve"> </w:t>
            </w:r>
            <w:r>
              <w:rPr>
                <w:b/>
                <w:sz w:val="20"/>
                <w:szCs w:val="20"/>
                <w:lang w:val="en-US"/>
              </w:rPr>
              <w:t>(N</w:t>
            </w:r>
            <w:r w:rsidR="002607CB">
              <w:rPr>
                <w:b/>
                <w:sz w:val="20"/>
                <w:szCs w:val="20"/>
                <w:lang w:val="en-US"/>
              </w:rPr>
              <w:t>.</w:t>
            </w:r>
            <w:r>
              <w:rPr>
                <w:b/>
                <w:sz w:val="20"/>
                <w:szCs w:val="20"/>
                <w:lang w:val="en-US"/>
              </w:rPr>
              <w:t>B.</w:t>
            </w:r>
            <w:r w:rsidR="002607CB" w:rsidRPr="00F47208">
              <w:rPr>
                <w:b/>
                <w:sz w:val="20"/>
                <w:szCs w:val="20"/>
                <w:lang w:val="en-US"/>
              </w:rPr>
              <w:t>)</w:t>
            </w:r>
          </w:p>
          <w:p w:rsidR="005F4D83" w:rsidRPr="005F4D83" w:rsidRDefault="005F4D83" w:rsidP="005F4D83">
            <w:pPr>
              <w:tabs>
                <w:tab w:val="left" w:pos="-1440"/>
                <w:tab w:val="left" w:pos="-720"/>
              </w:tabs>
              <w:rPr>
                <w:sz w:val="20"/>
                <w:szCs w:val="20"/>
                <w:lang w:val="en-US"/>
              </w:rPr>
            </w:pPr>
            <w:r w:rsidRPr="005662E5">
              <w:rPr>
                <w:sz w:val="20"/>
                <w:szCs w:val="20"/>
                <w:lang w:val="en-US"/>
              </w:rPr>
              <w:tab/>
            </w:r>
            <w:proofErr w:type="spellStart"/>
            <w:r w:rsidRPr="005F4D83">
              <w:rPr>
                <w:sz w:val="20"/>
                <w:szCs w:val="20"/>
                <w:lang w:val="en-US"/>
              </w:rPr>
              <w:t>Morisset</w:t>
            </w:r>
            <w:proofErr w:type="spellEnd"/>
            <w:r w:rsidRPr="005F4D83">
              <w:rPr>
                <w:sz w:val="20"/>
                <w:szCs w:val="20"/>
                <w:lang w:val="en-US"/>
              </w:rPr>
              <w:t>, Sacha D.</w:t>
            </w:r>
          </w:p>
          <w:p w:rsidR="005F4D83" w:rsidRPr="00F47208" w:rsidRDefault="005F4D83" w:rsidP="005F4D83">
            <w:pPr>
              <w:tabs>
                <w:tab w:val="left" w:pos="-1440"/>
                <w:tab w:val="left" w:pos="-720"/>
              </w:tabs>
              <w:rPr>
                <w:sz w:val="20"/>
                <w:szCs w:val="20"/>
              </w:rPr>
            </w:pPr>
            <w:r w:rsidRPr="005F4D83">
              <w:rPr>
                <w:sz w:val="20"/>
                <w:szCs w:val="20"/>
                <w:lang w:val="en-US"/>
              </w:rPr>
              <w:tab/>
            </w:r>
            <w:r w:rsidRPr="005F4D83">
              <w:rPr>
                <w:sz w:val="20"/>
                <w:szCs w:val="20"/>
              </w:rPr>
              <w:t>Stewart McKelvey</w:t>
            </w:r>
          </w:p>
          <w:p w:rsidR="002607CB" w:rsidRPr="00F47208" w:rsidRDefault="002607CB" w:rsidP="005F4D83">
            <w:pPr>
              <w:tabs>
                <w:tab w:val="left" w:pos="-1440"/>
                <w:tab w:val="left" w:pos="-720"/>
              </w:tabs>
              <w:rPr>
                <w:sz w:val="20"/>
                <w:szCs w:val="20"/>
              </w:rPr>
            </w:pPr>
          </w:p>
          <w:p w:rsidR="005F4D83" w:rsidRPr="00F47208" w:rsidRDefault="005F4D83" w:rsidP="005F4D83">
            <w:pPr>
              <w:rPr>
                <w:sz w:val="20"/>
                <w:szCs w:val="20"/>
              </w:rPr>
            </w:pPr>
            <w:r w:rsidRPr="00F47208">
              <w:rPr>
                <w:sz w:val="20"/>
                <w:szCs w:val="20"/>
              </w:rPr>
              <w:t xml:space="preserve">FILING DATE: </w:t>
            </w:r>
            <w:r>
              <w:rPr>
                <w:sz w:val="20"/>
                <w:szCs w:val="20"/>
              </w:rPr>
              <w:t>December</w:t>
            </w:r>
            <w:r w:rsidRPr="00F47208">
              <w:rPr>
                <w:sz w:val="20"/>
                <w:szCs w:val="20"/>
              </w:rPr>
              <w:t xml:space="preserve"> </w:t>
            </w:r>
            <w:r>
              <w:rPr>
                <w:sz w:val="20"/>
                <w:szCs w:val="20"/>
              </w:rPr>
              <w:t>5</w:t>
            </w:r>
            <w:r w:rsidRPr="00F47208">
              <w:rPr>
                <w:sz w:val="20"/>
                <w:szCs w:val="20"/>
              </w:rPr>
              <w:t>, 2019</w:t>
            </w:r>
          </w:p>
          <w:p w:rsidR="002607CB" w:rsidRPr="00F47208" w:rsidRDefault="002607CB" w:rsidP="005F4D83">
            <w:pPr>
              <w:rPr>
                <w:sz w:val="20"/>
                <w:szCs w:val="20"/>
              </w:rPr>
            </w:pPr>
          </w:p>
          <w:p w:rsidR="002607CB" w:rsidRPr="002607CB" w:rsidRDefault="00937854" w:rsidP="005F4D83">
            <w:pPr>
              <w:rPr>
                <w:sz w:val="20"/>
                <w:szCs w:val="20"/>
                <w:lang w:val="en-US"/>
              </w:rPr>
            </w:pPr>
            <w:r>
              <w:rPr>
                <w:sz w:val="20"/>
                <w:szCs w:val="20"/>
                <w:lang w:val="fr-CA"/>
              </w:rPr>
              <w:pict>
                <v:rect id="_x0000_i1030" style="width:108pt;height:1pt" o:hrpct="0" o:hrstd="t" o:hrnoshade="t" o:hr="t" fillcolor="black [3213]" stroked="f"/>
              </w:pict>
            </w:r>
          </w:p>
        </w:tc>
      </w:tr>
    </w:tbl>
    <w:p w:rsidR="005F4D83" w:rsidRDefault="005F4D83" w:rsidP="005F4D83">
      <w:pPr>
        <w:tabs>
          <w:tab w:val="left" w:pos="-1440"/>
          <w:tab w:val="left" w:pos="-720"/>
        </w:tabs>
        <w:rPr>
          <w:b/>
          <w:sz w:val="20"/>
          <w:szCs w:val="20"/>
          <w:lang w:val="en-US"/>
        </w:rPr>
      </w:pPr>
      <w:r w:rsidRPr="005F4D83">
        <w:rPr>
          <w:b/>
          <w:sz w:val="20"/>
          <w:szCs w:val="20"/>
          <w:lang w:val="en-US"/>
        </w:rPr>
        <w:t>Guarantee Company of North America</w:t>
      </w:r>
    </w:p>
    <w:p w:rsidR="005F4D83" w:rsidRPr="00D061CA" w:rsidRDefault="005F4D83" w:rsidP="005F4D83">
      <w:pPr>
        <w:tabs>
          <w:tab w:val="left" w:pos="-1440"/>
          <w:tab w:val="left" w:pos="-720"/>
        </w:tabs>
        <w:rPr>
          <w:sz w:val="20"/>
          <w:szCs w:val="20"/>
          <w:lang w:val="en-US"/>
        </w:rPr>
      </w:pPr>
      <w:r w:rsidRPr="005F4D83">
        <w:rPr>
          <w:sz w:val="20"/>
          <w:szCs w:val="20"/>
          <w:lang w:val="en-US"/>
        </w:rPr>
        <w:tab/>
      </w:r>
      <w:proofErr w:type="spellStart"/>
      <w:r w:rsidR="00D061CA" w:rsidRPr="00D061CA">
        <w:rPr>
          <w:sz w:val="20"/>
          <w:szCs w:val="20"/>
          <w:lang w:val="en-US"/>
        </w:rPr>
        <w:t>Shaban</w:t>
      </w:r>
      <w:proofErr w:type="spellEnd"/>
      <w:r w:rsidR="00D061CA" w:rsidRPr="00D061CA">
        <w:rPr>
          <w:sz w:val="20"/>
          <w:szCs w:val="20"/>
          <w:lang w:val="en-US"/>
        </w:rPr>
        <w:t>, Richard H.</w:t>
      </w:r>
    </w:p>
    <w:p w:rsidR="005F4D83" w:rsidRPr="00F47208" w:rsidRDefault="005F4D83" w:rsidP="005F4D83">
      <w:pPr>
        <w:tabs>
          <w:tab w:val="left" w:pos="-1440"/>
          <w:tab w:val="left" w:pos="-720"/>
        </w:tabs>
        <w:rPr>
          <w:sz w:val="20"/>
          <w:szCs w:val="20"/>
        </w:rPr>
      </w:pPr>
      <w:r w:rsidRPr="00D061CA">
        <w:rPr>
          <w:sz w:val="20"/>
          <w:szCs w:val="20"/>
          <w:lang w:val="en-US"/>
        </w:rPr>
        <w:tab/>
      </w:r>
      <w:r w:rsidR="00D061CA" w:rsidRPr="00D061CA">
        <w:rPr>
          <w:sz w:val="20"/>
          <w:szCs w:val="20"/>
        </w:rPr>
        <w:t>Borden Ladner Gervais LLP</w:t>
      </w:r>
    </w:p>
    <w:p w:rsidR="005F4D83" w:rsidRPr="005F4D83" w:rsidRDefault="005F4D83" w:rsidP="005F4D83">
      <w:pPr>
        <w:tabs>
          <w:tab w:val="left" w:pos="-1440"/>
          <w:tab w:val="left" w:pos="-720"/>
        </w:tabs>
        <w:rPr>
          <w:sz w:val="20"/>
          <w:szCs w:val="20"/>
          <w:lang w:val="en-US"/>
        </w:rPr>
      </w:pPr>
    </w:p>
    <w:p w:rsidR="005F4D83" w:rsidRPr="005F4D83" w:rsidRDefault="005F4D83" w:rsidP="005F4D83">
      <w:pPr>
        <w:tabs>
          <w:tab w:val="left" w:pos="-1440"/>
          <w:tab w:val="left" w:pos="-720"/>
        </w:tabs>
        <w:rPr>
          <w:sz w:val="20"/>
          <w:szCs w:val="20"/>
          <w:lang w:val="en-US"/>
        </w:rPr>
      </w:pPr>
      <w:r w:rsidRPr="005F4D83">
        <w:rPr>
          <w:sz w:val="20"/>
          <w:szCs w:val="20"/>
          <w:lang w:val="en-US"/>
        </w:rPr>
        <w:tab/>
        <w:t>v. (39020)</w:t>
      </w:r>
    </w:p>
    <w:p w:rsidR="005F4D83" w:rsidRPr="005F4D83" w:rsidRDefault="005F4D83" w:rsidP="005F4D83">
      <w:pPr>
        <w:tabs>
          <w:tab w:val="left" w:pos="-1440"/>
          <w:tab w:val="left" w:pos="-720"/>
        </w:tabs>
        <w:rPr>
          <w:sz w:val="20"/>
          <w:szCs w:val="20"/>
          <w:lang w:val="en-US"/>
        </w:rPr>
      </w:pPr>
    </w:p>
    <w:p w:rsidR="005F4D83" w:rsidRPr="005F4D83" w:rsidRDefault="005F4D83" w:rsidP="005F4D83">
      <w:pPr>
        <w:tabs>
          <w:tab w:val="left" w:pos="-1440"/>
          <w:tab w:val="left" w:pos="-720"/>
        </w:tabs>
        <w:rPr>
          <w:b/>
          <w:sz w:val="20"/>
          <w:szCs w:val="20"/>
          <w:lang w:val="en-US"/>
        </w:rPr>
      </w:pPr>
      <w:r w:rsidRPr="005F4D83">
        <w:rPr>
          <w:b/>
          <w:sz w:val="20"/>
          <w:szCs w:val="20"/>
          <w:lang w:val="en-US"/>
        </w:rPr>
        <w:t>HOOPP Realty Inc. (Alta.)</w:t>
      </w:r>
    </w:p>
    <w:p w:rsidR="005F4D83" w:rsidRPr="00D061CA" w:rsidRDefault="005F4D83" w:rsidP="005F4D83">
      <w:pPr>
        <w:tabs>
          <w:tab w:val="left" w:pos="-1440"/>
          <w:tab w:val="left" w:pos="-720"/>
        </w:tabs>
        <w:rPr>
          <w:sz w:val="20"/>
          <w:szCs w:val="20"/>
          <w:lang w:val="en-US"/>
        </w:rPr>
      </w:pPr>
      <w:r w:rsidRPr="005F4D83">
        <w:rPr>
          <w:sz w:val="20"/>
          <w:szCs w:val="20"/>
          <w:lang w:val="en-US"/>
        </w:rPr>
        <w:tab/>
      </w:r>
      <w:r w:rsidR="00D061CA" w:rsidRPr="00D061CA">
        <w:rPr>
          <w:sz w:val="20"/>
          <w:szCs w:val="20"/>
          <w:lang w:val="en-US"/>
        </w:rPr>
        <w:t>Bell, Richard D.</w:t>
      </w:r>
    </w:p>
    <w:p w:rsidR="005F4D83" w:rsidRPr="00F47208" w:rsidRDefault="005F4D83" w:rsidP="005F4D83">
      <w:pPr>
        <w:tabs>
          <w:tab w:val="left" w:pos="-1440"/>
          <w:tab w:val="left" w:pos="-720"/>
        </w:tabs>
        <w:rPr>
          <w:sz w:val="20"/>
          <w:szCs w:val="20"/>
        </w:rPr>
      </w:pPr>
      <w:r w:rsidRPr="00D061CA">
        <w:rPr>
          <w:sz w:val="20"/>
          <w:szCs w:val="20"/>
          <w:lang w:val="en-US"/>
        </w:rPr>
        <w:tab/>
      </w:r>
      <w:r w:rsidR="00D061CA" w:rsidRPr="00D061CA">
        <w:rPr>
          <w:sz w:val="20"/>
          <w:szCs w:val="20"/>
        </w:rPr>
        <w:t>Blake, Cassels &amp; Graydon LLP</w:t>
      </w:r>
    </w:p>
    <w:p w:rsidR="005F4D83" w:rsidRPr="00F47208" w:rsidRDefault="005F4D83" w:rsidP="005F4D83">
      <w:pPr>
        <w:tabs>
          <w:tab w:val="left" w:pos="-1440"/>
          <w:tab w:val="left" w:pos="-720"/>
        </w:tabs>
        <w:rPr>
          <w:sz w:val="20"/>
          <w:szCs w:val="20"/>
        </w:rPr>
      </w:pPr>
    </w:p>
    <w:p w:rsidR="005F4D83" w:rsidRPr="00F47208" w:rsidRDefault="005F4D83" w:rsidP="00D061CA">
      <w:pPr>
        <w:spacing w:after="80"/>
        <w:rPr>
          <w:sz w:val="20"/>
          <w:szCs w:val="20"/>
        </w:rPr>
      </w:pPr>
      <w:r w:rsidRPr="00F47208">
        <w:rPr>
          <w:sz w:val="20"/>
          <w:szCs w:val="20"/>
        </w:rPr>
        <w:t xml:space="preserve">FILING DATE: </w:t>
      </w:r>
      <w:r>
        <w:rPr>
          <w:sz w:val="20"/>
          <w:szCs w:val="20"/>
        </w:rPr>
        <w:t>January</w:t>
      </w:r>
      <w:r w:rsidRPr="00F47208">
        <w:rPr>
          <w:sz w:val="20"/>
          <w:szCs w:val="20"/>
        </w:rPr>
        <w:t xml:space="preserve"> </w:t>
      </w:r>
      <w:r>
        <w:rPr>
          <w:sz w:val="20"/>
          <w:szCs w:val="20"/>
        </w:rPr>
        <w:t>20</w:t>
      </w:r>
      <w:r w:rsidRPr="00F47208">
        <w:rPr>
          <w:sz w:val="20"/>
          <w:szCs w:val="20"/>
        </w:rPr>
        <w:t>, 2019</w:t>
      </w:r>
    </w:p>
    <w:p w:rsidR="00C01FCB" w:rsidRPr="005662E5" w:rsidRDefault="00C01FCB" w:rsidP="0095096B">
      <w:pPr>
        <w:tabs>
          <w:tab w:val="right" w:pos="9360"/>
        </w:tabs>
        <w:rPr>
          <w:sz w:val="20"/>
          <w:szCs w:val="20"/>
          <w:lang w:val="en-US"/>
        </w:rPr>
      </w:pPr>
    </w:p>
    <w:p w:rsidR="00242AEE" w:rsidRPr="005662E5" w:rsidRDefault="00242AEE" w:rsidP="0095096B">
      <w:pPr>
        <w:tabs>
          <w:tab w:val="right" w:pos="9360"/>
        </w:tabs>
        <w:rPr>
          <w:sz w:val="20"/>
          <w:szCs w:val="20"/>
          <w:lang w:val="en-US"/>
        </w:rPr>
        <w:sectPr w:rsidR="00242AEE" w:rsidRPr="005662E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5662E5" w:rsidRDefault="00DD0BDC" w:rsidP="00567602">
      <w:pPr>
        <w:pStyle w:val="Header1StyleE"/>
        <w:pBdr>
          <w:bottom w:val="single" w:sz="12" w:space="1" w:color="auto"/>
        </w:pBdr>
        <w:rPr>
          <w:lang w:val="en-US"/>
        </w:rPr>
      </w:pPr>
      <w:bookmarkStart w:id="1" w:name="_Toc31877305"/>
      <w:r w:rsidRPr="005662E5">
        <w:rPr>
          <w:lang w:val="en-US"/>
        </w:rPr>
        <w:lastRenderedPageBreak/>
        <w:t>Applications for leave submitted to the Court</w:t>
      </w:r>
      <w:r w:rsidR="000F2CA3" w:rsidRPr="005662E5">
        <w:rPr>
          <w:lang w:val="en-US"/>
        </w:rPr>
        <w:t xml:space="preserve"> </w:t>
      </w:r>
      <w:r w:rsidRPr="005662E5">
        <w:rPr>
          <w:lang w:val="en-US"/>
        </w:rPr>
        <w:t>since the last issue</w:t>
      </w:r>
      <w:r w:rsidR="000F2CA3" w:rsidRPr="005662E5">
        <w:rPr>
          <w:lang w:val="en-US"/>
        </w:rPr>
        <w:t xml:space="preserve"> </w:t>
      </w:r>
      <w:r w:rsidR="00271E1E" w:rsidRPr="005662E5">
        <w:rPr>
          <w:lang w:val="en-US"/>
        </w:rPr>
        <w:t xml:space="preserve">/ </w:t>
      </w:r>
      <w:r w:rsidRPr="005662E5">
        <w:rPr>
          <w:lang w:val="en-US"/>
        </w:rPr>
        <w:br/>
        <w:t xml:space="preserve">Demandes soumises à la </w:t>
      </w:r>
      <w:r w:rsidR="000C1D9D" w:rsidRPr="005662E5">
        <w:rPr>
          <w:lang w:val="en-US"/>
        </w:rPr>
        <w:t>C</w:t>
      </w:r>
      <w:r w:rsidRPr="005662E5">
        <w:rPr>
          <w:lang w:val="en-US"/>
        </w:rPr>
        <w:t>our depuis la dernière parution</w:t>
      </w:r>
      <w:bookmarkEnd w:id="1"/>
    </w:p>
    <w:p w:rsidR="00FB1DB6" w:rsidRPr="005662E5" w:rsidRDefault="00FB1DB6" w:rsidP="00FB1DB6">
      <w:pPr>
        <w:rPr>
          <w:sz w:val="20"/>
          <w:szCs w:val="20"/>
          <w:lang w:val="en-US" w:eastAsia="en-CA"/>
        </w:rPr>
      </w:pPr>
    </w:p>
    <w:p w:rsidR="00102792" w:rsidRPr="005662E5" w:rsidRDefault="00B37436" w:rsidP="00102792">
      <w:pPr>
        <w:widowControl w:val="0"/>
        <w:rPr>
          <w:b/>
          <w:sz w:val="20"/>
          <w:szCs w:val="20"/>
          <w:lang w:val="en-US"/>
        </w:rPr>
      </w:pPr>
      <w:r w:rsidRPr="005662E5">
        <w:rPr>
          <w:b/>
          <w:sz w:val="20"/>
          <w:szCs w:val="20"/>
          <w:lang w:val="en-US"/>
        </w:rPr>
        <w:t>FEBRUARY</w:t>
      </w:r>
      <w:r w:rsidR="00102792" w:rsidRPr="005662E5">
        <w:rPr>
          <w:b/>
          <w:sz w:val="20"/>
          <w:szCs w:val="20"/>
          <w:lang w:val="en-US"/>
        </w:rPr>
        <w:t xml:space="preserve"> </w:t>
      </w:r>
      <w:r w:rsidRPr="005662E5">
        <w:rPr>
          <w:b/>
          <w:sz w:val="20"/>
          <w:szCs w:val="20"/>
          <w:lang w:val="en-US"/>
        </w:rPr>
        <w:t>3</w:t>
      </w:r>
      <w:r w:rsidR="00102792" w:rsidRPr="005662E5">
        <w:rPr>
          <w:b/>
          <w:sz w:val="20"/>
          <w:szCs w:val="20"/>
          <w:lang w:val="en-US"/>
        </w:rPr>
        <w:t xml:space="preserve">, </w:t>
      </w:r>
      <w:r w:rsidR="0034657E" w:rsidRPr="005662E5">
        <w:rPr>
          <w:b/>
          <w:sz w:val="20"/>
          <w:szCs w:val="20"/>
          <w:lang w:val="en-US"/>
        </w:rPr>
        <w:t>20</w:t>
      </w:r>
      <w:r w:rsidR="005967EF" w:rsidRPr="005662E5">
        <w:rPr>
          <w:b/>
          <w:sz w:val="20"/>
          <w:szCs w:val="20"/>
          <w:lang w:val="en-US"/>
        </w:rPr>
        <w:t>20</w:t>
      </w:r>
      <w:r w:rsidR="00102792" w:rsidRPr="005662E5">
        <w:rPr>
          <w:b/>
          <w:sz w:val="20"/>
          <w:szCs w:val="20"/>
          <w:lang w:val="en-US"/>
        </w:rPr>
        <w:t xml:space="preserve"> / LE </w:t>
      </w:r>
      <w:r w:rsidRPr="005662E5">
        <w:rPr>
          <w:b/>
          <w:sz w:val="20"/>
          <w:szCs w:val="20"/>
          <w:lang w:val="en-US"/>
        </w:rPr>
        <w:t>3</w:t>
      </w:r>
      <w:r w:rsidR="00102792" w:rsidRPr="005662E5">
        <w:rPr>
          <w:b/>
          <w:sz w:val="20"/>
          <w:szCs w:val="20"/>
          <w:lang w:val="en-US"/>
        </w:rPr>
        <w:t xml:space="preserve"> </w:t>
      </w:r>
      <w:r w:rsidRPr="005662E5">
        <w:rPr>
          <w:b/>
          <w:sz w:val="20"/>
          <w:szCs w:val="20"/>
          <w:lang w:val="en-US"/>
        </w:rPr>
        <w:t>FÉVRIER</w:t>
      </w:r>
      <w:r w:rsidR="00102792" w:rsidRPr="005662E5">
        <w:rPr>
          <w:b/>
          <w:sz w:val="20"/>
          <w:szCs w:val="20"/>
          <w:lang w:val="en-US"/>
        </w:rPr>
        <w:t xml:space="preserve"> </w:t>
      </w:r>
      <w:r w:rsidR="0034657E" w:rsidRPr="005662E5">
        <w:rPr>
          <w:b/>
          <w:sz w:val="20"/>
          <w:szCs w:val="20"/>
          <w:lang w:val="en-US"/>
        </w:rPr>
        <w:t>20</w:t>
      </w:r>
      <w:r w:rsidR="005967EF" w:rsidRPr="005662E5">
        <w:rPr>
          <w:b/>
          <w:sz w:val="20"/>
          <w:szCs w:val="20"/>
          <w:lang w:val="en-US"/>
        </w:rPr>
        <w:t>20</w:t>
      </w:r>
    </w:p>
    <w:p w:rsidR="00F138C1" w:rsidRPr="005662E5" w:rsidRDefault="00F138C1" w:rsidP="00F138C1">
      <w:pPr>
        <w:widowControl w:val="0"/>
        <w:rPr>
          <w:sz w:val="20"/>
          <w:szCs w:val="20"/>
          <w:lang w:val="en-US"/>
        </w:rPr>
      </w:pPr>
    </w:p>
    <w:tbl>
      <w:tblPr>
        <w:tblStyle w:val="TableGrid"/>
        <w:tblW w:w="49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22"/>
        <w:gridCol w:w="26"/>
        <w:gridCol w:w="333"/>
        <w:gridCol w:w="27"/>
        <w:gridCol w:w="3795"/>
        <w:gridCol w:w="56"/>
      </w:tblGrid>
      <w:tr w:rsidR="00B37436" w:rsidRPr="005662E5" w:rsidTr="00F47208">
        <w:trPr>
          <w:gridAfter w:val="1"/>
          <w:wAfter w:w="56" w:type="dxa"/>
          <w:cantSplit/>
        </w:trPr>
        <w:tc>
          <w:tcPr>
            <w:tcW w:w="9521" w:type="dxa"/>
            <w:gridSpan w:val="7"/>
          </w:tcPr>
          <w:p w:rsidR="00B37436" w:rsidRPr="00F47208" w:rsidRDefault="00B37436" w:rsidP="00F47208">
            <w:pPr>
              <w:widowControl w:val="0"/>
              <w:jc w:val="center"/>
              <w:rPr>
                <w:b/>
                <w:sz w:val="20"/>
                <w:szCs w:val="20"/>
              </w:rPr>
            </w:pPr>
            <w:r w:rsidRPr="00F47208">
              <w:rPr>
                <w:b/>
                <w:sz w:val="20"/>
                <w:szCs w:val="20"/>
              </w:rPr>
              <w:t>CORAM:  Chief Justice Wagner and Rowe and Kasirer JJ.</w:t>
            </w:r>
          </w:p>
          <w:p w:rsidR="00B37436" w:rsidRPr="00F47208" w:rsidRDefault="00B37436" w:rsidP="00F47208">
            <w:pPr>
              <w:jc w:val="center"/>
              <w:rPr>
                <w:sz w:val="20"/>
                <w:szCs w:val="20"/>
                <w:lang w:val="fr-CA"/>
              </w:rPr>
            </w:pPr>
            <w:r w:rsidRPr="00F47208">
              <w:rPr>
                <w:b/>
                <w:sz w:val="20"/>
                <w:szCs w:val="20"/>
                <w:lang w:val="fr-CA"/>
              </w:rPr>
              <w:t>Le juge en chef Wagner et les juges Rowe et Kasirer</w:t>
            </w:r>
          </w:p>
        </w:tc>
      </w:tr>
      <w:tr w:rsidR="00B37436" w:rsidRPr="00B37436" w:rsidTr="00F47208">
        <w:trPr>
          <w:gridAfter w:val="1"/>
          <w:wAfter w:w="56" w:type="dxa"/>
          <w:cantSplit/>
        </w:trPr>
        <w:tc>
          <w:tcPr>
            <w:tcW w:w="508" w:type="dxa"/>
          </w:tcPr>
          <w:p w:rsidR="00B37436" w:rsidRPr="00F47208" w:rsidRDefault="00B37436" w:rsidP="00F47208">
            <w:pPr>
              <w:rPr>
                <w:sz w:val="20"/>
                <w:szCs w:val="20"/>
                <w:lang w:val="fr-CA"/>
              </w:rPr>
            </w:pPr>
          </w:p>
        </w:tc>
        <w:tc>
          <w:tcPr>
            <w:tcW w:w="810" w:type="dxa"/>
          </w:tcPr>
          <w:p w:rsidR="00B37436" w:rsidRPr="00F47208" w:rsidRDefault="00B37436" w:rsidP="00F47208">
            <w:pPr>
              <w:rPr>
                <w:sz w:val="20"/>
                <w:szCs w:val="20"/>
                <w:lang w:val="fr-CA"/>
              </w:rPr>
            </w:pPr>
          </w:p>
        </w:tc>
        <w:tc>
          <w:tcPr>
            <w:tcW w:w="4022" w:type="dxa"/>
          </w:tcPr>
          <w:p w:rsidR="00B37436" w:rsidRPr="00F47208" w:rsidRDefault="00B37436" w:rsidP="00F47208">
            <w:pPr>
              <w:pStyle w:val="SCCAppellantInfoTypeOfCase"/>
              <w:rPr>
                <w:sz w:val="20"/>
                <w:szCs w:val="20"/>
              </w:rPr>
            </w:pPr>
            <w:r w:rsidRPr="00F47208">
              <w:rPr>
                <w:sz w:val="20"/>
                <w:szCs w:val="20"/>
              </w:rPr>
              <w:t>Criminal / Criminelle</w:t>
            </w:r>
          </w:p>
        </w:tc>
        <w:tc>
          <w:tcPr>
            <w:tcW w:w="359" w:type="dxa"/>
            <w:gridSpan w:val="2"/>
          </w:tcPr>
          <w:p w:rsidR="00B37436" w:rsidRPr="00F47208" w:rsidRDefault="00B37436" w:rsidP="00F47208">
            <w:pPr>
              <w:rPr>
                <w:sz w:val="20"/>
                <w:szCs w:val="20"/>
              </w:rPr>
            </w:pPr>
          </w:p>
        </w:tc>
        <w:tc>
          <w:tcPr>
            <w:tcW w:w="3822" w:type="dxa"/>
            <w:gridSpan w:val="2"/>
          </w:tcPr>
          <w:p w:rsidR="00B37436" w:rsidRPr="00F47208" w:rsidRDefault="00B37436" w:rsidP="00F47208">
            <w:pPr>
              <w:rPr>
                <w:sz w:val="20"/>
                <w:szCs w:val="20"/>
              </w:rPr>
            </w:pPr>
          </w:p>
        </w:tc>
      </w:tr>
      <w:tr w:rsidR="00F47208" w:rsidTr="00F47208">
        <w:trPr>
          <w:cantSplit/>
        </w:trPr>
        <w:tc>
          <w:tcPr>
            <w:tcW w:w="508" w:type="dxa"/>
          </w:tcPr>
          <w:p w:rsidR="00F47208" w:rsidRPr="00F47208" w:rsidRDefault="00F47208" w:rsidP="00F47208">
            <w:pPr>
              <w:rPr>
                <w:sz w:val="20"/>
                <w:szCs w:val="20"/>
              </w:rPr>
            </w:pPr>
            <w:r w:rsidRPr="00F47208">
              <w:rPr>
                <w:sz w:val="20"/>
                <w:szCs w:val="20"/>
              </w:rPr>
              <w:t>1.</w:t>
            </w:r>
          </w:p>
        </w:tc>
        <w:tc>
          <w:tcPr>
            <w:tcW w:w="810" w:type="dxa"/>
          </w:tcPr>
          <w:p w:rsidR="00F47208" w:rsidRPr="00F47208" w:rsidRDefault="00F47208" w:rsidP="00F47208">
            <w:pPr>
              <w:rPr>
                <w:sz w:val="20"/>
                <w:szCs w:val="20"/>
              </w:rPr>
            </w:pPr>
            <w:r w:rsidRPr="00F47208">
              <w:rPr>
                <w:sz w:val="20"/>
                <w:szCs w:val="20"/>
              </w:rPr>
              <w:t>38817</w:t>
            </w:r>
          </w:p>
        </w:tc>
        <w:tc>
          <w:tcPr>
            <w:tcW w:w="4048" w:type="dxa"/>
            <w:gridSpan w:val="2"/>
          </w:tcPr>
          <w:p w:rsidR="00F47208" w:rsidRPr="00F47208" w:rsidRDefault="00F47208" w:rsidP="00F47208">
            <w:pPr>
              <w:pStyle w:val="SCCAppellantInfoAppellantInfo"/>
              <w:rPr>
                <w:sz w:val="20"/>
                <w:szCs w:val="20"/>
              </w:rPr>
            </w:pPr>
            <w:r w:rsidRPr="00F47208">
              <w:rPr>
                <w:sz w:val="20"/>
                <w:szCs w:val="20"/>
              </w:rPr>
              <w:t>Lemuel Mussie Paulos</w:t>
            </w:r>
          </w:p>
          <w:p w:rsidR="00F47208" w:rsidRPr="00F47208" w:rsidRDefault="00F47208" w:rsidP="00F47208">
            <w:pPr>
              <w:pStyle w:val="SCCAppellantInfoAppellantInfo"/>
              <w:rPr>
                <w:sz w:val="20"/>
                <w:szCs w:val="20"/>
              </w:rPr>
            </w:pPr>
            <w:r w:rsidRPr="00F47208">
              <w:rPr>
                <w:sz w:val="20"/>
                <w:szCs w:val="20"/>
              </w:rPr>
              <w:t>(Alta.) (Criminal) (By Leave)</w:t>
            </w:r>
          </w:p>
        </w:tc>
        <w:tc>
          <w:tcPr>
            <w:tcW w:w="360" w:type="dxa"/>
            <w:gridSpan w:val="2"/>
          </w:tcPr>
          <w:p w:rsidR="00F47208" w:rsidRPr="00F47208" w:rsidRDefault="00F47208" w:rsidP="00F47208">
            <w:pPr>
              <w:rPr>
                <w:sz w:val="20"/>
                <w:szCs w:val="20"/>
              </w:rPr>
            </w:pPr>
            <w:r w:rsidRPr="00F47208">
              <w:rPr>
                <w:sz w:val="20"/>
                <w:szCs w:val="20"/>
              </w:rPr>
              <w:t>v.</w:t>
            </w:r>
          </w:p>
        </w:tc>
        <w:tc>
          <w:tcPr>
            <w:tcW w:w="3851" w:type="dxa"/>
            <w:gridSpan w:val="2"/>
          </w:tcPr>
          <w:p w:rsidR="00F47208" w:rsidRPr="00F47208" w:rsidRDefault="00F47208" w:rsidP="00F47208">
            <w:pPr>
              <w:pStyle w:val="SCCAppellantInfoAppellantInfo"/>
              <w:rPr>
                <w:sz w:val="20"/>
                <w:szCs w:val="20"/>
              </w:rPr>
            </w:pPr>
            <w:r w:rsidRPr="00F47208">
              <w:rPr>
                <w:sz w:val="20"/>
                <w:szCs w:val="20"/>
              </w:rPr>
              <w:t>Her Majesty the Queen</w:t>
            </w:r>
          </w:p>
        </w:tc>
      </w:tr>
      <w:tr w:rsidR="00F47208" w:rsidTr="00F47208">
        <w:trPr>
          <w:cantSplit/>
        </w:trPr>
        <w:tc>
          <w:tcPr>
            <w:tcW w:w="508" w:type="dxa"/>
          </w:tcPr>
          <w:p w:rsidR="00F47208" w:rsidRPr="00F47208" w:rsidRDefault="00F47208" w:rsidP="00F47208">
            <w:pPr>
              <w:rPr>
                <w:sz w:val="20"/>
                <w:szCs w:val="20"/>
              </w:rPr>
            </w:pPr>
          </w:p>
        </w:tc>
        <w:tc>
          <w:tcPr>
            <w:tcW w:w="810" w:type="dxa"/>
          </w:tcPr>
          <w:p w:rsidR="00F47208" w:rsidRPr="00F47208" w:rsidRDefault="00F47208" w:rsidP="00F47208">
            <w:pPr>
              <w:rPr>
                <w:sz w:val="20"/>
                <w:szCs w:val="20"/>
              </w:rPr>
            </w:pPr>
          </w:p>
        </w:tc>
        <w:tc>
          <w:tcPr>
            <w:tcW w:w="4048" w:type="dxa"/>
            <w:gridSpan w:val="2"/>
          </w:tcPr>
          <w:p w:rsidR="00F47208" w:rsidRPr="00F47208" w:rsidRDefault="00F47208" w:rsidP="00F47208">
            <w:pPr>
              <w:pStyle w:val="SCCAppellantInfoTypeOfCase"/>
              <w:rPr>
                <w:sz w:val="20"/>
                <w:szCs w:val="20"/>
              </w:rPr>
            </w:pPr>
            <w:r w:rsidRPr="00F47208">
              <w:rPr>
                <w:sz w:val="20"/>
                <w:szCs w:val="20"/>
              </w:rPr>
              <w:t>Civil / Civile</w:t>
            </w:r>
          </w:p>
        </w:tc>
        <w:tc>
          <w:tcPr>
            <w:tcW w:w="360" w:type="dxa"/>
            <w:gridSpan w:val="2"/>
          </w:tcPr>
          <w:p w:rsidR="00F47208" w:rsidRPr="00F47208" w:rsidRDefault="00F47208" w:rsidP="00F47208">
            <w:pPr>
              <w:rPr>
                <w:sz w:val="20"/>
                <w:szCs w:val="20"/>
              </w:rPr>
            </w:pPr>
          </w:p>
        </w:tc>
        <w:tc>
          <w:tcPr>
            <w:tcW w:w="3851" w:type="dxa"/>
            <w:gridSpan w:val="2"/>
          </w:tcPr>
          <w:p w:rsidR="00F47208" w:rsidRPr="00F47208" w:rsidRDefault="00F47208" w:rsidP="00F47208">
            <w:pPr>
              <w:rPr>
                <w:sz w:val="20"/>
                <w:szCs w:val="20"/>
              </w:rPr>
            </w:pPr>
          </w:p>
        </w:tc>
      </w:tr>
      <w:tr w:rsidR="00F47208" w:rsidTr="00F47208">
        <w:trPr>
          <w:cantSplit/>
        </w:trPr>
        <w:tc>
          <w:tcPr>
            <w:tcW w:w="508" w:type="dxa"/>
          </w:tcPr>
          <w:p w:rsidR="00F47208" w:rsidRPr="00F47208" w:rsidRDefault="00F47208" w:rsidP="00F47208">
            <w:pPr>
              <w:rPr>
                <w:sz w:val="20"/>
                <w:szCs w:val="20"/>
              </w:rPr>
            </w:pPr>
            <w:r w:rsidRPr="00F47208">
              <w:rPr>
                <w:sz w:val="20"/>
                <w:szCs w:val="20"/>
              </w:rPr>
              <w:t>2.</w:t>
            </w:r>
          </w:p>
        </w:tc>
        <w:tc>
          <w:tcPr>
            <w:tcW w:w="810" w:type="dxa"/>
          </w:tcPr>
          <w:p w:rsidR="00F47208" w:rsidRPr="00F47208" w:rsidRDefault="00F47208" w:rsidP="00F47208">
            <w:pPr>
              <w:rPr>
                <w:sz w:val="20"/>
                <w:szCs w:val="20"/>
              </w:rPr>
            </w:pPr>
            <w:r w:rsidRPr="00F47208">
              <w:rPr>
                <w:sz w:val="20"/>
                <w:szCs w:val="20"/>
              </w:rPr>
              <w:t>38845</w:t>
            </w:r>
          </w:p>
        </w:tc>
        <w:tc>
          <w:tcPr>
            <w:tcW w:w="4048" w:type="dxa"/>
            <w:gridSpan w:val="2"/>
          </w:tcPr>
          <w:p w:rsidR="00F47208" w:rsidRPr="00F47208" w:rsidRDefault="00F47208" w:rsidP="00F47208">
            <w:pPr>
              <w:pStyle w:val="SCCAppellantInfoAppellantInfo"/>
              <w:rPr>
                <w:sz w:val="20"/>
                <w:szCs w:val="20"/>
              </w:rPr>
            </w:pPr>
            <w:r w:rsidRPr="00F47208">
              <w:rPr>
                <w:sz w:val="20"/>
                <w:szCs w:val="20"/>
              </w:rPr>
              <w:t>OZ Merchandising Inc.</w:t>
            </w:r>
          </w:p>
          <w:p w:rsidR="00F47208" w:rsidRPr="00F47208" w:rsidRDefault="00F47208" w:rsidP="00F47208">
            <w:pPr>
              <w:pStyle w:val="SCCAppellantInfoAppellantInfo"/>
              <w:rPr>
                <w:sz w:val="20"/>
                <w:szCs w:val="20"/>
              </w:rPr>
            </w:pPr>
            <w:r w:rsidRPr="00F47208">
              <w:rPr>
                <w:sz w:val="20"/>
                <w:szCs w:val="20"/>
              </w:rPr>
              <w:t>(Ont.) (Civil) (By Leave)</w:t>
            </w:r>
          </w:p>
        </w:tc>
        <w:tc>
          <w:tcPr>
            <w:tcW w:w="360" w:type="dxa"/>
            <w:gridSpan w:val="2"/>
          </w:tcPr>
          <w:p w:rsidR="00F47208" w:rsidRPr="00F47208" w:rsidRDefault="00F47208" w:rsidP="00F47208">
            <w:pPr>
              <w:rPr>
                <w:sz w:val="20"/>
                <w:szCs w:val="20"/>
              </w:rPr>
            </w:pPr>
            <w:r w:rsidRPr="00F47208">
              <w:rPr>
                <w:sz w:val="20"/>
                <w:szCs w:val="20"/>
              </w:rPr>
              <w:t>v.</w:t>
            </w:r>
          </w:p>
        </w:tc>
        <w:tc>
          <w:tcPr>
            <w:tcW w:w="3851" w:type="dxa"/>
            <w:gridSpan w:val="2"/>
          </w:tcPr>
          <w:p w:rsidR="00F47208" w:rsidRPr="00F47208" w:rsidRDefault="00F47208" w:rsidP="00F47208">
            <w:pPr>
              <w:pStyle w:val="SCCAppellantInfoAppellantInfo"/>
              <w:rPr>
                <w:sz w:val="20"/>
                <w:szCs w:val="20"/>
              </w:rPr>
            </w:pPr>
            <w:r w:rsidRPr="00F47208">
              <w:rPr>
                <w:sz w:val="20"/>
                <w:szCs w:val="20"/>
              </w:rPr>
              <w:t>Eastern Ontario District Soccer Association, et al.</w:t>
            </w:r>
          </w:p>
        </w:tc>
      </w:tr>
      <w:tr w:rsidR="00F47208" w:rsidRPr="00937854" w:rsidTr="00F47208">
        <w:trPr>
          <w:cantSplit/>
        </w:trPr>
        <w:tc>
          <w:tcPr>
            <w:tcW w:w="508" w:type="dxa"/>
          </w:tcPr>
          <w:p w:rsidR="00F47208" w:rsidRPr="00F47208" w:rsidRDefault="00F47208" w:rsidP="00F47208">
            <w:pPr>
              <w:rPr>
                <w:sz w:val="20"/>
                <w:szCs w:val="20"/>
              </w:rPr>
            </w:pPr>
            <w:r w:rsidRPr="00F47208">
              <w:rPr>
                <w:sz w:val="20"/>
                <w:szCs w:val="20"/>
              </w:rPr>
              <w:t>3.</w:t>
            </w:r>
          </w:p>
        </w:tc>
        <w:tc>
          <w:tcPr>
            <w:tcW w:w="810" w:type="dxa"/>
          </w:tcPr>
          <w:p w:rsidR="00F47208" w:rsidRPr="00F47208" w:rsidRDefault="00F47208" w:rsidP="00F47208">
            <w:pPr>
              <w:rPr>
                <w:sz w:val="20"/>
                <w:szCs w:val="20"/>
              </w:rPr>
            </w:pPr>
            <w:r w:rsidRPr="00F47208">
              <w:rPr>
                <w:sz w:val="20"/>
                <w:szCs w:val="20"/>
              </w:rPr>
              <w:t>38758</w:t>
            </w:r>
          </w:p>
        </w:tc>
        <w:tc>
          <w:tcPr>
            <w:tcW w:w="4048" w:type="dxa"/>
            <w:gridSpan w:val="2"/>
          </w:tcPr>
          <w:p w:rsidR="00F47208" w:rsidRPr="00F47208" w:rsidRDefault="00F47208" w:rsidP="00F47208">
            <w:pPr>
              <w:pStyle w:val="SCCAppellantInfoAppellantInfo"/>
              <w:rPr>
                <w:sz w:val="20"/>
                <w:szCs w:val="20"/>
                <w:lang w:val="fr-CA"/>
              </w:rPr>
            </w:pPr>
            <w:r w:rsidRPr="00F47208">
              <w:rPr>
                <w:sz w:val="20"/>
                <w:szCs w:val="20"/>
                <w:lang w:val="fr-CA"/>
              </w:rPr>
              <w:t>Vidéotron Ltée, et al.</w:t>
            </w:r>
          </w:p>
          <w:p w:rsidR="00F47208" w:rsidRPr="00F47208" w:rsidRDefault="00F47208" w:rsidP="00F47208">
            <w:pPr>
              <w:pStyle w:val="SCCAppellantInfoAppellantInfo"/>
              <w:rPr>
                <w:sz w:val="20"/>
                <w:szCs w:val="20"/>
                <w:lang w:val="fr-CA"/>
              </w:rPr>
            </w:pPr>
            <w:r w:rsidRPr="00F47208">
              <w:rPr>
                <w:sz w:val="20"/>
                <w:szCs w:val="20"/>
                <w:lang w:val="fr-CA"/>
              </w:rPr>
              <w:t>(Qc) (Civile) (Autorisation)</w:t>
            </w:r>
          </w:p>
        </w:tc>
        <w:tc>
          <w:tcPr>
            <w:tcW w:w="360" w:type="dxa"/>
            <w:gridSpan w:val="2"/>
          </w:tcPr>
          <w:p w:rsidR="00F47208" w:rsidRPr="00F47208" w:rsidRDefault="00F47208" w:rsidP="00F47208">
            <w:pPr>
              <w:rPr>
                <w:sz w:val="20"/>
                <w:szCs w:val="20"/>
              </w:rPr>
            </w:pPr>
            <w:r w:rsidRPr="00F47208">
              <w:rPr>
                <w:sz w:val="20"/>
                <w:szCs w:val="20"/>
              </w:rPr>
              <w:t>c.</w:t>
            </w:r>
          </w:p>
        </w:tc>
        <w:tc>
          <w:tcPr>
            <w:tcW w:w="3851" w:type="dxa"/>
            <w:gridSpan w:val="2"/>
          </w:tcPr>
          <w:p w:rsidR="00F47208" w:rsidRPr="00F47208" w:rsidRDefault="00F47208" w:rsidP="00F47208">
            <w:pPr>
              <w:pStyle w:val="SCCAppellantInfoAppellantInfo"/>
              <w:rPr>
                <w:sz w:val="20"/>
                <w:szCs w:val="20"/>
                <w:lang w:val="fr-CA"/>
              </w:rPr>
            </w:pPr>
            <w:r w:rsidRPr="00F47208">
              <w:rPr>
                <w:sz w:val="20"/>
                <w:szCs w:val="20"/>
                <w:lang w:val="fr-CA"/>
              </w:rPr>
              <w:t>Ville de Gatineau, et al.</w:t>
            </w:r>
          </w:p>
        </w:tc>
      </w:tr>
      <w:tr w:rsidR="00F47208" w:rsidTr="00F47208">
        <w:trPr>
          <w:cantSplit/>
        </w:trPr>
        <w:tc>
          <w:tcPr>
            <w:tcW w:w="508" w:type="dxa"/>
          </w:tcPr>
          <w:p w:rsidR="00F47208" w:rsidRPr="00F47208" w:rsidRDefault="00F47208" w:rsidP="00F47208">
            <w:pPr>
              <w:rPr>
                <w:sz w:val="20"/>
                <w:szCs w:val="20"/>
              </w:rPr>
            </w:pPr>
            <w:r w:rsidRPr="00F47208">
              <w:rPr>
                <w:sz w:val="20"/>
                <w:szCs w:val="20"/>
              </w:rPr>
              <w:t>4.</w:t>
            </w:r>
          </w:p>
        </w:tc>
        <w:tc>
          <w:tcPr>
            <w:tcW w:w="810" w:type="dxa"/>
          </w:tcPr>
          <w:p w:rsidR="00F47208" w:rsidRPr="00F47208" w:rsidRDefault="00F47208" w:rsidP="00F47208">
            <w:pPr>
              <w:rPr>
                <w:sz w:val="20"/>
                <w:szCs w:val="20"/>
              </w:rPr>
            </w:pPr>
            <w:r w:rsidRPr="00F47208">
              <w:rPr>
                <w:sz w:val="20"/>
                <w:szCs w:val="20"/>
              </w:rPr>
              <w:t>38902</w:t>
            </w:r>
          </w:p>
        </w:tc>
        <w:tc>
          <w:tcPr>
            <w:tcW w:w="4048" w:type="dxa"/>
            <w:gridSpan w:val="2"/>
          </w:tcPr>
          <w:p w:rsidR="00F47208" w:rsidRPr="00F47208" w:rsidRDefault="00F47208" w:rsidP="00F47208">
            <w:pPr>
              <w:pStyle w:val="SCCAppellantInfoAppellantInfo"/>
              <w:rPr>
                <w:sz w:val="20"/>
                <w:szCs w:val="20"/>
              </w:rPr>
            </w:pPr>
            <w:r w:rsidRPr="00F47208">
              <w:rPr>
                <w:sz w:val="20"/>
                <w:szCs w:val="20"/>
              </w:rPr>
              <w:t>Alberta Union of Provincial Employees, et al.</w:t>
            </w:r>
          </w:p>
          <w:p w:rsidR="00F47208" w:rsidRPr="00F47208" w:rsidRDefault="00F47208" w:rsidP="00F47208">
            <w:pPr>
              <w:pStyle w:val="SCCAppellantInfoAppellantInfo"/>
              <w:rPr>
                <w:sz w:val="20"/>
                <w:szCs w:val="20"/>
              </w:rPr>
            </w:pPr>
            <w:r w:rsidRPr="00F47208">
              <w:rPr>
                <w:sz w:val="20"/>
                <w:szCs w:val="20"/>
              </w:rPr>
              <w:t>(Alta.) (Civil) (By Leave)</w:t>
            </w:r>
          </w:p>
        </w:tc>
        <w:tc>
          <w:tcPr>
            <w:tcW w:w="360" w:type="dxa"/>
            <w:gridSpan w:val="2"/>
          </w:tcPr>
          <w:p w:rsidR="00F47208" w:rsidRPr="00F47208" w:rsidRDefault="00F47208" w:rsidP="00F47208">
            <w:pPr>
              <w:rPr>
                <w:sz w:val="20"/>
                <w:szCs w:val="20"/>
              </w:rPr>
            </w:pPr>
            <w:r w:rsidRPr="00F47208">
              <w:rPr>
                <w:sz w:val="20"/>
                <w:szCs w:val="20"/>
              </w:rPr>
              <w:t>v.</w:t>
            </w:r>
          </w:p>
        </w:tc>
        <w:tc>
          <w:tcPr>
            <w:tcW w:w="3851" w:type="dxa"/>
            <w:gridSpan w:val="2"/>
          </w:tcPr>
          <w:p w:rsidR="00F47208" w:rsidRPr="00F47208" w:rsidRDefault="00F47208" w:rsidP="00F47208">
            <w:pPr>
              <w:pStyle w:val="SCCAppellantInfoAppellantInfo"/>
              <w:rPr>
                <w:sz w:val="20"/>
                <w:szCs w:val="20"/>
              </w:rPr>
            </w:pPr>
            <w:r w:rsidRPr="00F47208">
              <w:rPr>
                <w:sz w:val="20"/>
                <w:szCs w:val="20"/>
              </w:rPr>
              <w:t>Her Majesty the Queen in Right of Alberta</w:t>
            </w:r>
          </w:p>
        </w:tc>
      </w:tr>
      <w:tr w:rsidR="00F47208" w:rsidTr="00F47208">
        <w:trPr>
          <w:cantSplit/>
        </w:trPr>
        <w:tc>
          <w:tcPr>
            <w:tcW w:w="508" w:type="dxa"/>
          </w:tcPr>
          <w:p w:rsidR="00F47208" w:rsidRPr="00F47208" w:rsidRDefault="00F47208" w:rsidP="00F47208">
            <w:pPr>
              <w:rPr>
                <w:sz w:val="20"/>
                <w:szCs w:val="20"/>
              </w:rPr>
            </w:pPr>
            <w:r w:rsidRPr="00F47208">
              <w:rPr>
                <w:sz w:val="20"/>
                <w:szCs w:val="20"/>
              </w:rPr>
              <w:t>5.</w:t>
            </w:r>
          </w:p>
        </w:tc>
        <w:tc>
          <w:tcPr>
            <w:tcW w:w="810" w:type="dxa"/>
          </w:tcPr>
          <w:p w:rsidR="00F47208" w:rsidRPr="00F47208" w:rsidRDefault="00F47208" w:rsidP="00F47208">
            <w:pPr>
              <w:rPr>
                <w:sz w:val="20"/>
                <w:szCs w:val="20"/>
              </w:rPr>
            </w:pPr>
            <w:r w:rsidRPr="00F47208">
              <w:rPr>
                <w:sz w:val="20"/>
                <w:szCs w:val="20"/>
              </w:rPr>
              <w:t>38914</w:t>
            </w:r>
          </w:p>
        </w:tc>
        <w:tc>
          <w:tcPr>
            <w:tcW w:w="4048" w:type="dxa"/>
            <w:gridSpan w:val="2"/>
          </w:tcPr>
          <w:p w:rsidR="00F47208" w:rsidRPr="00F47208" w:rsidRDefault="00F47208" w:rsidP="00F47208">
            <w:pPr>
              <w:pStyle w:val="SCCAppellantInfoAppellantInfo"/>
              <w:rPr>
                <w:sz w:val="20"/>
                <w:szCs w:val="20"/>
              </w:rPr>
            </w:pPr>
            <w:r w:rsidRPr="00F47208">
              <w:rPr>
                <w:sz w:val="20"/>
                <w:szCs w:val="20"/>
              </w:rPr>
              <w:t>MacDonald Communities Limited</w:t>
            </w:r>
          </w:p>
          <w:p w:rsidR="00F47208" w:rsidRPr="00F47208" w:rsidRDefault="00F47208" w:rsidP="00F47208">
            <w:pPr>
              <w:pStyle w:val="SCCAppellantInfoAppellantInfo"/>
              <w:rPr>
                <w:sz w:val="20"/>
                <w:szCs w:val="20"/>
              </w:rPr>
            </w:pPr>
            <w:r w:rsidRPr="00F47208">
              <w:rPr>
                <w:sz w:val="20"/>
                <w:szCs w:val="20"/>
              </w:rPr>
              <w:t>(Alta.) (Civil) (By Leave)</w:t>
            </w:r>
          </w:p>
        </w:tc>
        <w:tc>
          <w:tcPr>
            <w:tcW w:w="360" w:type="dxa"/>
            <w:gridSpan w:val="2"/>
          </w:tcPr>
          <w:p w:rsidR="00F47208" w:rsidRPr="00F47208" w:rsidRDefault="00F47208" w:rsidP="00F47208">
            <w:pPr>
              <w:rPr>
                <w:sz w:val="20"/>
                <w:szCs w:val="20"/>
              </w:rPr>
            </w:pPr>
            <w:r w:rsidRPr="00F47208">
              <w:rPr>
                <w:sz w:val="20"/>
                <w:szCs w:val="20"/>
              </w:rPr>
              <w:t>v.</w:t>
            </w:r>
          </w:p>
        </w:tc>
        <w:tc>
          <w:tcPr>
            <w:tcW w:w="3851" w:type="dxa"/>
            <w:gridSpan w:val="2"/>
          </w:tcPr>
          <w:p w:rsidR="00F47208" w:rsidRPr="00F47208" w:rsidRDefault="00F47208" w:rsidP="00F47208">
            <w:pPr>
              <w:pStyle w:val="SCCAppellantInfoAppellantInfo"/>
              <w:rPr>
                <w:sz w:val="20"/>
                <w:szCs w:val="20"/>
              </w:rPr>
            </w:pPr>
            <w:r w:rsidRPr="00F47208">
              <w:rPr>
                <w:sz w:val="20"/>
                <w:szCs w:val="20"/>
              </w:rPr>
              <w:t>Alberta Utilities Commission</w:t>
            </w:r>
          </w:p>
        </w:tc>
      </w:tr>
      <w:tr w:rsidR="00B37436" w:rsidRPr="00937854" w:rsidTr="00F47208">
        <w:trPr>
          <w:gridAfter w:val="1"/>
          <w:wAfter w:w="56" w:type="dxa"/>
          <w:cantSplit/>
        </w:trPr>
        <w:tc>
          <w:tcPr>
            <w:tcW w:w="9521" w:type="dxa"/>
            <w:gridSpan w:val="7"/>
          </w:tcPr>
          <w:p w:rsidR="00F47208" w:rsidRPr="00F47208" w:rsidRDefault="00F47208" w:rsidP="00F47208">
            <w:pPr>
              <w:widowControl w:val="0"/>
              <w:jc w:val="center"/>
              <w:rPr>
                <w:b/>
                <w:sz w:val="20"/>
                <w:szCs w:val="20"/>
                <w:lang w:val="en-US"/>
              </w:rPr>
            </w:pPr>
          </w:p>
          <w:p w:rsidR="00B37436" w:rsidRPr="00F47208" w:rsidRDefault="00B37436" w:rsidP="00F47208">
            <w:pPr>
              <w:widowControl w:val="0"/>
              <w:jc w:val="center"/>
              <w:rPr>
                <w:b/>
                <w:sz w:val="20"/>
                <w:szCs w:val="20"/>
                <w:lang w:val="en-US"/>
              </w:rPr>
            </w:pPr>
            <w:r w:rsidRPr="00F47208">
              <w:rPr>
                <w:b/>
                <w:sz w:val="20"/>
                <w:szCs w:val="20"/>
                <w:lang w:val="en-US"/>
              </w:rPr>
              <w:t>CORAM: Abella, Karakatsanis and Brown JJ.</w:t>
            </w:r>
          </w:p>
          <w:p w:rsidR="00B37436" w:rsidRPr="00F47208" w:rsidRDefault="00B37436" w:rsidP="00F47208">
            <w:pPr>
              <w:widowControl w:val="0"/>
              <w:jc w:val="center"/>
              <w:rPr>
                <w:sz w:val="20"/>
                <w:szCs w:val="20"/>
                <w:lang w:val="fr-CA"/>
              </w:rPr>
            </w:pPr>
            <w:r w:rsidRPr="00F47208">
              <w:rPr>
                <w:b/>
                <w:sz w:val="20"/>
                <w:szCs w:val="20"/>
                <w:lang w:val="fr-CA"/>
              </w:rPr>
              <w:t>Les juges Abella, Karakatsanis et Brown</w:t>
            </w:r>
          </w:p>
        </w:tc>
      </w:tr>
      <w:tr w:rsidR="005662E5" w:rsidTr="00F47208">
        <w:trPr>
          <w:cantSplit/>
        </w:trPr>
        <w:tc>
          <w:tcPr>
            <w:tcW w:w="508" w:type="dxa"/>
          </w:tcPr>
          <w:p w:rsidR="005662E5" w:rsidRPr="005662E5" w:rsidRDefault="005662E5" w:rsidP="005662E5">
            <w:pPr>
              <w:rPr>
                <w:sz w:val="20"/>
                <w:szCs w:val="20"/>
                <w:lang w:val="fr-CA"/>
              </w:rPr>
            </w:pPr>
          </w:p>
        </w:tc>
        <w:tc>
          <w:tcPr>
            <w:tcW w:w="810" w:type="dxa"/>
          </w:tcPr>
          <w:p w:rsidR="005662E5" w:rsidRPr="005662E5" w:rsidRDefault="005662E5" w:rsidP="005662E5">
            <w:pPr>
              <w:rPr>
                <w:sz w:val="20"/>
                <w:szCs w:val="20"/>
                <w:lang w:val="fr-CA"/>
              </w:rPr>
            </w:pPr>
          </w:p>
        </w:tc>
        <w:tc>
          <w:tcPr>
            <w:tcW w:w="4048" w:type="dxa"/>
            <w:gridSpan w:val="2"/>
          </w:tcPr>
          <w:p w:rsidR="005662E5" w:rsidRPr="005662E5" w:rsidRDefault="005662E5" w:rsidP="005662E5">
            <w:pPr>
              <w:pStyle w:val="SCCAppellantInfoTypeOfCase"/>
              <w:rPr>
                <w:sz w:val="20"/>
                <w:szCs w:val="20"/>
              </w:rPr>
            </w:pPr>
            <w:r w:rsidRPr="005662E5">
              <w:rPr>
                <w:sz w:val="20"/>
                <w:szCs w:val="20"/>
              </w:rPr>
              <w:t>Criminal / Criminelle</w:t>
            </w:r>
          </w:p>
        </w:tc>
        <w:tc>
          <w:tcPr>
            <w:tcW w:w="360" w:type="dxa"/>
            <w:gridSpan w:val="2"/>
          </w:tcPr>
          <w:p w:rsidR="005662E5" w:rsidRPr="005662E5" w:rsidRDefault="005662E5" w:rsidP="005662E5">
            <w:pPr>
              <w:rPr>
                <w:sz w:val="20"/>
                <w:szCs w:val="20"/>
              </w:rPr>
            </w:pPr>
          </w:p>
        </w:tc>
        <w:tc>
          <w:tcPr>
            <w:tcW w:w="3851" w:type="dxa"/>
            <w:gridSpan w:val="2"/>
          </w:tcPr>
          <w:p w:rsidR="005662E5" w:rsidRPr="005662E5" w:rsidRDefault="005662E5" w:rsidP="005662E5">
            <w:pPr>
              <w:rPr>
                <w:sz w:val="20"/>
                <w:szCs w:val="20"/>
              </w:rPr>
            </w:pPr>
          </w:p>
        </w:tc>
      </w:tr>
      <w:tr w:rsidR="005662E5" w:rsidTr="00F47208">
        <w:trPr>
          <w:cantSplit/>
        </w:trPr>
        <w:tc>
          <w:tcPr>
            <w:tcW w:w="508" w:type="dxa"/>
          </w:tcPr>
          <w:p w:rsidR="005662E5" w:rsidRPr="005662E5" w:rsidRDefault="005662E5" w:rsidP="005662E5">
            <w:pPr>
              <w:rPr>
                <w:sz w:val="20"/>
                <w:szCs w:val="20"/>
              </w:rPr>
            </w:pPr>
            <w:r w:rsidRPr="005662E5">
              <w:rPr>
                <w:sz w:val="20"/>
                <w:szCs w:val="20"/>
              </w:rPr>
              <w:t>6.</w:t>
            </w:r>
          </w:p>
        </w:tc>
        <w:tc>
          <w:tcPr>
            <w:tcW w:w="810" w:type="dxa"/>
          </w:tcPr>
          <w:p w:rsidR="005662E5" w:rsidRPr="005662E5" w:rsidRDefault="005662E5" w:rsidP="005662E5">
            <w:pPr>
              <w:rPr>
                <w:sz w:val="20"/>
                <w:szCs w:val="20"/>
              </w:rPr>
            </w:pPr>
            <w:r w:rsidRPr="005662E5">
              <w:rPr>
                <w:sz w:val="20"/>
                <w:szCs w:val="20"/>
              </w:rPr>
              <w:t>38878</w:t>
            </w:r>
          </w:p>
        </w:tc>
        <w:tc>
          <w:tcPr>
            <w:tcW w:w="4048" w:type="dxa"/>
            <w:gridSpan w:val="2"/>
          </w:tcPr>
          <w:p w:rsidR="005662E5" w:rsidRPr="005662E5" w:rsidRDefault="005662E5" w:rsidP="005662E5">
            <w:pPr>
              <w:pStyle w:val="SCCAppellantInfoAppellantInfo"/>
              <w:rPr>
                <w:sz w:val="20"/>
                <w:szCs w:val="20"/>
              </w:rPr>
            </w:pPr>
            <w:r w:rsidRPr="005662E5">
              <w:rPr>
                <w:sz w:val="20"/>
                <w:szCs w:val="20"/>
              </w:rPr>
              <w:t>Samuel David Glendinning</w:t>
            </w:r>
          </w:p>
          <w:p w:rsidR="005662E5" w:rsidRPr="005662E5" w:rsidRDefault="005662E5" w:rsidP="00937854">
            <w:pPr>
              <w:pStyle w:val="SCCAppellantInfoTypeOfCase"/>
              <w:rPr>
                <w:sz w:val="20"/>
                <w:szCs w:val="20"/>
              </w:rPr>
            </w:pPr>
            <w:r w:rsidRPr="005662E5">
              <w:rPr>
                <w:b w:val="0"/>
                <w:sz w:val="20"/>
                <w:szCs w:val="20"/>
              </w:rPr>
              <w:t>(B.C.) (C</w:t>
            </w:r>
            <w:r w:rsidR="00937854">
              <w:rPr>
                <w:b w:val="0"/>
                <w:sz w:val="20"/>
                <w:szCs w:val="20"/>
              </w:rPr>
              <w:t>r</w:t>
            </w:r>
            <w:r w:rsidRPr="005662E5">
              <w:rPr>
                <w:b w:val="0"/>
                <w:sz w:val="20"/>
                <w:szCs w:val="20"/>
              </w:rPr>
              <w:t>i</w:t>
            </w:r>
            <w:r w:rsidR="00937854">
              <w:rPr>
                <w:b w:val="0"/>
                <w:sz w:val="20"/>
                <w:szCs w:val="20"/>
              </w:rPr>
              <w:t>m</w:t>
            </w:r>
            <w:r w:rsidRPr="005662E5">
              <w:rPr>
                <w:b w:val="0"/>
                <w:sz w:val="20"/>
                <w:szCs w:val="20"/>
              </w:rPr>
              <w:t>i</w:t>
            </w:r>
            <w:r w:rsidR="00937854">
              <w:rPr>
                <w:b w:val="0"/>
                <w:sz w:val="20"/>
                <w:szCs w:val="20"/>
              </w:rPr>
              <w:t>na</w:t>
            </w:r>
            <w:bookmarkStart w:id="2" w:name="_GoBack"/>
            <w:bookmarkEnd w:id="2"/>
            <w:r w:rsidRPr="005662E5">
              <w:rPr>
                <w:b w:val="0"/>
                <w:sz w:val="20"/>
                <w:szCs w:val="20"/>
              </w:rPr>
              <w:t>l) (By Leave)</w:t>
            </w:r>
          </w:p>
        </w:tc>
        <w:tc>
          <w:tcPr>
            <w:tcW w:w="360" w:type="dxa"/>
            <w:gridSpan w:val="2"/>
          </w:tcPr>
          <w:p w:rsidR="005662E5" w:rsidRPr="005662E5" w:rsidRDefault="005662E5" w:rsidP="005662E5">
            <w:pPr>
              <w:rPr>
                <w:sz w:val="20"/>
                <w:szCs w:val="20"/>
              </w:rPr>
            </w:pPr>
            <w:r w:rsidRPr="005662E5">
              <w:rPr>
                <w:sz w:val="20"/>
                <w:szCs w:val="20"/>
              </w:rPr>
              <w:t>v.</w:t>
            </w:r>
          </w:p>
        </w:tc>
        <w:tc>
          <w:tcPr>
            <w:tcW w:w="3851" w:type="dxa"/>
            <w:gridSpan w:val="2"/>
          </w:tcPr>
          <w:p w:rsidR="005662E5" w:rsidRPr="005662E5" w:rsidRDefault="005662E5" w:rsidP="005662E5">
            <w:pPr>
              <w:rPr>
                <w:sz w:val="20"/>
                <w:szCs w:val="20"/>
              </w:rPr>
            </w:pPr>
            <w:r w:rsidRPr="005662E5">
              <w:rPr>
                <w:sz w:val="20"/>
                <w:szCs w:val="20"/>
              </w:rPr>
              <w:t>Her Majesty The Queen</w:t>
            </w:r>
          </w:p>
        </w:tc>
      </w:tr>
      <w:tr w:rsidR="005662E5" w:rsidTr="00F47208">
        <w:trPr>
          <w:cantSplit/>
        </w:trPr>
        <w:tc>
          <w:tcPr>
            <w:tcW w:w="508" w:type="dxa"/>
          </w:tcPr>
          <w:p w:rsidR="005662E5" w:rsidRPr="005662E5" w:rsidRDefault="005662E5" w:rsidP="005662E5">
            <w:pPr>
              <w:rPr>
                <w:sz w:val="20"/>
                <w:szCs w:val="20"/>
              </w:rPr>
            </w:pPr>
          </w:p>
        </w:tc>
        <w:tc>
          <w:tcPr>
            <w:tcW w:w="810" w:type="dxa"/>
          </w:tcPr>
          <w:p w:rsidR="005662E5" w:rsidRPr="005662E5" w:rsidRDefault="005662E5" w:rsidP="005662E5">
            <w:pPr>
              <w:rPr>
                <w:sz w:val="20"/>
                <w:szCs w:val="20"/>
              </w:rPr>
            </w:pPr>
          </w:p>
        </w:tc>
        <w:tc>
          <w:tcPr>
            <w:tcW w:w="4048" w:type="dxa"/>
            <w:gridSpan w:val="2"/>
          </w:tcPr>
          <w:p w:rsidR="005662E5" w:rsidRPr="005662E5" w:rsidRDefault="005662E5" w:rsidP="005662E5">
            <w:pPr>
              <w:pStyle w:val="SCCAppellantInfoTypeOfCase"/>
              <w:rPr>
                <w:sz w:val="20"/>
                <w:szCs w:val="20"/>
              </w:rPr>
            </w:pPr>
            <w:r w:rsidRPr="005662E5">
              <w:rPr>
                <w:sz w:val="20"/>
                <w:szCs w:val="20"/>
              </w:rPr>
              <w:t>Civil / Civile</w:t>
            </w:r>
          </w:p>
        </w:tc>
        <w:tc>
          <w:tcPr>
            <w:tcW w:w="360" w:type="dxa"/>
            <w:gridSpan w:val="2"/>
          </w:tcPr>
          <w:p w:rsidR="005662E5" w:rsidRPr="005662E5" w:rsidRDefault="005662E5" w:rsidP="005662E5">
            <w:pPr>
              <w:rPr>
                <w:sz w:val="20"/>
                <w:szCs w:val="20"/>
              </w:rPr>
            </w:pPr>
          </w:p>
        </w:tc>
        <w:tc>
          <w:tcPr>
            <w:tcW w:w="3851" w:type="dxa"/>
            <w:gridSpan w:val="2"/>
          </w:tcPr>
          <w:p w:rsidR="005662E5" w:rsidRPr="005662E5" w:rsidRDefault="005662E5" w:rsidP="005662E5">
            <w:pPr>
              <w:rPr>
                <w:sz w:val="20"/>
                <w:szCs w:val="20"/>
              </w:rPr>
            </w:pPr>
          </w:p>
        </w:tc>
      </w:tr>
      <w:tr w:rsidR="005662E5" w:rsidTr="00F47208">
        <w:trPr>
          <w:cantSplit/>
        </w:trPr>
        <w:tc>
          <w:tcPr>
            <w:tcW w:w="508" w:type="dxa"/>
          </w:tcPr>
          <w:p w:rsidR="005662E5" w:rsidRPr="005662E5" w:rsidRDefault="005662E5" w:rsidP="005662E5">
            <w:pPr>
              <w:rPr>
                <w:sz w:val="20"/>
                <w:szCs w:val="20"/>
              </w:rPr>
            </w:pPr>
            <w:r w:rsidRPr="005662E5">
              <w:rPr>
                <w:sz w:val="20"/>
                <w:szCs w:val="20"/>
              </w:rPr>
              <w:t>7.</w:t>
            </w:r>
          </w:p>
        </w:tc>
        <w:tc>
          <w:tcPr>
            <w:tcW w:w="810" w:type="dxa"/>
          </w:tcPr>
          <w:p w:rsidR="005662E5" w:rsidRPr="005662E5" w:rsidRDefault="005662E5" w:rsidP="005662E5">
            <w:pPr>
              <w:rPr>
                <w:sz w:val="20"/>
                <w:szCs w:val="20"/>
              </w:rPr>
            </w:pPr>
            <w:r w:rsidRPr="005662E5">
              <w:rPr>
                <w:sz w:val="20"/>
                <w:szCs w:val="20"/>
              </w:rPr>
              <w:t>38978</w:t>
            </w:r>
          </w:p>
        </w:tc>
        <w:tc>
          <w:tcPr>
            <w:tcW w:w="4048" w:type="dxa"/>
            <w:gridSpan w:val="2"/>
          </w:tcPr>
          <w:p w:rsidR="005662E5" w:rsidRPr="005662E5" w:rsidRDefault="005662E5" w:rsidP="005662E5">
            <w:pPr>
              <w:pStyle w:val="SCCAppellantInfoAppellantInfo"/>
              <w:rPr>
                <w:sz w:val="20"/>
                <w:szCs w:val="20"/>
              </w:rPr>
            </w:pPr>
            <w:r w:rsidRPr="005662E5">
              <w:rPr>
                <w:sz w:val="20"/>
                <w:szCs w:val="20"/>
              </w:rPr>
              <w:t>Dahir Mohamed</w:t>
            </w:r>
          </w:p>
          <w:p w:rsidR="005662E5" w:rsidRPr="005662E5" w:rsidRDefault="005662E5" w:rsidP="005662E5">
            <w:pPr>
              <w:pStyle w:val="SCCAppellantInfoAppellantInfo"/>
              <w:rPr>
                <w:sz w:val="20"/>
                <w:szCs w:val="20"/>
              </w:rPr>
            </w:pPr>
            <w:r w:rsidRPr="005662E5">
              <w:rPr>
                <w:sz w:val="20"/>
                <w:szCs w:val="20"/>
              </w:rPr>
              <w:t>(Ont.) (Civil) (By Leave)</w:t>
            </w:r>
          </w:p>
        </w:tc>
        <w:tc>
          <w:tcPr>
            <w:tcW w:w="360" w:type="dxa"/>
            <w:gridSpan w:val="2"/>
          </w:tcPr>
          <w:p w:rsidR="005662E5" w:rsidRPr="005662E5" w:rsidRDefault="005662E5" w:rsidP="005662E5">
            <w:pPr>
              <w:rPr>
                <w:sz w:val="20"/>
                <w:szCs w:val="20"/>
              </w:rPr>
            </w:pPr>
            <w:r w:rsidRPr="005662E5">
              <w:rPr>
                <w:sz w:val="20"/>
                <w:szCs w:val="20"/>
              </w:rPr>
              <w:t>v.</w:t>
            </w:r>
          </w:p>
        </w:tc>
        <w:tc>
          <w:tcPr>
            <w:tcW w:w="3851" w:type="dxa"/>
            <w:gridSpan w:val="2"/>
          </w:tcPr>
          <w:p w:rsidR="005662E5" w:rsidRPr="005662E5" w:rsidRDefault="005662E5" w:rsidP="005662E5">
            <w:pPr>
              <w:pStyle w:val="SCCAppellantInfoAppellantInfo"/>
              <w:rPr>
                <w:sz w:val="20"/>
                <w:szCs w:val="20"/>
              </w:rPr>
            </w:pPr>
            <w:r w:rsidRPr="005662E5">
              <w:rPr>
                <w:sz w:val="20"/>
                <w:szCs w:val="20"/>
              </w:rPr>
              <w:t>Farhiyo Tahill Farah</w:t>
            </w:r>
          </w:p>
        </w:tc>
      </w:tr>
      <w:tr w:rsidR="005662E5" w:rsidTr="00F47208">
        <w:trPr>
          <w:cantSplit/>
        </w:trPr>
        <w:tc>
          <w:tcPr>
            <w:tcW w:w="508" w:type="dxa"/>
          </w:tcPr>
          <w:p w:rsidR="005662E5" w:rsidRPr="005662E5" w:rsidRDefault="005662E5" w:rsidP="005662E5">
            <w:pPr>
              <w:rPr>
                <w:sz w:val="20"/>
                <w:szCs w:val="20"/>
              </w:rPr>
            </w:pPr>
            <w:r w:rsidRPr="005662E5">
              <w:rPr>
                <w:sz w:val="20"/>
                <w:szCs w:val="20"/>
              </w:rPr>
              <w:t>8.</w:t>
            </w:r>
          </w:p>
        </w:tc>
        <w:tc>
          <w:tcPr>
            <w:tcW w:w="810" w:type="dxa"/>
          </w:tcPr>
          <w:p w:rsidR="005662E5" w:rsidRPr="005662E5" w:rsidRDefault="005662E5" w:rsidP="005662E5">
            <w:pPr>
              <w:rPr>
                <w:sz w:val="20"/>
                <w:szCs w:val="20"/>
              </w:rPr>
            </w:pPr>
            <w:r w:rsidRPr="005662E5">
              <w:rPr>
                <w:sz w:val="20"/>
                <w:szCs w:val="20"/>
              </w:rPr>
              <w:t>38937</w:t>
            </w:r>
          </w:p>
        </w:tc>
        <w:tc>
          <w:tcPr>
            <w:tcW w:w="4048" w:type="dxa"/>
            <w:gridSpan w:val="2"/>
          </w:tcPr>
          <w:p w:rsidR="005662E5" w:rsidRPr="005662E5" w:rsidRDefault="005662E5" w:rsidP="005662E5">
            <w:pPr>
              <w:pStyle w:val="SCCAppellantInfoAppellantInfo"/>
              <w:rPr>
                <w:sz w:val="20"/>
                <w:szCs w:val="20"/>
              </w:rPr>
            </w:pPr>
            <w:r w:rsidRPr="005662E5">
              <w:rPr>
                <w:sz w:val="20"/>
                <w:szCs w:val="20"/>
              </w:rPr>
              <w:t>Harold Russell, et al.</w:t>
            </w:r>
          </w:p>
          <w:p w:rsidR="005662E5" w:rsidRPr="005662E5" w:rsidRDefault="005662E5" w:rsidP="005662E5">
            <w:pPr>
              <w:pStyle w:val="SCCAppellantInfoAppellantInfo"/>
              <w:rPr>
                <w:sz w:val="20"/>
                <w:szCs w:val="20"/>
              </w:rPr>
            </w:pPr>
            <w:r w:rsidRPr="005662E5">
              <w:rPr>
                <w:sz w:val="20"/>
                <w:szCs w:val="20"/>
              </w:rPr>
              <w:t>(N.B.) (Civil) (By Leave)</w:t>
            </w:r>
          </w:p>
        </w:tc>
        <w:tc>
          <w:tcPr>
            <w:tcW w:w="360" w:type="dxa"/>
            <w:gridSpan w:val="2"/>
          </w:tcPr>
          <w:p w:rsidR="005662E5" w:rsidRPr="005662E5" w:rsidRDefault="005662E5" w:rsidP="005662E5">
            <w:pPr>
              <w:rPr>
                <w:sz w:val="20"/>
                <w:szCs w:val="20"/>
              </w:rPr>
            </w:pPr>
            <w:r w:rsidRPr="005662E5">
              <w:rPr>
                <w:sz w:val="20"/>
                <w:szCs w:val="20"/>
              </w:rPr>
              <w:t>v.</w:t>
            </w:r>
          </w:p>
        </w:tc>
        <w:tc>
          <w:tcPr>
            <w:tcW w:w="3851" w:type="dxa"/>
            <w:gridSpan w:val="2"/>
          </w:tcPr>
          <w:p w:rsidR="005662E5" w:rsidRPr="005662E5" w:rsidRDefault="005662E5" w:rsidP="005662E5">
            <w:pPr>
              <w:pStyle w:val="SCCAppellantInfoAppellantInfo"/>
              <w:rPr>
                <w:sz w:val="20"/>
                <w:szCs w:val="20"/>
              </w:rPr>
            </w:pPr>
            <w:r w:rsidRPr="005662E5">
              <w:rPr>
                <w:sz w:val="20"/>
                <w:szCs w:val="20"/>
              </w:rPr>
              <w:t>Northumberland Co-operative Limited</w:t>
            </w:r>
          </w:p>
        </w:tc>
      </w:tr>
      <w:tr w:rsidR="005662E5" w:rsidTr="00F47208">
        <w:trPr>
          <w:cantSplit/>
        </w:trPr>
        <w:tc>
          <w:tcPr>
            <w:tcW w:w="508" w:type="dxa"/>
          </w:tcPr>
          <w:p w:rsidR="005662E5" w:rsidRPr="005662E5" w:rsidRDefault="005662E5" w:rsidP="005662E5">
            <w:pPr>
              <w:rPr>
                <w:sz w:val="20"/>
                <w:szCs w:val="20"/>
              </w:rPr>
            </w:pPr>
            <w:r w:rsidRPr="005662E5">
              <w:rPr>
                <w:sz w:val="20"/>
                <w:szCs w:val="20"/>
              </w:rPr>
              <w:t>9.</w:t>
            </w:r>
          </w:p>
        </w:tc>
        <w:tc>
          <w:tcPr>
            <w:tcW w:w="810" w:type="dxa"/>
          </w:tcPr>
          <w:p w:rsidR="005662E5" w:rsidRPr="005662E5" w:rsidRDefault="005662E5" w:rsidP="005662E5">
            <w:pPr>
              <w:rPr>
                <w:sz w:val="20"/>
                <w:szCs w:val="20"/>
              </w:rPr>
            </w:pPr>
            <w:r w:rsidRPr="005662E5">
              <w:rPr>
                <w:sz w:val="20"/>
                <w:szCs w:val="20"/>
              </w:rPr>
              <w:t>38906</w:t>
            </w:r>
          </w:p>
        </w:tc>
        <w:tc>
          <w:tcPr>
            <w:tcW w:w="4048" w:type="dxa"/>
            <w:gridSpan w:val="2"/>
          </w:tcPr>
          <w:p w:rsidR="005662E5" w:rsidRPr="005662E5" w:rsidRDefault="005662E5" w:rsidP="005662E5">
            <w:pPr>
              <w:pStyle w:val="SCCAppellantInfoAppellantInfo"/>
              <w:rPr>
                <w:sz w:val="20"/>
                <w:szCs w:val="20"/>
              </w:rPr>
            </w:pPr>
            <w:r w:rsidRPr="005662E5">
              <w:rPr>
                <w:sz w:val="20"/>
                <w:szCs w:val="20"/>
              </w:rPr>
              <w:t>L.A.N.</w:t>
            </w:r>
          </w:p>
          <w:p w:rsidR="005662E5" w:rsidRPr="005662E5" w:rsidRDefault="005662E5" w:rsidP="005662E5">
            <w:pPr>
              <w:pStyle w:val="SCCAppellantInfoAppellantInfo"/>
              <w:rPr>
                <w:sz w:val="20"/>
                <w:szCs w:val="20"/>
              </w:rPr>
            </w:pPr>
            <w:r w:rsidRPr="005662E5">
              <w:rPr>
                <w:sz w:val="20"/>
                <w:szCs w:val="20"/>
              </w:rPr>
              <w:t>(Man.) (Civil) (By Leave)</w:t>
            </w:r>
          </w:p>
        </w:tc>
        <w:tc>
          <w:tcPr>
            <w:tcW w:w="360" w:type="dxa"/>
            <w:gridSpan w:val="2"/>
          </w:tcPr>
          <w:p w:rsidR="005662E5" w:rsidRPr="005662E5" w:rsidRDefault="005662E5" w:rsidP="005662E5">
            <w:pPr>
              <w:rPr>
                <w:sz w:val="20"/>
                <w:szCs w:val="20"/>
              </w:rPr>
            </w:pPr>
            <w:r w:rsidRPr="005662E5">
              <w:rPr>
                <w:sz w:val="20"/>
                <w:szCs w:val="20"/>
              </w:rPr>
              <w:t>v.</w:t>
            </w:r>
          </w:p>
        </w:tc>
        <w:tc>
          <w:tcPr>
            <w:tcW w:w="3851" w:type="dxa"/>
            <w:gridSpan w:val="2"/>
          </w:tcPr>
          <w:p w:rsidR="005662E5" w:rsidRPr="005662E5" w:rsidRDefault="005662E5" w:rsidP="005662E5">
            <w:pPr>
              <w:pStyle w:val="SCCAppellantInfoAppellantInfo"/>
              <w:rPr>
                <w:sz w:val="20"/>
                <w:szCs w:val="20"/>
              </w:rPr>
            </w:pPr>
            <w:r w:rsidRPr="005662E5">
              <w:rPr>
                <w:sz w:val="20"/>
                <w:szCs w:val="20"/>
              </w:rPr>
              <w:t>Child and Family Services of Western Manitoba, et al.</w:t>
            </w:r>
          </w:p>
        </w:tc>
      </w:tr>
      <w:tr w:rsidR="00B37436" w:rsidRPr="00937854" w:rsidTr="00F47208">
        <w:trPr>
          <w:gridAfter w:val="1"/>
          <w:wAfter w:w="56" w:type="dxa"/>
          <w:cantSplit/>
        </w:trPr>
        <w:tc>
          <w:tcPr>
            <w:tcW w:w="9521" w:type="dxa"/>
            <w:gridSpan w:val="7"/>
          </w:tcPr>
          <w:p w:rsidR="00F47208" w:rsidRPr="00F47208" w:rsidRDefault="00F47208" w:rsidP="00F47208">
            <w:pPr>
              <w:widowControl w:val="0"/>
              <w:jc w:val="center"/>
              <w:rPr>
                <w:b/>
                <w:sz w:val="20"/>
                <w:szCs w:val="20"/>
              </w:rPr>
            </w:pPr>
          </w:p>
          <w:p w:rsidR="00B37436" w:rsidRPr="00F47208" w:rsidRDefault="00B37436" w:rsidP="00F47208">
            <w:pPr>
              <w:widowControl w:val="0"/>
              <w:jc w:val="center"/>
              <w:rPr>
                <w:b/>
                <w:sz w:val="20"/>
                <w:szCs w:val="20"/>
              </w:rPr>
            </w:pPr>
            <w:r w:rsidRPr="00F47208">
              <w:rPr>
                <w:b/>
                <w:sz w:val="20"/>
                <w:szCs w:val="20"/>
              </w:rPr>
              <w:t>CORAM: Moldaver, Côté and Martin JJ.</w:t>
            </w:r>
          </w:p>
          <w:p w:rsidR="00B37436" w:rsidRPr="00F47208" w:rsidRDefault="00B37436" w:rsidP="00F47208">
            <w:pPr>
              <w:widowControl w:val="0"/>
              <w:jc w:val="center"/>
              <w:rPr>
                <w:sz w:val="20"/>
                <w:szCs w:val="20"/>
                <w:lang w:val="fr-CA"/>
              </w:rPr>
            </w:pPr>
            <w:r w:rsidRPr="00F47208">
              <w:rPr>
                <w:b/>
                <w:sz w:val="20"/>
                <w:szCs w:val="20"/>
                <w:lang w:val="fr-CA"/>
              </w:rPr>
              <w:t>Les juges Moldaver, Côté et Martin</w:t>
            </w:r>
          </w:p>
        </w:tc>
      </w:tr>
      <w:tr w:rsidR="005662E5" w:rsidRPr="00B37436" w:rsidTr="00F47208">
        <w:trPr>
          <w:gridAfter w:val="1"/>
          <w:wAfter w:w="56" w:type="dxa"/>
          <w:cantSplit/>
        </w:trPr>
        <w:tc>
          <w:tcPr>
            <w:tcW w:w="508" w:type="dxa"/>
          </w:tcPr>
          <w:p w:rsidR="005662E5" w:rsidRPr="00937854" w:rsidRDefault="005662E5" w:rsidP="005662E5">
            <w:pPr>
              <w:rPr>
                <w:sz w:val="20"/>
                <w:szCs w:val="20"/>
                <w:lang w:val="fr-CA"/>
              </w:rPr>
            </w:pPr>
          </w:p>
        </w:tc>
        <w:tc>
          <w:tcPr>
            <w:tcW w:w="810" w:type="dxa"/>
          </w:tcPr>
          <w:p w:rsidR="005662E5" w:rsidRPr="00937854" w:rsidRDefault="005662E5" w:rsidP="005662E5">
            <w:pPr>
              <w:rPr>
                <w:sz w:val="20"/>
                <w:szCs w:val="20"/>
                <w:lang w:val="fr-CA"/>
              </w:rPr>
            </w:pPr>
          </w:p>
        </w:tc>
        <w:tc>
          <w:tcPr>
            <w:tcW w:w="4022" w:type="dxa"/>
          </w:tcPr>
          <w:p w:rsidR="005662E5" w:rsidRPr="005662E5" w:rsidRDefault="005662E5" w:rsidP="005662E5">
            <w:pPr>
              <w:pStyle w:val="SCCAppellantInfoTypeOfCase"/>
              <w:rPr>
                <w:sz w:val="20"/>
                <w:szCs w:val="20"/>
              </w:rPr>
            </w:pPr>
            <w:r w:rsidRPr="005662E5">
              <w:rPr>
                <w:sz w:val="20"/>
                <w:szCs w:val="20"/>
              </w:rPr>
              <w:t>Criminal / Criminelle</w:t>
            </w:r>
          </w:p>
        </w:tc>
        <w:tc>
          <w:tcPr>
            <w:tcW w:w="359" w:type="dxa"/>
            <w:gridSpan w:val="2"/>
          </w:tcPr>
          <w:p w:rsidR="005662E5" w:rsidRPr="005662E5" w:rsidRDefault="005662E5" w:rsidP="005662E5">
            <w:pPr>
              <w:rPr>
                <w:sz w:val="20"/>
                <w:szCs w:val="20"/>
              </w:rPr>
            </w:pPr>
          </w:p>
        </w:tc>
        <w:tc>
          <w:tcPr>
            <w:tcW w:w="3822" w:type="dxa"/>
            <w:gridSpan w:val="2"/>
          </w:tcPr>
          <w:p w:rsidR="005662E5" w:rsidRPr="005662E5" w:rsidRDefault="005662E5" w:rsidP="005662E5">
            <w:pPr>
              <w:rPr>
                <w:sz w:val="20"/>
                <w:szCs w:val="20"/>
              </w:rPr>
            </w:pPr>
          </w:p>
        </w:tc>
      </w:tr>
      <w:tr w:rsidR="005662E5" w:rsidRPr="00B37436" w:rsidTr="00F47208">
        <w:trPr>
          <w:gridAfter w:val="1"/>
          <w:wAfter w:w="56" w:type="dxa"/>
          <w:cantSplit/>
        </w:trPr>
        <w:tc>
          <w:tcPr>
            <w:tcW w:w="508" w:type="dxa"/>
          </w:tcPr>
          <w:p w:rsidR="005662E5" w:rsidRPr="005662E5" w:rsidRDefault="005662E5" w:rsidP="005662E5">
            <w:pPr>
              <w:rPr>
                <w:sz w:val="20"/>
                <w:szCs w:val="20"/>
              </w:rPr>
            </w:pPr>
            <w:r w:rsidRPr="005662E5">
              <w:rPr>
                <w:sz w:val="20"/>
                <w:szCs w:val="20"/>
              </w:rPr>
              <w:t>11.</w:t>
            </w:r>
          </w:p>
        </w:tc>
        <w:tc>
          <w:tcPr>
            <w:tcW w:w="810" w:type="dxa"/>
          </w:tcPr>
          <w:p w:rsidR="005662E5" w:rsidRPr="005662E5" w:rsidRDefault="005662E5" w:rsidP="005662E5">
            <w:pPr>
              <w:rPr>
                <w:sz w:val="20"/>
                <w:szCs w:val="20"/>
              </w:rPr>
            </w:pPr>
            <w:r w:rsidRPr="005662E5">
              <w:rPr>
                <w:sz w:val="20"/>
                <w:szCs w:val="20"/>
              </w:rPr>
              <w:t>38928</w:t>
            </w:r>
          </w:p>
        </w:tc>
        <w:tc>
          <w:tcPr>
            <w:tcW w:w="4022" w:type="dxa"/>
          </w:tcPr>
          <w:p w:rsidR="005662E5" w:rsidRPr="005662E5" w:rsidRDefault="005662E5" w:rsidP="005662E5">
            <w:pPr>
              <w:pStyle w:val="SCCAppellantInfoAppellantInfo"/>
              <w:rPr>
                <w:sz w:val="20"/>
                <w:szCs w:val="20"/>
              </w:rPr>
            </w:pPr>
            <w:r w:rsidRPr="005662E5">
              <w:rPr>
                <w:sz w:val="20"/>
                <w:szCs w:val="20"/>
              </w:rPr>
              <w:t>Varushan Premanathan</w:t>
            </w:r>
          </w:p>
          <w:p w:rsidR="005662E5" w:rsidRPr="005662E5" w:rsidRDefault="005662E5" w:rsidP="005662E5">
            <w:pPr>
              <w:pStyle w:val="SCCAppellantInfoAppellantInfo"/>
              <w:rPr>
                <w:sz w:val="20"/>
                <w:szCs w:val="20"/>
              </w:rPr>
            </w:pPr>
            <w:r w:rsidRPr="005662E5">
              <w:rPr>
                <w:sz w:val="20"/>
                <w:szCs w:val="20"/>
              </w:rPr>
              <w:t>(Ont.) (Criminal) (By Leave)</w:t>
            </w:r>
          </w:p>
        </w:tc>
        <w:tc>
          <w:tcPr>
            <w:tcW w:w="359" w:type="dxa"/>
            <w:gridSpan w:val="2"/>
          </w:tcPr>
          <w:p w:rsidR="005662E5" w:rsidRPr="005662E5" w:rsidRDefault="005662E5" w:rsidP="005662E5">
            <w:pPr>
              <w:rPr>
                <w:sz w:val="20"/>
                <w:szCs w:val="20"/>
              </w:rPr>
            </w:pPr>
            <w:r w:rsidRPr="005662E5">
              <w:rPr>
                <w:sz w:val="20"/>
                <w:szCs w:val="20"/>
              </w:rPr>
              <w:t>v.</w:t>
            </w:r>
          </w:p>
        </w:tc>
        <w:tc>
          <w:tcPr>
            <w:tcW w:w="3822" w:type="dxa"/>
            <w:gridSpan w:val="2"/>
          </w:tcPr>
          <w:p w:rsidR="005662E5" w:rsidRPr="005662E5" w:rsidRDefault="005662E5" w:rsidP="005662E5">
            <w:pPr>
              <w:pStyle w:val="SCCAppellantInfoAppellantInfo"/>
              <w:rPr>
                <w:sz w:val="20"/>
                <w:szCs w:val="20"/>
              </w:rPr>
            </w:pPr>
            <w:r w:rsidRPr="005662E5">
              <w:rPr>
                <w:sz w:val="20"/>
                <w:szCs w:val="20"/>
              </w:rPr>
              <w:t>Her Majesty the Queen</w:t>
            </w:r>
          </w:p>
        </w:tc>
      </w:tr>
      <w:tr w:rsidR="005662E5" w:rsidRPr="00B37436" w:rsidTr="00F47208">
        <w:trPr>
          <w:gridAfter w:val="1"/>
          <w:wAfter w:w="56" w:type="dxa"/>
          <w:cantSplit/>
        </w:trPr>
        <w:tc>
          <w:tcPr>
            <w:tcW w:w="508" w:type="dxa"/>
          </w:tcPr>
          <w:p w:rsidR="005662E5" w:rsidRPr="005662E5" w:rsidRDefault="005662E5" w:rsidP="005662E5">
            <w:pPr>
              <w:rPr>
                <w:sz w:val="20"/>
                <w:szCs w:val="20"/>
              </w:rPr>
            </w:pPr>
            <w:r w:rsidRPr="005662E5">
              <w:rPr>
                <w:sz w:val="20"/>
                <w:szCs w:val="20"/>
              </w:rPr>
              <w:t>12.</w:t>
            </w:r>
          </w:p>
        </w:tc>
        <w:tc>
          <w:tcPr>
            <w:tcW w:w="810" w:type="dxa"/>
          </w:tcPr>
          <w:p w:rsidR="005662E5" w:rsidRPr="005662E5" w:rsidRDefault="005662E5" w:rsidP="005662E5">
            <w:pPr>
              <w:rPr>
                <w:sz w:val="20"/>
                <w:szCs w:val="20"/>
              </w:rPr>
            </w:pPr>
            <w:r w:rsidRPr="005662E5">
              <w:rPr>
                <w:sz w:val="20"/>
                <w:szCs w:val="20"/>
              </w:rPr>
              <w:t>38954</w:t>
            </w:r>
          </w:p>
        </w:tc>
        <w:tc>
          <w:tcPr>
            <w:tcW w:w="4022" w:type="dxa"/>
          </w:tcPr>
          <w:p w:rsidR="005662E5" w:rsidRPr="005662E5" w:rsidRDefault="005662E5" w:rsidP="005662E5">
            <w:pPr>
              <w:pStyle w:val="SCCAppellantInfoAppellantInfo"/>
              <w:rPr>
                <w:sz w:val="20"/>
                <w:szCs w:val="20"/>
              </w:rPr>
            </w:pPr>
            <w:r w:rsidRPr="005662E5">
              <w:rPr>
                <w:sz w:val="20"/>
                <w:szCs w:val="20"/>
              </w:rPr>
              <w:t>Her Majesty the Queen</w:t>
            </w:r>
          </w:p>
          <w:p w:rsidR="005662E5" w:rsidRPr="005662E5" w:rsidRDefault="005662E5" w:rsidP="005662E5">
            <w:pPr>
              <w:pStyle w:val="SCCAppellantInfoAppellantInfo"/>
              <w:rPr>
                <w:sz w:val="20"/>
                <w:szCs w:val="20"/>
              </w:rPr>
            </w:pPr>
            <w:r w:rsidRPr="005662E5">
              <w:rPr>
                <w:sz w:val="20"/>
                <w:szCs w:val="20"/>
              </w:rPr>
              <w:t>(Ont.) (Criminal) (By Leave)</w:t>
            </w:r>
          </w:p>
        </w:tc>
        <w:tc>
          <w:tcPr>
            <w:tcW w:w="359" w:type="dxa"/>
            <w:gridSpan w:val="2"/>
          </w:tcPr>
          <w:p w:rsidR="005662E5" w:rsidRPr="005662E5" w:rsidRDefault="005662E5" w:rsidP="005662E5">
            <w:pPr>
              <w:rPr>
                <w:sz w:val="20"/>
                <w:szCs w:val="20"/>
              </w:rPr>
            </w:pPr>
            <w:r w:rsidRPr="005662E5">
              <w:rPr>
                <w:sz w:val="20"/>
                <w:szCs w:val="20"/>
              </w:rPr>
              <w:t>v.</w:t>
            </w:r>
          </w:p>
        </w:tc>
        <w:tc>
          <w:tcPr>
            <w:tcW w:w="3822" w:type="dxa"/>
            <w:gridSpan w:val="2"/>
          </w:tcPr>
          <w:p w:rsidR="005662E5" w:rsidRPr="005662E5" w:rsidRDefault="005662E5" w:rsidP="005662E5">
            <w:pPr>
              <w:pStyle w:val="SCCAppellantInfoAppellantInfo"/>
              <w:rPr>
                <w:sz w:val="20"/>
                <w:szCs w:val="20"/>
              </w:rPr>
            </w:pPr>
            <w:r w:rsidRPr="005662E5">
              <w:rPr>
                <w:sz w:val="20"/>
                <w:szCs w:val="20"/>
              </w:rPr>
              <w:t>Nicholas Walker</w:t>
            </w:r>
          </w:p>
        </w:tc>
      </w:tr>
      <w:tr w:rsidR="005662E5" w:rsidRPr="00B37436" w:rsidTr="00F47208">
        <w:trPr>
          <w:gridAfter w:val="1"/>
          <w:wAfter w:w="56" w:type="dxa"/>
          <w:cantSplit/>
        </w:trPr>
        <w:tc>
          <w:tcPr>
            <w:tcW w:w="508" w:type="dxa"/>
          </w:tcPr>
          <w:p w:rsidR="005662E5" w:rsidRPr="005662E5" w:rsidRDefault="005662E5" w:rsidP="005662E5">
            <w:pPr>
              <w:rPr>
                <w:sz w:val="20"/>
                <w:szCs w:val="20"/>
              </w:rPr>
            </w:pPr>
          </w:p>
        </w:tc>
        <w:tc>
          <w:tcPr>
            <w:tcW w:w="810" w:type="dxa"/>
          </w:tcPr>
          <w:p w:rsidR="005662E5" w:rsidRPr="005662E5" w:rsidRDefault="005662E5" w:rsidP="005662E5">
            <w:pPr>
              <w:rPr>
                <w:sz w:val="20"/>
                <w:szCs w:val="20"/>
              </w:rPr>
            </w:pPr>
          </w:p>
        </w:tc>
        <w:tc>
          <w:tcPr>
            <w:tcW w:w="4022" w:type="dxa"/>
          </w:tcPr>
          <w:p w:rsidR="005662E5" w:rsidRPr="005662E5" w:rsidRDefault="005662E5" w:rsidP="005662E5">
            <w:pPr>
              <w:pStyle w:val="SCCAppellantInfoTypeOfCase"/>
              <w:rPr>
                <w:sz w:val="20"/>
                <w:szCs w:val="20"/>
              </w:rPr>
            </w:pPr>
            <w:r w:rsidRPr="005662E5">
              <w:rPr>
                <w:sz w:val="20"/>
                <w:szCs w:val="20"/>
              </w:rPr>
              <w:t>Civil / Civile</w:t>
            </w:r>
          </w:p>
        </w:tc>
        <w:tc>
          <w:tcPr>
            <w:tcW w:w="359" w:type="dxa"/>
            <w:gridSpan w:val="2"/>
          </w:tcPr>
          <w:p w:rsidR="005662E5" w:rsidRPr="005662E5" w:rsidRDefault="005662E5" w:rsidP="005662E5">
            <w:pPr>
              <w:rPr>
                <w:sz w:val="20"/>
                <w:szCs w:val="20"/>
              </w:rPr>
            </w:pPr>
          </w:p>
        </w:tc>
        <w:tc>
          <w:tcPr>
            <w:tcW w:w="3822" w:type="dxa"/>
            <w:gridSpan w:val="2"/>
          </w:tcPr>
          <w:p w:rsidR="005662E5" w:rsidRPr="005662E5" w:rsidRDefault="005662E5" w:rsidP="005662E5">
            <w:pPr>
              <w:rPr>
                <w:sz w:val="20"/>
                <w:szCs w:val="20"/>
              </w:rPr>
            </w:pPr>
          </w:p>
        </w:tc>
      </w:tr>
      <w:tr w:rsidR="005662E5" w:rsidRPr="00B37436" w:rsidTr="00F47208">
        <w:trPr>
          <w:gridAfter w:val="1"/>
          <w:wAfter w:w="56" w:type="dxa"/>
          <w:cantSplit/>
        </w:trPr>
        <w:tc>
          <w:tcPr>
            <w:tcW w:w="508" w:type="dxa"/>
          </w:tcPr>
          <w:p w:rsidR="005662E5" w:rsidRPr="005662E5" w:rsidRDefault="005662E5" w:rsidP="005662E5">
            <w:pPr>
              <w:rPr>
                <w:sz w:val="20"/>
                <w:szCs w:val="20"/>
              </w:rPr>
            </w:pPr>
            <w:r w:rsidRPr="005662E5">
              <w:rPr>
                <w:sz w:val="20"/>
                <w:szCs w:val="20"/>
              </w:rPr>
              <w:t>13.</w:t>
            </w:r>
          </w:p>
        </w:tc>
        <w:tc>
          <w:tcPr>
            <w:tcW w:w="810" w:type="dxa"/>
          </w:tcPr>
          <w:p w:rsidR="005662E5" w:rsidRPr="005662E5" w:rsidRDefault="005662E5" w:rsidP="005662E5">
            <w:pPr>
              <w:rPr>
                <w:sz w:val="20"/>
                <w:szCs w:val="20"/>
              </w:rPr>
            </w:pPr>
            <w:r w:rsidRPr="005662E5">
              <w:rPr>
                <w:sz w:val="20"/>
                <w:szCs w:val="20"/>
              </w:rPr>
              <w:t>38923</w:t>
            </w:r>
          </w:p>
        </w:tc>
        <w:tc>
          <w:tcPr>
            <w:tcW w:w="4022" w:type="dxa"/>
          </w:tcPr>
          <w:p w:rsidR="005662E5" w:rsidRPr="005662E5" w:rsidRDefault="005662E5" w:rsidP="005662E5">
            <w:pPr>
              <w:pStyle w:val="SCCAppellantInfoAppellantInfo"/>
              <w:rPr>
                <w:sz w:val="20"/>
                <w:szCs w:val="20"/>
              </w:rPr>
            </w:pPr>
            <w:r w:rsidRPr="005662E5">
              <w:rPr>
                <w:sz w:val="20"/>
                <w:szCs w:val="20"/>
              </w:rPr>
              <w:t>North Bank Potato Farms Ltd, et al.</w:t>
            </w:r>
          </w:p>
          <w:p w:rsidR="005662E5" w:rsidRPr="005662E5" w:rsidRDefault="005662E5" w:rsidP="005662E5">
            <w:pPr>
              <w:pStyle w:val="SCCAppellantInfoAppellantInfo"/>
              <w:rPr>
                <w:sz w:val="20"/>
                <w:szCs w:val="20"/>
              </w:rPr>
            </w:pPr>
            <w:r w:rsidRPr="005662E5">
              <w:rPr>
                <w:sz w:val="20"/>
                <w:szCs w:val="20"/>
              </w:rPr>
              <w:t>(Alta.) (Civil) (By Leave)</w:t>
            </w:r>
          </w:p>
        </w:tc>
        <w:tc>
          <w:tcPr>
            <w:tcW w:w="359" w:type="dxa"/>
            <w:gridSpan w:val="2"/>
          </w:tcPr>
          <w:p w:rsidR="005662E5" w:rsidRPr="005662E5" w:rsidRDefault="005662E5" w:rsidP="005662E5">
            <w:pPr>
              <w:rPr>
                <w:sz w:val="20"/>
                <w:szCs w:val="20"/>
              </w:rPr>
            </w:pPr>
            <w:r w:rsidRPr="005662E5">
              <w:rPr>
                <w:sz w:val="20"/>
                <w:szCs w:val="20"/>
              </w:rPr>
              <w:t>v.</w:t>
            </w:r>
          </w:p>
        </w:tc>
        <w:tc>
          <w:tcPr>
            <w:tcW w:w="3822" w:type="dxa"/>
            <w:gridSpan w:val="2"/>
          </w:tcPr>
          <w:p w:rsidR="005662E5" w:rsidRPr="005662E5" w:rsidRDefault="005662E5" w:rsidP="005662E5">
            <w:pPr>
              <w:pStyle w:val="SCCAppellantInfoAppellantInfo"/>
              <w:rPr>
                <w:sz w:val="20"/>
                <w:szCs w:val="20"/>
              </w:rPr>
            </w:pPr>
            <w:r w:rsidRPr="005662E5">
              <w:rPr>
                <w:sz w:val="20"/>
                <w:szCs w:val="20"/>
              </w:rPr>
              <w:t>The Canadian Food Inspection Agency, et al.</w:t>
            </w:r>
          </w:p>
        </w:tc>
      </w:tr>
      <w:tr w:rsidR="005662E5" w:rsidRPr="008F2EA4" w:rsidTr="00F47208">
        <w:trPr>
          <w:gridAfter w:val="1"/>
          <w:wAfter w:w="56" w:type="dxa"/>
          <w:cantSplit/>
        </w:trPr>
        <w:tc>
          <w:tcPr>
            <w:tcW w:w="508" w:type="dxa"/>
          </w:tcPr>
          <w:p w:rsidR="005662E5" w:rsidRPr="005662E5" w:rsidRDefault="005662E5" w:rsidP="005662E5">
            <w:pPr>
              <w:rPr>
                <w:sz w:val="20"/>
                <w:szCs w:val="20"/>
              </w:rPr>
            </w:pPr>
            <w:r w:rsidRPr="005662E5">
              <w:rPr>
                <w:sz w:val="20"/>
                <w:szCs w:val="20"/>
              </w:rPr>
              <w:t>14.</w:t>
            </w:r>
          </w:p>
        </w:tc>
        <w:tc>
          <w:tcPr>
            <w:tcW w:w="810" w:type="dxa"/>
          </w:tcPr>
          <w:p w:rsidR="005662E5" w:rsidRPr="005662E5" w:rsidRDefault="005662E5" w:rsidP="005662E5">
            <w:pPr>
              <w:rPr>
                <w:sz w:val="20"/>
                <w:szCs w:val="20"/>
              </w:rPr>
            </w:pPr>
            <w:r w:rsidRPr="005662E5">
              <w:rPr>
                <w:sz w:val="20"/>
                <w:szCs w:val="20"/>
              </w:rPr>
              <w:t>38881</w:t>
            </w:r>
          </w:p>
        </w:tc>
        <w:tc>
          <w:tcPr>
            <w:tcW w:w="4022" w:type="dxa"/>
          </w:tcPr>
          <w:p w:rsidR="005662E5" w:rsidRPr="005662E5" w:rsidRDefault="005662E5" w:rsidP="005662E5">
            <w:pPr>
              <w:pStyle w:val="SCCAppellantInfoAppellantInfo"/>
              <w:rPr>
                <w:sz w:val="20"/>
                <w:szCs w:val="20"/>
              </w:rPr>
            </w:pPr>
            <w:r w:rsidRPr="005662E5">
              <w:rPr>
                <w:sz w:val="20"/>
                <w:szCs w:val="20"/>
              </w:rPr>
              <w:t>Diorite Securities Limited, as Trustee of The Fern Trust</w:t>
            </w:r>
          </w:p>
          <w:p w:rsidR="005662E5" w:rsidRPr="005662E5" w:rsidRDefault="005662E5" w:rsidP="005662E5">
            <w:pPr>
              <w:pStyle w:val="SCCAppellantInfoAppellantInfo"/>
              <w:rPr>
                <w:sz w:val="20"/>
                <w:szCs w:val="20"/>
              </w:rPr>
            </w:pPr>
            <w:r w:rsidRPr="005662E5">
              <w:rPr>
                <w:sz w:val="20"/>
                <w:szCs w:val="20"/>
              </w:rPr>
              <w:t>(Ont.) (Civil) (By Leave)</w:t>
            </w:r>
          </w:p>
        </w:tc>
        <w:tc>
          <w:tcPr>
            <w:tcW w:w="359" w:type="dxa"/>
            <w:gridSpan w:val="2"/>
          </w:tcPr>
          <w:p w:rsidR="005662E5" w:rsidRPr="005662E5" w:rsidRDefault="005662E5" w:rsidP="005662E5">
            <w:pPr>
              <w:rPr>
                <w:sz w:val="20"/>
                <w:szCs w:val="20"/>
              </w:rPr>
            </w:pPr>
            <w:r w:rsidRPr="005662E5">
              <w:rPr>
                <w:sz w:val="20"/>
                <w:szCs w:val="20"/>
              </w:rPr>
              <w:t>v.</w:t>
            </w:r>
          </w:p>
        </w:tc>
        <w:tc>
          <w:tcPr>
            <w:tcW w:w="3822" w:type="dxa"/>
            <w:gridSpan w:val="2"/>
          </w:tcPr>
          <w:p w:rsidR="005662E5" w:rsidRPr="005662E5" w:rsidRDefault="005662E5" w:rsidP="005662E5">
            <w:pPr>
              <w:pStyle w:val="SCCAppellantInfoAppellantInfo"/>
              <w:rPr>
                <w:sz w:val="20"/>
                <w:szCs w:val="20"/>
              </w:rPr>
            </w:pPr>
            <w:r w:rsidRPr="005662E5">
              <w:rPr>
                <w:sz w:val="20"/>
                <w:szCs w:val="20"/>
              </w:rPr>
              <w:t>Trevali Mining (New Brunswick) Ltd.</w:t>
            </w:r>
          </w:p>
        </w:tc>
      </w:tr>
      <w:tr w:rsidR="005662E5" w:rsidRPr="008F2EA4" w:rsidTr="00F47208">
        <w:trPr>
          <w:gridAfter w:val="1"/>
          <w:wAfter w:w="56" w:type="dxa"/>
          <w:cantSplit/>
        </w:trPr>
        <w:tc>
          <w:tcPr>
            <w:tcW w:w="508" w:type="dxa"/>
          </w:tcPr>
          <w:p w:rsidR="005662E5" w:rsidRPr="005662E5" w:rsidRDefault="005662E5" w:rsidP="005662E5">
            <w:pPr>
              <w:rPr>
                <w:sz w:val="20"/>
                <w:szCs w:val="20"/>
              </w:rPr>
            </w:pPr>
            <w:r w:rsidRPr="005662E5">
              <w:rPr>
                <w:sz w:val="20"/>
                <w:szCs w:val="20"/>
              </w:rPr>
              <w:lastRenderedPageBreak/>
              <w:t>15.</w:t>
            </w:r>
          </w:p>
        </w:tc>
        <w:tc>
          <w:tcPr>
            <w:tcW w:w="810" w:type="dxa"/>
          </w:tcPr>
          <w:p w:rsidR="005662E5" w:rsidRPr="005662E5" w:rsidRDefault="005662E5" w:rsidP="005662E5">
            <w:pPr>
              <w:rPr>
                <w:sz w:val="20"/>
                <w:szCs w:val="20"/>
              </w:rPr>
            </w:pPr>
            <w:r w:rsidRPr="005662E5">
              <w:rPr>
                <w:sz w:val="20"/>
                <w:szCs w:val="20"/>
              </w:rPr>
              <w:t>38915</w:t>
            </w:r>
          </w:p>
        </w:tc>
        <w:tc>
          <w:tcPr>
            <w:tcW w:w="4022" w:type="dxa"/>
          </w:tcPr>
          <w:p w:rsidR="005662E5" w:rsidRPr="005662E5" w:rsidRDefault="005662E5" w:rsidP="005662E5">
            <w:pPr>
              <w:pStyle w:val="SCCAppellantInfoAppellantInfo"/>
              <w:rPr>
                <w:sz w:val="20"/>
                <w:szCs w:val="20"/>
                <w:lang w:val="fr-CA"/>
              </w:rPr>
            </w:pPr>
            <w:r w:rsidRPr="005662E5">
              <w:rPr>
                <w:sz w:val="20"/>
                <w:szCs w:val="20"/>
                <w:lang w:val="fr-CA"/>
              </w:rPr>
              <w:t>Syngenta Canada Inc., et al.</w:t>
            </w:r>
          </w:p>
          <w:p w:rsidR="005662E5" w:rsidRPr="005662E5" w:rsidRDefault="005662E5" w:rsidP="005662E5">
            <w:pPr>
              <w:pStyle w:val="SCCAppellantInfoAppellantInfo"/>
              <w:rPr>
                <w:sz w:val="20"/>
                <w:szCs w:val="20"/>
              </w:rPr>
            </w:pPr>
            <w:r w:rsidRPr="005662E5">
              <w:rPr>
                <w:sz w:val="20"/>
                <w:szCs w:val="20"/>
              </w:rPr>
              <w:t>(Ont.) (Civil) (By Leave)</w:t>
            </w:r>
          </w:p>
        </w:tc>
        <w:tc>
          <w:tcPr>
            <w:tcW w:w="359" w:type="dxa"/>
            <w:gridSpan w:val="2"/>
          </w:tcPr>
          <w:p w:rsidR="005662E5" w:rsidRPr="005662E5" w:rsidRDefault="005662E5" w:rsidP="005662E5">
            <w:pPr>
              <w:rPr>
                <w:sz w:val="20"/>
                <w:szCs w:val="20"/>
              </w:rPr>
            </w:pPr>
            <w:r w:rsidRPr="005662E5">
              <w:rPr>
                <w:sz w:val="20"/>
                <w:szCs w:val="20"/>
              </w:rPr>
              <w:t>v.</w:t>
            </w:r>
          </w:p>
        </w:tc>
        <w:tc>
          <w:tcPr>
            <w:tcW w:w="3822" w:type="dxa"/>
            <w:gridSpan w:val="2"/>
          </w:tcPr>
          <w:p w:rsidR="005662E5" w:rsidRPr="005662E5" w:rsidRDefault="005662E5" w:rsidP="005662E5">
            <w:pPr>
              <w:pStyle w:val="SCCAppellantInfoAppellantInfo"/>
              <w:rPr>
                <w:sz w:val="20"/>
                <w:szCs w:val="20"/>
              </w:rPr>
            </w:pPr>
            <w:r w:rsidRPr="005662E5">
              <w:rPr>
                <w:sz w:val="20"/>
                <w:szCs w:val="20"/>
              </w:rPr>
              <w:t>Darmar Farms Inc.</w:t>
            </w:r>
          </w:p>
        </w:tc>
      </w:tr>
    </w:tbl>
    <w:p w:rsidR="00F138C1" w:rsidRPr="00CB3520" w:rsidRDefault="00F47208" w:rsidP="00F47208">
      <w:pPr>
        <w:widowControl w:val="0"/>
        <w:tabs>
          <w:tab w:val="left" w:pos="5427"/>
        </w:tabs>
        <w:rPr>
          <w:sz w:val="20"/>
          <w:szCs w:val="20"/>
        </w:rPr>
      </w:pPr>
      <w:r>
        <w:rPr>
          <w:sz w:val="20"/>
          <w:szCs w:val="20"/>
        </w:rPr>
        <w:tab/>
      </w:r>
    </w:p>
    <w:p w:rsidR="00F138C1" w:rsidRDefault="00937854" w:rsidP="00F138C1">
      <w:pPr>
        <w:widowControl w:val="0"/>
        <w:rPr>
          <w:sz w:val="20"/>
          <w:szCs w:val="20"/>
        </w:rPr>
      </w:pPr>
      <w:r>
        <w:rPr>
          <w:sz w:val="20"/>
          <w:szCs w:val="20"/>
        </w:rPr>
        <w:pict>
          <v:rect id="_x0000_i1033" style="width:2in;height:1pt" o:hrpct="0" o:hralign="center" o:hrstd="t" o:hrnoshade="t" o:hr="t" fillcolor="black [3213]" stroked="f"/>
        </w:pict>
      </w:r>
    </w:p>
    <w:p w:rsidR="005967EF" w:rsidRPr="00C50A5C" w:rsidRDefault="005967EF"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693C38" w:rsidRPr="001D0D5F" w:rsidRDefault="00DD0BDC" w:rsidP="00567602">
      <w:pPr>
        <w:pStyle w:val="Header1StyleE"/>
        <w:pBdr>
          <w:bottom w:val="single" w:sz="12" w:space="1" w:color="auto"/>
        </w:pBdr>
        <w:rPr>
          <w:lang w:val="fr-CA"/>
        </w:rPr>
      </w:pPr>
      <w:bookmarkStart w:id="3" w:name="QuickMark_1"/>
      <w:bookmarkStart w:id="4" w:name="_Toc31877306"/>
      <w:bookmarkEnd w:id="3"/>
      <w:r w:rsidRPr="00693C38">
        <w:rPr>
          <w:lang w:val="fr-CA"/>
        </w:rPr>
        <w:lastRenderedPageBreak/>
        <w:t>Judgments on applications</w:t>
      </w:r>
      <w:r w:rsidR="000C1D9D">
        <w:rPr>
          <w:lang w:val="fr-CA"/>
        </w:rPr>
        <w:t xml:space="preserve"> </w:t>
      </w:r>
      <w:r w:rsidRPr="00693C38">
        <w:rPr>
          <w:lang w:val="fr-CA"/>
        </w:rPr>
        <w:t>for leave</w:t>
      </w:r>
      <w:r w:rsidR="00693C38" w:rsidRPr="00693C38">
        <w:rPr>
          <w:noProof/>
          <w:sz w:val="20"/>
          <w:lang w:val="fr-CA"/>
        </w:rPr>
        <w:t xml:space="preserve"> </w:t>
      </w:r>
      <w:r w:rsidR="00271E1E">
        <w:rPr>
          <w:noProof/>
          <w:sz w:val="20"/>
          <w:lang w:val="fr-CA"/>
        </w:rPr>
        <w:t xml:space="preserve">/ </w:t>
      </w:r>
      <w:r w:rsidR="00693C38" w:rsidRPr="00693C38">
        <w:rPr>
          <w:noProof/>
          <w:sz w:val="20"/>
          <w:lang w:val="fr-CA"/>
        </w:rPr>
        <w:br/>
      </w:r>
      <w:r>
        <w:rPr>
          <w:lang w:val="fr-CA"/>
        </w:rPr>
        <w:t>J</w:t>
      </w:r>
      <w:r w:rsidRPr="001D0D5F">
        <w:rPr>
          <w:lang w:val="fr-CA"/>
        </w:rPr>
        <w:t>ugements rendus sur les demandes d’autorisation</w:t>
      </w:r>
      <w:bookmarkEnd w:id="4"/>
    </w:p>
    <w:p w:rsidR="00FB1DB6" w:rsidRPr="00C50A5C" w:rsidRDefault="00FB1DB6" w:rsidP="00693C38">
      <w:pPr>
        <w:rPr>
          <w:sz w:val="20"/>
          <w:szCs w:val="20"/>
          <w:lang w:val="fr-CA"/>
        </w:rPr>
      </w:pPr>
    </w:p>
    <w:p w:rsidR="00F16063" w:rsidRPr="00C50A5C" w:rsidRDefault="00253E40" w:rsidP="00F16063">
      <w:pPr>
        <w:rPr>
          <w:b/>
          <w:sz w:val="20"/>
          <w:szCs w:val="20"/>
        </w:rPr>
      </w:pPr>
      <w:r>
        <w:rPr>
          <w:b/>
          <w:sz w:val="20"/>
          <w:szCs w:val="20"/>
        </w:rPr>
        <w:t>FEBRUARY</w:t>
      </w:r>
      <w:r w:rsidR="00F16063" w:rsidRPr="00C50A5C">
        <w:rPr>
          <w:b/>
          <w:sz w:val="20"/>
          <w:szCs w:val="20"/>
        </w:rPr>
        <w:t xml:space="preserve"> </w:t>
      </w:r>
      <w:r>
        <w:rPr>
          <w:b/>
          <w:sz w:val="20"/>
          <w:szCs w:val="20"/>
        </w:rPr>
        <w:t>6</w:t>
      </w:r>
      <w:r w:rsidR="00F16063" w:rsidRPr="00C50A5C">
        <w:rPr>
          <w:b/>
          <w:sz w:val="20"/>
          <w:szCs w:val="20"/>
        </w:rPr>
        <w:t xml:space="preserve">, </w:t>
      </w:r>
      <w:r w:rsidR="0034657E">
        <w:rPr>
          <w:b/>
          <w:sz w:val="20"/>
          <w:szCs w:val="20"/>
        </w:rPr>
        <w:t>20</w:t>
      </w:r>
      <w:r w:rsidR="005967EF">
        <w:rPr>
          <w:b/>
          <w:sz w:val="20"/>
          <w:szCs w:val="20"/>
        </w:rPr>
        <w:t>20</w:t>
      </w:r>
      <w:r w:rsidR="00F16063" w:rsidRPr="00C50A5C">
        <w:rPr>
          <w:b/>
          <w:sz w:val="20"/>
          <w:szCs w:val="20"/>
        </w:rPr>
        <w:t xml:space="preserve"> / LE </w:t>
      </w:r>
      <w:r>
        <w:rPr>
          <w:b/>
          <w:sz w:val="20"/>
          <w:szCs w:val="20"/>
        </w:rPr>
        <w:t>6</w:t>
      </w:r>
      <w:r w:rsidR="00F16063" w:rsidRPr="00C50A5C">
        <w:rPr>
          <w:b/>
          <w:sz w:val="20"/>
          <w:szCs w:val="20"/>
        </w:rPr>
        <w:t xml:space="preserve"> </w:t>
      </w:r>
      <w:r>
        <w:rPr>
          <w:b/>
          <w:sz w:val="20"/>
          <w:szCs w:val="20"/>
        </w:rPr>
        <w:t>FÉVRIER</w:t>
      </w:r>
      <w:r w:rsidR="00F16063" w:rsidRPr="00C50A5C">
        <w:rPr>
          <w:b/>
          <w:sz w:val="20"/>
          <w:szCs w:val="20"/>
        </w:rPr>
        <w:t xml:space="preserve"> </w:t>
      </w:r>
      <w:r w:rsidR="0034657E">
        <w:rPr>
          <w:b/>
          <w:sz w:val="20"/>
          <w:szCs w:val="20"/>
        </w:rPr>
        <w:t>20</w:t>
      </w:r>
      <w:r w:rsidR="005967EF">
        <w:rPr>
          <w:b/>
          <w:sz w:val="20"/>
          <w:szCs w:val="20"/>
        </w:rPr>
        <w:t>20</w:t>
      </w:r>
    </w:p>
    <w:tbl>
      <w:tblPr>
        <w:tblW w:w="4952" w:type="pct"/>
        <w:tblLayout w:type="fixed"/>
        <w:tblCellMar>
          <w:left w:w="0" w:type="dxa"/>
          <w:bottom w:w="99" w:type="dxa"/>
          <w:right w:w="0" w:type="dxa"/>
        </w:tblCellMar>
        <w:tblLook w:val="04A0" w:firstRow="1" w:lastRow="0" w:firstColumn="1" w:lastColumn="0" w:noHBand="0" w:noVBand="1"/>
      </w:tblPr>
      <w:tblGrid>
        <w:gridCol w:w="1004"/>
        <w:gridCol w:w="30"/>
        <w:gridCol w:w="3464"/>
        <w:gridCol w:w="452"/>
        <w:gridCol w:w="4320"/>
        <w:gridCol w:w="257"/>
      </w:tblGrid>
      <w:tr w:rsidR="00D43E53" w:rsidRPr="00433037" w:rsidTr="00F47208">
        <w:tc>
          <w:tcPr>
            <w:tcW w:w="543" w:type="pct"/>
            <w:gridSpan w:val="2"/>
          </w:tcPr>
          <w:p w:rsidR="00D43E53" w:rsidRPr="00433037" w:rsidRDefault="00D43E53" w:rsidP="00F47208">
            <w:pPr>
              <w:jc w:val="both"/>
              <w:rPr>
                <w:sz w:val="20"/>
                <w:highlight w:val="yellow"/>
              </w:rPr>
            </w:pPr>
          </w:p>
        </w:tc>
        <w:tc>
          <w:tcPr>
            <w:tcW w:w="4457" w:type="pct"/>
            <w:gridSpan w:val="4"/>
          </w:tcPr>
          <w:p w:rsidR="00D43E53" w:rsidRPr="00433037" w:rsidRDefault="00D43E53" w:rsidP="00F47208">
            <w:pPr>
              <w:jc w:val="both"/>
              <w:rPr>
                <w:sz w:val="20"/>
                <w:highlight w:val="yellow"/>
              </w:rPr>
            </w:pPr>
          </w:p>
        </w:tc>
      </w:tr>
      <w:tr w:rsidR="00726F45" w:rsidRPr="00726F45" w:rsidTr="001C76A4">
        <w:trPr>
          <w:gridAfter w:val="1"/>
          <w:wAfter w:w="135" w:type="pct"/>
        </w:trPr>
        <w:tc>
          <w:tcPr>
            <w:tcW w:w="527" w:type="pct"/>
          </w:tcPr>
          <w:p w:rsidR="00726F45" w:rsidRPr="00726F45" w:rsidRDefault="00726F45" w:rsidP="00726F45">
            <w:pPr>
              <w:rPr>
                <w:sz w:val="20"/>
                <w:szCs w:val="20"/>
                <w:lang w:val="en-US"/>
              </w:rPr>
            </w:pPr>
            <w:r w:rsidRPr="00726F45">
              <w:rPr>
                <w:b/>
                <w:sz w:val="20"/>
                <w:szCs w:val="20"/>
              </w:rPr>
              <w:t>38818</w:t>
            </w:r>
          </w:p>
        </w:tc>
        <w:tc>
          <w:tcPr>
            <w:tcW w:w="4338" w:type="pct"/>
            <w:gridSpan w:val="4"/>
          </w:tcPr>
          <w:p w:rsidR="00726F45" w:rsidRPr="00726F45" w:rsidRDefault="00726F45" w:rsidP="00726F45">
            <w:pPr>
              <w:rPr>
                <w:b/>
                <w:sz w:val="20"/>
                <w:szCs w:val="20"/>
                <w:lang w:val="en-US"/>
              </w:rPr>
            </w:pPr>
            <w:r w:rsidRPr="00726F45">
              <w:rPr>
                <w:b/>
                <w:sz w:val="20"/>
                <w:szCs w:val="20"/>
                <w:lang w:val="en-US"/>
              </w:rPr>
              <w:t>Derek Choong v. College of Veterinarians of Ontario</w:t>
            </w:r>
          </w:p>
          <w:p w:rsidR="00726F45" w:rsidRPr="00726F45" w:rsidRDefault="00726F45" w:rsidP="00726F45">
            <w:pPr>
              <w:rPr>
                <w:sz w:val="20"/>
                <w:szCs w:val="20"/>
                <w:lang w:val="en-US"/>
              </w:rPr>
            </w:pPr>
            <w:r w:rsidRPr="00726F45">
              <w:rPr>
                <w:sz w:val="20"/>
                <w:szCs w:val="20"/>
                <w:lang w:val="en-US"/>
              </w:rPr>
              <w:t>(Ont.) (Civil) (By Leave)</w:t>
            </w:r>
          </w:p>
        </w:tc>
      </w:tr>
      <w:tr w:rsidR="00726F45" w:rsidRPr="00726F45" w:rsidTr="00726F45">
        <w:trPr>
          <w:gridAfter w:val="1"/>
          <w:wAfter w:w="135" w:type="pct"/>
        </w:trPr>
        <w:tc>
          <w:tcPr>
            <w:tcW w:w="4865" w:type="pct"/>
            <w:gridSpan w:val="5"/>
          </w:tcPr>
          <w:p w:rsidR="00A521D5" w:rsidRPr="00A521D5" w:rsidRDefault="00A521D5" w:rsidP="00726F45">
            <w:pPr>
              <w:rPr>
                <w:sz w:val="20"/>
                <w:szCs w:val="20"/>
                <w:lang w:val="en-US"/>
              </w:rPr>
            </w:pPr>
            <w:r w:rsidRPr="00A521D5">
              <w:rPr>
                <w:sz w:val="20"/>
                <w:szCs w:val="20"/>
                <w:lang w:val="en-US"/>
              </w:rPr>
              <w:t>The application for leave to appeal from the judgment of the Court of Appeal for Ontario, Number M50223, dated May 29, 2019, is dismissed with costs.</w:t>
            </w:r>
          </w:p>
          <w:p w:rsidR="00A521D5" w:rsidRDefault="00A521D5" w:rsidP="00726F45">
            <w:pPr>
              <w:rPr>
                <w:i/>
                <w:sz w:val="20"/>
                <w:szCs w:val="20"/>
                <w:lang w:val="en-US"/>
              </w:rPr>
            </w:pPr>
          </w:p>
          <w:p w:rsidR="00726F45" w:rsidRPr="00726F45" w:rsidRDefault="00726F45" w:rsidP="00726F45">
            <w:pPr>
              <w:rPr>
                <w:sz w:val="20"/>
                <w:szCs w:val="20"/>
                <w:lang w:val="en-US"/>
              </w:rPr>
            </w:pPr>
            <w:r w:rsidRPr="00726F45">
              <w:rPr>
                <w:i/>
                <w:sz w:val="20"/>
                <w:szCs w:val="20"/>
                <w:lang w:val="en-US"/>
              </w:rPr>
              <w:t>Charter of Rights</w:t>
            </w:r>
            <w:r w:rsidRPr="00726F45">
              <w:rPr>
                <w:sz w:val="20"/>
                <w:szCs w:val="20"/>
                <w:lang w:val="en-US"/>
              </w:rPr>
              <w:t xml:space="preserve"> — Remedy — Administrative law — Appeal — Standard of review — Review of decision of the Discipline Committee of the College of Veterinarians of Ontario — </w:t>
            </w:r>
            <w:r w:rsidRPr="00726F45">
              <w:rPr>
                <w:sz w:val="20"/>
                <w:szCs w:val="20"/>
                <w:lang w:val="en"/>
              </w:rPr>
              <w:t xml:space="preserve">Whether evidence should be excluded from the disciplinary proceeding under s. 24(2) of the </w:t>
            </w:r>
            <w:r w:rsidRPr="00726F45">
              <w:rPr>
                <w:i/>
                <w:iCs/>
                <w:sz w:val="20"/>
                <w:szCs w:val="20"/>
                <w:lang w:val="en"/>
              </w:rPr>
              <w:t>Charter</w:t>
            </w:r>
            <w:r w:rsidRPr="00726F45">
              <w:rPr>
                <w:iCs/>
                <w:sz w:val="20"/>
                <w:szCs w:val="20"/>
                <w:lang w:val="en"/>
              </w:rPr>
              <w:t xml:space="preserve"> </w:t>
            </w:r>
            <w:r w:rsidRPr="00726F45">
              <w:rPr>
                <w:sz w:val="20"/>
                <w:szCs w:val="20"/>
                <w:lang w:val="en-US"/>
              </w:rPr>
              <w:t xml:space="preserve">— Where police suspect an IP address of involvement with criminal activity, does the account holder information associated with that account provide police with sufficient grounds on its own such that they can obtain a warrant to search the account holder’s electronic devices located at his residence — What is the appropriate standard of review when a court reviews a tribunal’s determination of whether police conduct violates the </w:t>
            </w:r>
            <w:r w:rsidRPr="00726F45">
              <w:rPr>
                <w:i/>
                <w:sz w:val="20"/>
                <w:szCs w:val="20"/>
                <w:lang w:val="en-US"/>
              </w:rPr>
              <w:t xml:space="preserve">Charter </w:t>
            </w:r>
            <w:r w:rsidRPr="00726F45">
              <w:rPr>
                <w:sz w:val="20"/>
                <w:szCs w:val="20"/>
                <w:lang w:val="en-US"/>
              </w:rPr>
              <w:t xml:space="preserve">and whether the evidence obtained should be excluded — s. 24(2) of the </w:t>
            </w:r>
            <w:r w:rsidRPr="00726F45">
              <w:rPr>
                <w:i/>
                <w:sz w:val="20"/>
                <w:szCs w:val="20"/>
                <w:lang w:val="en-US"/>
              </w:rPr>
              <w:t>Canadian Charter of Rights and Freedoms</w:t>
            </w:r>
            <w:r w:rsidRPr="00726F45">
              <w:rPr>
                <w:sz w:val="20"/>
                <w:szCs w:val="20"/>
                <w:lang w:val="en-US"/>
              </w:rPr>
              <w:t>.</w:t>
            </w:r>
          </w:p>
          <w:p w:rsidR="00726F45" w:rsidRPr="00726F45" w:rsidRDefault="00726F45" w:rsidP="00726F45">
            <w:pPr>
              <w:rPr>
                <w:sz w:val="20"/>
                <w:szCs w:val="20"/>
                <w:lang w:val="en-US"/>
              </w:rPr>
            </w:pPr>
          </w:p>
        </w:tc>
      </w:tr>
      <w:tr w:rsidR="00726F45" w:rsidRPr="00726F45" w:rsidTr="00726F45">
        <w:trPr>
          <w:gridAfter w:val="1"/>
          <w:wAfter w:w="135" w:type="pct"/>
        </w:trPr>
        <w:tc>
          <w:tcPr>
            <w:tcW w:w="4865" w:type="pct"/>
            <w:gridSpan w:val="5"/>
          </w:tcPr>
          <w:p w:rsidR="00726F45" w:rsidRPr="00726F45" w:rsidRDefault="00726F45" w:rsidP="00726F45">
            <w:pPr>
              <w:rPr>
                <w:sz w:val="20"/>
                <w:szCs w:val="20"/>
                <w:lang w:val="en"/>
              </w:rPr>
            </w:pPr>
            <w:r w:rsidRPr="00726F45">
              <w:rPr>
                <w:sz w:val="20"/>
                <w:szCs w:val="20"/>
                <w:lang w:val="en"/>
              </w:rPr>
              <w:t xml:space="preserve">During an investigation the police collected evidence supporting an allegation that the applicant accessed, possessed, made available and/or distributed child pornography. The evidence led to criminal charges against the applicant. The charges were eventually withdrawn because the Crown concluded that the applicant’s rights under s. 8 of the </w:t>
            </w:r>
            <w:r w:rsidRPr="00726F45">
              <w:rPr>
                <w:i/>
                <w:iCs/>
                <w:sz w:val="20"/>
                <w:szCs w:val="20"/>
                <w:lang w:val="en"/>
              </w:rPr>
              <w:t>Charter</w:t>
            </w:r>
            <w:r w:rsidRPr="00726F45">
              <w:rPr>
                <w:sz w:val="20"/>
                <w:szCs w:val="20"/>
                <w:lang w:val="en"/>
              </w:rPr>
              <w:t xml:space="preserve"> had been violated and the evidence would not be admissible. The respondent College subsequently commenced disciplinary proceedings against the applicant and sought to rely on the evidence that the police had collected.</w:t>
            </w:r>
          </w:p>
          <w:p w:rsidR="00726F45" w:rsidRPr="00726F45" w:rsidRDefault="00726F45" w:rsidP="00726F45">
            <w:pPr>
              <w:rPr>
                <w:sz w:val="20"/>
                <w:szCs w:val="20"/>
                <w:lang w:val="en"/>
              </w:rPr>
            </w:pPr>
            <w:r w:rsidRPr="00726F45">
              <w:rPr>
                <w:sz w:val="20"/>
                <w:szCs w:val="20"/>
                <w:lang w:val="en"/>
              </w:rPr>
              <w:t xml:space="preserve">The applicant brought a motion before the </w:t>
            </w:r>
            <w:r w:rsidRPr="00726F45">
              <w:rPr>
                <w:sz w:val="20"/>
                <w:szCs w:val="20"/>
                <w:lang w:val="en-US"/>
              </w:rPr>
              <w:t xml:space="preserve">Discipline Committee of the College </w:t>
            </w:r>
            <w:r w:rsidRPr="00726F45">
              <w:rPr>
                <w:sz w:val="20"/>
                <w:szCs w:val="20"/>
                <w:lang w:val="en"/>
              </w:rPr>
              <w:t xml:space="preserve">to exclude the evidence. It was agreed that the police had violated the applicant’s s. 8 </w:t>
            </w:r>
            <w:r w:rsidRPr="00726F45">
              <w:rPr>
                <w:i/>
                <w:sz w:val="20"/>
                <w:szCs w:val="20"/>
                <w:lang w:val="en"/>
              </w:rPr>
              <w:t>Charter</w:t>
            </w:r>
            <w:r w:rsidRPr="00726F45">
              <w:rPr>
                <w:sz w:val="20"/>
                <w:szCs w:val="20"/>
                <w:lang w:val="en"/>
              </w:rPr>
              <w:t xml:space="preserve"> rights to be secure against unreasonable search and seizure. The sole issue before the Discipline Committee was whether the evidence should be excluded from the disciplinary proceeding under s. 24(2) of the </w:t>
            </w:r>
            <w:r w:rsidRPr="00726F45">
              <w:rPr>
                <w:i/>
                <w:iCs/>
                <w:sz w:val="20"/>
                <w:szCs w:val="20"/>
                <w:lang w:val="en"/>
              </w:rPr>
              <w:t>Charter</w:t>
            </w:r>
            <w:r w:rsidRPr="00726F45">
              <w:rPr>
                <w:sz w:val="20"/>
                <w:szCs w:val="20"/>
                <w:lang w:val="en"/>
              </w:rPr>
              <w:t>. The majority of the Discipline Committee held that the evidence was inadmissible and dismissed the allegations of professional misconduct, since without the evidence the College had no basis to discipline the applicant.</w:t>
            </w:r>
            <w:r w:rsidRPr="00726F45">
              <w:rPr>
                <w:sz w:val="20"/>
                <w:szCs w:val="20"/>
                <w:lang w:val="en-US"/>
              </w:rPr>
              <w:t xml:space="preserve"> The Divisional Court allowed </w:t>
            </w:r>
            <w:proofErr w:type="spellStart"/>
            <w:r w:rsidRPr="00726F45">
              <w:rPr>
                <w:sz w:val="20"/>
                <w:szCs w:val="20"/>
                <w:lang w:val="en-US"/>
              </w:rPr>
              <w:t>t</w:t>
            </w:r>
            <w:r w:rsidRPr="00726F45">
              <w:rPr>
                <w:sz w:val="20"/>
                <w:szCs w:val="20"/>
                <w:lang w:val="en"/>
              </w:rPr>
              <w:t>he</w:t>
            </w:r>
            <w:proofErr w:type="spellEnd"/>
            <w:r w:rsidRPr="00726F45">
              <w:rPr>
                <w:sz w:val="20"/>
                <w:szCs w:val="20"/>
                <w:lang w:val="en"/>
              </w:rPr>
              <w:t xml:space="preserve"> appeal, and set aside the decision of the Discipline Committee and returned the matter to the College for a new hearing before a different Discipline Committee panel, for the purpose of conducting the </w:t>
            </w:r>
            <w:r w:rsidRPr="00726F45">
              <w:rPr>
                <w:i/>
                <w:iCs/>
                <w:sz w:val="20"/>
                <w:szCs w:val="20"/>
                <w:lang w:val="en"/>
              </w:rPr>
              <w:t>R. v. Grant</w:t>
            </w:r>
            <w:r w:rsidRPr="00726F45">
              <w:rPr>
                <w:sz w:val="20"/>
                <w:szCs w:val="20"/>
                <w:lang w:val="en"/>
              </w:rPr>
              <w:t xml:space="preserve">, 2009 SCC 32, [2009] 2 S.C.R. 353 analysis and deciding the applicant’s motion to exclude the evidence. </w:t>
            </w:r>
            <w:r w:rsidRPr="00726F45">
              <w:rPr>
                <w:sz w:val="20"/>
                <w:szCs w:val="20"/>
                <w:lang w:val="en-US"/>
              </w:rPr>
              <w:t>The Court of Appeal dismissed the applicant’s motion for leave to appeal.</w:t>
            </w:r>
          </w:p>
        </w:tc>
      </w:tr>
      <w:tr w:rsidR="00726F45" w:rsidRPr="00726F45" w:rsidTr="00726F45">
        <w:trPr>
          <w:gridAfter w:val="1"/>
          <w:wAfter w:w="135" w:type="pct"/>
        </w:trPr>
        <w:tc>
          <w:tcPr>
            <w:tcW w:w="4865" w:type="pct"/>
            <w:gridSpan w:val="5"/>
          </w:tcPr>
          <w:p w:rsidR="00726F45" w:rsidRPr="00726F45" w:rsidRDefault="00726F45" w:rsidP="00726F45">
            <w:pPr>
              <w:rPr>
                <w:sz w:val="20"/>
                <w:szCs w:val="20"/>
                <w:lang w:val="en-US"/>
              </w:rPr>
            </w:pPr>
          </w:p>
        </w:tc>
      </w:tr>
      <w:tr w:rsidR="00726F45" w:rsidRPr="00726F45" w:rsidTr="00726F45">
        <w:trPr>
          <w:gridAfter w:val="1"/>
          <w:wAfter w:w="135" w:type="pct"/>
        </w:trPr>
        <w:tc>
          <w:tcPr>
            <w:tcW w:w="2361" w:type="pct"/>
            <w:gridSpan w:val="3"/>
          </w:tcPr>
          <w:p w:rsidR="00726F45" w:rsidRPr="00726F45" w:rsidRDefault="00726F45" w:rsidP="00726F45">
            <w:pPr>
              <w:rPr>
                <w:sz w:val="20"/>
                <w:szCs w:val="20"/>
                <w:lang w:val="en-US"/>
              </w:rPr>
            </w:pPr>
            <w:r w:rsidRPr="00726F45">
              <w:rPr>
                <w:sz w:val="20"/>
                <w:szCs w:val="20"/>
                <w:lang w:val="en-US"/>
              </w:rPr>
              <w:t>February 20, 2019</w:t>
            </w:r>
          </w:p>
          <w:p w:rsidR="00726F45" w:rsidRPr="00726F45" w:rsidRDefault="00726F45" w:rsidP="00726F45">
            <w:pPr>
              <w:rPr>
                <w:sz w:val="20"/>
                <w:szCs w:val="20"/>
                <w:lang w:val="en-US"/>
              </w:rPr>
            </w:pPr>
            <w:r w:rsidRPr="00726F45">
              <w:rPr>
                <w:sz w:val="20"/>
                <w:szCs w:val="20"/>
                <w:lang w:val="en-US"/>
              </w:rPr>
              <w:t>Ontario Superior Court of Justice</w:t>
            </w:r>
          </w:p>
          <w:p w:rsidR="00726F45" w:rsidRPr="00726F45" w:rsidRDefault="00726F45" w:rsidP="00726F45">
            <w:pPr>
              <w:rPr>
                <w:sz w:val="20"/>
                <w:szCs w:val="20"/>
                <w:lang w:val="en-US"/>
              </w:rPr>
            </w:pPr>
            <w:r w:rsidRPr="00726F45">
              <w:rPr>
                <w:sz w:val="20"/>
                <w:szCs w:val="20"/>
                <w:lang w:val="en-US"/>
              </w:rPr>
              <w:t>(Divisional Court)</w:t>
            </w:r>
          </w:p>
          <w:p w:rsidR="00726F45" w:rsidRPr="00726F45" w:rsidRDefault="00726F45" w:rsidP="00726F45">
            <w:pPr>
              <w:rPr>
                <w:sz w:val="20"/>
                <w:szCs w:val="20"/>
                <w:lang w:val="en-US"/>
              </w:rPr>
            </w:pPr>
            <w:r w:rsidRPr="00726F45">
              <w:rPr>
                <w:sz w:val="20"/>
                <w:szCs w:val="20"/>
                <w:lang w:val="en-US"/>
              </w:rPr>
              <w:t>(</w:t>
            </w:r>
            <w:proofErr w:type="spellStart"/>
            <w:r w:rsidRPr="00726F45">
              <w:rPr>
                <w:sz w:val="20"/>
                <w:szCs w:val="20"/>
                <w:lang w:val="en-US"/>
              </w:rPr>
              <w:t>Morawetz</w:t>
            </w:r>
            <w:proofErr w:type="spellEnd"/>
            <w:r w:rsidRPr="00726F45">
              <w:rPr>
                <w:sz w:val="20"/>
                <w:szCs w:val="20"/>
                <w:lang w:val="en-US"/>
              </w:rPr>
              <w:t xml:space="preserve"> R.S.J., </w:t>
            </w:r>
            <w:proofErr w:type="spellStart"/>
            <w:r w:rsidRPr="00726F45">
              <w:rPr>
                <w:sz w:val="20"/>
                <w:szCs w:val="20"/>
                <w:lang w:val="en-US"/>
              </w:rPr>
              <w:t>Horkins</w:t>
            </w:r>
            <w:proofErr w:type="spellEnd"/>
            <w:r w:rsidRPr="00726F45">
              <w:rPr>
                <w:sz w:val="20"/>
                <w:szCs w:val="20"/>
                <w:lang w:val="en-US"/>
              </w:rPr>
              <w:t xml:space="preserve"> and Matheson JJ.)</w:t>
            </w:r>
          </w:p>
          <w:p w:rsidR="00726F45" w:rsidRPr="00726F45" w:rsidRDefault="00937854" w:rsidP="00726F45">
            <w:pPr>
              <w:rPr>
                <w:sz w:val="20"/>
                <w:szCs w:val="20"/>
                <w:lang w:val="en-US"/>
              </w:rPr>
            </w:pPr>
            <w:hyperlink r:id="rId19" w:history="1">
              <w:r w:rsidR="00726F45" w:rsidRPr="00726F45">
                <w:rPr>
                  <w:rStyle w:val="Hyperlink"/>
                  <w:sz w:val="20"/>
                  <w:szCs w:val="20"/>
                  <w:lang w:val="en-US"/>
                </w:rPr>
                <w:t>2019 ONSC 946</w:t>
              </w:r>
            </w:hyperlink>
          </w:p>
          <w:p w:rsidR="00726F45" w:rsidRPr="00726F45" w:rsidRDefault="00726F45" w:rsidP="00726F45">
            <w:pPr>
              <w:rPr>
                <w:sz w:val="20"/>
                <w:szCs w:val="20"/>
                <w:lang w:val="en-US"/>
              </w:rPr>
            </w:pPr>
            <w:r w:rsidRPr="00726F45">
              <w:rPr>
                <w:sz w:val="20"/>
                <w:szCs w:val="20"/>
                <w:lang w:val="en-US"/>
              </w:rPr>
              <w:t>306/18</w:t>
            </w:r>
          </w:p>
          <w:p w:rsidR="00726F45" w:rsidRPr="00726F45" w:rsidRDefault="00726F45" w:rsidP="00726F45">
            <w:pPr>
              <w:rPr>
                <w:sz w:val="20"/>
                <w:szCs w:val="20"/>
                <w:lang w:val="en-US"/>
              </w:rPr>
            </w:pPr>
          </w:p>
        </w:tc>
        <w:tc>
          <w:tcPr>
            <w:tcW w:w="237" w:type="pct"/>
          </w:tcPr>
          <w:p w:rsidR="00726F45" w:rsidRPr="00726F45" w:rsidRDefault="00726F45" w:rsidP="00726F45">
            <w:pPr>
              <w:rPr>
                <w:sz w:val="20"/>
                <w:szCs w:val="20"/>
                <w:lang w:val="en-US"/>
              </w:rPr>
            </w:pPr>
          </w:p>
        </w:tc>
        <w:tc>
          <w:tcPr>
            <w:tcW w:w="2267" w:type="pct"/>
          </w:tcPr>
          <w:p w:rsidR="00726F45" w:rsidRPr="00726F45" w:rsidRDefault="00726F45" w:rsidP="00726F45">
            <w:pPr>
              <w:rPr>
                <w:sz w:val="20"/>
                <w:szCs w:val="20"/>
                <w:lang w:val="en-US"/>
              </w:rPr>
            </w:pPr>
            <w:r w:rsidRPr="00726F45">
              <w:rPr>
                <w:sz w:val="20"/>
                <w:szCs w:val="20"/>
                <w:lang w:val="en-US"/>
              </w:rPr>
              <w:t>Applicant’s appeal from the order of the Discipline Committee of the College of Veterinarians of Ontario allowed; decision set aside; new hearing ordered without costs</w:t>
            </w:r>
          </w:p>
          <w:p w:rsidR="00726F45" w:rsidRPr="00726F45" w:rsidRDefault="00726F45" w:rsidP="00726F45">
            <w:pPr>
              <w:rPr>
                <w:sz w:val="20"/>
                <w:szCs w:val="20"/>
                <w:lang w:val="en-US"/>
              </w:rPr>
            </w:pPr>
          </w:p>
        </w:tc>
      </w:tr>
      <w:tr w:rsidR="00726F45" w:rsidRPr="00726F45" w:rsidTr="00726F45">
        <w:trPr>
          <w:gridAfter w:val="1"/>
          <w:wAfter w:w="135" w:type="pct"/>
        </w:trPr>
        <w:tc>
          <w:tcPr>
            <w:tcW w:w="2361" w:type="pct"/>
            <w:gridSpan w:val="3"/>
          </w:tcPr>
          <w:p w:rsidR="00726F45" w:rsidRPr="00726F45" w:rsidRDefault="00726F45" w:rsidP="00726F45">
            <w:pPr>
              <w:rPr>
                <w:sz w:val="20"/>
                <w:szCs w:val="20"/>
                <w:lang w:val="en-US"/>
              </w:rPr>
            </w:pPr>
            <w:r w:rsidRPr="00726F45">
              <w:rPr>
                <w:sz w:val="20"/>
                <w:szCs w:val="20"/>
                <w:lang w:val="en-US"/>
              </w:rPr>
              <w:t>May 29, 2019</w:t>
            </w:r>
          </w:p>
          <w:p w:rsidR="00726F45" w:rsidRPr="00726F45" w:rsidRDefault="00726F45" w:rsidP="00726F45">
            <w:pPr>
              <w:rPr>
                <w:sz w:val="20"/>
                <w:szCs w:val="20"/>
                <w:lang w:val="en-US"/>
              </w:rPr>
            </w:pPr>
            <w:r w:rsidRPr="00726F45">
              <w:rPr>
                <w:sz w:val="20"/>
                <w:szCs w:val="20"/>
                <w:lang w:val="en-US"/>
              </w:rPr>
              <w:t>Court of Appeal for Ontario</w:t>
            </w:r>
          </w:p>
          <w:p w:rsidR="00726F45" w:rsidRPr="00726F45" w:rsidRDefault="00726F45" w:rsidP="00726F45">
            <w:pPr>
              <w:rPr>
                <w:sz w:val="20"/>
                <w:szCs w:val="20"/>
                <w:lang w:val="en-US"/>
              </w:rPr>
            </w:pPr>
            <w:r w:rsidRPr="00726F45">
              <w:rPr>
                <w:sz w:val="20"/>
                <w:szCs w:val="20"/>
                <w:lang w:val="en-US"/>
              </w:rPr>
              <w:t>(Feldman, MacPherson, Simmons JJ.A.)</w:t>
            </w:r>
          </w:p>
          <w:p w:rsidR="00726F45" w:rsidRPr="00726F45" w:rsidRDefault="00726F45" w:rsidP="00726F45">
            <w:pPr>
              <w:rPr>
                <w:sz w:val="20"/>
                <w:szCs w:val="20"/>
                <w:lang w:val="en-US"/>
              </w:rPr>
            </w:pPr>
            <w:r w:rsidRPr="00726F45">
              <w:rPr>
                <w:sz w:val="20"/>
                <w:szCs w:val="20"/>
                <w:lang w:val="en-US"/>
              </w:rPr>
              <w:t>M50223</w:t>
            </w:r>
          </w:p>
          <w:p w:rsidR="00726F45" w:rsidRPr="00726F45" w:rsidRDefault="00726F45" w:rsidP="00726F45">
            <w:pPr>
              <w:rPr>
                <w:sz w:val="20"/>
                <w:szCs w:val="20"/>
                <w:lang w:val="en-US"/>
              </w:rPr>
            </w:pPr>
            <w:r w:rsidRPr="00726F45">
              <w:rPr>
                <w:sz w:val="20"/>
                <w:szCs w:val="20"/>
                <w:lang w:val="en-US"/>
              </w:rPr>
              <w:t>(unreported)</w:t>
            </w:r>
          </w:p>
          <w:p w:rsidR="00726F45" w:rsidRPr="00726F45" w:rsidRDefault="00726F45" w:rsidP="00726F45">
            <w:pPr>
              <w:rPr>
                <w:sz w:val="20"/>
                <w:szCs w:val="20"/>
                <w:lang w:val="en-US"/>
              </w:rPr>
            </w:pPr>
          </w:p>
        </w:tc>
        <w:tc>
          <w:tcPr>
            <w:tcW w:w="237" w:type="pct"/>
          </w:tcPr>
          <w:p w:rsidR="00726F45" w:rsidRPr="00726F45" w:rsidRDefault="00726F45" w:rsidP="00726F45">
            <w:pPr>
              <w:rPr>
                <w:sz w:val="20"/>
                <w:szCs w:val="20"/>
                <w:lang w:val="en-US"/>
              </w:rPr>
            </w:pPr>
          </w:p>
        </w:tc>
        <w:tc>
          <w:tcPr>
            <w:tcW w:w="2267" w:type="pct"/>
          </w:tcPr>
          <w:p w:rsidR="00726F45" w:rsidRPr="00726F45" w:rsidRDefault="00726F45" w:rsidP="00726F45">
            <w:pPr>
              <w:rPr>
                <w:sz w:val="20"/>
                <w:szCs w:val="20"/>
                <w:lang w:val="en-US"/>
              </w:rPr>
            </w:pPr>
            <w:r w:rsidRPr="00726F45">
              <w:rPr>
                <w:sz w:val="20"/>
                <w:szCs w:val="20"/>
                <w:lang w:val="en-US"/>
              </w:rPr>
              <w:t>Applicant’s motion for leave to appeal dismissed with costs fixed at $500</w:t>
            </w:r>
          </w:p>
          <w:p w:rsidR="00726F45" w:rsidRPr="00726F45" w:rsidRDefault="00726F45" w:rsidP="00726F45">
            <w:pPr>
              <w:rPr>
                <w:sz w:val="20"/>
                <w:szCs w:val="20"/>
                <w:lang w:val="en-US"/>
              </w:rPr>
            </w:pPr>
          </w:p>
        </w:tc>
      </w:tr>
      <w:tr w:rsidR="00726F45" w:rsidRPr="00726F45" w:rsidTr="00726F45">
        <w:trPr>
          <w:gridAfter w:val="1"/>
          <w:wAfter w:w="135" w:type="pct"/>
        </w:trPr>
        <w:tc>
          <w:tcPr>
            <w:tcW w:w="2361" w:type="pct"/>
            <w:gridSpan w:val="3"/>
          </w:tcPr>
          <w:p w:rsidR="00726F45" w:rsidRPr="00726F45" w:rsidRDefault="00726F45" w:rsidP="00726F45">
            <w:pPr>
              <w:rPr>
                <w:sz w:val="20"/>
                <w:szCs w:val="20"/>
                <w:lang w:val="en-US"/>
              </w:rPr>
            </w:pPr>
            <w:r w:rsidRPr="00726F45">
              <w:rPr>
                <w:sz w:val="20"/>
                <w:szCs w:val="20"/>
                <w:lang w:val="en-US"/>
              </w:rPr>
              <w:t>August 28, 2019</w:t>
            </w:r>
          </w:p>
          <w:p w:rsidR="00726F45" w:rsidRPr="00726F45" w:rsidRDefault="00726F45" w:rsidP="00726F45">
            <w:pPr>
              <w:rPr>
                <w:sz w:val="20"/>
                <w:szCs w:val="20"/>
                <w:lang w:val="en-US"/>
              </w:rPr>
            </w:pPr>
            <w:r w:rsidRPr="00726F45">
              <w:rPr>
                <w:sz w:val="20"/>
                <w:szCs w:val="20"/>
                <w:lang w:val="en-US"/>
              </w:rPr>
              <w:t>Supreme Court of Canada</w:t>
            </w:r>
          </w:p>
        </w:tc>
        <w:tc>
          <w:tcPr>
            <w:tcW w:w="237" w:type="pct"/>
          </w:tcPr>
          <w:p w:rsidR="00726F45" w:rsidRPr="00726F45" w:rsidRDefault="00726F45" w:rsidP="00726F45">
            <w:pPr>
              <w:rPr>
                <w:sz w:val="20"/>
                <w:szCs w:val="20"/>
                <w:lang w:val="en-US"/>
              </w:rPr>
            </w:pPr>
          </w:p>
        </w:tc>
        <w:tc>
          <w:tcPr>
            <w:tcW w:w="2267" w:type="pct"/>
          </w:tcPr>
          <w:p w:rsidR="00726F45" w:rsidRPr="00726F45" w:rsidRDefault="00726F45" w:rsidP="00726F45">
            <w:pPr>
              <w:rPr>
                <w:sz w:val="20"/>
                <w:szCs w:val="20"/>
                <w:lang w:val="en-US"/>
              </w:rPr>
            </w:pPr>
            <w:r w:rsidRPr="00726F45">
              <w:rPr>
                <w:sz w:val="20"/>
                <w:szCs w:val="20"/>
                <w:lang w:val="en-US"/>
              </w:rPr>
              <w:t>Application for leave to appeal filed</w:t>
            </w:r>
          </w:p>
          <w:p w:rsidR="00726F45" w:rsidRPr="00726F45" w:rsidRDefault="00726F45" w:rsidP="00726F45">
            <w:pPr>
              <w:rPr>
                <w:sz w:val="20"/>
                <w:szCs w:val="20"/>
                <w:lang w:val="en-US"/>
              </w:rPr>
            </w:pPr>
          </w:p>
        </w:tc>
      </w:tr>
    </w:tbl>
    <w:p w:rsidR="00726F45" w:rsidRPr="00726F45" w:rsidRDefault="00726F45" w:rsidP="00726F45">
      <w:pPr>
        <w:rPr>
          <w:sz w:val="20"/>
          <w:szCs w:val="20"/>
          <w:lang w:val="en-US"/>
        </w:rPr>
      </w:pPr>
    </w:p>
    <w:p w:rsidR="00726F45" w:rsidRPr="00726F45" w:rsidRDefault="00937854" w:rsidP="00726F45">
      <w:pPr>
        <w:rPr>
          <w:sz w:val="20"/>
          <w:szCs w:val="20"/>
          <w:lang w:val="en-US"/>
        </w:rPr>
      </w:pPr>
      <w:r>
        <w:rPr>
          <w:sz w:val="20"/>
          <w:szCs w:val="20"/>
          <w:lang w:val="en-US"/>
        </w:rPr>
        <w:pict>
          <v:rect id="_x0000_i1036" style="width:2in;height:1pt" o:hrpct="0" o:hralign="center" o:hrstd="t" o:hrnoshade="t" o:hr="t" fillcolor="black [3213]" stroked="f"/>
        </w:pict>
      </w:r>
    </w:p>
    <w:p w:rsidR="00726F45" w:rsidRPr="00726F45" w:rsidRDefault="00726F45" w:rsidP="00726F45">
      <w:pPr>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726F45" w:rsidTr="005F4D83">
        <w:tc>
          <w:tcPr>
            <w:tcW w:w="543" w:type="pct"/>
          </w:tcPr>
          <w:p w:rsidR="00726F45" w:rsidRPr="00726F45" w:rsidRDefault="00726F45" w:rsidP="00726F45">
            <w:pPr>
              <w:rPr>
                <w:sz w:val="20"/>
                <w:szCs w:val="20"/>
                <w:lang w:val="fr-CA"/>
              </w:rPr>
            </w:pPr>
            <w:r w:rsidRPr="00726F45">
              <w:rPr>
                <w:b/>
                <w:sz w:val="20"/>
                <w:szCs w:val="20"/>
                <w:lang w:val="fr-CA"/>
              </w:rPr>
              <w:t>38818</w:t>
            </w:r>
          </w:p>
        </w:tc>
        <w:tc>
          <w:tcPr>
            <w:tcW w:w="4457" w:type="pct"/>
            <w:gridSpan w:val="3"/>
          </w:tcPr>
          <w:p w:rsidR="00726F45" w:rsidRPr="00726F45" w:rsidRDefault="00726F45" w:rsidP="00726F45">
            <w:pPr>
              <w:rPr>
                <w:b/>
                <w:sz w:val="20"/>
                <w:szCs w:val="20"/>
                <w:lang w:val="fr-CA"/>
              </w:rPr>
            </w:pPr>
            <w:r w:rsidRPr="00726F45">
              <w:rPr>
                <w:b/>
                <w:sz w:val="20"/>
                <w:szCs w:val="20"/>
                <w:lang w:val="fr-CA"/>
              </w:rPr>
              <w:t>Derek Choong c. Ordre des vétérinaires de l’Ontario</w:t>
            </w:r>
          </w:p>
          <w:p w:rsidR="00726F45" w:rsidRPr="00726F45" w:rsidRDefault="00726F45" w:rsidP="00726F45">
            <w:pPr>
              <w:rPr>
                <w:sz w:val="20"/>
                <w:szCs w:val="20"/>
                <w:lang w:val="fr-CA"/>
              </w:rPr>
            </w:pPr>
            <w:r w:rsidRPr="00726F45">
              <w:rPr>
                <w:sz w:val="20"/>
                <w:szCs w:val="20"/>
                <w:lang w:val="fr-CA"/>
              </w:rPr>
              <w:t>(Ont.) (Civile) (Autorisation)</w:t>
            </w:r>
          </w:p>
        </w:tc>
      </w:tr>
      <w:tr w:rsidR="00726F45" w:rsidRPr="00937854" w:rsidTr="005F4D83">
        <w:tc>
          <w:tcPr>
            <w:tcW w:w="5000" w:type="pct"/>
            <w:gridSpan w:val="4"/>
          </w:tcPr>
          <w:p w:rsidR="00A521D5" w:rsidRPr="00A521D5" w:rsidRDefault="00A521D5" w:rsidP="00726F45">
            <w:pPr>
              <w:rPr>
                <w:sz w:val="20"/>
                <w:szCs w:val="20"/>
                <w:lang w:val="fr-CA"/>
              </w:rPr>
            </w:pPr>
            <w:r w:rsidRPr="00A521D5">
              <w:rPr>
                <w:sz w:val="20"/>
                <w:szCs w:val="20"/>
                <w:lang w:val="fr-CA"/>
              </w:rPr>
              <w:t>La demande d’autorisation d’appel de l’arrêt de la Cour d’appel de l’Ontario, numéro M50223, daté du 29 mai 2019, est rejetée avec dépens.</w:t>
            </w:r>
          </w:p>
          <w:p w:rsidR="00A521D5" w:rsidRDefault="00A521D5" w:rsidP="00726F45">
            <w:pPr>
              <w:rPr>
                <w:i/>
                <w:sz w:val="20"/>
                <w:szCs w:val="20"/>
                <w:lang w:val="fr-CA"/>
              </w:rPr>
            </w:pPr>
          </w:p>
          <w:p w:rsidR="00726F45" w:rsidRPr="00726F45" w:rsidRDefault="00726F45" w:rsidP="00726F45">
            <w:pPr>
              <w:rPr>
                <w:sz w:val="20"/>
                <w:szCs w:val="20"/>
                <w:lang w:val="fr-CA"/>
              </w:rPr>
            </w:pPr>
            <w:r w:rsidRPr="00726F45">
              <w:rPr>
                <w:i/>
                <w:sz w:val="20"/>
                <w:szCs w:val="20"/>
                <w:lang w:val="fr-CA"/>
              </w:rPr>
              <w:t>Charte des droits</w:t>
            </w:r>
            <w:r w:rsidRPr="00726F45">
              <w:rPr>
                <w:sz w:val="20"/>
                <w:szCs w:val="20"/>
                <w:lang w:val="fr-CA"/>
              </w:rPr>
              <w:t xml:space="preserve"> — Réparation — Droit administratif — Appel — Norme de contrôle — Contrôle de la décision du comité de discipline de l’Ordre des vétérinaires de l’Ontario — Y a</w:t>
            </w:r>
            <w:r w:rsidRPr="00726F45">
              <w:rPr>
                <w:sz w:val="20"/>
                <w:szCs w:val="20"/>
                <w:lang w:val="fr-CA"/>
              </w:rPr>
              <w:noBreakHyphen/>
              <w:t>t</w:t>
            </w:r>
            <w:r w:rsidRPr="00726F45">
              <w:rPr>
                <w:sz w:val="20"/>
                <w:szCs w:val="20"/>
                <w:lang w:val="fr-CA"/>
              </w:rPr>
              <w:noBreakHyphen/>
              <w:t xml:space="preserve">il lieu d’exclure des éléments preuve du recours disciplinaire en application du par. 24(2) de la </w:t>
            </w:r>
            <w:r w:rsidRPr="00726F45">
              <w:rPr>
                <w:i/>
                <w:iCs/>
                <w:sz w:val="20"/>
                <w:szCs w:val="20"/>
                <w:lang w:val="fr-CA"/>
              </w:rPr>
              <w:t>Charte</w:t>
            </w:r>
            <w:r w:rsidRPr="00726F45">
              <w:rPr>
                <w:iCs/>
                <w:sz w:val="20"/>
                <w:szCs w:val="20"/>
                <w:lang w:val="fr-CA"/>
              </w:rPr>
              <w:t xml:space="preserve">? </w:t>
            </w:r>
            <w:r w:rsidRPr="00726F45">
              <w:rPr>
                <w:sz w:val="20"/>
                <w:szCs w:val="20"/>
                <w:lang w:val="fr-CA"/>
              </w:rPr>
              <w:t>— Lorsque les policiers soupçonnent qu'une adresse IP est impliquée dans une activité criminelle, les renseignements du titulaire du compte liés à ce compte donnent</w:t>
            </w:r>
            <w:r w:rsidRPr="00726F45">
              <w:rPr>
                <w:sz w:val="20"/>
                <w:szCs w:val="20"/>
                <w:lang w:val="fr-CA"/>
              </w:rPr>
              <w:noBreakHyphen/>
              <w:t xml:space="preserve">ils à eux seuls aux policiers des motifs suffisants leur permettant d’obtenir un mandat pour fouiller les appareils électroniques du titulaire du compte qui se trouvent chez lui? — Quelle est la norme de contrôle appropriée lorsqu’un tribunal judiciaire contrôle la décision du tribunal administratif quant à savoir si la conduite des policiers viole la </w:t>
            </w:r>
            <w:r w:rsidRPr="00726F45">
              <w:rPr>
                <w:i/>
                <w:sz w:val="20"/>
                <w:szCs w:val="20"/>
                <w:lang w:val="fr-CA"/>
              </w:rPr>
              <w:t xml:space="preserve">Charte </w:t>
            </w:r>
            <w:r w:rsidRPr="00726F45">
              <w:rPr>
                <w:sz w:val="20"/>
                <w:szCs w:val="20"/>
                <w:lang w:val="fr-CA"/>
              </w:rPr>
              <w:t xml:space="preserve">et s’il y a lieu d’exclure les éléments de preuve obtenus? — Par. 24(2) de la </w:t>
            </w:r>
            <w:r w:rsidRPr="00726F45">
              <w:rPr>
                <w:i/>
                <w:sz w:val="20"/>
                <w:szCs w:val="20"/>
                <w:lang w:val="fr-CA"/>
              </w:rPr>
              <w:t>Charte canadienne des droits et libertés</w:t>
            </w:r>
            <w:r w:rsidRPr="00726F45">
              <w:rPr>
                <w:sz w:val="20"/>
                <w:szCs w:val="20"/>
                <w:lang w:val="fr-CA"/>
              </w:rPr>
              <w:t>.</w:t>
            </w:r>
          </w:p>
          <w:p w:rsidR="00726F45" w:rsidRPr="00726F45" w:rsidRDefault="00726F45" w:rsidP="00726F45">
            <w:pPr>
              <w:rPr>
                <w:sz w:val="20"/>
                <w:szCs w:val="20"/>
                <w:lang w:val="fr-CA"/>
              </w:rPr>
            </w:pPr>
          </w:p>
        </w:tc>
      </w:tr>
      <w:tr w:rsidR="00726F45" w:rsidRPr="00937854" w:rsidTr="005F4D83">
        <w:tc>
          <w:tcPr>
            <w:tcW w:w="5000" w:type="pct"/>
            <w:gridSpan w:val="4"/>
          </w:tcPr>
          <w:p w:rsidR="00726F45" w:rsidRPr="00726F45" w:rsidRDefault="00726F45" w:rsidP="00726F45">
            <w:pPr>
              <w:rPr>
                <w:sz w:val="20"/>
                <w:szCs w:val="20"/>
                <w:lang w:val="fr-CA"/>
              </w:rPr>
            </w:pPr>
            <w:r w:rsidRPr="00726F45">
              <w:rPr>
                <w:sz w:val="20"/>
                <w:szCs w:val="20"/>
                <w:lang w:val="fr-CA"/>
              </w:rPr>
              <w:t xml:space="preserve">Au cours d’une enquête, les policiers ont recueilli des éléments de preuve au soutien d’une allégation selon laquelle le demandeur a possédé ou distribué de la pornographie juvénile, y a eu accès ou l’a rendue disponible. Les éléments de preuve ont entraîné le dépôt d’accusations criminelles contre le demandeur. Les accusations ont fini par être retirées, le ministère public ayant conclu que les droits que l’art. 8 de la </w:t>
            </w:r>
            <w:r w:rsidRPr="00726F45">
              <w:rPr>
                <w:i/>
                <w:iCs/>
                <w:sz w:val="20"/>
                <w:szCs w:val="20"/>
                <w:lang w:val="fr-CA"/>
              </w:rPr>
              <w:t>Charte</w:t>
            </w:r>
            <w:r w:rsidRPr="00726F45">
              <w:rPr>
                <w:sz w:val="20"/>
                <w:szCs w:val="20"/>
                <w:lang w:val="fr-CA"/>
              </w:rPr>
              <w:t xml:space="preserve"> garantit au demandeur avaient été violés et que ces éléments de preuve ne seraient pas admissibles. L’Ordre intimé a entamé subséquemment un recours disciplinaire contre le demandeur et a voulu s’appuyer sur les éléments de preuve que les policiers avaient recueillis.</w:t>
            </w:r>
          </w:p>
          <w:p w:rsidR="00726F45" w:rsidRPr="00726F45" w:rsidRDefault="00726F45" w:rsidP="00726F45">
            <w:pPr>
              <w:rPr>
                <w:sz w:val="20"/>
                <w:szCs w:val="20"/>
                <w:lang w:val="fr-CA"/>
              </w:rPr>
            </w:pPr>
            <w:r w:rsidRPr="00726F45">
              <w:rPr>
                <w:sz w:val="20"/>
                <w:szCs w:val="20"/>
                <w:lang w:val="fr-CA"/>
              </w:rPr>
              <w:t xml:space="preserve">Le demandeur a déposé une motion devant le comité de discipline de l’Ordre en vue d’exclure les éléments de preuve. On a convenu que les policiers avaient violé le droit que l’art. 8 de la </w:t>
            </w:r>
            <w:r w:rsidRPr="00726F45">
              <w:rPr>
                <w:i/>
                <w:sz w:val="20"/>
                <w:szCs w:val="20"/>
                <w:lang w:val="fr-CA"/>
              </w:rPr>
              <w:t>Charte</w:t>
            </w:r>
            <w:r w:rsidRPr="00726F45">
              <w:rPr>
                <w:sz w:val="20"/>
                <w:szCs w:val="20"/>
                <w:lang w:val="fr-CA"/>
              </w:rPr>
              <w:t xml:space="preserve"> garantit au demandeur à la protection contre les fouilles, les perquisitions et les saisies abusives. La seule question litigieuse devant le comité de discipline était de savoir s’il fallait exclure les éléments de preuve du recours disciplinaire en application du par. 24(2) de la </w:t>
            </w:r>
            <w:r w:rsidRPr="00726F45">
              <w:rPr>
                <w:i/>
                <w:iCs/>
                <w:sz w:val="20"/>
                <w:szCs w:val="20"/>
                <w:lang w:val="fr-CA"/>
              </w:rPr>
              <w:t>Charte</w:t>
            </w:r>
            <w:r w:rsidRPr="00726F45">
              <w:rPr>
                <w:sz w:val="20"/>
                <w:szCs w:val="20"/>
                <w:lang w:val="fr-CA"/>
              </w:rPr>
              <w:t xml:space="preserve">. Les membres majoritaires du comité de discipline ont statué que les éléments de preuve étaient inadmissibles et ont rejeté les allégations de conduite non professionnelle, puisque sans ces éléments de preuve, l’Ordre n’avait aucun motif d’infliger une sanction disciplinaire au demandeur. La Cour divisionnaire a accueilli l’appel, annulé la décision du comité de discipline et renvoyé l’affaire à l’Ordre pour que l’affaire soit entendue de nouveau devant une autre formation du comité de discipline dans le but de faire l’analyse fondée sur l’arrêt </w:t>
            </w:r>
            <w:r w:rsidRPr="00726F45">
              <w:rPr>
                <w:i/>
                <w:iCs/>
                <w:sz w:val="20"/>
                <w:szCs w:val="20"/>
                <w:lang w:val="fr-CA"/>
              </w:rPr>
              <w:t>R. c. Grant</w:t>
            </w:r>
            <w:r w:rsidRPr="00726F45">
              <w:rPr>
                <w:sz w:val="20"/>
                <w:szCs w:val="20"/>
                <w:lang w:val="fr-CA"/>
              </w:rPr>
              <w:t>, 2009 CSC 32, [2009] 2 R.C.S. 353 et de trancher la motion du demandeur en exclusion de la preuve. La Cour d’appel a rejeté la motion du demandeur en autorisation d’interjeter appel.</w:t>
            </w:r>
          </w:p>
        </w:tc>
      </w:tr>
      <w:tr w:rsidR="00726F45" w:rsidRPr="00937854" w:rsidTr="005F4D83">
        <w:tc>
          <w:tcPr>
            <w:tcW w:w="5000" w:type="pct"/>
            <w:gridSpan w:val="4"/>
          </w:tcPr>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20 février 2019</w:t>
            </w:r>
          </w:p>
          <w:p w:rsidR="00726F45" w:rsidRPr="00726F45" w:rsidRDefault="00726F45" w:rsidP="00726F45">
            <w:pPr>
              <w:rPr>
                <w:sz w:val="20"/>
                <w:szCs w:val="20"/>
                <w:lang w:val="fr-CA"/>
              </w:rPr>
            </w:pPr>
            <w:r w:rsidRPr="00726F45">
              <w:rPr>
                <w:sz w:val="20"/>
                <w:szCs w:val="20"/>
                <w:lang w:val="fr-CA"/>
              </w:rPr>
              <w:t>Cour supérieure de justice de l’Ontario</w:t>
            </w:r>
          </w:p>
          <w:p w:rsidR="00726F45" w:rsidRPr="00726F45" w:rsidRDefault="00726F45" w:rsidP="00726F45">
            <w:pPr>
              <w:rPr>
                <w:sz w:val="20"/>
                <w:szCs w:val="20"/>
                <w:lang w:val="fr-CA"/>
              </w:rPr>
            </w:pPr>
            <w:r w:rsidRPr="00726F45">
              <w:rPr>
                <w:sz w:val="20"/>
                <w:szCs w:val="20"/>
                <w:lang w:val="fr-CA"/>
              </w:rPr>
              <w:t>(Cour divisionnaire)</w:t>
            </w:r>
          </w:p>
          <w:p w:rsidR="00726F45" w:rsidRPr="00726F45" w:rsidRDefault="00726F45" w:rsidP="00726F45">
            <w:pPr>
              <w:rPr>
                <w:sz w:val="20"/>
                <w:szCs w:val="20"/>
                <w:lang w:val="fr-CA"/>
              </w:rPr>
            </w:pPr>
            <w:r w:rsidRPr="00726F45">
              <w:rPr>
                <w:sz w:val="20"/>
                <w:szCs w:val="20"/>
                <w:lang w:val="fr-CA"/>
              </w:rPr>
              <w:t xml:space="preserve">(Juge principal régional </w:t>
            </w:r>
            <w:proofErr w:type="spellStart"/>
            <w:r w:rsidRPr="00726F45">
              <w:rPr>
                <w:sz w:val="20"/>
                <w:szCs w:val="20"/>
                <w:lang w:val="fr-CA"/>
              </w:rPr>
              <w:t>Morawetz</w:t>
            </w:r>
            <w:proofErr w:type="spellEnd"/>
            <w:r w:rsidRPr="00726F45">
              <w:rPr>
                <w:sz w:val="20"/>
                <w:szCs w:val="20"/>
                <w:lang w:val="fr-CA"/>
              </w:rPr>
              <w:t xml:space="preserve">, juges </w:t>
            </w:r>
            <w:proofErr w:type="spellStart"/>
            <w:r w:rsidRPr="00726F45">
              <w:rPr>
                <w:sz w:val="20"/>
                <w:szCs w:val="20"/>
                <w:lang w:val="fr-CA"/>
              </w:rPr>
              <w:t>Horkins</w:t>
            </w:r>
            <w:proofErr w:type="spellEnd"/>
            <w:r w:rsidRPr="00726F45">
              <w:rPr>
                <w:sz w:val="20"/>
                <w:szCs w:val="20"/>
                <w:lang w:val="fr-CA"/>
              </w:rPr>
              <w:t xml:space="preserve"> et Matheson)</w:t>
            </w:r>
          </w:p>
          <w:p w:rsidR="00726F45" w:rsidRPr="00726F45" w:rsidRDefault="00937854" w:rsidP="00726F45">
            <w:pPr>
              <w:rPr>
                <w:sz w:val="20"/>
                <w:szCs w:val="20"/>
                <w:lang w:val="fr-CA"/>
              </w:rPr>
            </w:pPr>
            <w:hyperlink r:id="rId20" w:history="1">
              <w:r w:rsidR="00726F45" w:rsidRPr="00726F45">
                <w:rPr>
                  <w:rStyle w:val="Hyperlink"/>
                  <w:sz w:val="20"/>
                  <w:szCs w:val="20"/>
                  <w:lang w:val="fr-CA"/>
                </w:rPr>
                <w:t>2019 ONSC 946</w:t>
              </w:r>
            </w:hyperlink>
          </w:p>
          <w:p w:rsidR="00726F45" w:rsidRPr="00726F45" w:rsidRDefault="00726F45" w:rsidP="00726F45">
            <w:pPr>
              <w:rPr>
                <w:sz w:val="20"/>
                <w:szCs w:val="20"/>
                <w:lang w:val="fr-CA"/>
              </w:rPr>
            </w:pPr>
            <w:r w:rsidRPr="00726F45">
              <w:rPr>
                <w:sz w:val="20"/>
                <w:szCs w:val="20"/>
                <w:lang w:val="fr-CA"/>
              </w:rPr>
              <w:t>306/18</w:t>
            </w:r>
          </w:p>
          <w:p w:rsidR="00726F45" w:rsidRPr="00726F45" w:rsidRDefault="00726F45" w:rsidP="00726F45">
            <w:pPr>
              <w:rPr>
                <w:sz w:val="20"/>
                <w:szCs w:val="20"/>
                <w:lang w:val="fr-CA"/>
              </w:rPr>
            </w:pP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Jugement accueillant l’appel interjeté par le demandeur de l’ordonnance du comité de discipline de l’Ordre des vétérinaires de l’Ontario, annulant la décision et ordonnant la tenue d’une nouvelle audience, sans frais</w:t>
            </w:r>
          </w:p>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29 mai 2019</w:t>
            </w:r>
          </w:p>
          <w:p w:rsidR="00726F45" w:rsidRPr="00726F45" w:rsidRDefault="00726F45" w:rsidP="00726F45">
            <w:pPr>
              <w:rPr>
                <w:sz w:val="20"/>
                <w:szCs w:val="20"/>
                <w:lang w:val="fr-CA"/>
              </w:rPr>
            </w:pPr>
            <w:r w:rsidRPr="00726F45">
              <w:rPr>
                <w:sz w:val="20"/>
                <w:szCs w:val="20"/>
                <w:lang w:val="fr-CA"/>
              </w:rPr>
              <w:t>Cour d’appel de l’Ontario</w:t>
            </w:r>
          </w:p>
          <w:p w:rsidR="00726F45" w:rsidRPr="00726F45" w:rsidRDefault="00726F45" w:rsidP="00726F45">
            <w:pPr>
              <w:rPr>
                <w:sz w:val="20"/>
                <w:szCs w:val="20"/>
                <w:lang w:val="fr-CA"/>
              </w:rPr>
            </w:pPr>
            <w:r w:rsidRPr="00726F45">
              <w:rPr>
                <w:sz w:val="20"/>
                <w:szCs w:val="20"/>
                <w:lang w:val="fr-CA"/>
              </w:rPr>
              <w:t xml:space="preserve">(Juges </w:t>
            </w:r>
            <w:proofErr w:type="spellStart"/>
            <w:r w:rsidRPr="00726F45">
              <w:rPr>
                <w:sz w:val="20"/>
                <w:szCs w:val="20"/>
                <w:lang w:val="fr-CA"/>
              </w:rPr>
              <w:t>Feldman</w:t>
            </w:r>
            <w:proofErr w:type="spellEnd"/>
            <w:r w:rsidRPr="00726F45">
              <w:rPr>
                <w:sz w:val="20"/>
                <w:szCs w:val="20"/>
                <w:lang w:val="fr-CA"/>
              </w:rPr>
              <w:t xml:space="preserve">, </w:t>
            </w:r>
            <w:proofErr w:type="spellStart"/>
            <w:r w:rsidRPr="00726F45">
              <w:rPr>
                <w:sz w:val="20"/>
                <w:szCs w:val="20"/>
                <w:lang w:val="fr-CA"/>
              </w:rPr>
              <w:t>MacPherson</w:t>
            </w:r>
            <w:proofErr w:type="spellEnd"/>
            <w:r w:rsidRPr="00726F45">
              <w:rPr>
                <w:sz w:val="20"/>
                <w:szCs w:val="20"/>
                <w:lang w:val="fr-CA"/>
              </w:rPr>
              <w:t xml:space="preserve"> et Simmons)</w:t>
            </w:r>
          </w:p>
          <w:p w:rsidR="00726F45" w:rsidRPr="00726F45" w:rsidRDefault="00726F45" w:rsidP="00726F45">
            <w:pPr>
              <w:rPr>
                <w:sz w:val="20"/>
                <w:szCs w:val="20"/>
                <w:lang w:val="fr-CA"/>
              </w:rPr>
            </w:pPr>
            <w:r w:rsidRPr="00726F45">
              <w:rPr>
                <w:sz w:val="20"/>
                <w:szCs w:val="20"/>
                <w:lang w:val="fr-CA"/>
              </w:rPr>
              <w:t>M50223</w:t>
            </w:r>
          </w:p>
          <w:p w:rsidR="00726F45" w:rsidRPr="00726F45" w:rsidRDefault="00726F45" w:rsidP="00726F45">
            <w:pPr>
              <w:rPr>
                <w:sz w:val="20"/>
                <w:szCs w:val="20"/>
                <w:lang w:val="fr-CA"/>
              </w:rPr>
            </w:pPr>
            <w:r w:rsidRPr="00726F45">
              <w:rPr>
                <w:sz w:val="20"/>
                <w:szCs w:val="20"/>
                <w:lang w:val="fr-CA"/>
              </w:rPr>
              <w:t>(non publié)</w:t>
            </w:r>
          </w:p>
          <w:p w:rsidR="00726F45" w:rsidRPr="00726F45" w:rsidRDefault="00726F45" w:rsidP="00726F45">
            <w:pPr>
              <w:rPr>
                <w:sz w:val="20"/>
                <w:szCs w:val="20"/>
                <w:lang w:val="fr-CA"/>
              </w:rPr>
            </w:pP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Rejet de la motion du demandeur en autorisation d’interjeter appel avec dépens fixés à 500 $</w:t>
            </w:r>
          </w:p>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28 août 2019</w:t>
            </w:r>
          </w:p>
          <w:p w:rsidR="00726F45" w:rsidRPr="00726F45" w:rsidRDefault="00726F45" w:rsidP="00726F45">
            <w:pPr>
              <w:rPr>
                <w:sz w:val="20"/>
                <w:szCs w:val="20"/>
                <w:lang w:val="fr-CA"/>
              </w:rPr>
            </w:pPr>
            <w:r w:rsidRPr="00726F45">
              <w:rPr>
                <w:sz w:val="20"/>
                <w:szCs w:val="20"/>
                <w:lang w:val="fr-CA"/>
              </w:rPr>
              <w:t>Cour suprême du Canada</w:t>
            </w: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Dépôt de la demande d’autorisation d’appel</w:t>
            </w:r>
          </w:p>
          <w:p w:rsidR="00726F45" w:rsidRPr="00726F45" w:rsidRDefault="00726F45" w:rsidP="00726F45">
            <w:pPr>
              <w:rPr>
                <w:sz w:val="20"/>
                <w:szCs w:val="20"/>
                <w:lang w:val="fr-CA"/>
              </w:rPr>
            </w:pPr>
          </w:p>
        </w:tc>
      </w:tr>
    </w:tbl>
    <w:p w:rsidR="00726F45" w:rsidRPr="00726F45" w:rsidRDefault="00726F45" w:rsidP="00726F45">
      <w:pPr>
        <w:rPr>
          <w:sz w:val="20"/>
          <w:szCs w:val="20"/>
          <w:lang w:val="fr-CA"/>
        </w:rPr>
      </w:pPr>
    </w:p>
    <w:p w:rsidR="00726F45" w:rsidRPr="00726F45" w:rsidRDefault="00937854" w:rsidP="00726F45">
      <w:pPr>
        <w:rPr>
          <w:sz w:val="20"/>
          <w:szCs w:val="20"/>
          <w:lang w:val="en-US"/>
        </w:rPr>
      </w:pPr>
      <w:r>
        <w:rPr>
          <w:sz w:val="20"/>
          <w:szCs w:val="20"/>
          <w:lang w:val="en-US"/>
        </w:rPr>
        <w:pict>
          <v:rect id="_x0000_i1037" style="width:2in;height:1pt" o:hrpct="0" o:hralign="center" o:hrstd="t" o:hrnoshade="t" o:hr="t" fillcolor="black [3213]" stroked="f"/>
        </w:pict>
      </w:r>
    </w:p>
    <w:p w:rsidR="00726F45" w:rsidRPr="00726F45" w:rsidRDefault="00726F45" w:rsidP="00726F45">
      <w:pPr>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726F45" w:rsidTr="005F4D83">
        <w:tc>
          <w:tcPr>
            <w:tcW w:w="543" w:type="pct"/>
          </w:tcPr>
          <w:p w:rsidR="00726F45" w:rsidRPr="00726F45" w:rsidRDefault="00726F45" w:rsidP="00726F45">
            <w:pPr>
              <w:rPr>
                <w:sz w:val="20"/>
                <w:szCs w:val="20"/>
                <w:lang w:val="en-US"/>
              </w:rPr>
            </w:pPr>
            <w:r w:rsidRPr="00726F45">
              <w:rPr>
                <w:b/>
                <w:sz w:val="20"/>
                <w:szCs w:val="20"/>
              </w:rPr>
              <w:lastRenderedPageBreak/>
              <w:t>38854</w:t>
            </w:r>
          </w:p>
        </w:tc>
        <w:tc>
          <w:tcPr>
            <w:tcW w:w="4457" w:type="pct"/>
            <w:gridSpan w:val="3"/>
          </w:tcPr>
          <w:p w:rsidR="00726F45" w:rsidRPr="00726F45" w:rsidRDefault="00726F45" w:rsidP="00726F45">
            <w:pPr>
              <w:rPr>
                <w:b/>
                <w:sz w:val="20"/>
                <w:szCs w:val="20"/>
                <w:lang w:val="en-US"/>
              </w:rPr>
            </w:pPr>
            <w:r w:rsidRPr="00726F45">
              <w:rPr>
                <w:b/>
                <w:sz w:val="20"/>
                <w:szCs w:val="20"/>
                <w:lang w:val="en-US"/>
              </w:rPr>
              <w:t>Her Majesty the Queen v. R.V.</w:t>
            </w:r>
          </w:p>
          <w:p w:rsidR="00726F45" w:rsidRPr="00726F45" w:rsidRDefault="00726F45" w:rsidP="00726F45">
            <w:pPr>
              <w:rPr>
                <w:sz w:val="20"/>
                <w:szCs w:val="20"/>
                <w:lang w:val="en-US"/>
              </w:rPr>
            </w:pPr>
            <w:r w:rsidRPr="00726F45">
              <w:rPr>
                <w:sz w:val="20"/>
                <w:szCs w:val="20"/>
                <w:lang w:val="en-US"/>
              </w:rPr>
              <w:t>(Ont.) (Criminal) (As of Right / By Leave)</w:t>
            </w:r>
          </w:p>
        </w:tc>
      </w:tr>
      <w:tr w:rsidR="00726F45" w:rsidRPr="00726F45" w:rsidTr="005F4D83">
        <w:tc>
          <w:tcPr>
            <w:tcW w:w="5000" w:type="pct"/>
            <w:gridSpan w:val="4"/>
          </w:tcPr>
          <w:p w:rsidR="00726F45" w:rsidRPr="00726F45" w:rsidRDefault="00726F45" w:rsidP="00726F45">
            <w:pPr>
              <w:rPr>
                <w:sz w:val="20"/>
                <w:szCs w:val="20"/>
                <w:lang w:val="en-US"/>
              </w:rPr>
            </w:pPr>
            <w:r w:rsidRPr="00726F45">
              <w:rPr>
                <w:sz w:val="20"/>
                <w:szCs w:val="20"/>
                <w:lang w:val="en-US"/>
              </w:rPr>
              <w:t>(Publication ban in case) (Publication ban on party)</w:t>
            </w:r>
          </w:p>
          <w:p w:rsidR="00726F45" w:rsidRDefault="00726F45" w:rsidP="00726F45">
            <w:pPr>
              <w:rPr>
                <w:sz w:val="20"/>
                <w:szCs w:val="20"/>
                <w:lang w:val="en-US"/>
              </w:rPr>
            </w:pPr>
          </w:p>
          <w:p w:rsidR="00A521D5" w:rsidRDefault="00A521D5" w:rsidP="00726F45">
            <w:pPr>
              <w:rPr>
                <w:sz w:val="20"/>
                <w:szCs w:val="20"/>
                <w:lang w:val="en-US"/>
              </w:rPr>
            </w:pPr>
            <w:r w:rsidRPr="00A521D5">
              <w:rPr>
                <w:sz w:val="20"/>
                <w:szCs w:val="20"/>
                <w:lang w:val="en-US"/>
              </w:rPr>
              <w:t>The application for leave to appeal from the judgment of the Court of Appeal for Ontario, Number C61866, 2019 ONCA 664, dated August 26, 2019, is granted.</w:t>
            </w:r>
          </w:p>
          <w:p w:rsidR="00A521D5" w:rsidRPr="00726F45" w:rsidRDefault="00A521D5" w:rsidP="00726F45">
            <w:pPr>
              <w:rPr>
                <w:sz w:val="20"/>
                <w:szCs w:val="20"/>
                <w:lang w:val="en-US"/>
              </w:rPr>
            </w:pPr>
          </w:p>
          <w:p w:rsidR="00726F45" w:rsidRPr="00726F45" w:rsidRDefault="00726F45" w:rsidP="00726F45">
            <w:pPr>
              <w:rPr>
                <w:sz w:val="20"/>
                <w:szCs w:val="20"/>
                <w:lang w:val="en-US"/>
              </w:rPr>
            </w:pPr>
            <w:r w:rsidRPr="00726F45">
              <w:rPr>
                <w:sz w:val="20"/>
                <w:szCs w:val="20"/>
                <w:lang w:val="en-US"/>
              </w:rPr>
              <w:t>Criminal law — Appeal — Verdict — Unreasonable verdict — Inconsistent verdict — Instructions to jury — Accused convicted by jury of sexual interference and invitation to sexual touching but acquitted of sexual assault — Offences arising on same evidence — Accused appealing convictions — Crown cross</w:t>
            </w:r>
            <w:r w:rsidRPr="00726F45">
              <w:rPr>
                <w:sz w:val="20"/>
                <w:szCs w:val="20"/>
                <w:lang w:val="en-US"/>
              </w:rPr>
              <w:noBreakHyphen/>
              <w:t>appealing acquittal — On an appeal against conviction alleging inconsistent verdicts, can the Crown rely on defective jury instructions to explain the inconsistency; or must the Crown bring a cross</w:t>
            </w:r>
            <w:r w:rsidRPr="00726F45">
              <w:rPr>
                <w:sz w:val="20"/>
                <w:szCs w:val="20"/>
                <w:lang w:val="en-US"/>
              </w:rPr>
              <w:noBreakHyphen/>
              <w:t>appeal before the acquittal can be impugned on this basis? — If a Crown appeal is necessary, what are the implications of a successful Crown appeal against the acquittal in terms of the appropriate disposition for both appeals?</w:t>
            </w:r>
          </w:p>
        </w:tc>
      </w:tr>
      <w:tr w:rsidR="00726F45" w:rsidRPr="00726F45" w:rsidTr="005F4D83">
        <w:tc>
          <w:tcPr>
            <w:tcW w:w="5000" w:type="pct"/>
            <w:gridSpan w:val="4"/>
          </w:tcPr>
          <w:p w:rsidR="00726F45" w:rsidRPr="00726F45" w:rsidRDefault="00726F45" w:rsidP="00726F45">
            <w:pPr>
              <w:rPr>
                <w:sz w:val="20"/>
                <w:szCs w:val="20"/>
                <w:lang w:val="en-US"/>
              </w:rPr>
            </w:pPr>
          </w:p>
          <w:p w:rsidR="00726F45" w:rsidRPr="00726F45" w:rsidRDefault="00726F45" w:rsidP="00726F45">
            <w:pPr>
              <w:rPr>
                <w:sz w:val="20"/>
                <w:szCs w:val="20"/>
                <w:lang w:val="en-US"/>
              </w:rPr>
            </w:pPr>
            <w:r w:rsidRPr="00726F45">
              <w:rPr>
                <w:sz w:val="20"/>
                <w:szCs w:val="20"/>
                <w:lang w:val="en-US"/>
              </w:rPr>
              <w:t>At trial before judge and jury, the respondent, R.V., was convicted of sexual interference and invitation to sexual touching but acquitted on a charge of sexual assault based on the very same evidence. R.V. appealed the two convictions asserting that they were inconsistent with the acquittal, that the convictions were therefore unreasonable, and that acquittals should have been entered instead. The applicant Crown then cross</w:t>
            </w:r>
            <w:r w:rsidRPr="00726F45">
              <w:rPr>
                <w:sz w:val="20"/>
                <w:szCs w:val="20"/>
                <w:lang w:val="en-US"/>
              </w:rPr>
              <w:noBreakHyphen/>
              <w:t>appealed the acquittal contending that the inconsistency in the verdicts could be reconciled by confusing jury instructions, which led the jury to believe the force required for sexual assault was different than the touching required for sexual interference and invitation to sexual touching. A majority of a panel of five judges at the Court of Appeal allowed R.V.’s appeal, quashed the two guilty verdicts and directed that verdicts of acquittal be entered because the confusing instruction to the jury on sexual assault could not reconcile the verdicts and they therefore had to be set aside. The majority also dismissed the Crown’s cross</w:t>
            </w:r>
            <w:r w:rsidRPr="00726F45">
              <w:rPr>
                <w:sz w:val="20"/>
                <w:szCs w:val="20"/>
                <w:lang w:val="en-US"/>
              </w:rPr>
              <w:noBreakHyphen/>
              <w:t>appeal on the acquittal. In dissent, Rouleau J.A. (with Miller J.A. concurring), would have allowed R.V.’s appeal and the Crown’s cross</w:t>
            </w:r>
            <w:r w:rsidRPr="00726F45">
              <w:rPr>
                <w:sz w:val="20"/>
                <w:szCs w:val="20"/>
                <w:lang w:val="en-US"/>
              </w:rPr>
              <w:noBreakHyphen/>
              <w:t xml:space="preserve">appeal and ordered a new trial on all three charges. The dissent found there was an error of law in the jury instructions and explained that where both the conviction and acquittal are appealed and the inconsistent verdicts are properly explained by a confusing charge that in fact confused the jury, a new trial is the appropriate disposition. </w:t>
            </w:r>
          </w:p>
        </w:tc>
      </w:tr>
      <w:tr w:rsidR="00726F45" w:rsidRPr="00726F45" w:rsidTr="005F4D83">
        <w:tc>
          <w:tcPr>
            <w:tcW w:w="5000" w:type="pct"/>
            <w:gridSpan w:val="4"/>
          </w:tcPr>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en-US"/>
              </w:rPr>
            </w:pPr>
            <w:r w:rsidRPr="00726F45">
              <w:rPr>
                <w:sz w:val="20"/>
                <w:szCs w:val="20"/>
                <w:lang w:val="en-US"/>
              </w:rPr>
              <w:t>January 29, 2016</w:t>
            </w:r>
          </w:p>
          <w:p w:rsidR="00726F45" w:rsidRPr="00726F45" w:rsidRDefault="00726F45" w:rsidP="00726F45">
            <w:pPr>
              <w:rPr>
                <w:sz w:val="20"/>
                <w:szCs w:val="20"/>
                <w:lang w:val="en-US"/>
              </w:rPr>
            </w:pPr>
            <w:r w:rsidRPr="00726F45">
              <w:rPr>
                <w:sz w:val="20"/>
                <w:szCs w:val="20"/>
                <w:lang w:val="en-US"/>
              </w:rPr>
              <w:t>Ontario Superior Court of Justice</w:t>
            </w:r>
          </w:p>
          <w:p w:rsidR="00726F45" w:rsidRPr="00726F45" w:rsidRDefault="00726F45" w:rsidP="00726F45">
            <w:pPr>
              <w:rPr>
                <w:sz w:val="20"/>
                <w:szCs w:val="20"/>
                <w:lang w:val="en-US"/>
              </w:rPr>
            </w:pPr>
            <w:r w:rsidRPr="00726F45">
              <w:rPr>
                <w:sz w:val="20"/>
                <w:szCs w:val="20"/>
                <w:lang w:val="en-US"/>
              </w:rPr>
              <w:t>(Vallee J.)</w:t>
            </w:r>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Respondent convicted by jury of sexual interference and invitation to sexual touching. Applicant acquitted of sexual assault.</w:t>
            </w:r>
          </w:p>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en-US"/>
              </w:rPr>
            </w:pPr>
            <w:r w:rsidRPr="00726F45">
              <w:rPr>
                <w:sz w:val="20"/>
                <w:szCs w:val="20"/>
                <w:lang w:val="en-US"/>
              </w:rPr>
              <w:t>August 26, 2019</w:t>
            </w:r>
          </w:p>
          <w:p w:rsidR="00726F45" w:rsidRPr="00726F45" w:rsidRDefault="00726F45" w:rsidP="00726F45">
            <w:pPr>
              <w:rPr>
                <w:sz w:val="20"/>
                <w:szCs w:val="20"/>
                <w:lang w:val="en-US"/>
              </w:rPr>
            </w:pPr>
            <w:r w:rsidRPr="00726F45">
              <w:rPr>
                <w:sz w:val="20"/>
                <w:szCs w:val="20"/>
                <w:lang w:val="en-US"/>
              </w:rPr>
              <w:t>Court of Appeal for Ontario</w:t>
            </w:r>
          </w:p>
          <w:p w:rsidR="00726F45" w:rsidRPr="00726F45" w:rsidRDefault="00726F45" w:rsidP="00726F45">
            <w:pPr>
              <w:rPr>
                <w:sz w:val="20"/>
                <w:szCs w:val="20"/>
                <w:lang w:val="en-US"/>
              </w:rPr>
            </w:pPr>
            <w:r w:rsidRPr="00726F45">
              <w:rPr>
                <w:sz w:val="20"/>
                <w:szCs w:val="20"/>
                <w:lang w:val="en-US"/>
              </w:rPr>
              <w:t xml:space="preserve">(Strathy C.J.O. and Rouleau, Pardu, Miller and </w:t>
            </w:r>
          </w:p>
          <w:p w:rsidR="00726F45" w:rsidRPr="00726F45" w:rsidRDefault="00726F45" w:rsidP="00726F45">
            <w:pPr>
              <w:rPr>
                <w:sz w:val="20"/>
                <w:szCs w:val="20"/>
                <w:lang w:val="en-US"/>
              </w:rPr>
            </w:pPr>
            <w:r w:rsidRPr="00726F45">
              <w:rPr>
                <w:sz w:val="20"/>
                <w:szCs w:val="20"/>
                <w:lang w:val="en-US"/>
              </w:rPr>
              <w:t>Trotter JJ.A.)</w:t>
            </w:r>
          </w:p>
          <w:p w:rsidR="00726F45" w:rsidRPr="00726F45" w:rsidRDefault="00937854" w:rsidP="00726F45">
            <w:pPr>
              <w:rPr>
                <w:sz w:val="20"/>
                <w:szCs w:val="20"/>
                <w:lang w:val="en-US"/>
              </w:rPr>
            </w:pPr>
            <w:hyperlink r:id="rId21" w:history="1">
              <w:r w:rsidR="00726F45" w:rsidRPr="00726F45">
                <w:rPr>
                  <w:rStyle w:val="Hyperlink"/>
                  <w:sz w:val="20"/>
                  <w:szCs w:val="20"/>
                  <w:lang w:val="en-US"/>
                </w:rPr>
                <w:t>2019 ONCA 664</w:t>
              </w:r>
            </w:hyperlink>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 xml:space="preserve">Respondent’s appeal allowed: guilty verdicts quashed and verdicts of acquittal entered for </w:t>
            </w:r>
            <w:r w:rsidRPr="00726F45">
              <w:rPr>
                <w:sz w:val="20"/>
                <w:szCs w:val="20"/>
                <w:lang w:val="en"/>
              </w:rPr>
              <w:t>sexual interference and invitation to sexual touching</w:t>
            </w:r>
            <w:r w:rsidRPr="00726F45">
              <w:rPr>
                <w:sz w:val="20"/>
                <w:szCs w:val="20"/>
                <w:lang w:val="en-US"/>
              </w:rPr>
              <w:t>. Crown’s extension of time to bring cross</w:t>
            </w:r>
            <w:r w:rsidRPr="00726F45">
              <w:rPr>
                <w:sz w:val="20"/>
                <w:szCs w:val="20"/>
                <w:lang w:val="en-US"/>
              </w:rPr>
              <w:noBreakHyphen/>
              <w:t>appeal granted; cross</w:t>
            </w:r>
            <w:r w:rsidRPr="00726F45">
              <w:rPr>
                <w:sz w:val="20"/>
                <w:szCs w:val="20"/>
                <w:lang w:val="en-US"/>
              </w:rPr>
              <w:noBreakHyphen/>
              <w:t>appeal on acquittal dismissed.</w:t>
            </w:r>
          </w:p>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en-US"/>
              </w:rPr>
            </w:pPr>
            <w:r w:rsidRPr="00726F45">
              <w:rPr>
                <w:sz w:val="20"/>
                <w:szCs w:val="20"/>
                <w:lang w:val="en-US"/>
              </w:rPr>
              <w:t>October 17, 2019</w:t>
            </w:r>
          </w:p>
          <w:p w:rsidR="00726F45" w:rsidRPr="00726F45" w:rsidRDefault="00726F45" w:rsidP="00726F45">
            <w:pPr>
              <w:rPr>
                <w:sz w:val="20"/>
                <w:szCs w:val="20"/>
                <w:lang w:val="en-US"/>
              </w:rPr>
            </w:pPr>
            <w:r w:rsidRPr="00726F45">
              <w:rPr>
                <w:sz w:val="20"/>
                <w:szCs w:val="20"/>
                <w:lang w:val="en-US"/>
              </w:rPr>
              <w:t>Supreme Court of Canada</w:t>
            </w:r>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Notice of appeal filed.</w:t>
            </w:r>
          </w:p>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en-US"/>
              </w:rPr>
            </w:pPr>
            <w:r w:rsidRPr="00726F45">
              <w:rPr>
                <w:sz w:val="20"/>
                <w:szCs w:val="20"/>
                <w:lang w:val="en-US"/>
              </w:rPr>
              <w:t>October 25, 2019</w:t>
            </w:r>
          </w:p>
          <w:p w:rsidR="00726F45" w:rsidRPr="00726F45" w:rsidRDefault="00726F45" w:rsidP="00726F45">
            <w:pPr>
              <w:rPr>
                <w:sz w:val="20"/>
                <w:szCs w:val="20"/>
                <w:lang w:val="en-US"/>
              </w:rPr>
            </w:pPr>
            <w:r w:rsidRPr="00726F45">
              <w:rPr>
                <w:sz w:val="20"/>
                <w:szCs w:val="20"/>
                <w:lang w:val="en-US"/>
              </w:rPr>
              <w:t>Supreme Court of Canada</w:t>
            </w: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Application for leave to appeal filed</w:t>
            </w:r>
          </w:p>
          <w:p w:rsidR="00726F45" w:rsidRPr="00726F45" w:rsidRDefault="00726F45" w:rsidP="00726F45">
            <w:pPr>
              <w:rPr>
                <w:sz w:val="20"/>
                <w:szCs w:val="20"/>
                <w:lang w:val="en-US"/>
              </w:rPr>
            </w:pPr>
          </w:p>
        </w:tc>
      </w:tr>
    </w:tbl>
    <w:p w:rsidR="00726F45" w:rsidRPr="00726F45" w:rsidRDefault="00726F45" w:rsidP="00726F45">
      <w:pPr>
        <w:rPr>
          <w:sz w:val="20"/>
          <w:szCs w:val="20"/>
          <w:lang w:val="en-US"/>
        </w:rPr>
      </w:pPr>
    </w:p>
    <w:p w:rsidR="00726F45" w:rsidRPr="00726F45" w:rsidRDefault="00937854" w:rsidP="00726F45">
      <w:pPr>
        <w:rPr>
          <w:sz w:val="20"/>
          <w:szCs w:val="20"/>
          <w:lang w:val="en-US"/>
        </w:rPr>
      </w:pPr>
      <w:r>
        <w:rPr>
          <w:sz w:val="20"/>
          <w:szCs w:val="20"/>
          <w:lang w:val="en-US"/>
        </w:rPr>
        <w:pict>
          <v:rect id="_x0000_i1038" style="width:2in;height:1pt" o:hrpct="0" o:hralign="center" o:hrstd="t" o:hrnoshade="t" o:hr="t" fillcolor="black [3213]" stroked="f"/>
        </w:pict>
      </w:r>
    </w:p>
    <w:p w:rsidR="00726F45" w:rsidRPr="00726F45" w:rsidRDefault="00726F45" w:rsidP="00726F45">
      <w:pPr>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937854" w:rsidTr="005F4D83">
        <w:tc>
          <w:tcPr>
            <w:tcW w:w="543" w:type="pct"/>
          </w:tcPr>
          <w:p w:rsidR="00726F45" w:rsidRPr="00726F45" w:rsidRDefault="00726F45" w:rsidP="00726F45">
            <w:pPr>
              <w:rPr>
                <w:sz w:val="20"/>
                <w:szCs w:val="20"/>
                <w:lang w:val="fr-CA"/>
              </w:rPr>
            </w:pPr>
            <w:r w:rsidRPr="00726F45">
              <w:rPr>
                <w:b/>
                <w:sz w:val="20"/>
                <w:szCs w:val="20"/>
                <w:lang w:val="fr-CA"/>
              </w:rPr>
              <w:t>38854</w:t>
            </w:r>
          </w:p>
        </w:tc>
        <w:tc>
          <w:tcPr>
            <w:tcW w:w="4457" w:type="pct"/>
            <w:gridSpan w:val="3"/>
          </w:tcPr>
          <w:p w:rsidR="00726F45" w:rsidRPr="00726F45" w:rsidRDefault="00726F45" w:rsidP="00726F45">
            <w:pPr>
              <w:rPr>
                <w:b/>
                <w:sz w:val="20"/>
                <w:szCs w:val="20"/>
                <w:lang w:val="fr-CA"/>
              </w:rPr>
            </w:pPr>
            <w:r w:rsidRPr="00726F45">
              <w:rPr>
                <w:b/>
                <w:sz w:val="20"/>
                <w:szCs w:val="20"/>
                <w:lang w:val="fr-CA"/>
              </w:rPr>
              <w:t>Sa Majesté la Reine c. R.V.</w:t>
            </w:r>
          </w:p>
          <w:p w:rsidR="00726F45" w:rsidRPr="00726F45" w:rsidRDefault="00726F45" w:rsidP="00726F45">
            <w:pPr>
              <w:rPr>
                <w:sz w:val="20"/>
                <w:szCs w:val="20"/>
                <w:lang w:val="fr-CA"/>
              </w:rPr>
            </w:pPr>
            <w:r w:rsidRPr="00726F45">
              <w:rPr>
                <w:sz w:val="20"/>
                <w:szCs w:val="20"/>
                <w:lang w:val="fr-CA"/>
              </w:rPr>
              <w:t>(Ont.) (Criminelle) (De plein droit / Autorisation)</w:t>
            </w:r>
          </w:p>
        </w:tc>
      </w:tr>
      <w:tr w:rsidR="00726F45" w:rsidRPr="00937854" w:rsidTr="005F4D83">
        <w:tc>
          <w:tcPr>
            <w:tcW w:w="5000" w:type="pct"/>
            <w:gridSpan w:val="4"/>
          </w:tcPr>
          <w:p w:rsidR="00726F45" w:rsidRPr="00726F45" w:rsidRDefault="00726F45" w:rsidP="00726F45">
            <w:pPr>
              <w:rPr>
                <w:sz w:val="20"/>
                <w:szCs w:val="20"/>
                <w:lang w:val="fr-CA"/>
              </w:rPr>
            </w:pPr>
            <w:r w:rsidRPr="00726F45">
              <w:rPr>
                <w:sz w:val="20"/>
                <w:szCs w:val="20"/>
                <w:lang w:val="fr-CA"/>
              </w:rPr>
              <w:t>(Ordonnance de non</w:t>
            </w:r>
            <w:r w:rsidRPr="00726F45">
              <w:rPr>
                <w:sz w:val="20"/>
                <w:szCs w:val="20"/>
                <w:lang w:val="fr-CA"/>
              </w:rPr>
              <w:noBreakHyphen/>
              <w:t>publication dans le dossier) (Ordonnance de non-publication visant une partie)</w:t>
            </w:r>
          </w:p>
          <w:p w:rsidR="00726F45" w:rsidRDefault="00726F45" w:rsidP="00726F45">
            <w:pPr>
              <w:rPr>
                <w:sz w:val="20"/>
                <w:szCs w:val="20"/>
                <w:lang w:val="fr-CA"/>
              </w:rPr>
            </w:pPr>
          </w:p>
          <w:p w:rsidR="00A521D5" w:rsidRDefault="00A521D5" w:rsidP="00726F45">
            <w:pPr>
              <w:rPr>
                <w:sz w:val="20"/>
                <w:szCs w:val="20"/>
                <w:lang w:val="fr-CA"/>
              </w:rPr>
            </w:pPr>
            <w:r w:rsidRPr="00A521D5">
              <w:rPr>
                <w:sz w:val="20"/>
                <w:szCs w:val="20"/>
                <w:lang w:val="fr-CA"/>
              </w:rPr>
              <w:t>La demande d’autorisation d’appel de l’arrêt de la Cour d’appel de l’Ontario, numéro C61866, 2019 ONCA 664, daté du 26 août 2019, est accueillie.</w:t>
            </w:r>
          </w:p>
          <w:p w:rsidR="00A521D5" w:rsidRPr="00726F45" w:rsidRDefault="00A521D5" w:rsidP="00726F45">
            <w:pPr>
              <w:rPr>
                <w:sz w:val="20"/>
                <w:szCs w:val="20"/>
                <w:lang w:val="fr-CA"/>
              </w:rPr>
            </w:pPr>
          </w:p>
          <w:p w:rsidR="00726F45" w:rsidRPr="00726F45" w:rsidRDefault="00726F45" w:rsidP="00726F45">
            <w:pPr>
              <w:rPr>
                <w:sz w:val="20"/>
                <w:szCs w:val="20"/>
                <w:lang w:val="fr-CA"/>
              </w:rPr>
            </w:pPr>
            <w:r w:rsidRPr="00726F45">
              <w:rPr>
                <w:sz w:val="20"/>
                <w:szCs w:val="20"/>
                <w:lang w:val="fr-CA"/>
              </w:rPr>
              <w:t>Droit criminel — Appel — Verdict — Verdict déraisonnable — Verdict incompatible — Directives au jury — L’accusé a été déclaré coupable par un jury de contacts sexuels et d’incitation à des contacts sexuels, mais acquitté quant à une accusation d’agression sexuelle — Les infractions découlaient des mêmes éléments de preuve — L’accusé a interjeté appel des déclarations de culpabilité — Le ministère public a interjeté un appel incident de l’acquittement — Dans un appel de la déclaration de culpabilité alléguant des verdicts incompatibles, le ministère public peut</w:t>
            </w:r>
            <w:r w:rsidRPr="00726F45">
              <w:rPr>
                <w:sz w:val="20"/>
                <w:szCs w:val="20"/>
                <w:lang w:val="fr-CA"/>
              </w:rPr>
              <w:noBreakHyphen/>
              <w:t>il s’appuyer sur des directives erronées au jury pour expliquer l’incompatibilité ou le ministère public doit</w:t>
            </w:r>
            <w:r w:rsidRPr="00726F45">
              <w:rPr>
                <w:sz w:val="20"/>
                <w:szCs w:val="20"/>
                <w:lang w:val="fr-CA"/>
              </w:rPr>
              <w:noBreakHyphen/>
              <w:t>il plutôt interjeter un appel incident avant que l’acquittement puisse être attaqué sur ce fondement? — Si un appel du ministère public est nécessaire, et si le ministère public a gain de cause dans son appel de l’acquittement, comment convient</w:t>
            </w:r>
            <w:r w:rsidRPr="00726F45">
              <w:rPr>
                <w:sz w:val="20"/>
                <w:szCs w:val="20"/>
                <w:lang w:val="fr-CA"/>
              </w:rPr>
              <w:noBreakHyphen/>
              <w:t>il de trancher les deux appels?</w:t>
            </w:r>
          </w:p>
        </w:tc>
      </w:tr>
      <w:tr w:rsidR="00726F45" w:rsidRPr="00937854" w:rsidTr="005F4D83">
        <w:tc>
          <w:tcPr>
            <w:tcW w:w="5000" w:type="pct"/>
            <w:gridSpan w:val="4"/>
          </w:tcPr>
          <w:p w:rsidR="00726F45" w:rsidRPr="00726F45" w:rsidRDefault="00726F45" w:rsidP="00726F45">
            <w:pPr>
              <w:rPr>
                <w:sz w:val="20"/>
                <w:szCs w:val="20"/>
                <w:lang w:val="fr-CA"/>
              </w:rPr>
            </w:pPr>
          </w:p>
          <w:p w:rsidR="00726F45" w:rsidRPr="00726F45" w:rsidRDefault="00726F45" w:rsidP="00726F45">
            <w:pPr>
              <w:rPr>
                <w:sz w:val="20"/>
                <w:szCs w:val="20"/>
                <w:lang w:val="fr-CA"/>
              </w:rPr>
            </w:pPr>
            <w:r w:rsidRPr="00726F45">
              <w:rPr>
                <w:sz w:val="20"/>
                <w:szCs w:val="20"/>
                <w:lang w:val="fr-CA"/>
              </w:rPr>
              <w:t>Au procès devant juge et jury, l’intimé, R.V., a été déclaré coupable de contacts sexuels et d’incitation à des contacts sexuels, mais acquitté quant à une accusation d’agression sexuelle sur le fondement des mêmes éléments de preuve. L’intimé a interjeté appel des deux déclarations de culpabilité, plaidant qu’elles étaient incompatibles avec l’acquittement, que les déclarations de culpabilité étaient déraisonnables en conséquence et qu’il aurait fallu plutôt inscrire des acquittements. Le ministère public, appelant, a ensuite interjeté un appel incident de l’acquittement, faisant valoir que les incompatibilités dans les verdicts pouvaient être conciliées par des directives au jury portant à confusion, ce qui a amené le jury à croire que la force nécessaire en ce qui concerne l’agression sexuelle était différente des contacts nécessaires en ce qui concerne les contacts sexuels et l’incitation à des contacts sexuels. Les juges majoritaires d’une formation de cinq juges ont accueilli l’appel de R.V., annulé les deux verdicts de culpabilité et imposé l’inscription de verdicts d’acquittement parce que la directive au jury portant à confusion sur l’agression sexuelle ne pouvait concilier les verdicts, si bien que ces derniers devaient être annulés.  Les juges majoritaires ont en outre rejeté l’appel incident du ministère public quant à l’acquittement. Dissident, le juge Rouleau (avec l’assentiment du juge Miller) était d’avis d’accueillir l’appel de R.V. et l’appel incident du ministère public et d’ordonner la tenue d’un nouveau procès relativement aux trois accusations. Les juges dissidents ont conclu qu’une erreur de droit entachait les directives au jury et ils ont expliqué que dans les cas où il y a appel à la fois de la déclaration de la culpabilité et de l’acquittement et où les verdicts incompatibles s’expliquent convenablement par un exposé portant à confusion et qui a, de fait, créé de la confusion chez les jurés, il convient d’ordonner la tenue d’un nouveau procès.</w:t>
            </w:r>
          </w:p>
        </w:tc>
      </w:tr>
      <w:tr w:rsidR="00726F45" w:rsidRPr="00937854" w:rsidTr="005F4D83">
        <w:tc>
          <w:tcPr>
            <w:tcW w:w="5000" w:type="pct"/>
            <w:gridSpan w:val="4"/>
          </w:tcPr>
          <w:p w:rsidR="00726F45" w:rsidRPr="00726F45" w:rsidRDefault="00726F45" w:rsidP="00726F45">
            <w:pPr>
              <w:rPr>
                <w:sz w:val="20"/>
                <w:szCs w:val="20"/>
                <w:lang w:val="fr-CA"/>
              </w:rPr>
            </w:pPr>
          </w:p>
        </w:tc>
      </w:tr>
      <w:tr w:rsidR="00726F45" w:rsidRPr="00726F45" w:rsidTr="005F4D83">
        <w:tc>
          <w:tcPr>
            <w:tcW w:w="2427" w:type="pct"/>
            <w:gridSpan w:val="2"/>
          </w:tcPr>
          <w:p w:rsidR="00726F45" w:rsidRPr="00726F45" w:rsidRDefault="00726F45" w:rsidP="00726F45">
            <w:pPr>
              <w:rPr>
                <w:sz w:val="20"/>
                <w:szCs w:val="20"/>
                <w:lang w:val="fr-CA"/>
              </w:rPr>
            </w:pPr>
            <w:r w:rsidRPr="00726F45">
              <w:rPr>
                <w:sz w:val="20"/>
                <w:szCs w:val="20"/>
                <w:lang w:val="fr-CA"/>
              </w:rPr>
              <w:t>29 janvier 2016</w:t>
            </w:r>
          </w:p>
          <w:p w:rsidR="00726F45" w:rsidRPr="00726F45" w:rsidRDefault="00726F45" w:rsidP="00726F45">
            <w:pPr>
              <w:rPr>
                <w:sz w:val="20"/>
                <w:szCs w:val="20"/>
                <w:lang w:val="fr-CA"/>
              </w:rPr>
            </w:pPr>
            <w:r w:rsidRPr="00726F45">
              <w:rPr>
                <w:sz w:val="20"/>
                <w:szCs w:val="20"/>
                <w:lang w:val="fr-CA"/>
              </w:rPr>
              <w:t>Cour supérieure de justice de l’Ontario</w:t>
            </w:r>
          </w:p>
          <w:p w:rsidR="00726F45" w:rsidRPr="00726F45" w:rsidRDefault="00726F45" w:rsidP="00726F45">
            <w:pPr>
              <w:rPr>
                <w:sz w:val="20"/>
                <w:szCs w:val="20"/>
                <w:lang w:val="fr-CA"/>
              </w:rPr>
            </w:pPr>
            <w:r w:rsidRPr="00726F45">
              <w:rPr>
                <w:sz w:val="20"/>
                <w:szCs w:val="20"/>
                <w:lang w:val="fr-CA"/>
              </w:rPr>
              <w:t xml:space="preserve">(Juge </w:t>
            </w:r>
            <w:proofErr w:type="spellStart"/>
            <w:r w:rsidRPr="00726F45">
              <w:rPr>
                <w:sz w:val="20"/>
                <w:szCs w:val="20"/>
                <w:lang w:val="fr-CA"/>
              </w:rPr>
              <w:t>Vallee</w:t>
            </w:r>
            <w:proofErr w:type="spellEnd"/>
            <w:r w:rsidRPr="00726F45">
              <w:rPr>
                <w:sz w:val="20"/>
                <w:szCs w:val="20"/>
                <w:lang w:val="fr-CA"/>
              </w:rPr>
              <w:t>)</w:t>
            </w:r>
          </w:p>
          <w:p w:rsidR="00726F45" w:rsidRPr="00726F45" w:rsidRDefault="00726F45" w:rsidP="00726F45">
            <w:pPr>
              <w:rPr>
                <w:sz w:val="20"/>
                <w:szCs w:val="20"/>
                <w:lang w:val="fr-CA"/>
              </w:rPr>
            </w:pP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Déclaration de culpabilité de l’intimé par un jury de contacts sexuels et d’incitation à des contacts sexuels. Acquittement de l’intimé quant à une accusation d’agression sexuelle.</w:t>
            </w:r>
          </w:p>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26 août 2019</w:t>
            </w:r>
          </w:p>
          <w:p w:rsidR="00726F45" w:rsidRPr="00726F45" w:rsidRDefault="00726F45" w:rsidP="00726F45">
            <w:pPr>
              <w:rPr>
                <w:sz w:val="20"/>
                <w:szCs w:val="20"/>
                <w:lang w:val="fr-CA"/>
              </w:rPr>
            </w:pPr>
            <w:r w:rsidRPr="00726F45">
              <w:rPr>
                <w:sz w:val="20"/>
                <w:szCs w:val="20"/>
                <w:lang w:val="fr-CA"/>
              </w:rPr>
              <w:t>Cour d’appel de l’Ontario</w:t>
            </w:r>
          </w:p>
          <w:p w:rsidR="00726F45" w:rsidRPr="00726F45" w:rsidRDefault="00726F45" w:rsidP="00726F45">
            <w:pPr>
              <w:rPr>
                <w:sz w:val="20"/>
                <w:szCs w:val="20"/>
                <w:lang w:val="fr-CA"/>
              </w:rPr>
            </w:pPr>
            <w:r w:rsidRPr="00726F45">
              <w:rPr>
                <w:sz w:val="20"/>
                <w:szCs w:val="20"/>
                <w:lang w:val="fr-CA"/>
              </w:rPr>
              <w:t xml:space="preserve">(Juge en chef </w:t>
            </w:r>
            <w:proofErr w:type="spellStart"/>
            <w:r w:rsidRPr="00726F45">
              <w:rPr>
                <w:sz w:val="20"/>
                <w:szCs w:val="20"/>
                <w:lang w:val="fr-CA"/>
              </w:rPr>
              <w:t>Strathy</w:t>
            </w:r>
            <w:proofErr w:type="spellEnd"/>
            <w:r w:rsidRPr="00726F45">
              <w:rPr>
                <w:sz w:val="20"/>
                <w:szCs w:val="20"/>
                <w:lang w:val="fr-CA"/>
              </w:rPr>
              <w:t>, juges Rouleau, Pardu, Miller et Trotter)</w:t>
            </w:r>
          </w:p>
          <w:p w:rsidR="00726F45" w:rsidRPr="00726F45" w:rsidRDefault="00937854" w:rsidP="00726F45">
            <w:pPr>
              <w:rPr>
                <w:sz w:val="20"/>
                <w:szCs w:val="20"/>
                <w:lang w:val="fr-CA"/>
              </w:rPr>
            </w:pPr>
            <w:hyperlink r:id="rId22" w:history="1">
              <w:r w:rsidR="00726F45" w:rsidRPr="00726F45">
                <w:rPr>
                  <w:rStyle w:val="Hyperlink"/>
                  <w:sz w:val="20"/>
                  <w:szCs w:val="20"/>
                  <w:lang w:val="fr-CA"/>
                </w:rPr>
                <w:t>2019 ONCA 664</w:t>
              </w:r>
            </w:hyperlink>
          </w:p>
          <w:p w:rsidR="00726F45" w:rsidRPr="00726F45" w:rsidRDefault="00726F45" w:rsidP="00726F45">
            <w:pPr>
              <w:rPr>
                <w:sz w:val="20"/>
                <w:szCs w:val="20"/>
                <w:lang w:val="fr-CA"/>
              </w:rPr>
            </w:pP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Arrêt accueillant l’appel de l’intimé, annulant les verdicts de culpabilité, inscrivant des verdicts d’acquittement quant aux accusations de contacts sexuels et d’incitation à des contacts sexuels, accueillant la requête du ministère public en prorogation du délai de dépôt de l’appel incident et rejetant l’appel incident de l’acquittement.</w:t>
            </w:r>
          </w:p>
          <w:p w:rsidR="00726F45" w:rsidRPr="00726F45" w:rsidRDefault="00726F45" w:rsidP="00726F45">
            <w:pPr>
              <w:rPr>
                <w:sz w:val="20"/>
                <w:szCs w:val="20"/>
                <w:lang w:val="fr-CA"/>
              </w:rPr>
            </w:pPr>
          </w:p>
        </w:tc>
      </w:tr>
      <w:tr w:rsidR="00726F45" w:rsidRPr="00726F45" w:rsidTr="005F4D83">
        <w:tc>
          <w:tcPr>
            <w:tcW w:w="2427" w:type="pct"/>
            <w:gridSpan w:val="2"/>
          </w:tcPr>
          <w:p w:rsidR="00726F45" w:rsidRPr="00726F45" w:rsidRDefault="00726F45" w:rsidP="00726F45">
            <w:pPr>
              <w:rPr>
                <w:sz w:val="20"/>
                <w:szCs w:val="20"/>
                <w:lang w:val="fr-CA"/>
              </w:rPr>
            </w:pPr>
            <w:r w:rsidRPr="00726F45">
              <w:rPr>
                <w:sz w:val="20"/>
                <w:szCs w:val="20"/>
                <w:lang w:val="fr-CA"/>
              </w:rPr>
              <w:t>17 octobre 2019</w:t>
            </w:r>
          </w:p>
          <w:p w:rsidR="00726F45" w:rsidRPr="00726F45" w:rsidRDefault="00726F45" w:rsidP="00726F45">
            <w:pPr>
              <w:rPr>
                <w:sz w:val="20"/>
                <w:szCs w:val="20"/>
                <w:lang w:val="fr-CA"/>
              </w:rPr>
            </w:pPr>
            <w:r w:rsidRPr="00726F45">
              <w:rPr>
                <w:sz w:val="20"/>
                <w:szCs w:val="20"/>
                <w:lang w:val="fr-CA"/>
              </w:rPr>
              <w:t>Cour suprême du Canada</w:t>
            </w:r>
          </w:p>
          <w:p w:rsidR="00726F45" w:rsidRPr="00726F45" w:rsidRDefault="00726F45" w:rsidP="00726F45">
            <w:pPr>
              <w:rPr>
                <w:sz w:val="20"/>
                <w:szCs w:val="20"/>
                <w:lang w:val="fr-CA"/>
              </w:rPr>
            </w:pP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Dépôt de l’avis d’appel.</w:t>
            </w:r>
          </w:p>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25 octobre 2019</w:t>
            </w:r>
          </w:p>
          <w:p w:rsidR="00726F45" w:rsidRPr="00726F45" w:rsidRDefault="00726F45" w:rsidP="00726F45">
            <w:pPr>
              <w:rPr>
                <w:sz w:val="20"/>
                <w:szCs w:val="20"/>
                <w:lang w:val="fr-CA"/>
              </w:rPr>
            </w:pPr>
            <w:r w:rsidRPr="00726F45">
              <w:rPr>
                <w:sz w:val="20"/>
                <w:szCs w:val="20"/>
                <w:lang w:val="fr-CA"/>
              </w:rPr>
              <w:t>Cour suprême du Canada</w:t>
            </w: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Dépôt de la demande d’autorisation d’appel</w:t>
            </w:r>
          </w:p>
          <w:p w:rsidR="00726F45" w:rsidRPr="00726F45" w:rsidRDefault="00726F45" w:rsidP="00726F45">
            <w:pPr>
              <w:rPr>
                <w:sz w:val="20"/>
                <w:szCs w:val="20"/>
                <w:lang w:val="fr-CA"/>
              </w:rPr>
            </w:pPr>
          </w:p>
        </w:tc>
      </w:tr>
    </w:tbl>
    <w:p w:rsidR="00726F45" w:rsidRPr="00726F45" w:rsidRDefault="00726F45" w:rsidP="00726F45">
      <w:pPr>
        <w:rPr>
          <w:sz w:val="20"/>
          <w:szCs w:val="20"/>
          <w:lang w:val="fr-CA"/>
        </w:rPr>
      </w:pPr>
    </w:p>
    <w:p w:rsidR="00726F45" w:rsidRPr="00726F45" w:rsidRDefault="00937854" w:rsidP="00726F45">
      <w:pPr>
        <w:rPr>
          <w:sz w:val="20"/>
          <w:szCs w:val="20"/>
          <w:lang w:val="fr-CA"/>
        </w:rPr>
      </w:pPr>
      <w:r>
        <w:rPr>
          <w:sz w:val="20"/>
          <w:szCs w:val="20"/>
          <w:lang w:val="en-US"/>
        </w:rPr>
        <w:pict>
          <v:rect id="_x0000_i1039" style="width:2in;height:1pt" o:hrpct="0" o:hralign="center" o:hrstd="t" o:hrnoshade="t" o:hr="t" fillcolor="black [3213]" stroked="f"/>
        </w:pict>
      </w:r>
    </w:p>
    <w:p w:rsidR="00726F45" w:rsidRPr="00726F45" w:rsidRDefault="00726F45" w:rsidP="00726F45">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726F45" w:rsidTr="005F4D83">
        <w:tc>
          <w:tcPr>
            <w:tcW w:w="543" w:type="pct"/>
          </w:tcPr>
          <w:p w:rsidR="00726F45" w:rsidRPr="00726F45" w:rsidRDefault="00726F45" w:rsidP="00726F45">
            <w:pPr>
              <w:rPr>
                <w:sz w:val="20"/>
                <w:szCs w:val="20"/>
              </w:rPr>
            </w:pPr>
            <w:r w:rsidRPr="00726F45">
              <w:rPr>
                <w:b/>
                <w:sz w:val="20"/>
                <w:szCs w:val="20"/>
              </w:rPr>
              <w:t>38790</w:t>
            </w:r>
          </w:p>
        </w:tc>
        <w:tc>
          <w:tcPr>
            <w:tcW w:w="4457" w:type="pct"/>
            <w:gridSpan w:val="3"/>
          </w:tcPr>
          <w:p w:rsidR="00726F45" w:rsidRPr="00726F45" w:rsidRDefault="00726F45" w:rsidP="00726F45">
            <w:pPr>
              <w:rPr>
                <w:b/>
                <w:sz w:val="20"/>
                <w:szCs w:val="20"/>
              </w:rPr>
            </w:pPr>
            <w:r w:rsidRPr="00726F45">
              <w:rPr>
                <w:b/>
                <w:sz w:val="20"/>
                <w:szCs w:val="20"/>
              </w:rPr>
              <w:t>Gescoro inc. v. Francis-Pierre Rémillard and Stewart Title Guaranty Company</w:t>
            </w:r>
          </w:p>
          <w:p w:rsidR="00726F45" w:rsidRPr="00726F45" w:rsidRDefault="00726F45" w:rsidP="00726F45">
            <w:pPr>
              <w:rPr>
                <w:sz w:val="20"/>
                <w:szCs w:val="20"/>
              </w:rPr>
            </w:pPr>
            <w:r w:rsidRPr="00726F45">
              <w:rPr>
                <w:sz w:val="20"/>
                <w:szCs w:val="20"/>
              </w:rPr>
              <w:t>(Que.) (Civil) (By Leave)</w:t>
            </w:r>
          </w:p>
        </w:tc>
      </w:tr>
      <w:tr w:rsidR="00726F45" w:rsidRPr="00726F45" w:rsidTr="005F4D83">
        <w:tc>
          <w:tcPr>
            <w:tcW w:w="5000" w:type="pct"/>
            <w:gridSpan w:val="4"/>
          </w:tcPr>
          <w:p w:rsidR="00A521D5" w:rsidRDefault="00A521D5" w:rsidP="00726F45">
            <w:pPr>
              <w:rPr>
                <w:sz w:val="20"/>
                <w:szCs w:val="20"/>
              </w:rPr>
            </w:pPr>
            <w:r w:rsidRPr="00A521D5">
              <w:rPr>
                <w:sz w:val="20"/>
                <w:szCs w:val="20"/>
              </w:rPr>
              <w:t>The application for leave to appeal from the judgment of the Court of Appeal of Quebec (Montréal), Number 500-09-026475-160, 2019 QCCA 973, dated June 3, 2019, is dismissed with costs to the respondent, Stewart Title Guaranty Company.</w:t>
            </w:r>
          </w:p>
          <w:p w:rsidR="00A521D5" w:rsidRDefault="00A521D5" w:rsidP="00726F45">
            <w:pPr>
              <w:rPr>
                <w:sz w:val="20"/>
                <w:szCs w:val="20"/>
              </w:rPr>
            </w:pPr>
          </w:p>
          <w:p w:rsidR="00726F45" w:rsidRPr="00726F45" w:rsidRDefault="00726F45" w:rsidP="00726F45">
            <w:pPr>
              <w:rPr>
                <w:sz w:val="20"/>
                <w:szCs w:val="20"/>
              </w:rPr>
            </w:pPr>
            <w:r w:rsidRPr="00726F45">
              <w:rPr>
                <w:sz w:val="20"/>
                <w:szCs w:val="20"/>
              </w:rPr>
              <w:t xml:space="preserve">Commercial law — Bills of exchange — Fraudulent cheque — Whether Quebec Court of Appeal erred in holding that endorsement was fraudulent or that signature was forged even though issuance of cheque was authorized, recipient/payee negotiated proceeds with holder in due course and cheque was not stolen — Whether Quebec Court of Appeal erred in applying </w:t>
            </w:r>
            <w:r w:rsidRPr="00726F45">
              <w:rPr>
                <w:i/>
                <w:sz w:val="20"/>
                <w:szCs w:val="20"/>
              </w:rPr>
              <w:t>Teva Canada Ltd. v. TD Canada Trust</w:t>
            </w:r>
            <w:r w:rsidRPr="00726F45">
              <w:rPr>
                <w:sz w:val="20"/>
                <w:szCs w:val="20"/>
              </w:rPr>
              <w:t xml:space="preserve">, [2017] 2 S.C.R. 317, to this case by extension, and in determining that cheque was payable to order — Whether Quebec Court of Appeal erred in applying s. 48(1) of </w:t>
            </w:r>
            <w:r w:rsidRPr="00726F45">
              <w:rPr>
                <w:i/>
                <w:sz w:val="20"/>
                <w:szCs w:val="20"/>
              </w:rPr>
              <w:t>Bills of Exchange Act</w:t>
            </w:r>
            <w:r w:rsidRPr="00726F45">
              <w:rPr>
                <w:sz w:val="20"/>
                <w:szCs w:val="20"/>
              </w:rPr>
              <w:t xml:space="preserve"> — Whether business uncertainty resulting from Quebec Court of Appeal’s decision justifies intervention by this Court — </w:t>
            </w:r>
            <w:r w:rsidRPr="00726F45">
              <w:rPr>
                <w:i/>
                <w:sz w:val="20"/>
                <w:szCs w:val="20"/>
              </w:rPr>
              <w:t>Bills of Exchange Act</w:t>
            </w:r>
            <w:r w:rsidRPr="00726F45">
              <w:rPr>
                <w:sz w:val="20"/>
                <w:szCs w:val="20"/>
              </w:rPr>
              <w:t>, R.S.C. 1985, c. B</w:t>
            </w:r>
            <w:r w:rsidRPr="00726F45">
              <w:rPr>
                <w:sz w:val="20"/>
                <w:szCs w:val="20"/>
              </w:rPr>
              <w:noBreakHyphen/>
              <w:t>4, ss. 20, 48, 55 and 59.</w:t>
            </w:r>
          </w:p>
        </w:tc>
      </w:tr>
      <w:tr w:rsidR="00726F45" w:rsidRPr="00726F45" w:rsidTr="005F4D83">
        <w:tc>
          <w:tcPr>
            <w:tcW w:w="5000" w:type="pct"/>
            <w:gridSpan w:val="4"/>
          </w:tcPr>
          <w:p w:rsidR="00726F45" w:rsidRPr="00726F45" w:rsidRDefault="00726F45" w:rsidP="00726F45">
            <w:pPr>
              <w:rPr>
                <w:sz w:val="20"/>
                <w:szCs w:val="20"/>
              </w:rPr>
            </w:pPr>
          </w:p>
        </w:tc>
      </w:tr>
      <w:tr w:rsidR="00726F45" w:rsidRPr="00726F45" w:rsidTr="005F4D83">
        <w:tc>
          <w:tcPr>
            <w:tcW w:w="5000" w:type="pct"/>
            <w:gridSpan w:val="4"/>
          </w:tcPr>
          <w:p w:rsidR="00726F45" w:rsidRPr="00726F45" w:rsidRDefault="00726F45" w:rsidP="00726F45">
            <w:pPr>
              <w:rPr>
                <w:sz w:val="20"/>
                <w:szCs w:val="20"/>
              </w:rPr>
            </w:pPr>
            <w:r w:rsidRPr="00726F45">
              <w:rPr>
                <w:sz w:val="20"/>
                <w:szCs w:val="20"/>
              </w:rPr>
              <w:t>In December 2011, the respondent notary Francis</w:t>
            </w:r>
            <w:r w:rsidRPr="00726F45">
              <w:rPr>
                <w:sz w:val="20"/>
                <w:szCs w:val="20"/>
              </w:rPr>
              <w:noBreakHyphen/>
              <w:t xml:space="preserve">Pierre Rémillard was retained by Paul </w:t>
            </w:r>
            <w:proofErr w:type="spellStart"/>
            <w:r w:rsidRPr="00726F45">
              <w:rPr>
                <w:sz w:val="20"/>
                <w:szCs w:val="20"/>
              </w:rPr>
              <w:t>Turcot</w:t>
            </w:r>
            <w:proofErr w:type="spellEnd"/>
            <w:r w:rsidRPr="00726F45">
              <w:rPr>
                <w:sz w:val="20"/>
                <w:szCs w:val="20"/>
              </w:rPr>
              <w:t xml:space="preserve"> in relation to the purchase of property in Montréal belonging to Tanja Schudel. Mr. Rémillard prepared the act of sale and the act of hypothec that would secure a loan granted by the First National Financial Corporation, and these were signed on December 8, 2011. At that time, the amount of the loan was remitted to Mr. Rémillard, who issued a cheque to Ms. Schudel out of his trust account at the Bank of Montreal (BMO). On December 9, 2011, Ms. Schudel went to the BMO, had the cheque certified and then went to an outlet of the applicant, Gescoro inc., to cash it. Before proceeding to cash the cheque, Gescoro contacted Mr. Rémillard on December 12, 2011, and he confirmed the authenticity of the cheque and the identity of Ms. Schudel. Gescoro then accepted the cheque endorsed by </w:t>
            </w:r>
            <w:proofErr w:type="spellStart"/>
            <w:r w:rsidRPr="00726F45">
              <w:rPr>
                <w:sz w:val="20"/>
                <w:szCs w:val="20"/>
              </w:rPr>
              <w:t>Ms</w:t>
            </w:r>
            <w:proofErr w:type="spellEnd"/>
            <w:r w:rsidRPr="00726F45">
              <w:rPr>
                <w:sz w:val="20"/>
                <w:szCs w:val="20"/>
              </w:rPr>
              <w:t> Schudel and made three cash payments to her between December 13 and 15, 2011. On or about December 15, 2011, Mr. Rémillard learned that the transaction was fraudulent, because the real Mr. </w:t>
            </w:r>
            <w:proofErr w:type="spellStart"/>
            <w:r w:rsidRPr="00726F45">
              <w:rPr>
                <w:sz w:val="20"/>
                <w:szCs w:val="20"/>
              </w:rPr>
              <w:t>Turcot</w:t>
            </w:r>
            <w:proofErr w:type="spellEnd"/>
            <w:r w:rsidRPr="00726F45">
              <w:rPr>
                <w:sz w:val="20"/>
                <w:szCs w:val="20"/>
              </w:rPr>
              <w:t xml:space="preserve"> and Ms. Schudel had been victims of identity theft. The money Gescoro had paid to the false Ms. Schudel would not be recovered. The respondent Stewart Title Guaranty Company then indemnified the First National Financial Corporation, was subrogated to its rights, and required that Mr. Rémillard repay the amount of the cheque. Mr. Rémillard then asked that BMO return the cheque to </w:t>
            </w:r>
            <w:proofErr w:type="spellStart"/>
            <w:r w:rsidRPr="00726F45">
              <w:rPr>
                <w:sz w:val="20"/>
                <w:szCs w:val="20"/>
              </w:rPr>
              <w:t>Gescoro’s</w:t>
            </w:r>
            <w:proofErr w:type="spellEnd"/>
            <w:r w:rsidRPr="00726F45">
              <w:rPr>
                <w:sz w:val="20"/>
                <w:szCs w:val="20"/>
              </w:rPr>
              <w:t xml:space="preserve"> bank, which accepted it. The amount was remitted to BMO, which deposited it in Mr. </w:t>
            </w:r>
            <w:proofErr w:type="spellStart"/>
            <w:r w:rsidRPr="00726F45">
              <w:rPr>
                <w:sz w:val="20"/>
                <w:szCs w:val="20"/>
              </w:rPr>
              <w:t>Rémillard’s</w:t>
            </w:r>
            <w:proofErr w:type="spellEnd"/>
            <w:r w:rsidRPr="00726F45">
              <w:rPr>
                <w:sz w:val="20"/>
                <w:szCs w:val="20"/>
              </w:rPr>
              <w:t xml:space="preserve"> trust account. On February 13, 2014, the amount of the cheque was withdrawn from </w:t>
            </w:r>
            <w:proofErr w:type="spellStart"/>
            <w:r w:rsidRPr="00726F45">
              <w:rPr>
                <w:sz w:val="20"/>
                <w:szCs w:val="20"/>
              </w:rPr>
              <w:t>Gescoro’s</w:t>
            </w:r>
            <w:proofErr w:type="spellEnd"/>
            <w:r w:rsidRPr="00726F45">
              <w:rPr>
                <w:sz w:val="20"/>
                <w:szCs w:val="20"/>
              </w:rPr>
              <w:t xml:space="preserve"> account with the note [translation] “returned cheque”. On March 27, 2014, Gescoro instituted an action against Mr. Rémillard to recover the value of the cheque. The Superior Court dismissed the action for a claim, and the Court of Appeal dismissed the appeal.</w:t>
            </w:r>
          </w:p>
          <w:p w:rsidR="00726F45" w:rsidRPr="00726F45" w:rsidRDefault="00726F45" w:rsidP="00726F45">
            <w:pPr>
              <w:rPr>
                <w:sz w:val="20"/>
                <w:szCs w:val="20"/>
              </w:rPr>
            </w:pPr>
          </w:p>
        </w:tc>
      </w:tr>
      <w:tr w:rsidR="00726F45" w:rsidRPr="00726F45" w:rsidTr="005F4D83">
        <w:tc>
          <w:tcPr>
            <w:tcW w:w="2427" w:type="pct"/>
            <w:gridSpan w:val="2"/>
          </w:tcPr>
          <w:p w:rsidR="00726F45" w:rsidRPr="00726F45" w:rsidRDefault="00726F45" w:rsidP="00726F45">
            <w:pPr>
              <w:rPr>
                <w:sz w:val="20"/>
                <w:szCs w:val="20"/>
              </w:rPr>
            </w:pPr>
            <w:r w:rsidRPr="00726F45">
              <w:rPr>
                <w:sz w:val="20"/>
                <w:szCs w:val="20"/>
              </w:rPr>
              <w:t>October 18, 2016</w:t>
            </w:r>
          </w:p>
          <w:p w:rsidR="00726F45" w:rsidRPr="00726F45" w:rsidRDefault="00726F45" w:rsidP="00726F45">
            <w:pPr>
              <w:rPr>
                <w:sz w:val="20"/>
                <w:szCs w:val="20"/>
              </w:rPr>
            </w:pPr>
            <w:r w:rsidRPr="00726F45">
              <w:rPr>
                <w:sz w:val="20"/>
                <w:szCs w:val="20"/>
              </w:rPr>
              <w:t>Quebec Superior Court</w:t>
            </w:r>
          </w:p>
          <w:p w:rsidR="00726F45" w:rsidRPr="00726F45" w:rsidRDefault="00726F45" w:rsidP="00726F45">
            <w:pPr>
              <w:rPr>
                <w:sz w:val="20"/>
                <w:szCs w:val="20"/>
              </w:rPr>
            </w:pPr>
            <w:r w:rsidRPr="00726F45">
              <w:rPr>
                <w:sz w:val="20"/>
                <w:szCs w:val="20"/>
              </w:rPr>
              <w:t>(</w:t>
            </w:r>
            <w:proofErr w:type="spellStart"/>
            <w:r w:rsidRPr="00726F45">
              <w:rPr>
                <w:sz w:val="20"/>
                <w:szCs w:val="20"/>
              </w:rPr>
              <w:t>Corriveau</w:t>
            </w:r>
            <w:proofErr w:type="spellEnd"/>
            <w:r w:rsidRPr="00726F45">
              <w:rPr>
                <w:sz w:val="20"/>
                <w:szCs w:val="20"/>
              </w:rPr>
              <w:t xml:space="preserve"> J.)</w:t>
            </w:r>
          </w:p>
          <w:p w:rsidR="00726F45" w:rsidRPr="00726F45" w:rsidRDefault="00937854" w:rsidP="00726F45">
            <w:pPr>
              <w:rPr>
                <w:sz w:val="20"/>
                <w:szCs w:val="20"/>
              </w:rPr>
            </w:pPr>
            <w:hyperlink r:id="rId23" w:history="1">
              <w:r w:rsidR="00726F45" w:rsidRPr="00726F45">
                <w:rPr>
                  <w:rStyle w:val="Hyperlink"/>
                  <w:sz w:val="20"/>
                  <w:szCs w:val="20"/>
                </w:rPr>
                <w:t>2016 QCCS 5077</w:t>
              </w:r>
            </w:hyperlink>
          </w:p>
          <w:p w:rsidR="00726F45" w:rsidRPr="00726F45" w:rsidRDefault="00726F45" w:rsidP="00726F45">
            <w:pPr>
              <w:rPr>
                <w:sz w:val="20"/>
                <w:szCs w:val="20"/>
              </w:rPr>
            </w:pPr>
          </w:p>
        </w:tc>
        <w:tc>
          <w:tcPr>
            <w:tcW w:w="243" w:type="pct"/>
          </w:tcPr>
          <w:p w:rsidR="00726F45" w:rsidRPr="00726F45" w:rsidRDefault="00726F45" w:rsidP="00726F45">
            <w:pPr>
              <w:rPr>
                <w:sz w:val="20"/>
                <w:szCs w:val="20"/>
              </w:rPr>
            </w:pPr>
          </w:p>
        </w:tc>
        <w:tc>
          <w:tcPr>
            <w:tcW w:w="2330" w:type="pct"/>
          </w:tcPr>
          <w:p w:rsidR="00726F45" w:rsidRPr="00726F45" w:rsidRDefault="00726F45" w:rsidP="00726F45">
            <w:pPr>
              <w:rPr>
                <w:sz w:val="20"/>
                <w:szCs w:val="20"/>
              </w:rPr>
            </w:pPr>
            <w:r w:rsidRPr="00726F45">
              <w:rPr>
                <w:sz w:val="20"/>
                <w:szCs w:val="20"/>
              </w:rPr>
              <w:t>Action for claim dismissed.</w:t>
            </w:r>
          </w:p>
          <w:p w:rsidR="00726F45" w:rsidRPr="00726F45" w:rsidRDefault="00726F45" w:rsidP="00726F45">
            <w:pPr>
              <w:rPr>
                <w:sz w:val="20"/>
                <w:szCs w:val="20"/>
              </w:rPr>
            </w:pPr>
          </w:p>
        </w:tc>
      </w:tr>
      <w:tr w:rsidR="00726F45" w:rsidRPr="00726F45" w:rsidTr="005F4D83">
        <w:tc>
          <w:tcPr>
            <w:tcW w:w="2427" w:type="pct"/>
            <w:gridSpan w:val="2"/>
          </w:tcPr>
          <w:p w:rsidR="00726F45" w:rsidRPr="00726F45" w:rsidRDefault="00726F45" w:rsidP="00726F45">
            <w:pPr>
              <w:rPr>
                <w:sz w:val="20"/>
                <w:szCs w:val="20"/>
              </w:rPr>
            </w:pPr>
            <w:r w:rsidRPr="00726F45">
              <w:rPr>
                <w:sz w:val="20"/>
                <w:szCs w:val="20"/>
              </w:rPr>
              <w:t>June 3, 2019</w:t>
            </w:r>
          </w:p>
          <w:p w:rsidR="00726F45" w:rsidRPr="00726F45" w:rsidRDefault="00726F45" w:rsidP="00726F45">
            <w:pPr>
              <w:rPr>
                <w:sz w:val="20"/>
                <w:szCs w:val="20"/>
              </w:rPr>
            </w:pPr>
            <w:r w:rsidRPr="00726F45">
              <w:rPr>
                <w:sz w:val="20"/>
                <w:szCs w:val="20"/>
              </w:rPr>
              <w:t>Quebec Court of Appeal (Montréal)</w:t>
            </w:r>
          </w:p>
          <w:p w:rsidR="00726F45" w:rsidRPr="00726F45" w:rsidRDefault="00726F45" w:rsidP="00726F45">
            <w:pPr>
              <w:rPr>
                <w:sz w:val="20"/>
                <w:szCs w:val="20"/>
              </w:rPr>
            </w:pPr>
            <w:r w:rsidRPr="00726F45">
              <w:rPr>
                <w:sz w:val="20"/>
                <w:szCs w:val="20"/>
              </w:rPr>
              <w:t xml:space="preserve">(Schrager, </w:t>
            </w:r>
            <w:proofErr w:type="spellStart"/>
            <w:r w:rsidRPr="00726F45">
              <w:rPr>
                <w:sz w:val="20"/>
                <w:szCs w:val="20"/>
              </w:rPr>
              <w:t>Ruel</w:t>
            </w:r>
            <w:proofErr w:type="spellEnd"/>
            <w:r w:rsidRPr="00726F45">
              <w:rPr>
                <w:sz w:val="20"/>
                <w:szCs w:val="20"/>
              </w:rPr>
              <w:t xml:space="preserve"> and Hamilton JJ.A.)</w:t>
            </w:r>
          </w:p>
          <w:p w:rsidR="00726F45" w:rsidRPr="00726F45" w:rsidRDefault="00937854" w:rsidP="00726F45">
            <w:pPr>
              <w:rPr>
                <w:sz w:val="20"/>
                <w:szCs w:val="20"/>
              </w:rPr>
            </w:pPr>
            <w:hyperlink r:id="rId24" w:history="1">
              <w:r w:rsidR="00726F45" w:rsidRPr="00726F45">
                <w:rPr>
                  <w:rStyle w:val="Hyperlink"/>
                  <w:sz w:val="20"/>
                  <w:szCs w:val="20"/>
                </w:rPr>
                <w:t>2019 QCCA 973</w:t>
              </w:r>
            </w:hyperlink>
          </w:p>
          <w:p w:rsidR="00726F45" w:rsidRPr="00726F45" w:rsidRDefault="00726F45" w:rsidP="00726F45">
            <w:pPr>
              <w:rPr>
                <w:sz w:val="20"/>
                <w:szCs w:val="20"/>
              </w:rPr>
            </w:pPr>
          </w:p>
        </w:tc>
        <w:tc>
          <w:tcPr>
            <w:tcW w:w="243" w:type="pct"/>
          </w:tcPr>
          <w:p w:rsidR="00726F45" w:rsidRPr="00726F45" w:rsidRDefault="00726F45" w:rsidP="00726F45">
            <w:pPr>
              <w:rPr>
                <w:sz w:val="20"/>
                <w:szCs w:val="20"/>
              </w:rPr>
            </w:pPr>
          </w:p>
        </w:tc>
        <w:tc>
          <w:tcPr>
            <w:tcW w:w="2330" w:type="pct"/>
          </w:tcPr>
          <w:p w:rsidR="00726F45" w:rsidRPr="00726F45" w:rsidRDefault="00726F45" w:rsidP="00726F45">
            <w:pPr>
              <w:rPr>
                <w:sz w:val="20"/>
                <w:szCs w:val="20"/>
              </w:rPr>
            </w:pPr>
            <w:r w:rsidRPr="00726F45">
              <w:rPr>
                <w:sz w:val="20"/>
                <w:szCs w:val="20"/>
              </w:rPr>
              <w:t>Appeal dismissed.</w:t>
            </w:r>
          </w:p>
          <w:p w:rsidR="00726F45" w:rsidRPr="00726F45" w:rsidRDefault="00726F45" w:rsidP="00726F45">
            <w:pPr>
              <w:rPr>
                <w:sz w:val="20"/>
                <w:szCs w:val="20"/>
              </w:rPr>
            </w:pPr>
          </w:p>
        </w:tc>
      </w:tr>
      <w:tr w:rsidR="00726F45" w:rsidRPr="00726F45" w:rsidTr="005F4D83">
        <w:tc>
          <w:tcPr>
            <w:tcW w:w="2427" w:type="pct"/>
            <w:gridSpan w:val="2"/>
          </w:tcPr>
          <w:p w:rsidR="00726F45" w:rsidRPr="00726F45" w:rsidRDefault="00726F45" w:rsidP="00726F45">
            <w:pPr>
              <w:rPr>
                <w:sz w:val="20"/>
                <w:szCs w:val="20"/>
              </w:rPr>
            </w:pPr>
            <w:r w:rsidRPr="00726F45">
              <w:rPr>
                <w:sz w:val="20"/>
                <w:szCs w:val="20"/>
              </w:rPr>
              <w:t>September 3, 2019</w:t>
            </w:r>
          </w:p>
          <w:p w:rsidR="00726F45" w:rsidRPr="00726F45" w:rsidRDefault="00726F45" w:rsidP="00726F45">
            <w:pPr>
              <w:rPr>
                <w:sz w:val="20"/>
                <w:szCs w:val="20"/>
              </w:rPr>
            </w:pPr>
            <w:r w:rsidRPr="00726F45">
              <w:rPr>
                <w:sz w:val="20"/>
                <w:szCs w:val="20"/>
              </w:rPr>
              <w:t>Supreme Court of Canada</w:t>
            </w:r>
          </w:p>
        </w:tc>
        <w:tc>
          <w:tcPr>
            <w:tcW w:w="243" w:type="pct"/>
          </w:tcPr>
          <w:p w:rsidR="00726F45" w:rsidRPr="00726F45" w:rsidRDefault="00726F45" w:rsidP="00726F45">
            <w:pPr>
              <w:rPr>
                <w:sz w:val="20"/>
                <w:szCs w:val="20"/>
              </w:rPr>
            </w:pPr>
          </w:p>
        </w:tc>
        <w:tc>
          <w:tcPr>
            <w:tcW w:w="2330" w:type="pct"/>
          </w:tcPr>
          <w:p w:rsidR="00726F45" w:rsidRPr="00726F45" w:rsidRDefault="00726F45" w:rsidP="00726F45">
            <w:pPr>
              <w:rPr>
                <w:sz w:val="20"/>
                <w:szCs w:val="20"/>
              </w:rPr>
            </w:pPr>
            <w:r w:rsidRPr="00726F45">
              <w:rPr>
                <w:sz w:val="20"/>
                <w:szCs w:val="20"/>
              </w:rPr>
              <w:t>Application for leave to appeal filed.</w:t>
            </w:r>
          </w:p>
          <w:p w:rsidR="00726F45" w:rsidRPr="00726F45" w:rsidRDefault="00726F45" w:rsidP="00726F45">
            <w:pPr>
              <w:rPr>
                <w:sz w:val="20"/>
                <w:szCs w:val="20"/>
              </w:rPr>
            </w:pPr>
          </w:p>
        </w:tc>
      </w:tr>
    </w:tbl>
    <w:p w:rsidR="00726F45" w:rsidRPr="00726F45" w:rsidRDefault="00726F45" w:rsidP="00726F45">
      <w:pPr>
        <w:rPr>
          <w:sz w:val="20"/>
          <w:szCs w:val="20"/>
        </w:rPr>
      </w:pPr>
    </w:p>
    <w:p w:rsidR="00726F45" w:rsidRPr="00726F45" w:rsidRDefault="00937854" w:rsidP="00726F45">
      <w:pPr>
        <w:rPr>
          <w:sz w:val="20"/>
          <w:szCs w:val="20"/>
        </w:rPr>
      </w:pPr>
      <w:r>
        <w:rPr>
          <w:sz w:val="20"/>
          <w:szCs w:val="20"/>
          <w:lang w:val="en-US"/>
        </w:rPr>
        <w:pict>
          <v:rect id="_x0000_i1040" style="width:2in;height:1pt" o:hrpct="0" o:hralign="center" o:hrstd="t" o:hrnoshade="t" o:hr="t" fillcolor="black [3213]" stroked="f"/>
        </w:pict>
      </w:r>
    </w:p>
    <w:p w:rsidR="00726F45" w:rsidRPr="00726F45" w:rsidRDefault="00726F45" w:rsidP="00726F4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726F45" w:rsidTr="005F4D83">
        <w:tc>
          <w:tcPr>
            <w:tcW w:w="543" w:type="pct"/>
          </w:tcPr>
          <w:p w:rsidR="00726F45" w:rsidRPr="00726F45" w:rsidRDefault="00726F45" w:rsidP="00726F45">
            <w:pPr>
              <w:rPr>
                <w:sz w:val="20"/>
                <w:szCs w:val="20"/>
                <w:lang w:val="en-US"/>
              </w:rPr>
            </w:pPr>
            <w:r w:rsidRPr="00726F45">
              <w:rPr>
                <w:b/>
                <w:sz w:val="20"/>
                <w:szCs w:val="20"/>
              </w:rPr>
              <w:t>38790</w:t>
            </w:r>
          </w:p>
        </w:tc>
        <w:tc>
          <w:tcPr>
            <w:tcW w:w="4457" w:type="pct"/>
            <w:gridSpan w:val="3"/>
          </w:tcPr>
          <w:p w:rsidR="00726F45" w:rsidRPr="00726F45" w:rsidRDefault="00726F45" w:rsidP="00726F45">
            <w:pPr>
              <w:rPr>
                <w:b/>
                <w:sz w:val="20"/>
                <w:szCs w:val="20"/>
                <w:lang w:val="en-US"/>
              </w:rPr>
            </w:pPr>
            <w:r w:rsidRPr="00726F45">
              <w:rPr>
                <w:b/>
                <w:sz w:val="20"/>
                <w:szCs w:val="20"/>
                <w:lang w:val="en-US"/>
              </w:rPr>
              <w:t>Gescoro inc. c. Francis-Pierre Rémillard et Stewart Title Guaranty Company</w:t>
            </w:r>
          </w:p>
          <w:p w:rsidR="00726F45" w:rsidRPr="00726F45" w:rsidRDefault="00726F45" w:rsidP="00726F45">
            <w:pPr>
              <w:rPr>
                <w:sz w:val="20"/>
                <w:szCs w:val="20"/>
                <w:lang w:val="en-US"/>
              </w:rPr>
            </w:pPr>
            <w:r w:rsidRPr="00726F45">
              <w:rPr>
                <w:sz w:val="20"/>
                <w:szCs w:val="20"/>
                <w:lang w:val="en-US"/>
              </w:rPr>
              <w:t>(Qc) (Civile) (Autorisation)</w:t>
            </w:r>
          </w:p>
        </w:tc>
      </w:tr>
      <w:tr w:rsidR="00726F45" w:rsidRPr="00937854" w:rsidTr="005F4D83">
        <w:tc>
          <w:tcPr>
            <w:tcW w:w="5000" w:type="pct"/>
            <w:gridSpan w:val="4"/>
          </w:tcPr>
          <w:p w:rsidR="00A521D5" w:rsidRDefault="00A521D5" w:rsidP="00726F45">
            <w:pPr>
              <w:rPr>
                <w:sz w:val="20"/>
                <w:szCs w:val="20"/>
                <w:lang w:val="fr-CA"/>
              </w:rPr>
            </w:pPr>
            <w:r w:rsidRPr="00A521D5">
              <w:rPr>
                <w:sz w:val="20"/>
                <w:szCs w:val="20"/>
                <w:lang w:val="fr-CA"/>
              </w:rPr>
              <w:lastRenderedPageBreak/>
              <w:t>La demande d’autorisation d’appel de l’arrêt de la Cour d’appel du Québec (Montréal), numéro 500-09-026475-160, 2019 QCCA 973, daté du 3 juin 2019, est rejetée avec dépens en faveur de l’intimée, Stewart Title Guaranty Company.</w:t>
            </w:r>
          </w:p>
          <w:p w:rsidR="00A521D5" w:rsidRDefault="00A521D5" w:rsidP="00726F45">
            <w:pPr>
              <w:rPr>
                <w:sz w:val="20"/>
                <w:szCs w:val="20"/>
                <w:lang w:val="fr-CA"/>
              </w:rPr>
            </w:pPr>
          </w:p>
          <w:p w:rsidR="00726F45" w:rsidRPr="00726F45" w:rsidRDefault="00726F45" w:rsidP="00726F45">
            <w:pPr>
              <w:rPr>
                <w:sz w:val="20"/>
                <w:szCs w:val="20"/>
                <w:lang w:val="fr-CA"/>
              </w:rPr>
            </w:pPr>
            <w:r w:rsidRPr="00726F45">
              <w:rPr>
                <w:sz w:val="20"/>
                <w:szCs w:val="20"/>
                <w:lang w:val="fr-CA"/>
              </w:rPr>
              <w:t>Droit commercial — Lettres de change — Chèque frauduleux — La Cour d’appel du Québec a</w:t>
            </w:r>
            <w:r w:rsidRPr="00726F45">
              <w:rPr>
                <w:sz w:val="20"/>
                <w:szCs w:val="20"/>
                <w:lang w:val="fr-CA"/>
              </w:rPr>
              <w:noBreakHyphen/>
              <w:t>t</w:t>
            </w:r>
            <w:r w:rsidRPr="00726F45">
              <w:rPr>
                <w:sz w:val="20"/>
                <w:szCs w:val="20"/>
                <w:lang w:val="fr-CA"/>
              </w:rPr>
              <w:noBreakHyphen/>
              <w:t>elle erré lorsqu’elle a jugé que l’endossement était frauduleux ou que la signature était contrefaite, alors que l’émission du chèque était autorisée, que le bénéficiaire/preneur a négocié le produit avec un détenteur régulier et en l’absence de vol du chèque? — La Cour d’appel du Québec a</w:t>
            </w:r>
            <w:r w:rsidRPr="00726F45">
              <w:rPr>
                <w:sz w:val="20"/>
                <w:szCs w:val="20"/>
                <w:lang w:val="fr-CA"/>
              </w:rPr>
              <w:noBreakHyphen/>
              <w:t>t</w:t>
            </w:r>
            <w:r w:rsidRPr="00726F45">
              <w:rPr>
                <w:sz w:val="20"/>
                <w:szCs w:val="20"/>
                <w:lang w:val="fr-CA"/>
              </w:rPr>
              <w:noBreakHyphen/>
              <w:t xml:space="preserve">elle erré en appliquant par extension l’arrêt </w:t>
            </w:r>
            <w:r w:rsidRPr="00726F45">
              <w:rPr>
                <w:i/>
                <w:sz w:val="20"/>
                <w:szCs w:val="20"/>
                <w:lang w:val="fr-CA"/>
              </w:rPr>
              <w:t>Teva Canada Ltée c. TD Canada Trust</w:t>
            </w:r>
            <w:r w:rsidRPr="00726F45">
              <w:rPr>
                <w:sz w:val="20"/>
                <w:szCs w:val="20"/>
                <w:lang w:val="fr-CA"/>
              </w:rPr>
              <w:t>, [2017] 2 R.C.S. 317 au cas d’espèce et en déterminant que le Chèque est à ordre? — La Cour d’appel du Québec a</w:t>
            </w:r>
            <w:r w:rsidRPr="00726F45">
              <w:rPr>
                <w:sz w:val="20"/>
                <w:szCs w:val="20"/>
                <w:lang w:val="fr-CA"/>
              </w:rPr>
              <w:noBreakHyphen/>
              <w:t>t</w:t>
            </w:r>
            <w:r w:rsidRPr="00726F45">
              <w:rPr>
                <w:sz w:val="20"/>
                <w:szCs w:val="20"/>
                <w:lang w:val="fr-CA"/>
              </w:rPr>
              <w:noBreakHyphen/>
              <w:t xml:space="preserve">elle erré en appliquant l’art. 48(1) </w:t>
            </w:r>
            <w:r w:rsidRPr="00726F45">
              <w:rPr>
                <w:i/>
                <w:sz w:val="20"/>
                <w:szCs w:val="20"/>
                <w:lang w:val="fr-CA"/>
              </w:rPr>
              <w:t>Loi sur les lettres de change</w:t>
            </w:r>
            <w:r w:rsidRPr="00726F45">
              <w:rPr>
                <w:sz w:val="20"/>
                <w:szCs w:val="20"/>
                <w:lang w:val="fr-CA"/>
              </w:rPr>
              <w:t>? — Les incertitudes commerciales résultant de la décision de la Cour d’appel du Québec, justifient</w:t>
            </w:r>
            <w:r w:rsidRPr="00726F45">
              <w:rPr>
                <w:sz w:val="20"/>
                <w:szCs w:val="20"/>
                <w:lang w:val="fr-CA"/>
              </w:rPr>
              <w:noBreakHyphen/>
              <w:t xml:space="preserve">elles l’intervention de cette Cour? — </w:t>
            </w:r>
            <w:r w:rsidRPr="00726F45">
              <w:rPr>
                <w:i/>
                <w:sz w:val="20"/>
                <w:szCs w:val="20"/>
                <w:lang w:val="fr-CA"/>
              </w:rPr>
              <w:t>Loi sur les lettres de change</w:t>
            </w:r>
            <w:r w:rsidRPr="00726F45">
              <w:rPr>
                <w:sz w:val="20"/>
                <w:szCs w:val="20"/>
                <w:lang w:val="fr-CA"/>
              </w:rPr>
              <w:t>, L.R.C. 1985, c B</w:t>
            </w:r>
            <w:r w:rsidRPr="00726F45">
              <w:rPr>
                <w:sz w:val="20"/>
                <w:szCs w:val="20"/>
                <w:lang w:val="fr-CA"/>
              </w:rPr>
              <w:noBreakHyphen/>
              <w:t>4, art. 20, 48, 55 et 59.</w:t>
            </w:r>
          </w:p>
        </w:tc>
      </w:tr>
      <w:tr w:rsidR="00726F45" w:rsidRPr="00937854" w:rsidTr="005F4D83">
        <w:tc>
          <w:tcPr>
            <w:tcW w:w="5000" w:type="pct"/>
            <w:gridSpan w:val="4"/>
          </w:tcPr>
          <w:p w:rsidR="00726F45" w:rsidRPr="00726F45" w:rsidRDefault="00726F45" w:rsidP="00726F45">
            <w:pPr>
              <w:rPr>
                <w:sz w:val="20"/>
                <w:szCs w:val="20"/>
                <w:lang w:val="fr-CA"/>
              </w:rPr>
            </w:pPr>
          </w:p>
        </w:tc>
      </w:tr>
      <w:tr w:rsidR="00726F45" w:rsidRPr="00937854" w:rsidTr="005F4D83">
        <w:tc>
          <w:tcPr>
            <w:tcW w:w="5000" w:type="pct"/>
            <w:gridSpan w:val="4"/>
          </w:tcPr>
          <w:p w:rsidR="00726F45" w:rsidRPr="00726F45" w:rsidRDefault="00726F45" w:rsidP="00726F45">
            <w:pPr>
              <w:rPr>
                <w:sz w:val="20"/>
                <w:szCs w:val="20"/>
                <w:lang w:val="fr-CA"/>
              </w:rPr>
            </w:pPr>
            <w:r w:rsidRPr="00726F45">
              <w:rPr>
                <w:sz w:val="20"/>
                <w:szCs w:val="20"/>
                <w:lang w:val="fr-CA"/>
              </w:rPr>
              <w:t>En décembre 2011, les services de l’intimé Me Francis</w:t>
            </w:r>
            <w:r w:rsidRPr="00726F45">
              <w:rPr>
                <w:sz w:val="20"/>
                <w:szCs w:val="20"/>
                <w:lang w:val="fr-CA"/>
              </w:rPr>
              <w:noBreakHyphen/>
              <w:t xml:space="preserve">Pierre Rémillard, notaire, sont retenus par M. Paul </w:t>
            </w:r>
            <w:proofErr w:type="spellStart"/>
            <w:r w:rsidRPr="00726F45">
              <w:rPr>
                <w:sz w:val="20"/>
                <w:szCs w:val="20"/>
                <w:lang w:val="fr-CA"/>
              </w:rPr>
              <w:t>Turcot</w:t>
            </w:r>
            <w:proofErr w:type="spellEnd"/>
            <w:r w:rsidRPr="00726F45">
              <w:rPr>
                <w:sz w:val="20"/>
                <w:szCs w:val="20"/>
                <w:lang w:val="fr-CA"/>
              </w:rPr>
              <w:t xml:space="preserve"> dans le cadre de l’achat d’un immeuble, propriété de Mme Tanja Schudel, situé à Montréal. Me Rémillard procède à la préparation de l’acte de vente et de l’acte d’hypothèque visant à garantir le prêt consenti par Société Financière First National qui seront signés le 8 décembre 2011. À ce moment, la somme prêtée est remise à Me Rémillard qui émet un chèque à Mme Schudel à partir de son compte en fidéicommis à la Banque de Montréal (BMO). Le 9 décembre 2011, Mme Schudel se présente à la BMO, fait certifier le chèque et se rend ensuite à une succursale de la demanderesse, Gescoro inc. afin d’encaisser le chèque. Avant de procéder à l’encaissement, Gescoro effectue le 12 décembre 2011 des vérifications auprès de Me Rémillard qui confirme l’authenticité du chèque et l’identité de Mme Schudel. Gescoro accepte alors le chèque endossé par Mme Schudel et effectue trois versements en argent comptant à cette dernière entre les 13 et 15 décembre 2011. Vers le 15 décembre 2011, Me Rémillard apprend que cette transaction s’avère frauduleuse puisque les véritables M. </w:t>
            </w:r>
            <w:proofErr w:type="spellStart"/>
            <w:r w:rsidRPr="00726F45">
              <w:rPr>
                <w:sz w:val="20"/>
                <w:szCs w:val="20"/>
                <w:lang w:val="fr-CA"/>
              </w:rPr>
              <w:t>Turcot</w:t>
            </w:r>
            <w:proofErr w:type="spellEnd"/>
            <w:r w:rsidRPr="00726F45">
              <w:rPr>
                <w:sz w:val="20"/>
                <w:szCs w:val="20"/>
                <w:lang w:val="fr-CA"/>
              </w:rPr>
              <w:t xml:space="preserve"> et Mme Schudel ont été victimes d’un vol d’identité. Les sommes d’argent remises à la fausse Mme Schudel par Gescoro ne seront pas récupérées. L’intimée, Stewart Title Guaranty Company indemnise alors la Société Financière First National, se fait subroger dans ses droits, et exige de Me Rémillard le remboursement du chèque. Me Rémillard demande à alors à la BMO de retourner le chèque à la banque de Gescoro qui l’accepte. Le montant est remis à la BMO qui le dépose dans le compte en fidéicommis de Me Rémillard. Au 13 février 2014, Gescoro se fait retirer de son compte le montant du chèque  avec la mention « chèque retourné ». Le 27 mars 2014, Gescoro entreprend alors une action contre Me Rémillard en recouvrement pour la valeur du chèque. La Cour supérieure rejette l’action en réclamation et la Cour d’appel rejette l’appel.</w:t>
            </w:r>
          </w:p>
          <w:p w:rsidR="00726F45" w:rsidRPr="00726F45" w:rsidRDefault="00726F45" w:rsidP="00726F45">
            <w:pPr>
              <w:rPr>
                <w:sz w:val="20"/>
                <w:szCs w:val="20"/>
                <w:lang w:val="fr-CA"/>
              </w:rPr>
            </w:pPr>
          </w:p>
        </w:tc>
      </w:tr>
      <w:tr w:rsidR="00726F45" w:rsidRPr="00726F45" w:rsidTr="005F4D83">
        <w:tc>
          <w:tcPr>
            <w:tcW w:w="2427" w:type="pct"/>
            <w:gridSpan w:val="2"/>
          </w:tcPr>
          <w:p w:rsidR="00726F45" w:rsidRPr="00726F45" w:rsidRDefault="00726F45" w:rsidP="00726F45">
            <w:pPr>
              <w:rPr>
                <w:sz w:val="20"/>
                <w:szCs w:val="20"/>
                <w:lang w:val="fr-CA"/>
              </w:rPr>
            </w:pPr>
            <w:r w:rsidRPr="00726F45">
              <w:rPr>
                <w:sz w:val="20"/>
                <w:szCs w:val="20"/>
                <w:lang w:val="fr-CA"/>
              </w:rPr>
              <w:t>Le 18 octobre 2016</w:t>
            </w:r>
          </w:p>
          <w:p w:rsidR="00726F45" w:rsidRPr="00726F45" w:rsidRDefault="00726F45" w:rsidP="00726F45">
            <w:pPr>
              <w:rPr>
                <w:sz w:val="20"/>
                <w:szCs w:val="20"/>
                <w:lang w:val="fr-CA"/>
              </w:rPr>
            </w:pPr>
            <w:r w:rsidRPr="00726F45">
              <w:rPr>
                <w:sz w:val="20"/>
                <w:szCs w:val="20"/>
                <w:lang w:val="fr-CA"/>
              </w:rPr>
              <w:t>Cour supérieure du Québec</w:t>
            </w:r>
          </w:p>
          <w:p w:rsidR="00726F45" w:rsidRPr="00726F45" w:rsidRDefault="00726F45" w:rsidP="00726F45">
            <w:pPr>
              <w:rPr>
                <w:sz w:val="20"/>
                <w:szCs w:val="20"/>
                <w:lang w:val="en-US"/>
              </w:rPr>
            </w:pPr>
            <w:r w:rsidRPr="00726F45">
              <w:rPr>
                <w:sz w:val="20"/>
                <w:szCs w:val="20"/>
                <w:lang w:val="en-US"/>
              </w:rPr>
              <w:t xml:space="preserve">(La juge </w:t>
            </w:r>
            <w:proofErr w:type="spellStart"/>
            <w:r w:rsidRPr="00726F45">
              <w:rPr>
                <w:sz w:val="20"/>
                <w:szCs w:val="20"/>
                <w:lang w:val="en-US"/>
              </w:rPr>
              <w:t>Corriveau</w:t>
            </w:r>
            <w:proofErr w:type="spellEnd"/>
            <w:r w:rsidRPr="00726F45">
              <w:rPr>
                <w:sz w:val="20"/>
                <w:szCs w:val="20"/>
                <w:lang w:val="en-US"/>
              </w:rPr>
              <w:t>)</w:t>
            </w:r>
          </w:p>
          <w:p w:rsidR="00726F45" w:rsidRPr="00726F45" w:rsidRDefault="00937854" w:rsidP="00726F45">
            <w:pPr>
              <w:rPr>
                <w:sz w:val="20"/>
                <w:szCs w:val="20"/>
                <w:lang w:val="en-US"/>
              </w:rPr>
            </w:pPr>
            <w:hyperlink r:id="rId25" w:history="1">
              <w:r w:rsidR="00726F45" w:rsidRPr="00726F45">
                <w:rPr>
                  <w:rStyle w:val="Hyperlink"/>
                  <w:sz w:val="20"/>
                  <w:szCs w:val="20"/>
                  <w:lang w:val="en-US"/>
                </w:rPr>
                <w:t>2016 QCCS 5077</w:t>
              </w:r>
            </w:hyperlink>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 xml:space="preserve">Action en </w:t>
            </w:r>
            <w:proofErr w:type="spellStart"/>
            <w:r w:rsidRPr="00726F45">
              <w:rPr>
                <w:sz w:val="20"/>
                <w:szCs w:val="20"/>
                <w:lang w:val="en-US"/>
              </w:rPr>
              <w:t>réclamation</w:t>
            </w:r>
            <w:proofErr w:type="spellEnd"/>
            <w:r w:rsidRPr="00726F45">
              <w:rPr>
                <w:sz w:val="20"/>
                <w:szCs w:val="20"/>
                <w:lang w:val="en-US"/>
              </w:rPr>
              <w:t xml:space="preserve"> rejetée.</w:t>
            </w:r>
          </w:p>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fr-CA"/>
              </w:rPr>
            </w:pPr>
            <w:r w:rsidRPr="00726F45">
              <w:rPr>
                <w:sz w:val="20"/>
                <w:szCs w:val="20"/>
                <w:lang w:val="fr-CA"/>
              </w:rPr>
              <w:t>Le 3 juin 2019</w:t>
            </w:r>
          </w:p>
          <w:p w:rsidR="00726F45" w:rsidRPr="00726F45" w:rsidRDefault="00726F45" w:rsidP="00726F45">
            <w:pPr>
              <w:rPr>
                <w:sz w:val="20"/>
                <w:szCs w:val="20"/>
                <w:lang w:val="fr-CA"/>
              </w:rPr>
            </w:pPr>
            <w:r w:rsidRPr="00726F45">
              <w:rPr>
                <w:sz w:val="20"/>
                <w:szCs w:val="20"/>
                <w:lang w:val="fr-CA"/>
              </w:rPr>
              <w:t>Cour d’appel du Québec (Montréal)</w:t>
            </w:r>
          </w:p>
          <w:p w:rsidR="00726F45" w:rsidRPr="00726F45" w:rsidRDefault="00726F45" w:rsidP="00726F45">
            <w:pPr>
              <w:rPr>
                <w:sz w:val="20"/>
                <w:szCs w:val="20"/>
                <w:lang w:val="fr-CA"/>
              </w:rPr>
            </w:pPr>
            <w:r w:rsidRPr="00726F45">
              <w:rPr>
                <w:sz w:val="20"/>
                <w:szCs w:val="20"/>
                <w:lang w:val="fr-CA"/>
              </w:rPr>
              <w:t xml:space="preserve">(Les juges </w:t>
            </w:r>
            <w:proofErr w:type="spellStart"/>
            <w:r w:rsidRPr="00726F45">
              <w:rPr>
                <w:sz w:val="20"/>
                <w:szCs w:val="20"/>
                <w:lang w:val="fr-CA"/>
              </w:rPr>
              <w:t>Schrager</w:t>
            </w:r>
            <w:proofErr w:type="spellEnd"/>
            <w:r w:rsidRPr="00726F45">
              <w:rPr>
                <w:sz w:val="20"/>
                <w:szCs w:val="20"/>
                <w:lang w:val="fr-CA"/>
              </w:rPr>
              <w:t>, Ruel et Hamilton)</w:t>
            </w:r>
          </w:p>
          <w:p w:rsidR="00726F45" w:rsidRPr="00726F45" w:rsidRDefault="00937854" w:rsidP="00726F45">
            <w:pPr>
              <w:rPr>
                <w:sz w:val="20"/>
                <w:szCs w:val="20"/>
                <w:lang w:val="en-US"/>
              </w:rPr>
            </w:pPr>
            <w:hyperlink r:id="rId26" w:history="1">
              <w:r w:rsidR="00726F45" w:rsidRPr="00726F45">
                <w:rPr>
                  <w:rStyle w:val="Hyperlink"/>
                  <w:sz w:val="20"/>
                  <w:szCs w:val="20"/>
                  <w:lang w:val="en-US"/>
                </w:rPr>
                <w:t>2019 QCCA 973</w:t>
              </w:r>
            </w:hyperlink>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Appel rejeté.</w:t>
            </w:r>
          </w:p>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fr-CA"/>
              </w:rPr>
            </w:pPr>
            <w:r w:rsidRPr="00726F45">
              <w:rPr>
                <w:sz w:val="20"/>
                <w:szCs w:val="20"/>
                <w:lang w:val="fr-CA"/>
              </w:rPr>
              <w:t>Le 3 septembre 2019</w:t>
            </w:r>
          </w:p>
          <w:p w:rsidR="00726F45" w:rsidRPr="00726F45" w:rsidRDefault="00726F45" w:rsidP="00726F45">
            <w:pPr>
              <w:rPr>
                <w:sz w:val="20"/>
                <w:szCs w:val="20"/>
                <w:lang w:val="fr-CA"/>
              </w:rPr>
            </w:pPr>
            <w:r w:rsidRPr="00726F45">
              <w:rPr>
                <w:sz w:val="20"/>
                <w:szCs w:val="20"/>
                <w:lang w:val="fr-CA"/>
              </w:rPr>
              <w:t>Cour suprême du Canada</w:t>
            </w: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en-US"/>
              </w:rPr>
            </w:pPr>
            <w:r w:rsidRPr="00726F45">
              <w:rPr>
                <w:sz w:val="20"/>
                <w:szCs w:val="20"/>
                <w:lang w:val="en-US"/>
              </w:rPr>
              <w:t>Demande d'autorisation d'appel déposée.</w:t>
            </w:r>
          </w:p>
          <w:p w:rsidR="00726F45" w:rsidRPr="00726F45" w:rsidRDefault="00726F45" w:rsidP="00726F45">
            <w:pPr>
              <w:rPr>
                <w:sz w:val="20"/>
                <w:szCs w:val="20"/>
                <w:lang w:val="en-US"/>
              </w:rPr>
            </w:pPr>
          </w:p>
        </w:tc>
      </w:tr>
    </w:tbl>
    <w:p w:rsidR="00726F45" w:rsidRPr="00726F45" w:rsidRDefault="00726F45" w:rsidP="00726F45">
      <w:pPr>
        <w:rPr>
          <w:sz w:val="20"/>
          <w:szCs w:val="20"/>
          <w:lang w:val="en-US"/>
        </w:rPr>
      </w:pPr>
    </w:p>
    <w:p w:rsidR="00726F45" w:rsidRPr="00726F45" w:rsidRDefault="00937854" w:rsidP="00726F45">
      <w:pPr>
        <w:rPr>
          <w:sz w:val="20"/>
          <w:szCs w:val="20"/>
          <w:lang w:val="fr-CA"/>
        </w:rPr>
      </w:pPr>
      <w:r>
        <w:rPr>
          <w:sz w:val="20"/>
          <w:szCs w:val="20"/>
          <w:lang w:val="en-US"/>
        </w:rPr>
        <w:pict>
          <v:rect id="_x0000_i1041" style="width:2in;height:1pt" o:hrpct="0" o:hralign="center" o:hrstd="t" o:hrnoshade="t" o:hr="t" fillcolor="black [3213]" stroked="f"/>
        </w:pict>
      </w:r>
    </w:p>
    <w:p w:rsidR="00726F45" w:rsidRPr="00726F45" w:rsidRDefault="00726F45" w:rsidP="00726F45">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726F45" w:rsidTr="005F4D83">
        <w:tc>
          <w:tcPr>
            <w:tcW w:w="543" w:type="pct"/>
          </w:tcPr>
          <w:p w:rsidR="00726F45" w:rsidRPr="00726F45" w:rsidRDefault="00726F45" w:rsidP="00726F45">
            <w:pPr>
              <w:rPr>
                <w:sz w:val="20"/>
                <w:szCs w:val="20"/>
              </w:rPr>
            </w:pPr>
            <w:r w:rsidRPr="00726F45">
              <w:rPr>
                <w:b/>
                <w:sz w:val="20"/>
                <w:szCs w:val="20"/>
              </w:rPr>
              <w:t>38709</w:t>
            </w:r>
          </w:p>
        </w:tc>
        <w:tc>
          <w:tcPr>
            <w:tcW w:w="4457" w:type="pct"/>
            <w:gridSpan w:val="3"/>
          </w:tcPr>
          <w:p w:rsidR="00726F45" w:rsidRPr="00726F45" w:rsidRDefault="00726F45" w:rsidP="00726F45">
            <w:pPr>
              <w:rPr>
                <w:b/>
                <w:sz w:val="20"/>
                <w:szCs w:val="20"/>
                <w:lang w:val="fr-CA"/>
              </w:rPr>
            </w:pPr>
            <w:r w:rsidRPr="00726F45">
              <w:rPr>
                <w:b/>
                <w:sz w:val="20"/>
                <w:szCs w:val="20"/>
                <w:lang w:val="fr-CA"/>
              </w:rPr>
              <w:t>Transport en commun La Québécoise inc. v. Réseau de transport métropolitain, Transdev Québec inc. and Pascal Charbonneau</w:t>
            </w:r>
          </w:p>
          <w:p w:rsidR="00726F45" w:rsidRPr="00726F45" w:rsidRDefault="00726F45" w:rsidP="00726F45">
            <w:pPr>
              <w:rPr>
                <w:sz w:val="20"/>
                <w:szCs w:val="20"/>
              </w:rPr>
            </w:pPr>
            <w:r w:rsidRPr="00726F45">
              <w:rPr>
                <w:sz w:val="20"/>
                <w:szCs w:val="20"/>
              </w:rPr>
              <w:t>(Que.) (Civil) (By Leave)</w:t>
            </w:r>
          </w:p>
        </w:tc>
      </w:tr>
      <w:tr w:rsidR="00726F45" w:rsidRPr="00726F45" w:rsidTr="005F4D83">
        <w:tc>
          <w:tcPr>
            <w:tcW w:w="5000" w:type="pct"/>
            <w:gridSpan w:val="4"/>
          </w:tcPr>
          <w:p w:rsidR="00A521D5" w:rsidRDefault="00A521D5" w:rsidP="00726F45">
            <w:pPr>
              <w:rPr>
                <w:sz w:val="20"/>
                <w:szCs w:val="20"/>
              </w:rPr>
            </w:pPr>
            <w:r w:rsidRPr="00A521D5">
              <w:rPr>
                <w:sz w:val="20"/>
                <w:szCs w:val="20"/>
              </w:rPr>
              <w:t>The application for leave to appeal from the judgment of the Court of Appeal of Quebec (Montréal), Number 500-09-028104-198, 2019 QCCA 752, dated April 29, 2019, is dismissed with costs to the respondent,  Transdev Québec inc.</w:t>
            </w:r>
          </w:p>
          <w:p w:rsidR="00A521D5" w:rsidRDefault="00A521D5" w:rsidP="00726F45">
            <w:pPr>
              <w:rPr>
                <w:sz w:val="20"/>
                <w:szCs w:val="20"/>
              </w:rPr>
            </w:pPr>
          </w:p>
          <w:p w:rsidR="00726F45" w:rsidRPr="00726F45" w:rsidRDefault="00726F45" w:rsidP="00726F45">
            <w:pPr>
              <w:rPr>
                <w:sz w:val="20"/>
                <w:szCs w:val="20"/>
              </w:rPr>
            </w:pPr>
            <w:r w:rsidRPr="00726F45">
              <w:rPr>
                <w:sz w:val="20"/>
                <w:szCs w:val="20"/>
              </w:rPr>
              <w:t xml:space="preserve">Civil procedure — Appeal — Appeal with leave or as of right — True purpose of proceedings — Contract awarded following call for tenders by legal person established in public interest — Action in nullity — Whether call for tenders of </w:t>
            </w:r>
            <w:proofErr w:type="spellStart"/>
            <w:r w:rsidRPr="00726F45">
              <w:rPr>
                <w:sz w:val="20"/>
                <w:szCs w:val="20"/>
              </w:rPr>
              <w:t>Réseau</w:t>
            </w:r>
            <w:proofErr w:type="spellEnd"/>
            <w:r w:rsidRPr="00726F45">
              <w:rPr>
                <w:sz w:val="20"/>
                <w:szCs w:val="20"/>
              </w:rPr>
              <w:t xml:space="preserve"> de transport </w:t>
            </w:r>
            <w:proofErr w:type="spellStart"/>
            <w:r w:rsidRPr="00726F45">
              <w:rPr>
                <w:sz w:val="20"/>
                <w:szCs w:val="20"/>
              </w:rPr>
              <w:t>métropolitain</w:t>
            </w:r>
            <w:proofErr w:type="spellEnd"/>
            <w:r w:rsidRPr="00726F45">
              <w:rPr>
                <w:sz w:val="20"/>
                <w:szCs w:val="20"/>
              </w:rPr>
              <w:t xml:space="preserve"> is contract and, if so, whether private law rules apply to it — Whether Superior Court judgments on annulment of contract to which public authority is party can be appealed as of right under art. 30 para. 1 of </w:t>
            </w:r>
            <w:r w:rsidRPr="00726F45">
              <w:rPr>
                <w:i/>
                <w:sz w:val="20"/>
                <w:szCs w:val="20"/>
              </w:rPr>
              <w:t>Code of Civil Procedure</w:t>
            </w:r>
            <w:r w:rsidRPr="00726F45">
              <w:rPr>
                <w:sz w:val="20"/>
                <w:szCs w:val="20"/>
              </w:rPr>
              <w:t xml:space="preserve"> — </w:t>
            </w:r>
            <w:r w:rsidRPr="00726F45">
              <w:rPr>
                <w:i/>
                <w:sz w:val="20"/>
                <w:szCs w:val="20"/>
              </w:rPr>
              <w:t>Code of Civil Procedure</w:t>
            </w:r>
            <w:r w:rsidRPr="00726F45">
              <w:rPr>
                <w:sz w:val="20"/>
                <w:szCs w:val="20"/>
              </w:rPr>
              <w:t>, CQLR, c. C</w:t>
            </w:r>
            <w:r w:rsidRPr="00726F45">
              <w:rPr>
                <w:sz w:val="20"/>
                <w:szCs w:val="20"/>
              </w:rPr>
              <w:noBreakHyphen/>
              <w:t>25.01, arts. 30, 34 and 529.</w:t>
            </w:r>
          </w:p>
        </w:tc>
      </w:tr>
      <w:tr w:rsidR="00726F45" w:rsidRPr="00726F45" w:rsidTr="005F4D83">
        <w:tc>
          <w:tcPr>
            <w:tcW w:w="5000" w:type="pct"/>
            <w:gridSpan w:val="4"/>
          </w:tcPr>
          <w:p w:rsidR="00726F45" w:rsidRPr="00726F45" w:rsidRDefault="00726F45" w:rsidP="00726F45">
            <w:pPr>
              <w:rPr>
                <w:sz w:val="20"/>
                <w:szCs w:val="20"/>
              </w:rPr>
            </w:pPr>
          </w:p>
        </w:tc>
      </w:tr>
      <w:tr w:rsidR="00726F45" w:rsidRPr="00726F45" w:rsidTr="005F4D83">
        <w:tc>
          <w:tcPr>
            <w:tcW w:w="5000" w:type="pct"/>
            <w:gridSpan w:val="4"/>
          </w:tcPr>
          <w:p w:rsidR="00726F45" w:rsidRPr="00726F45" w:rsidRDefault="00726F45" w:rsidP="00726F45">
            <w:pPr>
              <w:rPr>
                <w:sz w:val="20"/>
                <w:szCs w:val="20"/>
              </w:rPr>
            </w:pPr>
            <w:r w:rsidRPr="00726F45">
              <w:rPr>
                <w:sz w:val="20"/>
                <w:szCs w:val="20"/>
              </w:rPr>
              <w:t xml:space="preserve">On March 23, 2018, the respondent </w:t>
            </w:r>
            <w:proofErr w:type="spellStart"/>
            <w:r w:rsidRPr="00726F45">
              <w:rPr>
                <w:sz w:val="20"/>
                <w:szCs w:val="20"/>
              </w:rPr>
              <w:t>Réseau</w:t>
            </w:r>
            <w:proofErr w:type="spellEnd"/>
            <w:r w:rsidRPr="00726F45">
              <w:rPr>
                <w:sz w:val="20"/>
                <w:szCs w:val="20"/>
              </w:rPr>
              <w:t xml:space="preserve"> de transport </w:t>
            </w:r>
            <w:proofErr w:type="spellStart"/>
            <w:r w:rsidRPr="00726F45">
              <w:rPr>
                <w:sz w:val="20"/>
                <w:szCs w:val="20"/>
              </w:rPr>
              <w:t>métropolitain</w:t>
            </w:r>
            <w:proofErr w:type="spellEnd"/>
            <w:r w:rsidRPr="00726F45">
              <w:rPr>
                <w:sz w:val="20"/>
                <w:szCs w:val="20"/>
              </w:rPr>
              <w:t xml:space="preserve"> (RTM), a legal person established in the public interest that </w:t>
            </w:r>
            <w:r w:rsidRPr="00726F45">
              <w:rPr>
                <w:sz w:val="20"/>
                <w:szCs w:val="20"/>
                <w:lang w:val="en"/>
              </w:rPr>
              <w:t xml:space="preserve">provides shared transportation services in the territory of the municipalities of greater </w:t>
            </w:r>
            <w:r w:rsidRPr="00726F45">
              <w:rPr>
                <w:sz w:val="20"/>
                <w:szCs w:val="20"/>
              </w:rPr>
              <w:t xml:space="preserve">Montréal, issued a public call for tenders. Its purpose in doing so was to identify a bus transportation service provider for the Le </w:t>
            </w:r>
            <w:proofErr w:type="spellStart"/>
            <w:r w:rsidRPr="00726F45">
              <w:rPr>
                <w:sz w:val="20"/>
                <w:szCs w:val="20"/>
              </w:rPr>
              <w:t>Richelain</w:t>
            </w:r>
            <w:proofErr w:type="spellEnd"/>
            <w:r w:rsidRPr="00726F45">
              <w:rPr>
                <w:sz w:val="20"/>
                <w:szCs w:val="20"/>
              </w:rPr>
              <w:t xml:space="preserve"> sector to serve the municipalities of </w:t>
            </w:r>
            <w:proofErr w:type="spellStart"/>
            <w:r w:rsidRPr="00726F45">
              <w:rPr>
                <w:sz w:val="20"/>
                <w:szCs w:val="20"/>
              </w:rPr>
              <w:t>Candiac</w:t>
            </w:r>
            <w:proofErr w:type="spellEnd"/>
            <w:r w:rsidRPr="00726F45">
              <w:rPr>
                <w:sz w:val="20"/>
                <w:szCs w:val="20"/>
              </w:rPr>
              <w:t>, La Prairie and Saint</w:t>
            </w:r>
            <w:r w:rsidRPr="00726F45">
              <w:rPr>
                <w:sz w:val="20"/>
                <w:szCs w:val="20"/>
              </w:rPr>
              <w:noBreakHyphen/>
              <w:t xml:space="preserve">Philippe. </w:t>
            </w:r>
            <w:r w:rsidRPr="00726F45">
              <w:rPr>
                <w:sz w:val="20"/>
                <w:szCs w:val="20"/>
                <w:lang w:val="fr-CA"/>
              </w:rPr>
              <w:t xml:space="preserve">The applicant, Transport en commun La Québécoise inc. (La Québécoise), submitted a </w:t>
            </w:r>
            <w:proofErr w:type="spellStart"/>
            <w:r w:rsidRPr="00726F45">
              <w:rPr>
                <w:sz w:val="20"/>
                <w:szCs w:val="20"/>
                <w:lang w:val="fr-CA"/>
              </w:rPr>
              <w:t>bid</w:t>
            </w:r>
            <w:proofErr w:type="spellEnd"/>
            <w:r w:rsidRPr="00726F45">
              <w:rPr>
                <w:sz w:val="20"/>
                <w:szCs w:val="20"/>
                <w:lang w:val="fr-CA"/>
              </w:rPr>
              <w:t xml:space="preserve"> on May 18, 2018. </w:t>
            </w:r>
            <w:r w:rsidRPr="00726F45">
              <w:rPr>
                <w:sz w:val="20"/>
                <w:szCs w:val="20"/>
              </w:rPr>
              <w:t xml:space="preserve">On May 24, 2018, the RTM issued a notice to the effect that the bid of the respondent Transdev Québec inc. (Transdev) had been accepted because it had the lowest price. On June 21, 2018, the RTM’s board of directors passed a resolution authorizing the RTM to enter into the contract with Transdev on the condition that, within seven days of the date of the award, it receive a vehicle use plan that satisfied the requirements of the tender documents as amended on April 9, 2018. On July 4, 2018, the RTM sent the award notice to Transdev, and Transdev submitted its vehicle use plan on July 10 and 11, 2018. On July 23, 2018, the RTM issued a notice of technical compliance for </w:t>
            </w:r>
            <w:proofErr w:type="spellStart"/>
            <w:r w:rsidRPr="00726F45">
              <w:rPr>
                <w:sz w:val="20"/>
                <w:szCs w:val="20"/>
              </w:rPr>
              <w:t>Transdev’s</w:t>
            </w:r>
            <w:proofErr w:type="spellEnd"/>
            <w:r w:rsidRPr="00726F45">
              <w:rPr>
                <w:sz w:val="20"/>
                <w:szCs w:val="20"/>
              </w:rPr>
              <w:t xml:space="preserve"> bid. The contract was awarded to Transdev on October 22, 2018 and took effect on January 1, 2019. In parallel with these events, in June 2018, La Québécoise filed an application — subsequently re</w:t>
            </w:r>
            <w:r w:rsidRPr="00726F45">
              <w:rPr>
                <w:sz w:val="20"/>
                <w:szCs w:val="20"/>
              </w:rPr>
              <w:noBreakHyphen/>
              <w:t>amended — in the Superior Court for a declaration that the call for tenders was null and an order annulling every resolution passed by RTM concerning the call for tenders and awarding the contract to Transdev. The Superior Court dismissed La Québécoise’s application. The Court of Appeal granted motions by Transdev and RTM to dismiss the appeal on the basis that La Québécoise should have applied for leave to appeal the Superior Court’s decision, and it dismissed La Québécoise’s appeal.</w:t>
            </w:r>
          </w:p>
          <w:p w:rsidR="00726F45" w:rsidRPr="00726F45" w:rsidRDefault="00726F45" w:rsidP="00726F45">
            <w:pPr>
              <w:rPr>
                <w:sz w:val="20"/>
                <w:szCs w:val="20"/>
              </w:rPr>
            </w:pPr>
          </w:p>
        </w:tc>
      </w:tr>
      <w:tr w:rsidR="00726F45" w:rsidRPr="00726F45" w:rsidTr="005F4D83">
        <w:tc>
          <w:tcPr>
            <w:tcW w:w="2427" w:type="pct"/>
            <w:gridSpan w:val="2"/>
          </w:tcPr>
          <w:p w:rsidR="00726F45" w:rsidRPr="00726F45" w:rsidRDefault="00726F45" w:rsidP="00726F45">
            <w:pPr>
              <w:rPr>
                <w:sz w:val="20"/>
                <w:szCs w:val="20"/>
              </w:rPr>
            </w:pPr>
            <w:r w:rsidRPr="00726F45">
              <w:rPr>
                <w:sz w:val="20"/>
                <w:szCs w:val="20"/>
              </w:rPr>
              <w:t>December 21, 2018</w:t>
            </w:r>
          </w:p>
          <w:p w:rsidR="00726F45" w:rsidRPr="00726F45" w:rsidRDefault="00726F45" w:rsidP="00726F45">
            <w:pPr>
              <w:rPr>
                <w:sz w:val="20"/>
                <w:szCs w:val="20"/>
              </w:rPr>
            </w:pPr>
            <w:r w:rsidRPr="00726F45">
              <w:rPr>
                <w:sz w:val="20"/>
                <w:szCs w:val="20"/>
              </w:rPr>
              <w:t>Quebec Superior Court</w:t>
            </w:r>
          </w:p>
          <w:p w:rsidR="00726F45" w:rsidRPr="00726F45" w:rsidRDefault="00726F45" w:rsidP="00726F45">
            <w:pPr>
              <w:rPr>
                <w:sz w:val="20"/>
                <w:szCs w:val="20"/>
              </w:rPr>
            </w:pPr>
            <w:r w:rsidRPr="00726F45">
              <w:rPr>
                <w:sz w:val="20"/>
                <w:szCs w:val="20"/>
              </w:rPr>
              <w:t>(Bisson J.)</w:t>
            </w:r>
          </w:p>
          <w:p w:rsidR="00726F45" w:rsidRPr="00726F45" w:rsidRDefault="00937854" w:rsidP="00726F45">
            <w:pPr>
              <w:rPr>
                <w:sz w:val="20"/>
                <w:szCs w:val="20"/>
              </w:rPr>
            </w:pPr>
            <w:hyperlink r:id="rId27" w:history="1">
              <w:r w:rsidR="00726F45" w:rsidRPr="00726F45">
                <w:rPr>
                  <w:rStyle w:val="Hyperlink"/>
                  <w:sz w:val="20"/>
                  <w:szCs w:val="20"/>
                </w:rPr>
                <w:t>2018 QCCS 5545</w:t>
              </w:r>
            </w:hyperlink>
          </w:p>
          <w:p w:rsidR="00726F45" w:rsidRPr="00726F45" w:rsidRDefault="00726F45" w:rsidP="00726F45">
            <w:pPr>
              <w:rPr>
                <w:sz w:val="20"/>
                <w:szCs w:val="20"/>
              </w:rPr>
            </w:pPr>
          </w:p>
        </w:tc>
        <w:tc>
          <w:tcPr>
            <w:tcW w:w="243" w:type="pct"/>
          </w:tcPr>
          <w:p w:rsidR="00726F45" w:rsidRPr="00726F45" w:rsidRDefault="00726F45" w:rsidP="00726F45">
            <w:pPr>
              <w:rPr>
                <w:sz w:val="20"/>
                <w:szCs w:val="20"/>
              </w:rPr>
            </w:pPr>
          </w:p>
        </w:tc>
        <w:tc>
          <w:tcPr>
            <w:tcW w:w="2330" w:type="pct"/>
          </w:tcPr>
          <w:p w:rsidR="00726F45" w:rsidRPr="00726F45" w:rsidRDefault="00726F45" w:rsidP="00726F45">
            <w:pPr>
              <w:rPr>
                <w:sz w:val="20"/>
                <w:szCs w:val="20"/>
              </w:rPr>
            </w:pPr>
            <w:r w:rsidRPr="00726F45">
              <w:rPr>
                <w:sz w:val="20"/>
                <w:szCs w:val="20"/>
              </w:rPr>
              <w:t>Re</w:t>
            </w:r>
            <w:r w:rsidRPr="00726F45">
              <w:rPr>
                <w:sz w:val="20"/>
                <w:szCs w:val="20"/>
              </w:rPr>
              <w:noBreakHyphen/>
              <w:t>amended originating application dismissed.</w:t>
            </w:r>
          </w:p>
          <w:p w:rsidR="00726F45" w:rsidRPr="00726F45" w:rsidRDefault="00726F45" w:rsidP="00726F45">
            <w:pPr>
              <w:rPr>
                <w:sz w:val="20"/>
                <w:szCs w:val="20"/>
              </w:rPr>
            </w:pPr>
          </w:p>
        </w:tc>
      </w:tr>
      <w:tr w:rsidR="00726F45" w:rsidRPr="00726F45" w:rsidTr="005F4D83">
        <w:tc>
          <w:tcPr>
            <w:tcW w:w="2427" w:type="pct"/>
            <w:gridSpan w:val="2"/>
          </w:tcPr>
          <w:p w:rsidR="00726F45" w:rsidRPr="00726F45" w:rsidRDefault="00726F45" w:rsidP="00726F45">
            <w:pPr>
              <w:rPr>
                <w:sz w:val="20"/>
                <w:szCs w:val="20"/>
              </w:rPr>
            </w:pPr>
            <w:r w:rsidRPr="00726F45">
              <w:rPr>
                <w:sz w:val="20"/>
                <w:szCs w:val="20"/>
              </w:rPr>
              <w:t>April 29, 2019</w:t>
            </w:r>
          </w:p>
          <w:p w:rsidR="00726F45" w:rsidRPr="00726F45" w:rsidRDefault="00726F45" w:rsidP="00726F45">
            <w:pPr>
              <w:rPr>
                <w:sz w:val="20"/>
                <w:szCs w:val="20"/>
              </w:rPr>
            </w:pPr>
            <w:r w:rsidRPr="00726F45">
              <w:rPr>
                <w:sz w:val="20"/>
                <w:szCs w:val="20"/>
              </w:rPr>
              <w:t>Quebec Court of Appeal (Montréal)</w:t>
            </w:r>
          </w:p>
          <w:p w:rsidR="00726F45" w:rsidRPr="00726F45" w:rsidRDefault="00726F45" w:rsidP="00726F45">
            <w:pPr>
              <w:rPr>
                <w:sz w:val="20"/>
                <w:szCs w:val="20"/>
              </w:rPr>
            </w:pPr>
            <w:r w:rsidRPr="00726F45">
              <w:rPr>
                <w:sz w:val="20"/>
                <w:szCs w:val="20"/>
              </w:rPr>
              <w:t>(</w:t>
            </w:r>
            <w:proofErr w:type="spellStart"/>
            <w:r w:rsidRPr="00726F45">
              <w:rPr>
                <w:sz w:val="20"/>
                <w:szCs w:val="20"/>
              </w:rPr>
              <w:t>Chamberland</w:t>
            </w:r>
            <w:proofErr w:type="spellEnd"/>
            <w:r w:rsidRPr="00726F45">
              <w:rPr>
                <w:sz w:val="20"/>
                <w:szCs w:val="20"/>
              </w:rPr>
              <w:t>, Gagné and Hamilton JJ.A.)</w:t>
            </w:r>
          </w:p>
          <w:p w:rsidR="00726F45" w:rsidRPr="00726F45" w:rsidRDefault="00937854" w:rsidP="00726F45">
            <w:pPr>
              <w:rPr>
                <w:sz w:val="20"/>
                <w:szCs w:val="20"/>
                <w:u w:val="single"/>
              </w:rPr>
            </w:pPr>
            <w:hyperlink r:id="rId28" w:history="1">
              <w:r w:rsidR="00726F45" w:rsidRPr="00726F45">
                <w:rPr>
                  <w:rStyle w:val="Hyperlink"/>
                  <w:sz w:val="20"/>
                  <w:szCs w:val="20"/>
                </w:rPr>
                <w:t>2019 QCCA 752</w:t>
              </w:r>
            </w:hyperlink>
          </w:p>
          <w:p w:rsidR="00726F45" w:rsidRPr="00726F45" w:rsidRDefault="00726F45" w:rsidP="00726F45">
            <w:pPr>
              <w:rPr>
                <w:sz w:val="20"/>
                <w:szCs w:val="20"/>
              </w:rPr>
            </w:pPr>
          </w:p>
        </w:tc>
        <w:tc>
          <w:tcPr>
            <w:tcW w:w="243" w:type="pct"/>
          </w:tcPr>
          <w:p w:rsidR="00726F45" w:rsidRPr="00726F45" w:rsidRDefault="00726F45" w:rsidP="00726F45">
            <w:pPr>
              <w:rPr>
                <w:sz w:val="20"/>
                <w:szCs w:val="20"/>
              </w:rPr>
            </w:pPr>
          </w:p>
        </w:tc>
        <w:tc>
          <w:tcPr>
            <w:tcW w:w="2330" w:type="pct"/>
          </w:tcPr>
          <w:p w:rsidR="00726F45" w:rsidRPr="00726F45" w:rsidRDefault="00726F45" w:rsidP="00726F45">
            <w:pPr>
              <w:rPr>
                <w:sz w:val="20"/>
                <w:szCs w:val="20"/>
              </w:rPr>
            </w:pPr>
            <w:r w:rsidRPr="00726F45">
              <w:rPr>
                <w:sz w:val="20"/>
                <w:szCs w:val="20"/>
              </w:rPr>
              <w:t>Motions to dismiss appeal granted, and appeal dismissed.</w:t>
            </w:r>
          </w:p>
          <w:p w:rsidR="00726F45" w:rsidRPr="00726F45" w:rsidRDefault="00726F45" w:rsidP="00726F45">
            <w:pPr>
              <w:rPr>
                <w:sz w:val="20"/>
                <w:szCs w:val="20"/>
              </w:rPr>
            </w:pPr>
          </w:p>
        </w:tc>
      </w:tr>
      <w:tr w:rsidR="00726F45" w:rsidRPr="00726F45" w:rsidTr="005F4D83">
        <w:tc>
          <w:tcPr>
            <w:tcW w:w="2427" w:type="pct"/>
            <w:gridSpan w:val="2"/>
          </w:tcPr>
          <w:p w:rsidR="00726F45" w:rsidRPr="00726F45" w:rsidRDefault="00726F45" w:rsidP="00726F45">
            <w:pPr>
              <w:rPr>
                <w:sz w:val="20"/>
                <w:szCs w:val="20"/>
              </w:rPr>
            </w:pPr>
            <w:r w:rsidRPr="00726F45">
              <w:rPr>
                <w:sz w:val="20"/>
                <w:szCs w:val="20"/>
              </w:rPr>
              <w:t>June 28, 2019</w:t>
            </w:r>
          </w:p>
          <w:p w:rsidR="00726F45" w:rsidRPr="00726F45" w:rsidRDefault="00726F45" w:rsidP="00726F45">
            <w:pPr>
              <w:rPr>
                <w:sz w:val="20"/>
                <w:szCs w:val="20"/>
              </w:rPr>
            </w:pPr>
            <w:r w:rsidRPr="00726F45">
              <w:rPr>
                <w:sz w:val="20"/>
                <w:szCs w:val="20"/>
              </w:rPr>
              <w:t>Supreme Court of Canada</w:t>
            </w:r>
          </w:p>
        </w:tc>
        <w:tc>
          <w:tcPr>
            <w:tcW w:w="243" w:type="pct"/>
          </w:tcPr>
          <w:p w:rsidR="00726F45" w:rsidRPr="00726F45" w:rsidRDefault="00726F45" w:rsidP="00726F45">
            <w:pPr>
              <w:rPr>
                <w:sz w:val="20"/>
                <w:szCs w:val="20"/>
              </w:rPr>
            </w:pPr>
          </w:p>
        </w:tc>
        <w:tc>
          <w:tcPr>
            <w:tcW w:w="2330" w:type="pct"/>
          </w:tcPr>
          <w:p w:rsidR="00726F45" w:rsidRPr="00726F45" w:rsidRDefault="00726F45" w:rsidP="00726F45">
            <w:pPr>
              <w:rPr>
                <w:sz w:val="20"/>
                <w:szCs w:val="20"/>
              </w:rPr>
            </w:pPr>
            <w:r w:rsidRPr="00726F45">
              <w:rPr>
                <w:sz w:val="20"/>
                <w:szCs w:val="20"/>
              </w:rPr>
              <w:t>Application for leave to appeal filed.</w:t>
            </w:r>
          </w:p>
          <w:p w:rsidR="00726F45" w:rsidRPr="00726F45" w:rsidRDefault="00726F45" w:rsidP="00726F45">
            <w:pPr>
              <w:rPr>
                <w:sz w:val="20"/>
                <w:szCs w:val="20"/>
              </w:rPr>
            </w:pPr>
          </w:p>
        </w:tc>
      </w:tr>
    </w:tbl>
    <w:p w:rsidR="00726F45" w:rsidRPr="00726F45" w:rsidRDefault="00726F45" w:rsidP="00726F45">
      <w:pPr>
        <w:rPr>
          <w:sz w:val="20"/>
          <w:szCs w:val="20"/>
        </w:rPr>
      </w:pPr>
    </w:p>
    <w:p w:rsidR="00726F45" w:rsidRPr="00726F45" w:rsidRDefault="00937854" w:rsidP="00726F45">
      <w:pPr>
        <w:rPr>
          <w:sz w:val="20"/>
          <w:szCs w:val="20"/>
        </w:rPr>
      </w:pPr>
      <w:r>
        <w:rPr>
          <w:sz w:val="20"/>
          <w:szCs w:val="20"/>
          <w:lang w:val="en-US"/>
        </w:rPr>
        <w:pict>
          <v:rect id="_x0000_i1042" style="width:2in;height:1pt" o:hrpct="0" o:hralign="center" o:hrstd="t" o:hrnoshade="t" o:hr="t" fillcolor="black [3213]" stroked="f"/>
        </w:pict>
      </w:r>
    </w:p>
    <w:p w:rsidR="00726F45" w:rsidRPr="00726F45" w:rsidRDefault="00726F45" w:rsidP="00726F45">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726F45" w:rsidTr="005F4D83">
        <w:tc>
          <w:tcPr>
            <w:tcW w:w="543" w:type="pct"/>
          </w:tcPr>
          <w:p w:rsidR="00726F45" w:rsidRPr="00726F45" w:rsidRDefault="00726F45" w:rsidP="00726F45">
            <w:pPr>
              <w:rPr>
                <w:sz w:val="20"/>
                <w:szCs w:val="20"/>
                <w:lang w:val="en-US"/>
              </w:rPr>
            </w:pPr>
            <w:r w:rsidRPr="00726F45">
              <w:rPr>
                <w:b/>
                <w:sz w:val="20"/>
                <w:szCs w:val="20"/>
              </w:rPr>
              <w:t>38709</w:t>
            </w:r>
          </w:p>
        </w:tc>
        <w:tc>
          <w:tcPr>
            <w:tcW w:w="4457" w:type="pct"/>
            <w:gridSpan w:val="3"/>
          </w:tcPr>
          <w:p w:rsidR="00726F45" w:rsidRPr="00726F45" w:rsidRDefault="00726F45" w:rsidP="00726F45">
            <w:pPr>
              <w:rPr>
                <w:b/>
                <w:sz w:val="20"/>
                <w:szCs w:val="20"/>
                <w:lang w:val="fr-CA"/>
              </w:rPr>
            </w:pPr>
            <w:r w:rsidRPr="00726F45">
              <w:rPr>
                <w:b/>
                <w:sz w:val="20"/>
                <w:szCs w:val="20"/>
                <w:lang w:val="fr-CA"/>
              </w:rPr>
              <w:t>Transport en commun La Québécoise inc. c. Réseau de transport métropolitain, Transdev Québec inc. et Pascal Charbonneau</w:t>
            </w:r>
          </w:p>
          <w:p w:rsidR="00726F45" w:rsidRPr="00726F45" w:rsidRDefault="00726F45" w:rsidP="00726F45">
            <w:pPr>
              <w:rPr>
                <w:sz w:val="20"/>
                <w:szCs w:val="20"/>
                <w:lang w:val="en-US"/>
              </w:rPr>
            </w:pPr>
            <w:r w:rsidRPr="00726F45">
              <w:rPr>
                <w:sz w:val="20"/>
                <w:szCs w:val="20"/>
                <w:lang w:val="en-US"/>
              </w:rPr>
              <w:t>(Qc) (Civile) (Autorisation)</w:t>
            </w:r>
          </w:p>
        </w:tc>
      </w:tr>
      <w:tr w:rsidR="00726F45" w:rsidRPr="00937854" w:rsidTr="005F4D83">
        <w:tc>
          <w:tcPr>
            <w:tcW w:w="5000" w:type="pct"/>
            <w:gridSpan w:val="4"/>
          </w:tcPr>
          <w:p w:rsidR="00A521D5" w:rsidRDefault="00A521D5" w:rsidP="00726F45">
            <w:pPr>
              <w:rPr>
                <w:sz w:val="20"/>
                <w:szCs w:val="20"/>
                <w:lang w:val="fr-CA"/>
              </w:rPr>
            </w:pPr>
            <w:r w:rsidRPr="00A521D5">
              <w:rPr>
                <w:sz w:val="20"/>
                <w:szCs w:val="20"/>
                <w:lang w:val="fr-CA"/>
              </w:rPr>
              <w:t>L</w:t>
            </w:r>
            <w:r>
              <w:rPr>
                <w:sz w:val="20"/>
                <w:szCs w:val="20"/>
                <w:lang w:val="fr-CA"/>
              </w:rPr>
              <w:t>a</w:t>
            </w:r>
            <w:r w:rsidRPr="00A521D5">
              <w:rPr>
                <w:sz w:val="20"/>
                <w:szCs w:val="20"/>
                <w:lang w:val="fr-CA"/>
              </w:rPr>
              <w:t xml:space="preserve"> demande d’autorisation d’appel de l’arrêt de la Cour d’appel du Québec (Montréal), numéro 500-09-028104-198, 2019 QCCA 752, daté du 29 avril 2019, est rejetée avec dépens en faveur de l’intimée, Transdev Québec inc.</w:t>
            </w:r>
          </w:p>
          <w:p w:rsidR="00A521D5" w:rsidRDefault="00A521D5" w:rsidP="00726F45">
            <w:pPr>
              <w:rPr>
                <w:sz w:val="20"/>
                <w:szCs w:val="20"/>
                <w:lang w:val="fr-CA"/>
              </w:rPr>
            </w:pPr>
          </w:p>
          <w:p w:rsidR="00726F45" w:rsidRPr="00726F45" w:rsidRDefault="00726F45" w:rsidP="00726F45">
            <w:pPr>
              <w:rPr>
                <w:sz w:val="20"/>
                <w:szCs w:val="20"/>
                <w:lang w:val="fr-CA"/>
              </w:rPr>
            </w:pPr>
            <w:r w:rsidRPr="00726F45">
              <w:rPr>
                <w:sz w:val="20"/>
                <w:szCs w:val="20"/>
                <w:lang w:val="fr-CA"/>
              </w:rPr>
              <w:t>Procédure civile — Appel — Appel sur permission ou de plein droit — Objet véritable du recours intenté — Octroi d’un contrat au terme d’un processus d’appel d’offres par une personne morale de droit public — Demande en nullité — L’appel d’offres du Réseau de transport métropolitain est</w:t>
            </w:r>
            <w:r w:rsidRPr="00726F45">
              <w:rPr>
                <w:sz w:val="20"/>
                <w:szCs w:val="20"/>
                <w:lang w:val="fr-CA"/>
              </w:rPr>
              <w:noBreakHyphen/>
              <w:t>il un contrat et, dans l’affirmative, les règles qui s’y appliquent sont</w:t>
            </w:r>
            <w:r w:rsidRPr="00726F45">
              <w:rPr>
                <w:sz w:val="20"/>
                <w:szCs w:val="20"/>
                <w:lang w:val="fr-CA"/>
              </w:rPr>
              <w:noBreakHyphen/>
              <w:t>elles celles du droit privé? — Les jugements de la Cour supérieure portant sur l’annulation d’un contrat auquel une autorité publique est partie sont</w:t>
            </w:r>
            <w:r w:rsidRPr="00726F45">
              <w:rPr>
                <w:sz w:val="20"/>
                <w:szCs w:val="20"/>
                <w:lang w:val="fr-CA"/>
              </w:rPr>
              <w:noBreakHyphen/>
              <w:t xml:space="preserve">ils sujets à un appel de plein droit en vertu de l’art. 30 al. 1 du </w:t>
            </w:r>
            <w:r w:rsidRPr="00726F45">
              <w:rPr>
                <w:i/>
                <w:sz w:val="20"/>
                <w:szCs w:val="20"/>
                <w:lang w:val="fr-CA"/>
              </w:rPr>
              <w:t>Code de procédure civile</w:t>
            </w:r>
            <w:r w:rsidRPr="00726F45">
              <w:rPr>
                <w:sz w:val="20"/>
                <w:szCs w:val="20"/>
                <w:lang w:val="fr-FR"/>
              </w:rPr>
              <w:t xml:space="preserve">? </w:t>
            </w:r>
            <w:r w:rsidRPr="00726F45">
              <w:rPr>
                <w:sz w:val="20"/>
                <w:szCs w:val="20"/>
                <w:lang w:val="fr-CA"/>
              </w:rPr>
              <w:t xml:space="preserve">— </w:t>
            </w:r>
            <w:r w:rsidRPr="00726F45">
              <w:rPr>
                <w:i/>
                <w:sz w:val="20"/>
                <w:szCs w:val="20"/>
                <w:lang w:val="fr-CA"/>
              </w:rPr>
              <w:t>Code de procédure civile</w:t>
            </w:r>
            <w:r w:rsidRPr="00726F45">
              <w:rPr>
                <w:sz w:val="20"/>
                <w:szCs w:val="20"/>
                <w:lang w:val="fr-CA"/>
              </w:rPr>
              <w:t xml:space="preserve">, </w:t>
            </w:r>
            <w:r w:rsidRPr="00726F45">
              <w:rPr>
                <w:sz w:val="20"/>
                <w:szCs w:val="20"/>
                <w:lang w:val="fr-FR"/>
              </w:rPr>
              <w:t>RLRQ c. C</w:t>
            </w:r>
            <w:r w:rsidRPr="00726F45">
              <w:rPr>
                <w:sz w:val="20"/>
                <w:szCs w:val="20"/>
                <w:lang w:val="fr-FR"/>
              </w:rPr>
              <w:noBreakHyphen/>
              <w:t xml:space="preserve">25.01, </w:t>
            </w:r>
            <w:r w:rsidRPr="00726F45">
              <w:rPr>
                <w:sz w:val="20"/>
                <w:szCs w:val="20"/>
                <w:lang w:val="fr-CA"/>
              </w:rPr>
              <w:t>art. 30, 34 et 529.</w:t>
            </w:r>
          </w:p>
        </w:tc>
      </w:tr>
      <w:tr w:rsidR="00726F45" w:rsidRPr="00937854" w:rsidTr="005F4D83">
        <w:tc>
          <w:tcPr>
            <w:tcW w:w="5000" w:type="pct"/>
            <w:gridSpan w:val="4"/>
          </w:tcPr>
          <w:p w:rsidR="00726F45" w:rsidRPr="00726F45" w:rsidRDefault="00726F45" w:rsidP="00726F45">
            <w:pPr>
              <w:rPr>
                <w:sz w:val="20"/>
                <w:szCs w:val="20"/>
                <w:lang w:val="fr-CA"/>
              </w:rPr>
            </w:pPr>
          </w:p>
        </w:tc>
      </w:tr>
      <w:tr w:rsidR="00726F45" w:rsidRPr="00937854" w:rsidTr="005F4D83">
        <w:tc>
          <w:tcPr>
            <w:tcW w:w="5000" w:type="pct"/>
            <w:gridSpan w:val="4"/>
          </w:tcPr>
          <w:p w:rsidR="00726F45" w:rsidRPr="00726F45" w:rsidRDefault="00726F45" w:rsidP="00726F45">
            <w:pPr>
              <w:rPr>
                <w:sz w:val="20"/>
                <w:szCs w:val="20"/>
                <w:lang w:val="fr-CA"/>
              </w:rPr>
            </w:pPr>
            <w:r w:rsidRPr="00726F45">
              <w:rPr>
                <w:sz w:val="20"/>
                <w:szCs w:val="20"/>
                <w:lang w:val="fr-CA"/>
              </w:rPr>
              <w:t xml:space="preserve">Le 23 mars 2018, l’intimé, le Réseau de transport métropolitain (RTM) une personne morale de droit public qui exploite les services de transport collectif sur les territoires des municipalités de la grande région de Montréal lance un appel d’offres publiques. Cet appel d’offres vise à identifier un fournisseur de services de transport par autobus pour le secteur Le </w:t>
            </w:r>
            <w:proofErr w:type="spellStart"/>
            <w:r w:rsidRPr="00726F45">
              <w:rPr>
                <w:sz w:val="20"/>
                <w:szCs w:val="20"/>
                <w:lang w:val="fr-CA"/>
              </w:rPr>
              <w:t>Richelain</w:t>
            </w:r>
            <w:proofErr w:type="spellEnd"/>
            <w:r w:rsidRPr="00726F45">
              <w:rPr>
                <w:sz w:val="20"/>
                <w:szCs w:val="20"/>
                <w:lang w:val="fr-CA"/>
              </w:rPr>
              <w:t xml:space="preserve"> qui dessert les municipalités de Candiac, La Prairie et Saint</w:t>
            </w:r>
            <w:r w:rsidRPr="00726F45">
              <w:rPr>
                <w:sz w:val="20"/>
                <w:szCs w:val="20"/>
                <w:lang w:val="fr-CA"/>
              </w:rPr>
              <w:noBreakHyphen/>
              <w:t>Philippe. La demanderesse, Transport en commun La Québécoise inc. (La Québécoise) dépose sa soumission le 18 mai 2018. Le 24 mai 2018, le RTM émet un avis indiquant que la soumission déposée par l’intimée Transdev Québec inc. (Transdev) est retenue puisqu’elle comporte le prix le plus bas. Le 21 juin 2018, le conseil d’administration du RTM adopte une résolution autorisant le RTM à conclure avec Transdev le contrat conditionnellement à la réception dans les sept jours de la date de l’avis d’adjudication d’un plan d’affectation des véhicules conforme aux exigences des documents de l’appel d’offres qui ont été modifiés le 9 avril 2018. Le 4 juillet 2018, le RTM transmet à Transdev l’avis d’adjudication et Transdev dépose son plan d’affectation des véhicules les 10 et 11 juillet 2018. Le 23 juillet 2018, le RTM émet un avis confirmant que la soumission de Transdev est conforme sur le plan technique. Le contrat est octroyé à Transdev le 22 octobre 2018 pour entrer en vigueur le 1</w:t>
            </w:r>
            <w:r w:rsidRPr="00726F45">
              <w:rPr>
                <w:sz w:val="20"/>
                <w:szCs w:val="20"/>
                <w:vertAlign w:val="superscript"/>
                <w:lang w:val="fr-CA"/>
              </w:rPr>
              <w:t xml:space="preserve">er </w:t>
            </w:r>
            <w:r w:rsidRPr="00726F45">
              <w:rPr>
                <w:sz w:val="20"/>
                <w:szCs w:val="20"/>
                <w:lang w:val="fr-CA"/>
              </w:rPr>
              <w:t>janvier 2019. Parallèlement à ces événements, en juin 2018, La Québécoise a saisi la Cour supérieure d’une demande qui sera éventuellement remodifiée afin de faire déclarer nul l’appel d’offres et d’obtenir la nullité de toute résolution adoptée par le RTM en relation avec l’appel d’offres et accordant le contrat de Transdev. La Cour supérieure a rejeté la demande de La Québécoise. La Cour d’appel a accueilli les requêtes en rejet d’appel déposées par Transdev et RTM au motif que La Québécoise aurait dû demander la permission d’en appeler de la décision de la Cour supérieure et a rejeté l’appel de La Québécoise.</w:t>
            </w:r>
          </w:p>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Le 21 décembre 2018</w:t>
            </w:r>
          </w:p>
          <w:p w:rsidR="00726F45" w:rsidRPr="00726F45" w:rsidRDefault="00726F45" w:rsidP="00726F45">
            <w:pPr>
              <w:rPr>
                <w:sz w:val="20"/>
                <w:szCs w:val="20"/>
                <w:lang w:val="fr-CA"/>
              </w:rPr>
            </w:pPr>
            <w:r w:rsidRPr="00726F45">
              <w:rPr>
                <w:sz w:val="20"/>
                <w:szCs w:val="20"/>
                <w:lang w:val="fr-CA"/>
              </w:rPr>
              <w:t>Cour supérieure du Québec</w:t>
            </w:r>
          </w:p>
          <w:p w:rsidR="00726F45" w:rsidRPr="00726F45" w:rsidRDefault="00726F45" w:rsidP="00726F45">
            <w:pPr>
              <w:rPr>
                <w:sz w:val="20"/>
                <w:szCs w:val="20"/>
                <w:lang w:val="en-US"/>
              </w:rPr>
            </w:pPr>
            <w:r w:rsidRPr="00726F45">
              <w:rPr>
                <w:sz w:val="20"/>
                <w:szCs w:val="20"/>
                <w:lang w:val="en-US"/>
              </w:rPr>
              <w:t>(Le juge Bisson)</w:t>
            </w:r>
          </w:p>
          <w:p w:rsidR="00726F45" w:rsidRPr="00726F45" w:rsidRDefault="00937854" w:rsidP="00726F45">
            <w:pPr>
              <w:rPr>
                <w:sz w:val="20"/>
                <w:szCs w:val="20"/>
                <w:lang w:val="en-US"/>
              </w:rPr>
            </w:pPr>
            <w:hyperlink r:id="rId29" w:history="1">
              <w:r w:rsidR="00726F45" w:rsidRPr="00726F45">
                <w:rPr>
                  <w:rStyle w:val="Hyperlink"/>
                  <w:sz w:val="20"/>
                  <w:szCs w:val="20"/>
                  <w:lang w:val="en-US"/>
                </w:rPr>
                <w:t>2018 QCCS 5545</w:t>
              </w:r>
            </w:hyperlink>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fr-CA"/>
              </w:rPr>
            </w:pPr>
            <w:r w:rsidRPr="00726F45">
              <w:rPr>
                <w:sz w:val="20"/>
                <w:szCs w:val="20"/>
                <w:lang w:val="fr-CA"/>
              </w:rPr>
              <w:t>Demande introductive d’instance remodifiée rejetée.</w:t>
            </w:r>
          </w:p>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Le 29 avril 2019</w:t>
            </w:r>
          </w:p>
          <w:p w:rsidR="00726F45" w:rsidRPr="00726F45" w:rsidRDefault="00726F45" w:rsidP="00726F45">
            <w:pPr>
              <w:rPr>
                <w:sz w:val="20"/>
                <w:szCs w:val="20"/>
                <w:lang w:val="fr-CA"/>
              </w:rPr>
            </w:pPr>
            <w:r w:rsidRPr="00726F45">
              <w:rPr>
                <w:sz w:val="20"/>
                <w:szCs w:val="20"/>
                <w:lang w:val="fr-CA"/>
              </w:rPr>
              <w:t>Cour d’appel du Québec (Montréal)</w:t>
            </w:r>
          </w:p>
          <w:p w:rsidR="00726F45" w:rsidRPr="00726F45" w:rsidRDefault="00726F45" w:rsidP="00726F45">
            <w:pPr>
              <w:rPr>
                <w:sz w:val="20"/>
                <w:szCs w:val="20"/>
                <w:lang w:val="fr-CA"/>
              </w:rPr>
            </w:pPr>
            <w:r w:rsidRPr="00726F45">
              <w:rPr>
                <w:sz w:val="20"/>
                <w:szCs w:val="20"/>
                <w:lang w:val="fr-CA"/>
              </w:rPr>
              <w:t>(Les juges Chamberland, Gagné et Hamilton)</w:t>
            </w:r>
          </w:p>
          <w:p w:rsidR="00726F45" w:rsidRPr="00726F45" w:rsidRDefault="00937854" w:rsidP="00726F45">
            <w:pPr>
              <w:rPr>
                <w:sz w:val="20"/>
                <w:szCs w:val="20"/>
                <w:u w:val="single"/>
                <w:lang w:val="en-US"/>
              </w:rPr>
            </w:pPr>
            <w:hyperlink r:id="rId30" w:history="1">
              <w:r w:rsidR="00726F45" w:rsidRPr="00726F45">
                <w:rPr>
                  <w:rStyle w:val="Hyperlink"/>
                  <w:sz w:val="20"/>
                  <w:szCs w:val="20"/>
                  <w:lang w:val="en-US"/>
                </w:rPr>
                <w:t>2019 QCCA 752</w:t>
              </w:r>
            </w:hyperlink>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fr-CA"/>
              </w:rPr>
            </w:pPr>
            <w:r w:rsidRPr="00726F45">
              <w:rPr>
                <w:sz w:val="20"/>
                <w:szCs w:val="20"/>
                <w:lang w:val="fr-CA"/>
              </w:rPr>
              <w:t>Requêtes en rejet d’appel accueillies et appel rejeté.</w:t>
            </w:r>
          </w:p>
          <w:p w:rsidR="00726F45" w:rsidRPr="00726F45" w:rsidRDefault="00726F45" w:rsidP="00726F45">
            <w:pPr>
              <w:rPr>
                <w:sz w:val="20"/>
                <w:szCs w:val="20"/>
                <w:lang w:val="fr-CA"/>
              </w:rPr>
            </w:pPr>
          </w:p>
        </w:tc>
      </w:tr>
      <w:tr w:rsidR="00726F45" w:rsidRPr="00726F45" w:rsidTr="005F4D83">
        <w:tc>
          <w:tcPr>
            <w:tcW w:w="2427" w:type="pct"/>
            <w:gridSpan w:val="2"/>
          </w:tcPr>
          <w:p w:rsidR="00726F45" w:rsidRPr="00726F45" w:rsidRDefault="00726F45" w:rsidP="00726F45">
            <w:pPr>
              <w:rPr>
                <w:sz w:val="20"/>
                <w:szCs w:val="20"/>
                <w:lang w:val="fr-CA"/>
              </w:rPr>
            </w:pPr>
            <w:r w:rsidRPr="00726F45">
              <w:rPr>
                <w:sz w:val="20"/>
                <w:szCs w:val="20"/>
                <w:lang w:val="fr-CA"/>
              </w:rPr>
              <w:t>Le 28 juin 2019</w:t>
            </w:r>
          </w:p>
          <w:p w:rsidR="00726F45" w:rsidRPr="00726F45" w:rsidRDefault="00726F45" w:rsidP="00726F45">
            <w:pPr>
              <w:rPr>
                <w:sz w:val="20"/>
                <w:szCs w:val="20"/>
                <w:lang w:val="fr-CA"/>
              </w:rPr>
            </w:pPr>
            <w:r w:rsidRPr="00726F45">
              <w:rPr>
                <w:sz w:val="20"/>
                <w:szCs w:val="20"/>
                <w:lang w:val="fr-CA"/>
              </w:rPr>
              <w:t>Cour suprême du Canada</w:t>
            </w: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en-US"/>
              </w:rPr>
            </w:pPr>
            <w:r w:rsidRPr="00726F45">
              <w:rPr>
                <w:sz w:val="20"/>
                <w:szCs w:val="20"/>
                <w:lang w:val="en-US"/>
              </w:rPr>
              <w:t>Demande d'autorisation d'appel déposée.</w:t>
            </w:r>
          </w:p>
          <w:p w:rsidR="00726F45" w:rsidRPr="00726F45" w:rsidRDefault="00726F45" w:rsidP="00726F45">
            <w:pPr>
              <w:rPr>
                <w:sz w:val="20"/>
                <w:szCs w:val="20"/>
                <w:lang w:val="en-US"/>
              </w:rPr>
            </w:pPr>
          </w:p>
        </w:tc>
      </w:tr>
    </w:tbl>
    <w:p w:rsidR="00726F45" w:rsidRPr="00726F45" w:rsidRDefault="00726F45" w:rsidP="00726F45">
      <w:pPr>
        <w:rPr>
          <w:sz w:val="20"/>
          <w:szCs w:val="20"/>
          <w:lang w:val="fr-CA"/>
        </w:rPr>
      </w:pPr>
    </w:p>
    <w:p w:rsidR="00726F45" w:rsidRPr="00726F45" w:rsidRDefault="00937854" w:rsidP="00726F45">
      <w:pPr>
        <w:rPr>
          <w:sz w:val="20"/>
          <w:szCs w:val="20"/>
          <w:lang w:val="fr-CA"/>
        </w:rPr>
      </w:pPr>
      <w:r>
        <w:rPr>
          <w:sz w:val="20"/>
          <w:szCs w:val="20"/>
          <w:lang w:val="en-US"/>
        </w:rPr>
        <w:pict>
          <v:rect id="_x0000_i1043" style="width:2in;height:1pt" o:hrpct="0" o:hralign="center" o:hrstd="t" o:hrnoshade="t" o:hr="t" fillcolor="black [3213]" stroked="f"/>
        </w:pict>
      </w:r>
    </w:p>
    <w:p w:rsidR="00726F45" w:rsidRPr="00726F45" w:rsidRDefault="00726F45" w:rsidP="00726F45">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726F45" w:rsidTr="005F4D83">
        <w:tc>
          <w:tcPr>
            <w:tcW w:w="543" w:type="pct"/>
          </w:tcPr>
          <w:p w:rsidR="00726F45" w:rsidRPr="00726F45" w:rsidRDefault="00726F45" w:rsidP="00726F45">
            <w:pPr>
              <w:rPr>
                <w:sz w:val="20"/>
                <w:szCs w:val="20"/>
                <w:lang w:val="en-US"/>
              </w:rPr>
            </w:pPr>
            <w:r w:rsidRPr="00726F45">
              <w:rPr>
                <w:b/>
                <w:sz w:val="20"/>
                <w:szCs w:val="20"/>
              </w:rPr>
              <w:t>38859</w:t>
            </w:r>
          </w:p>
        </w:tc>
        <w:tc>
          <w:tcPr>
            <w:tcW w:w="4457" w:type="pct"/>
            <w:gridSpan w:val="3"/>
          </w:tcPr>
          <w:p w:rsidR="00726F45" w:rsidRPr="00726F45" w:rsidRDefault="00726F45" w:rsidP="00726F45">
            <w:pPr>
              <w:rPr>
                <w:b/>
                <w:sz w:val="20"/>
                <w:szCs w:val="20"/>
                <w:lang w:val="en-US"/>
              </w:rPr>
            </w:pPr>
            <w:r w:rsidRPr="00726F45">
              <w:rPr>
                <w:b/>
                <w:sz w:val="20"/>
                <w:szCs w:val="20"/>
                <w:lang w:val="en-US"/>
              </w:rPr>
              <w:t>F.J.N. v. J.K.</w:t>
            </w:r>
          </w:p>
          <w:p w:rsidR="00726F45" w:rsidRPr="00726F45" w:rsidRDefault="00726F45" w:rsidP="00726F45">
            <w:pPr>
              <w:rPr>
                <w:sz w:val="20"/>
                <w:szCs w:val="20"/>
                <w:lang w:val="en-US"/>
              </w:rPr>
            </w:pPr>
            <w:r w:rsidRPr="00726F45">
              <w:rPr>
                <w:sz w:val="20"/>
                <w:szCs w:val="20"/>
                <w:lang w:val="en-US"/>
              </w:rPr>
              <w:t>(Alta.) (Civil) (By Leave)</w:t>
            </w:r>
          </w:p>
        </w:tc>
      </w:tr>
      <w:tr w:rsidR="00726F45" w:rsidRPr="00726F45" w:rsidTr="005F4D83">
        <w:tc>
          <w:tcPr>
            <w:tcW w:w="5000" w:type="pct"/>
            <w:gridSpan w:val="4"/>
          </w:tcPr>
          <w:p w:rsidR="00726F45" w:rsidRDefault="00726F45" w:rsidP="00726F45">
            <w:pPr>
              <w:rPr>
                <w:sz w:val="20"/>
                <w:szCs w:val="20"/>
              </w:rPr>
            </w:pPr>
            <w:r w:rsidRPr="00726F45">
              <w:rPr>
                <w:sz w:val="20"/>
                <w:szCs w:val="20"/>
              </w:rPr>
              <w:t>(Publication ban in case) (Publication ban on party)</w:t>
            </w:r>
          </w:p>
          <w:p w:rsidR="00A521D5" w:rsidRDefault="00A521D5" w:rsidP="00726F45">
            <w:pPr>
              <w:rPr>
                <w:sz w:val="20"/>
                <w:szCs w:val="20"/>
              </w:rPr>
            </w:pPr>
          </w:p>
          <w:p w:rsidR="00A521D5" w:rsidRPr="00726F45" w:rsidRDefault="00A521D5" w:rsidP="00726F45">
            <w:pPr>
              <w:rPr>
                <w:sz w:val="20"/>
                <w:szCs w:val="20"/>
              </w:rPr>
            </w:pPr>
            <w:r w:rsidRPr="00A521D5">
              <w:rPr>
                <w:sz w:val="20"/>
                <w:szCs w:val="20"/>
              </w:rPr>
              <w:t>The application for leave to appeal from the judgment of the Court of Appeal of Alberta (Edmonton), Number 1803-0228-AC, 2019 ABCA 305, dated August 15, 2019, is dismissed without costs.</w:t>
            </w:r>
          </w:p>
          <w:p w:rsidR="00726F45" w:rsidRPr="00726F45" w:rsidRDefault="00726F45" w:rsidP="00726F45">
            <w:pPr>
              <w:rPr>
                <w:sz w:val="20"/>
                <w:szCs w:val="20"/>
                <w:lang w:val="en-US"/>
              </w:rPr>
            </w:pPr>
          </w:p>
          <w:p w:rsidR="00726F45" w:rsidRPr="00726F45" w:rsidRDefault="00726F45" w:rsidP="00726F45">
            <w:pPr>
              <w:rPr>
                <w:sz w:val="20"/>
                <w:szCs w:val="20"/>
                <w:lang w:val="en-US"/>
              </w:rPr>
            </w:pPr>
            <w:r w:rsidRPr="00726F45">
              <w:rPr>
                <w:sz w:val="20"/>
                <w:szCs w:val="20"/>
                <w:lang w:val="en-US"/>
              </w:rPr>
              <w:t>Family law — Support — Child support — Extraordinary expenses — Court of Appeal disallowing several claims for extraordinary expenses for special-needs child — How can real needs of significantly handicapped children including those who will never live independently be protected and secured under the child support guidelines, both federal and provincial?</w:t>
            </w:r>
          </w:p>
          <w:p w:rsidR="00726F45" w:rsidRPr="00726F45" w:rsidRDefault="00726F45" w:rsidP="00726F45">
            <w:pPr>
              <w:rPr>
                <w:sz w:val="20"/>
                <w:szCs w:val="20"/>
                <w:lang w:val="en-US"/>
              </w:rPr>
            </w:pPr>
          </w:p>
        </w:tc>
      </w:tr>
      <w:tr w:rsidR="00726F45" w:rsidRPr="00726F45" w:rsidTr="005F4D83">
        <w:tc>
          <w:tcPr>
            <w:tcW w:w="5000" w:type="pct"/>
            <w:gridSpan w:val="4"/>
          </w:tcPr>
          <w:p w:rsidR="00726F45" w:rsidRPr="00726F45" w:rsidRDefault="00726F45" w:rsidP="00726F45">
            <w:pPr>
              <w:rPr>
                <w:sz w:val="20"/>
                <w:szCs w:val="20"/>
                <w:lang w:val="en-US"/>
              </w:rPr>
            </w:pPr>
            <w:r w:rsidRPr="00726F45">
              <w:rPr>
                <w:sz w:val="20"/>
                <w:szCs w:val="20"/>
                <w:lang w:val="en-US"/>
              </w:rPr>
              <w:t xml:space="preserve">The applicant is the mother of a child born with Down Syndrome in 2010. The respondent father is a medical doctor who was involved with the mother for a short period of time and who denied paternity. The mother is married to another person and together, they have four children of their own. They are raising the child with special needs in their family. Prior to the child support trial in 2018, there were numerous court proceedings on the issues of paternity, financial disclosure by the father and interim child support. At issue at trial were retroactive and ongoing child </w:t>
            </w:r>
            <w:r w:rsidRPr="00726F45">
              <w:rPr>
                <w:sz w:val="20"/>
                <w:szCs w:val="20"/>
                <w:lang w:val="en-US"/>
              </w:rPr>
              <w:lastRenderedPageBreak/>
              <w:t xml:space="preserve">support, the amount of income to be attributed to the father for child support purposes under the </w:t>
            </w:r>
            <w:r w:rsidRPr="00726F45">
              <w:rPr>
                <w:i/>
                <w:sz w:val="20"/>
                <w:szCs w:val="20"/>
                <w:lang w:val="en-US"/>
              </w:rPr>
              <w:t>Federal Child Support Guidelines</w:t>
            </w:r>
            <w:r w:rsidRPr="00726F45">
              <w:rPr>
                <w:sz w:val="20"/>
                <w:szCs w:val="20"/>
                <w:lang w:val="en-US"/>
              </w:rPr>
              <w:t xml:space="preserve"> from 2010 forward, and allowable section 7 extraordinary expenses for the child with special needs. The trial judge allowed several of the mother’s claims for section 7 expenses. The Court of Appeal disallowed many of those section 7 expenses and remitted other section 7 expenses back to the trial court for reconsideration.</w:t>
            </w:r>
          </w:p>
        </w:tc>
      </w:tr>
      <w:tr w:rsidR="00726F45" w:rsidRPr="00726F45" w:rsidTr="005F4D83">
        <w:tc>
          <w:tcPr>
            <w:tcW w:w="5000" w:type="pct"/>
            <w:gridSpan w:val="4"/>
          </w:tcPr>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en-US"/>
              </w:rPr>
            </w:pPr>
            <w:r w:rsidRPr="00726F45">
              <w:rPr>
                <w:sz w:val="20"/>
                <w:szCs w:val="20"/>
                <w:lang w:val="en-US"/>
              </w:rPr>
              <w:t>July 20, 2018</w:t>
            </w:r>
          </w:p>
          <w:p w:rsidR="00726F45" w:rsidRPr="00726F45" w:rsidRDefault="00726F45" w:rsidP="00726F45">
            <w:pPr>
              <w:rPr>
                <w:sz w:val="20"/>
                <w:szCs w:val="20"/>
                <w:lang w:val="en-US"/>
              </w:rPr>
            </w:pPr>
            <w:r w:rsidRPr="00726F45">
              <w:rPr>
                <w:sz w:val="20"/>
                <w:szCs w:val="20"/>
                <w:lang w:val="en-US"/>
              </w:rPr>
              <w:t>Court of Queen’s Bench of Alberta</w:t>
            </w:r>
          </w:p>
          <w:p w:rsidR="00726F45" w:rsidRPr="00726F45" w:rsidRDefault="00726F45" w:rsidP="00726F45">
            <w:pPr>
              <w:rPr>
                <w:sz w:val="20"/>
                <w:szCs w:val="20"/>
                <w:lang w:val="en-US"/>
              </w:rPr>
            </w:pPr>
            <w:r w:rsidRPr="00726F45">
              <w:rPr>
                <w:sz w:val="20"/>
                <w:szCs w:val="20"/>
                <w:lang w:val="en-US"/>
              </w:rPr>
              <w:t>(Moen J.)</w:t>
            </w:r>
          </w:p>
          <w:p w:rsidR="00726F45" w:rsidRPr="00726F45" w:rsidRDefault="00937854" w:rsidP="00726F45">
            <w:pPr>
              <w:rPr>
                <w:sz w:val="20"/>
                <w:szCs w:val="20"/>
                <w:lang w:val="en-US"/>
              </w:rPr>
            </w:pPr>
            <w:hyperlink r:id="rId31" w:history="1">
              <w:r w:rsidR="00726F45" w:rsidRPr="00726F45">
                <w:rPr>
                  <w:rStyle w:val="Hyperlink"/>
                  <w:sz w:val="20"/>
                  <w:szCs w:val="20"/>
                  <w:lang w:val="en-US"/>
                </w:rPr>
                <w:t>2018 ABQB 552</w:t>
              </w:r>
            </w:hyperlink>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Declaration that respondent was biological father of child. Mother awarded retroactive, and ongoing child support and extraordinary expenses. Order fixing father’s income for child support purposes</w:t>
            </w:r>
          </w:p>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en-US"/>
              </w:rPr>
            </w:pPr>
            <w:r w:rsidRPr="00726F45">
              <w:rPr>
                <w:sz w:val="20"/>
                <w:szCs w:val="20"/>
                <w:lang w:val="en-US"/>
              </w:rPr>
              <w:t>August 15, 2019</w:t>
            </w:r>
          </w:p>
          <w:p w:rsidR="00726F45" w:rsidRPr="00726F45" w:rsidRDefault="00726F45" w:rsidP="00726F45">
            <w:pPr>
              <w:rPr>
                <w:sz w:val="20"/>
                <w:szCs w:val="20"/>
                <w:lang w:val="en-US"/>
              </w:rPr>
            </w:pPr>
            <w:r w:rsidRPr="00726F45">
              <w:rPr>
                <w:sz w:val="20"/>
                <w:szCs w:val="20"/>
                <w:lang w:val="en-US"/>
              </w:rPr>
              <w:t>Court of Appeal of Alberta (Edmonton)</w:t>
            </w:r>
          </w:p>
          <w:p w:rsidR="00726F45" w:rsidRPr="00726F45" w:rsidRDefault="00726F45" w:rsidP="00726F45">
            <w:pPr>
              <w:rPr>
                <w:sz w:val="20"/>
                <w:szCs w:val="20"/>
                <w:lang w:val="en-US"/>
              </w:rPr>
            </w:pPr>
            <w:r w:rsidRPr="00726F45">
              <w:rPr>
                <w:sz w:val="20"/>
                <w:szCs w:val="20"/>
                <w:lang w:val="en-US"/>
              </w:rPr>
              <w:t xml:space="preserve">(Watson, Slatter and </w:t>
            </w:r>
            <w:proofErr w:type="spellStart"/>
            <w:r w:rsidRPr="00726F45">
              <w:rPr>
                <w:sz w:val="20"/>
                <w:szCs w:val="20"/>
                <w:lang w:val="en-US"/>
              </w:rPr>
              <w:t>O'Ferrall</w:t>
            </w:r>
            <w:proofErr w:type="spellEnd"/>
            <w:r w:rsidRPr="00726F45">
              <w:rPr>
                <w:sz w:val="20"/>
                <w:szCs w:val="20"/>
                <w:lang w:val="en-US"/>
              </w:rPr>
              <w:t xml:space="preserve"> B.K.)</w:t>
            </w:r>
          </w:p>
          <w:p w:rsidR="00726F45" w:rsidRPr="00726F45" w:rsidRDefault="00937854" w:rsidP="00726F45">
            <w:pPr>
              <w:rPr>
                <w:sz w:val="20"/>
                <w:szCs w:val="20"/>
                <w:lang w:val="en-US"/>
              </w:rPr>
            </w:pPr>
            <w:hyperlink r:id="rId32" w:history="1">
              <w:r w:rsidR="00726F45" w:rsidRPr="00726F45">
                <w:rPr>
                  <w:rStyle w:val="Hyperlink"/>
                  <w:sz w:val="20"/>
                  <w:szCs w:val="20"/>
                  <w:lang w:val="en-US"/>
                </w:rPr>
                <w:t>2019 ABCA 305</w:t>
              </w:r>
            </w:hyperlink>
          </w:p>
          <w:p w:rsidR="00726F45" w:rsidRPr="00726F45" w:rsidRDefault="00726F45" w:rsidP="00726F45">
            <w:pPr>
              <w:rPr>
                <w:sz w:val="20"/>
                <w:szCs w:val="20"/>
                <w:lang w:val="en-US"/>
              </w:rPr>
            </w:pP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Father’s appeal allowed regarding section 7 extraordinary expenses; some section 7 expense issues remitted to trial court for reconsideration; others disallowed</w:t>
            </w:r>
          </w:p>
          <w:p w:rsidR="00726F45" w:rsidRPr="00726F45" w:rsidRDefault="00726F45" w:rsidP="00726F45">
            <w:pPr>
              <w:rPr>
                <w:sz w:val="20"/>
                <w:szCs w:val="20"/>
                <w:lang w:val="en-US"/>
              </w:rPr>
            </w:pPr>
          </w:p>
        </w:tc>
      </w:tr>
      <w:tr w:rsidR="00726F45" w:rsidRPr="00726F45" w:rsidTr="005F4D83">
        <w:tc>
          <w:tcPr>
            <w:tcW w:w="2427" w:type="pct"/>
            <w:gridSpan w:val="2"/>
          </w:tcPr>
          <w:p w:rsidR="00726F45" w:rsidRPr="00726F45" w:rsidRDefault="00726F45" w:rsidP="00726F45">
            <w:pPr>
              <w:rPr>
                <w:sz w:val="20"/>
                <w:szCs w:val="20"/>
                <w:lang w:val="en-US"/>
              </w:rPr>
            </w:pPr>
            <w:r w:rsidRPr="00726F45">
              <w:rPr>
                <w:sz w:val="20"/>
                <w:szCs w:val="20"/>
                <w:lang w:val="en-US"/>
              </w:rPr>
              <w:t>October 15, 2019</w:t>
            </w:r>
          </w:p>
          <w:p w:rsidR="00726F45" w:rsidRPr="00726F45" w:rsidRDefault="00726F45" w:rsidP="00726F45">
            <w:pPr>
              <w:rPr>
                <w:sz w:val="20"/>
                <w:szCs w:val="20"/>
                <w:lang w:val="en-US"/>
              </w:rPr>
            </w:pPr>
            <w:r w:rsidRPr="00726F45">
              <w:rPr>
                <w:sz w:val="20"/>
                <w:szCs w:val="20"/>
                <w:lang w:val="en-US"/>
              </w:rPr>
              <w:t>Supreme Court of Canada</w:t>
            </w:r>
          </w:p>
        </w:tc>
        <w:tc>
          <w:tcPr>
            <w:tcW w:w="243" w:type="pct"/>
          </w:tcPr>
          <w:p w:rsidR="00726F45" w:rsidRPr="00726F45" w:rsidRDefault="00726F45" w:rsidP="00726F45">
            <w:pPr>
              <w:rPr>
                <w:sz w:val="20"/>
                <w:szCs w:val="20"/>
                <w:lang w:val="en-US"/>
              </w:rPr>
            </w:pPr>
          </w:p>
        </w:tc>
        <w:tc>
          <w:tcPr>
            <w:tcW w:w="2330" w:type="pct"/>
          </w:tcPr>
          <w:p w:rsidR="00726F45" w:rsidRPr="00726F45" w:rsidRDefault="00726F45" w:rsidP="00726F45">
            <w:pPr>
              <w:rPr>
                <w:sz w:val="20"/>
                <w:szCs w:val="20"/>
                <w:lang w:val="en-US"/>
              </w:rPr>
            </w:pPr>
            <w:r w:rsidRPr="00726F45">
              <w:rPr>
                <w:sz w:val="20"/>
                <w:szCs w:val="20"/>
                <w:lang w:val="en-US"/>
              </w:rPr>
              <w:t>Application for leave to appeal filed</w:t>
            </w:r>
          </w:p>
          <w:p w:rsidR="00726F45" w:rsidRPr="00726F45" w:rsidRDefault="00726F45" w:rsidP="00726F45">
            <w:pPr>
              <w:rPr>
                <w:sz w:val="20"/>
                <w:szCs w:val="20"/>
                <w:lang w:val="en-US"/>
              </w:rPr>
            </w:pPr>
          </w:p>
        </w:tc>
      </w:tr>
    </w:tbl>
    <w:p w:rsidR="00726F45" w:rsidRPr="00726F45" w:rsidRDefault="00726F45" w:rsidP="00726F45">
      <w:pPr>
        <w:rPr>
          <w:sz w:val="20"/>
          <w:szCs w:val="20"/>
          <w:lang w:val="en-US"/>
        </w:rPr>
      </w:pPr>
    </w:p>
    <w:p w:rsidR="00726F45" w:rsidRPr="00726F45" w:rsidRDefault="00937854" w:rsidP="00726F45">
      <w:pPr>
        <w:rPr>
          <w:sz w:val="20"/>
          <w:szCs w:val="20"/>
          <w:lang w:val="en-US"/>
        </w:rPr>
      </w:pPr>
      <w:r>
        <w:rPr>
          <w:sz w:val="20"/>
          <w:szCs w:val="20"/>
          <w:lang w:val="en-US"/>
        </w:rPr>
        <w:pict>
          <v:rect id="_x0000_i1044" style="width:2in;height:1pt" o:hrpct="0" o:hralign="center" o:hrstd="t" o:hrnoshade="t" o:hr="t" fillcolor="black [3213]" stroked="f"/>
        </w:pict>
      </w:r>
    </w:p>
    <w:p w:rsidR="00726F45" w:rsidRPr="00726F45" w:rsidRDefault="00726F45" w:rsidP="00726F45">
      <w:pPr>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726F45" w:rsidRPr="00937854" w:rsidTr="005F4D83">
        <w:tc>
          <w:tcPr>
            <w:tcW w:w="543" w:type="pct"/>
          </w:tcPr>
          <w:p w:rsidR="00726F45" w:rsidRPr="00726F45" w:rsidRDefault="00726F45" w:rsidP="00726F45">
            <w:pPr>
              <w:rPr>
                <w:sz w:val="20"/>
                <w:szCs w:val="20"/>
                <w:lang w:val="fr-CA"/>
              </w:rPr>
            </w:pPr>
            <w:r w:rsidRPr="00726F45">
              <w:rPr>
                <w:b/>
                <w:sz w:val="20"/>
                <w:szCs w:val="20"/>
                <w:lang w:val="fr-CA"/>
              </w:rPr>
              <w:t>38859</w:t>
            </w:r>
          </w:p>
        </w:tc>
        <w:tc>
          <w:tcPr>
            <w:tcW w:w="4457" w:type="pct"/>
            <w:gridSpan w:val="3"/>
          </w:tcPr>
          <w:p w:rsidR="00726F45" w:rsidRPr="00726F45" w:rsidRDefault="00726F45" w:rsidP="00726F45">
            <w:pPr>
              <w:rPr>
                <w:b/>
                <w:sz w:val="20"/>
                <w:szCs w:val="20"/>
                <w:lang w:val="fr-CA"/>
              </w:rPr>
            </w:pPr>
            <w:r w:rsidRPr="00726F45">
              <w:rPr>
                <w:b/>
                <w:sz w:val="20"/>
                <w:szCs w:val="20"/>
                <w:lang w:val="fr-CA"/>
              </w:rPr>
              <w:t>F.J.N. c. J.K.</w:t>
            </w:r>
          </w:p>
          <w:p w:rsidR="00726F45" w:rsidRPr="00726F45" w:rsidRDefault="00726F45" w:rsidP="00726F45">
            <w:pPr>
              <w:rPr>
                <w:sz w:val="20"/>
                <w:szCs w:val="20"/>
                <w:lang w:val="fr-CA"/>
              </w:rPr>
            </w:pPr>
            <w:r w:rsidRPr="00726F45">
              <w:rPr>
                <w:sz w:val="20"/>
                <w:szCs w:val="20"/>
                <w:lang w:val="fr-CA"/>
              </w:rPr>
              <w:t>(Alb.) (Civile) (Autorisation)</w:t>
            </w:r>
          </w:p>
        </w:tc>
      </w:tr>
      <w:tr w:rsidR="00726F45" w:rsidRPr="00937854" w:rsidTr="005F4D83">
        <w:tc>
          <w:tcPr>
            <w:tcW w:w="5000" w:type="pct"/>
            <w:gridSpan w:val="4"/>
          </w:tcPr>
          <w:p w:rsidR="00726F45" w:rsidRDefault="00726F45" w:rsidP="00726F45">
            <w:pPr>
              <w:rPr>
                <w:sz w:val="20"/>
                <w:szCs w:val="20"/>
                <w:lang w:val="fr-CA"/>
              </w:rPr>
            </w:pPr>
            <w:r w:rsidRPr="00726F45">
              <w:rPr>
                <w:sz w:val="20"/>
                <w:szCs w:val="20"/>
                <w:lang w:val="fr-CA"/>
              </w:rPr>
              <w:t>(Ordonnance de non</w:t>
            </w:r>
            <w:r w:rsidRPr="00726F45">
              <w:rPr>
                <w:sz w:val="20"/>
                <w:szCs w:val="20"/>
                <w:lang w:val="fr-CA"/>
              </w:rPr>
              <w:noBreakHyphen/>
              <w:t>publication dans le dossier) (Ordonnance de non</w:t>
            </w:r>
            <w:r w:rsidRPr="00726F45">
              <w:rPr>
                <w:sz w:val="20"/>
                <w:szCs w:val="20"/>
                <w:lang w:val="fr-CA"/>
              </w:rPr>
              <w:noBreakHyphen/>
              <w:t>publication visant une partie)</w:t>
            </w:r>
          </w:p>
          <w:p w:rsidR="00A521D5" w:rsidRDefault="00A521D5" w:rsidP="00726F45">
            <w:pPr>
              <w:rPr>
                <w:sz w:val="20"/>
                <w:szCs w:val="20"/>
                <w:lang w:val="fr-CA"/>
              </w:rPr>
            </w:pPr>
          </w:p>
          <w:p w:rsidR="00A521D5" w:rsidRPr="00726F45" w:rsidRDefault="00A521D5" w:rsidP="00726F45">
            <w:pPr>
              <w:rPr>
                <w:sz w:val="20"/>
                <w:szCs w:val="20"/>
                <w:lang w:val="fr-CA"/>
              </w:rPr>
            </w:pPr>
            <w:r w:rsidRPr="00A521D5">
              <w:rPr>
                <w:sz w:val="20"/>
                <w:szCs w:val="20"/>
                <w:lang w:val="fr-CA"/>
              </w:rPr>
              <w:t>La demande d’autorisation d’appel de l’arrêt de la Cour d’appel de l’Alberta (Edmonton), numéro 1803-0228-AC, 2019 ABCA 305, daté du 15 août 2019, est rejetée sans dépens.</w:t>
            </w:r>
          </w:p>
          <w:p w:rsidR="00726F45" w:rsidRPr="00726F45" w:rsidRDefault="00726F45" w:rsidP="00726F45">
            <w:pPr>
              <w:rPr>
                <w:sz w:val="20"/>
                <w:szCs w:val="20"/>
                <w:lang w:val="fr-CA"/>
              </w:rPr>
            </w:pPr>
          </w:p>
          <w:p w:rsidR="00726F45" w:rsidRPr="00726F45" w:rsidRDefault="00726F45" w:rsidP="00726F45">
            <w:pPr>
              <w:rPr>
                <w:sz w:val="20"/>
                <w:szCs w:val="20"/>
                <w:lang w:val="fr-CA"/>
              </w:rPr>
            </w:pPr>
            <w:r w:rsidRPr="00726F45">
              <w:rPr>
                <w:sz w:val="20"/>
                <w:szCs w:val="20"/>
                <w:lang w:val="fr-CA"/>
              </w:rPr>
              <w:t>Droit de la famille — Aliments — Pension alimentaire pour enfants — Dépenses extraordinaires — La Cour d’appel a rejeté plusieurs demandes de dépenses extraordinaires pour une enfant ayant des besoins spéciaux — Comment les véritables besoins d’enfants lourdement handicapés, y compris ceux qui ne pourront jamais vivre de façon indépendante, peuvent-ils être satisfaits et assurés en application des lignes directrices sur les pensions alimentaires pour enfants, tant fédérales que provinciales?</w:t>
            </w:r>
          </w:p>
          <w:p w:rsidR="00726F45" w:rsidRPr="00726F45" w:rsidRDefault="00726F45" w:rsidP="00726F45">
            <w:pPr>
              <w:rPr>
                <w:sz w:val="20"/>
                <w:szCs w:val="20"/>
                <w:lang w:val="fr-CA"/>
              </w:rPr>
            </w:pPr>
          </w:p>
        </w:tc>
      </w:tr>
      <w:tr w:rsidR="00726F45" w:rsidRPr="00937854" w:rsidTr="005F4D83">
        <w:tc>
          <w:tcPr>
            <w:tcW w:w="5000" w:type="pct"/>
            <w:gridSpan w:val="4"/>
          </w:tcPr>
          <w:p w:rsidR="00726F45" w:rsidRPr="00726F45" w:rsidRDefault="00726F45" w:rsidP="00726F45">
            <w:pPr>
              <w:rPr>
                <w:sz w:val="20"/>
                <w:szCs w:val="20"/>
                <w:lang w:val="fr-CA"/>
              </w:rPr>
            </w:pPr>
            <w:r w:rsidRPr="00726F45">
              <w:rPr>
                <w:sz w:val="20"/>
                <w:szCs w:val="20"/>
                <w:lang w:val="fr-CA"/>
              </w:rPr>
              <w:t xml:space="preserve">La demanderesse est la mère d’une enfant née avec le syndrome de Down en 2010. Le père intimé est médecin qui a eu une liaison de courte durée avec la mère et qui a nié la paternité. La mère est mariée à une autre personne et, ensemble, ils ont quatre enfants. Ils élèvent au sein de leur famille l’enfant ayant des besoins spéciaux. Avant le procès de 2018 portant sur la pension alimentaire pour l’enfant, il y a eu de nombreuses procédures judiciaires sur les questions de la paternité, de la divulgation de renseignements financiers du père et de la pension alimentaire provisoire pour l’enfant. Au procès, les questions litigieuses étaient la pension alimentaire pour l’enfant (rétroactive et pour l’avenir), le revenu à imputer au père aux fins du calcul de la pension alimentaire pour enfants en application des </w:t>
            </w:r>
            <w:r w:rsidRPr="00726F45">
              <w:rPr>
                <w:i/>
                <w:sz w:val="20"/>
                <w:szCs w:val="20"/>
                <w:lang w:val="fr-CA"/>
              </w:rPr>
              <w:t>Lignes directrices fédérales sur les pensions alimentaires pour enfants</w:t>
            </w:r>
            <w:r w:rsidRPr="00726F45">
              <w:rPr>
                <w:sz w:val="20"/>
                <w:szCs w:val="20"/>
                <w:lang w:val="fr-CA"/>
              </w:rPr>
              <w:t xml:space="preserve"> à compter de 2010, et les dépenses extraordinaires admissibles visées à l’art. 7 pour l’enfant ayant des besoins spéciaux. La juge de première instance a accueilli plusieurs demandes de la mère au titre des dépenses visées à l’art. 7. La Cour d’appel a refusé bon nombre de ces dépenses et a renvoyé les autres dépenses visées à l’art. 7 au tribunal de première instance pour un nouvel examen.</w:t>
            </w:r>
          </w:p>
        </w:tc>
      </w:tr>
      <w:tr w:rsidR="00726F45" w:rsidRPr="00937854" w:rsidTr="005F4D83">
        <w:tc>
          <w:tcPr>
            <w:tcW w:w="5000" w:type="pct"/>
            <w:gridSpan w:val="4"/>
          </w:tcPr>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20 juillet 2018</w:t>
            </w:r>
          </w:p>
          <w:p w:rsidR="00726F45" w:rsidRPr="00726F45" w:rsidRDefault="00726F45" w:rsidP="00726F45">
            <w:pPr>
              <w:rPr>
                <w:sz w:val="20"/>
                <w:szCs w:val="20"/>
                <w:lang w:val="fr-CA"/>
              </w:rPr>
            </w:pPr>
            <w:r w:rsidRPr="00726F45">
              <w:rPr>
                <w:sz w:val="20"/>
                <w:szCs w:val="20"/>
                <w:lang w:val="fr-CA"/>
              </w:rPr>
              <w:t>Cour du Banc de la Reine de l’Alberta</w:t>
            </w:r>
          </w:p>
          <w:p w:rsidR="00726F45" w:rsidRPr="00726F45" w:rsidRDefault="00726F45" w:rsidP="00726F45">
            <w:pPr>
              <w:rPr>
                <w:sz w:val="20"/>
                <w:szCs w:val="20"/>
                <w:lang w:val="fr-CA"/>
              </w:rPr>
            </w:pPr>
            <w:r w:rsidRPr="00726F45">
              <w:rPr>
                <w:sz w:val="20"/>
                <w:szCs w:val="20"/>
                <w:lang w:val="fr-CA"/>
              </w:rPr>
              <w:t xml:space="preserve">(Juge </w:t>
            </w:r>
            <w:proofErr w:type="spellStart"/>
            <w:r w:rsidRPr="00726F45">
              <w:rPr>
                <w:sz w:val="20"/>
                <w:szCs w:val="20"/>
                <w:lang w:val="fr-CA"/>
              </w:rPr>
              <w:t>Moen</w:t>
            </w:r>
            <w:proofErr w:type="spellEnd"/>
            <w:r w:rsidRPr="00726F45">
              <w:rPr>
                <w:sz w:val="20"/>
                <w:szCs w:val="20"/>
                <w:lang w:val="fr-CA"/>
              </w:rPr>
              <w:t>)</w:t>
            </w:r>
          </w:p>
          <w:p w:rsidR="00726F45" w:rsidRPr="00726F45" w:rsidRDefault="00937854" w:rsidP="00726F45">
            <w:pPr>
              <w:rPr>
                <w:sz w:val="20"/>
                <w:szCs w:val="20"/>
                <w:lang w:val="fr-CA"/>
              </w:rPr>
            </w:pPr>
            <w:hyperlink r:id="rId33" w:history="1">
              <w:r w:rsidR="00726F45" w:rsidRPr="00726F45">
                <w:rPr>
                  <w:rStyle w:val="Hyperlink"/>
                  <w:sz w:val="20"/>
                  <w:szCs w:val="20"/>
                  <w:lang w:val="fr-CA"/>
                </w:rPr>
                <w:t>2018 ABQB 552</w:t>
              </w:r>
            </w:hyperlink>
          </w:p>
          <w:p w:rsidR="00726F45" w:rsidRPr="00726F45" w:rsidRDefault="00726F45" w:rsidP="00726F45">
            <w:pPr>
              <w:rPr>
                <w:sz w:val="20"/>
                <w:szCs w:val="20"/>
                <w:lang w:val="fr-CA"/>
              </w:rPr>
            </w:pP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Jugement déclarant que l’intimé est le père biologique de l’enfant, accordant à la mère une pension alimentaire pour l’enfant et les dépenses extraordinaires (rétroactives et pour l’avenir) et fixant le revenu du père aux fins du calcul de la pension alimentaire pour l’enfant.</w:t>
            </w:r>
          </w:p>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lastRenderedPageBreak/>
              <w:t>15 août 2019</w:t>
            </w:r>
          </w:p>
          <w:p w:rsidR="00726F45" w:rsidRPr="00726F45" w:rsidRDefault="00726F45" w:rsidP="00726F45">
            <w:pPr>
              <w:rPr>
                <w:sz w:val="20"/>
                <w:szCs w:val="20"/>
                <w:lang w:val="fr-CA"/>
              </w:rPr>
            </w:pPr>
            <w:r w:rsidRPr="00726F45">
              <w:rPr>
                <w:sz w:val="20"/>
                <w:szCs w:val="20"/>
                <w:lang w:val="fr-CA"/>
              </w:rPr>
              <w:t>Cour d’appel de l’Alberta (Edmonton)</w:t>
            </w:r>
          </w:p>
          <w:p w:rsidR="00726F45" w:rsidRPr="00726F45" w:rsidRDefault="00726F45" w:rsidP="00726F45">
            <w:pPr>
              <w:rPr>
                <w:sz w:val="20"/>
                <w:szCs w:val="20"/>
                <w:lang w:val="fr-CA"/>
              </w:rPr>
            </w:pPr>
            <w:r w:rsidRPr="00726F45">
              <w:rPr>
                <w:sz w:val="20"/>
                <w:szCs w:val="20"/>
                <w:lang w:val="fr-CA"/>
              </w:rPr>
              <w:t xml:space="preserve">(Juges Watson, Slatter et </w:t>
            </w:r>
            <w:proofErr w:type="spellStart"/>
            <w:r w:rsidRPr="00726F45">
              <w:rPr>
                <w:sz w:val="20"/>
                <w:szCs w:val="20"/>
                <w:lang w:val="fr-CA"/>
              </w:rPr>
              <w:t>O'Ferrall</w:t>
            </w:r>
            <w:proofErr w:type="spellEnd"/>
            <w:r w:rsidRPr="00726F45">
              <w:rPr>
                <w:sz w:val="20"/>
                <w:szCs w:val="20"/>
                <w:lang w:val="fr-CA"/>
              </w:rPr>
              <w:t>)</w:t>
            </w:r>
          </w:p>
          <w:p w:rsidR="00726F45" w:rsidRPr="00726F45" w:rsidRDefault="00937854" w:rsidP="00726F45">
            <w:pPr>
              <w:rPr>
                <w:sz w:val="20"/>
                <w:szCs w:val="20"/>
                <w:lang w:val="fr-CA"/>
              </w:rPr>
            </w:pPr>
            <w:hyperlink r:id="rId34" w:history="1">
              <w:r w:rsidR="00726F45" w:rsidRPr="00726F45">
                <w:rPr>
                  <w:rStyle w:val="Hyperlink"/>
                  <w:sz w:val="20"/>
                  <w:szCs w:val="20"/>
                  <w:lang w:val="fr-CA"/>
                </w:rPr>
                <w:t>2019 ABCA 305</w:t>
              </w:r>
            </w:hyperlink>
          </w:p>
          <w:p w:rsidR="00726F45" w:rsidRPr="00726F45" w:rsidRDefault="00726F45" w:rsidP="00726F45">
            <w:pPr>
              <w:rPr>
                <w:sz w:val="20"/>
                <w:szCs w:val="20"/>
                <w:lang w:val="fr-CA"/>
              </w:rPr>
            </w:pP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Arrêt accueillant l’appel du père relativement aux dépenses extraordinaires visées à l’art. 7, renvoyant au tribunal de première instance certaines questions touchant les dépenses visées à l’art. 7 pour réexamen et refusant d’autres de ces dépenses</w:t>
            </w:r>
          </w:p>
          <w:p w:rsidR="00726F45" w:rsidRPr="00726F45" w:rsidRDefault="00726F45" w:rsidP="00726F45">
            <w:pPr>
              <w:rPr>
                <w:sz w:val="20"/>
                <w:szCs w:val="20"/>
                <w:lang w:val="fr-CA"/>
              </w:rPr>
            </w:pPr>
          </w:p>
        </w:tc>
      </w:tr>
      <w:tr w:rsidR="00726F45" w:rsidRPr="00937854" w:rsidTr="005F4D83">
        <w:tc>
          <w:tcPr>
            <w:tcW w:w="2427" w:type="pct"/>
            <w:gridSpan w:val="2"/>
          </w:tcPr>
          <w:p w:rsidR="00726F45" w:rsidRPr="00726F45" w:rsidRDefault="00726F45" w:rsidP="00726F45">
            <w:pPr>
              <w:rPr>
                <w:sz w:val="20"/>
                <w:szCs w:val="20"/>
                <w:lang w:val="fr-CA"/>
              </w:rPr>
            </w:pPr>
            <w:r w:rsidRPr="00726F45">
              <w:rPr>
                <w:sz w:val="20"/>
                <w:szCs w:val="20"/>
                <w:lang w:val="fr-CA"/>
              </w:rPr>
              <w:t>15 octobre 2019</w:t>
            </w:r>
          </w:p>
          <w:p w:rsidR="00726F45" w:rsidRPr="00726F45" w:rsidRDefault="00726F45" w:rsidP="00726F45">
            <w:pPr>
              <w:rPr>
                <w:sz w:val="20"/>
                <w:szCs w:val="20"/>
                <w:lang w:val="fr-CA"/>
              </w:rPr>
            </w:pPr>
            <w:r w:rsidRPr="00726F45">
              <w:rPr>
                <w:sz w:val="20"/>
                <w:szCs w:val="20"/>
                <w:lang w:val="fr-CA"/>
              </w:rPr>
              <w:t>Cour suprême du Canada</w:t>
            </w:r>
          </w:p>
        </w:tc>
        <w:tc>
          <w:tcPr>
            <w:tcW w:w="243" w:type="pct"/>
          </w:tcPr>
          <w:p w:rsidR="00726F45" w:rsidRPr="00726F45" w:rsidRDefault="00726F45" w:rsidP="00726F45">
            <w:pPr>
              <w:rPr>
                <w:sz w:val="20"/>
                <w:szCs w:val="20"/>
                <w:lang w:val="fr-CA"/>
              </w:rPr>
            </w:pPr>
          </w:p>
        </w:tc>
        <w:tc>
          <w:tcPr>
            <w:tcW w:w="2330" w:type="pct"/>
          </w:tcPr>
          <w:p w:rsidR="00726F45" w:rsidRPr="00726F45" w:rsidRDefault="00726F45" w:rsidP="00726F45">
            <w:pPr>
              <w:rPr>
                <w:sz w:val="20"/>
                <w:szCs w:val="20"/>
                <w:lang w:val="fr-CA"/>
              </w:rPr>
            </w:pPr>
            <w:r w:rsidRPr="00726F45">
              <w:rPr>
                <w:sz w:val="20"/>
                <w:szCs w:val="20"/>
                <w:lang w:val="fr-CA"/>
              </w:rPr>
              <w:t>Dépôt de la demande d’autorisation d’appel</w:t>
            </w:r>
          </w:p>
          <w:p w:rsidR="00726F45" w:rsidRPr="00726F45" w:rsidRDefault="00726F45" w:rsidP="00726F45">
            <w:pPr>
              <w:rPr>
                <w:sz w:val="20"/>
                <w:szCs w:val="20"/>
                <w:lang w:val="fr-CA"/>
              </w:rPr>
            </w:pPr>
          </w:p>
        </w:tc>
      </w:tr>
    </w:tbl>
    <w:p w:rsidR="00726F45" w:rsidRPr="00726F45" w:rsidRDefault="00726F45" w:rsidP="00726F45">
      <w:pPr>
        <w:rPr>
          <w:sz w:val="20"/>
          <w:szCs w:val="20"/>
          <w:lang w:val="fr-CA"/>
        </w:rPr>
      </w:pPr>
    </w:p>
    <w:p w:rsidR="00D43E53" w:rsidRDefault="00937854" w:rsidP="00726F45">
      <w:pPr>
        <w:rPr>
          <w:sz w:val="20"/>
          <w:szCs w:val="20"/>
        </w:rPr>
      </w:pPr>
      <w:r>
        <w:rPr>
          <w:sz w:val="20"/>
          <w:szCs w:val="20"/>
          <w:lang w:val="en-US"/>
        </w:rPr>
        <w:pict>
          <v:rect id="_x0000_i1045" style="width:2in;height:1pt" o:hrpct="0" o:hralign="center" o:hrstd="t" o:hrnoshade="t" o:hr="t" fillcolor="black [3213]" stroked="f"/>
        </w:pict>
      </w:r>
    </w:p>
    <w:p w:rsidR="00D43E53" w:rsidRDefault="00D43E53" w:rsidP="00F16063">
      <w:pPr>
        <w:rPr>
          <w:sz w:val="20"/>
          <w:szCs w:val="20"/>
        </w:rPr>
      </w:pPr>
    </w:p>
    <w:p w:rsidR="00D43E53" w:rsidRDefault="00D43E53" w:rsidP="00F16063">
      <w:pPr>
        <w:rPr>
          <w:sz w:val="20"/>
          <w:szCs w:val="20"/>
        </w:rPr>
      </w:pPr>
    </w:p>
    <w:p w:rsidR="00890FEB" w:rsidRPr="00C50A5C" w:rsidRDefault="00890FEB" w:rsidP="008D292F">
      <w:pPr>
        <w:rPr>
          <w:b/>
          <w:sz w:val="20"/>
          <w:szCs w:val="20"/>
          <w:lang w:val="fr-CA"/>
        </w:rPr>
        <w:sectPr w:rsidR="00890FEB" w:rsidRPr="00C50A5C" w:rsidSect="008D292F">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720" w:footer="965" w:gutter="0"/>
          <w:cols w:space="720"/>
          <w:titlePg/>
          <w:docGrid w:linePitch="326"/>
        </w:sectPr>
      </w:pPr>
    </w:p>
    <w:p w:rsidR="00890FEB" w:rsidRPr="00C50A5C" w:rsidRDefault="00890FEB" w:rsidP="00831CA9">
      <w:pPr>
        <w:jc w:val="both"/>
        <w:rPr>
          <w:sz w:val="20"/>
          <w:szCs w:val="20"/>
          <w:lang w:val="fr-CA"/>
        </w:rPr>
      </w:pPr>
    </w:p>
    <w:p w:rsidR="004B2E86" w:rsidRPr="00841B95" w:rsidRDefault="004B2E86" w:rsidP="004B2E86">
      <w:pPr>
        <w:tabs>
          <w:tab w:val="center" w:pos="5220"/>
          <w:tab w:val="right" w:pos="10800"/>
        </w:tabs>
        <w:jc w:val="center"/>
        <w:rPr>
          <w:rFonts w:ascii="Arial" w:hAnsi="Arial" w:cs="Arial"/>
          <w:sz w:val="16"/>
          <w:szCs w:val="18"/>
          <w:lang w:val="fr-CA"/>
        </w:rPr>
      </w:pPr>
      <w:bookmarkStart w:id="5" w:name="1"/>
      <w:bookmarkStart w:id="6" w:name="QuickMark"/>
      <w:bookmarkEnd w:id="5"/>
      <w:bookmarkEnd w:id="6"/>
      <w:r w:rsidRPr="00841B95">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841B95" w:rsidTr="00F47208">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DECEMBER – DÉCEMBRE</w:t>
            </w:r>
          </w:p>
        </w:tc>
      </w:tr>
      <w:tr w:rsidR="004B2E86" w:rsidRPr="00841B95" w:rsidTr="00F47208">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4"/>
                <w:szCs w:val="14"/>
                <w:lang w:val="fr-FR"/>
              </w:rPr>
            </w:pPr>
            <w:r w:rsidRPr="00841B95">
              <w:rPr>
                <w:rFonts w:ascii="Arial" w:hAnsi="Arial" w:cs="Arial"/>
                <w:b/>
                <w:sz w:val="14"/>
                <w:szCs w:val="14"/>
                <w:lang w:val="fr-FR"/>
              </w:rPr>
              <w:t>S</w:t>
            </w:r>
          </w:p>
          <w:p w:rsidR="004B2E86" w:rsidRPr="00841B95" w:rsidRDefault="004B2E86" w:rsidP="00F47208">
            <w:pPr>
              <w:tabs>
                <w:tab w:val="center" w:pos="5220"/>
                <w:tab w:val="right" w:pos="10440"/>
              </w:tabs>
              <w:jc w:val="center"/>
              <w:rPr>
                <w:rFonts w:ascii="Arial" w:hAnsi="Arial" w:cs="Arial"/>
                <w:b/>
                <w:sz w:val="14"/>
                <w:szCs w:val="14"/>
                <w:lang w:val="fr-FR"/>
              </w:rPr>
            </w:pPr>
            <w:r w:rsidRPr="00841B95">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W</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F</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W</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F</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S</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M</w:t>
            </w:r>
          </w:p>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lang w:val="fr-FR"/>
              </w:rPr>
            </w:pPr>
            <w:r w:rsidRPr="00841B95">
              <w:rPr>
                <w:rFonts w:ascii="Arial" w:hAnsi="Arial" w:cs="Arial"/>
                <w:b/>
                <w:sz w:val="13"/>
                <w:szCs w:val="13"/>
                <w:lang w:val="fr-FR"/>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4B2E86" w:rsidRPr="00841B95" w:rsidTr="00F4720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RH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r>
      <w:tr w:rsidR="004B2E86" w:rsidRPr="00841B95" w:rsidTr="00F47208">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YK</w:t>
            </w:r>
          </w:p>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r>
      <w:tr w:rsidR="004B2E86" w:rsidRPr="00841B95" w:rsidTr="00F47208">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r>
      <w:tr w:rsidR="004B2E86" w:rsidRPr="00841B95" w:rsidTr="00F47208">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r>
      <w:tr w:rsidR="004B2E86" w:rsidRPr="00841B95" w:rsidTr="00F47208">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r>
    </w:tbl>
    <w:p w:rsidR="004B2E86" w:rsidRPr="00841B95" w:rsidRDefault="004B2E86" w:rsidP="004B2E86">
      <w:pPr>
        <w:tabs>
          <w:tab w:val="center" w:pos="5220"/>
          <w:tab w:val="right" w:pos="10440"/>
        </w:tabs>
        <w:jc w:val="center"/>
        <w:rPr>
          <w:rFonts w:ascii="Arial" w:hAnsi="Arial" w:cs="Arial"/>
          <w:szCs w:val="28"/>
        </w:rPr>
      </w:pPr>
      <w:r w:rsidRPr="00841B95">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841B95" w:rsidTr="00F4720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MARCH – MARS</w:t>
            </w:r>
          </w:p>
        </w:tc>
      </w:tr>
      <w:tr w:rsidR="004B2E86" w:rsidRPr="00841B95" w:rsidTr="00F4720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4B2E86" w:rsidRPr="00841B95" w:rsidTr="00F472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r>
      <w:tr w:rsidR="004B2E86" w:rsidRPr="00841B95" w:rsidTr="00F472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r>
      <w:tr w:rsidR="004B2E86" w:rsidRPr="00841B95" w:rsidTr="00F472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r>
      <w:tr w:rsidR="004B2E86" w:rsidRPr="00841B95" w:rsidTr="00F472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r>
      <w:tr w:rsidR="004B2E86" w:rsidRPr="00841B95" w:rsidTr="00F4720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r>
      <w:tr w:rsidR="004B2E86" w:rsidRPr="00841B95" w:rsidTr="00F4720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JUNE – JUIN</w:t>
            </w:r>
          </w:p>
        </w:tc>
      </w:tr>
      <w:tr w:rsidR="004B2E86" w:rsidRPr="00841B95" w:rsidTr="00F4720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4B2E86" w:rsidRPr="00841B95" w:rsidTr="00F472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r>
      <w:tr w:rsidR="004B2E86" w:rsidRPr="00841B95" w:rsidTr="00F472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r>
      <w:tr w:rsidR="004B2E86" w:rsidRPr="00841B95" w:rsidTr="00F47208">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GO</w:t>
            </w:r>
          </w:p>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GO</w:t>
            </w:r>
          </w:p>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CC</w:t>
            </w:r>
          </w:p>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r>
      <w:tr w:rsidR="004B2E86" w:rsidRPr="00841B95" w:rsidTr="00F472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GO</w:t>
            </w:r>
          </w:p>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GO</w:t>
            </w:r>
          </w:p>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r>
      <w:tr w:rsidR="004B2E86" w:rsidRPr="00841B95" w:rsidTr="00F47208">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rPr>
                <w:rFonts w:ascii="Arial" w:hAnsi="Arial" w:cs="Arial"/>
                <w:sz w:val="13"/>
                <w:szCs w:val="13"/>
              </w:rPr>
            </w:pPr>
            <w:r w:rsidRPr="00841B95">
              <w:rPr>
                <w:rFonts w:ascii="Arial" w:hAnsi="Arial" w:cs="Arial"/>
                <w:sz w:val="13"/>
                <w:szCs w:val="13"/>
              </w:rPr>
              <w:t xml:space="preserve"> 24 </w:t>
            </w:r>
            <w:r w:rsidRPr="00841B95">
              <w:rPr>
                <w:rFonts w:ascii="Arial" w:hAnsi="Arial" w:cs="Arial"/>
                <w:sz w:val="13"/>
                <w:szCs w:val="13"/>
                <w:lang w:val="en-US"/>
              </w:rPr>
              <w:t>/</w:t>
            </w:r>
          </w:p>
          <w:p w:rsidR="004B2E86" w:rsidRPr="00841B95" w:rsidRDefault="004B2E86" w:rsidP="00F47208">
            <w:pPr>
              <w:jc w:val="right"/>
              <w:rPr>
                <w:rFonts w:ascii="Arial" w:hAnsi="Arial" w:cs="Arial"/>
                <w:sz w:val="13"/>
                <w:szCs w:val="13"/>
              </w:rPr>
            </w:pPr>
            <w:r w:rsidRPr="00841B95">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r>
      <w:tr w:rsidR="004B2E86" w:rsidRPr="00841B95" w:rsidTr="00F47208">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SEPTEMBER – SEPTEMBRE</w:t>
            </w:r>
          </w:p>
        </w:tc>
      </w:tr>
      <w:tr w:rsidR="004B2E86" w:rsidRPr="00841B95" w:rsidTr="00F47208">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6"/>
                <w:szCs w:val="16"/>
              </w:rPr>
            </w:pPr>
            <w:r w:rsidRPr="00841B9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841B95" w:rsidRDefault="004B2E86" w:rsidP="00F47208">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W</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T</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F</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p w:rsidR="004B2E86" w:rsidRPr="00841B95" w:rsidRDefault="004B2E86" w:rsidP="00F47208">
            <w:pPr>
              <w:tabs>
                <w:tab w:val="center" w:pos="5220"/>
                <w:tab w:val="right" w:pos="10440"/>
              </w:tabs>
              <w:jc w:val="center"/>
              <w:rPr>
                <w:rFonts w:ascii="Arial" w:hAnsi="Arial" w:cs="Arial"/>
                <w:b/>
                <w:sz w:val="13"/>
                <w:szCs w:val="13"/>
              </w:rPr>
            </w:pPr>
            <w:r w:rsidRPr="00841B95">
              <w:rPr>
                <w:rFonts w:ascii="Arial" w:hAnsi="Arial" w:cs="Arial"/>
                <w:b/>
                <w:sz w:val="13"/>
                <w:szCs w:val="13"/>
              </w:rPr>
              <w:t>S</w:t>
            </w:r>
          </w:p>
        </w:tc>
      </w:tr>
      <w:tr w:rsidR="004B2E86" w:rsidRPr="00841B95" w:rsidTr="00F472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r>
      <w:tr w:rsidR="004B2E86" w:rsidRPr="00841B95" w:rsidTr="00F47208">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H</w:t>
            </w:r>
          </w:p>
          <w:p w:rsidR="004B2E86" w:rsidRPr="00841B95" w:rsidRDefault="004B2E86" w:rsidP="00F47208">
            <w:pPr>
              <w:jc w:val="center"/>
              <w:rPr>
                <w:rFonts w:ascii="Arial" w:hAnsi="Arial" w:cs="Arial"/>
                <w:sz w:val="13"/>
                <w:szCs w:val="13"/>
              </w:rPr>
            </w:pPr>
            <w:r w:rsidRPr="00841B95">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r>
      <w:tr w:rsidR="004B2E86" w:rsidRPr="00841B95" w:rsidTr="00F472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RH</w:t>
            </w:r>
          </w:p>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r>
      <w:tr w:rsidR="004B2E86" w:rsidRPr="00841B95" w:rsidTr="00F47208">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RH</w:t>
            </w:r>
          </w:p>
          <w:p w:rsidR="004B2E86" w:rsidRPr="00841B95" w:rsidRDefault="004B2E86" w:rsidP="00F47208">
            <w:pPr>
              <w:jc w:val="center"/>
              <w:rPr>
                <w:rFonts w:ascii="Arial" w:hAnsi="Arial" w:cs="Arial"/>
                <w:sz w:val="13"/>
                <w:szCs w:val="13"/>
              </w:rPr>
            </w:pPr>
            <w:r w:rsidRPr="00841B95">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r>
      <w:tr w:rsidR="004B2E86" w:rsidRPr="00841B95" w:rsidTr="00F47208">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rPr>
                <w:rFonts w:ascii="Arial" w:hAnsi="Arial" w:cs="Arial"/>
                <w:sz w:val="13"/>
                <w:szCs w:val="13"/>
              </w:rPr>
            </w:pPr>
            <w:r w:rsidRPr="00841B95">
              <w:rPr>
                <w:rFonts w:ascii="Arial" w:hAnsi="Arial" w:cs="Arial"/>
                <w:sz w:val="13"/>
                <w:szCs w:val="13"/>
              </w:rPr>
              <w:t> 23 /</w:t>
            </w:r>
          </w:p>
          <w:p w:rsidR="004B2E86" w:rsidRPr="00841B95" w:rsidRDefault="004B2E86" w:rsidP="00F47208">
            <w:pPr>
              <w:jc w:val="right"/>
              <w:rPr>
                <w:rFonts w:ascii="Arial" w:hAnsi="Arial" w:cs="Arial"/>
                <w:sz w:val="13"/>
                <w:szCs w:val="13"/>
              </w:rPr>
            </w:pPr>
            <w:r w:rsidRPr="00841B95">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rPr>
                <w:rFonts w:ascii="Arial" w:hAnsi="Arial" w:cs="Arial"/>
                <w:sz w:val="13"/>
                <w:szCs w:val="13"/>
              </w:rPr>
            </w:pPr>
            <w:r w:rsidRPr="00841B95">
              <w:rPr>
                <w:rFonts w:ascii="Arial" w:hAnsi="Arial" w:cs="Arial"/>
                <w:sz w:val="13"/>
                <w:szCs w:val="13"/>
              </w:rPr>
              <w:t> 24 /</w:t>
            </w:r>
          </w:p>
          <w:p w:rsidR="004B2E86" w:rsidRPr="00841B95" w:rsidRDefault="004B2E86" w:rsidP="00F47208">
            <w:pPr>
              <w:jc w:val="right"/>
              <w:rPr>
                <w:rFonts w:ascii="Arial" w:hAnsi="Arial" w:cs="Arial"/>
                <w:sz w:val="13"/>
                <w:szCs w:val="13"/>
              </w:rPr>
            </w:pPr>
            <w:r w:rsidRPr="00841B95">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841B95" w:rsidRDefault="004B2E86" w:rsidP="00F47208">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b/>
                <w:sz w:val="13"/>
                <w:szCs w:val="13"/>
              </w:rPr>
            </w:pPr>
            <w:r w:rsidRPr="00841B95">
              <w:rPr>
                <w:rFonts w:ascii="Arial" w:hAnsi="Arial" w:cs="Arial"/>
                <w:b/>
                <w:sz w:val="13"/>
                <w:szCs w:val="13"/>
              </w:rPr>
              <w:t>YK</w:t>
            </w:r>
          </w:p>
          <w:p w:rsidR="004B2E86" w:rsidRPr="00841B95" w:rsidRDefault="004B2E86" w:rsidP="00F47208">
            <w:pPr>
              <w:jc w:val="center"/>
              <w:rPr>
                <w:rFonts w:ascii="Arial" w:hAnsi="Arial" w:cs="Arial"/>
                <w:sz w:val="13"/>
                <w:szCs w:val="13"/>
              </w:rPr>
            </w:pPr>
            <w:r w:rsidRPr="00841B95">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841B95" w:rsidRDefault="004B2E86" w:rsidP="00F47208">
            <w:pPr>
              <w:jc w:val="center"/>
              <w:rPr>
                <w:rFonts w:ascii="Arial" w:hAnsi="Arial" w:cs="Arial"/>
                <w:sz w:val="13"/>
                <w:szCs w:val="13"/>
              </w:rPr>
            </w:pPr>
            <w:r w:rsidRPr="00841B95">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841B95" w:rsidRDefault="004B2E86" w:rsidP="00F47208">
            <w:pPr>
              <w:jc w:val="center"/>
              <w:rPr>
                <w:rFonts w:ascii="Arial" w:hAnsi="Arial" w:cs="Arial"/>
                <w:sz w:val="13"/>
                <w:szCs w:val="13"/>
              </w:rPr>
            </w:pPr>
          </w:p>
        </w:tc>
      </w:tr>
    </w:tbl>
    <w:p w:rsidR="004B2E86" w:rsidRPr="00841B95"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841B95" w:rsidTr="00F47208">
        <w:tc>
          <w:tcPr>
            <w:tcW w:w="1890" w:type="dxa"/>
            <w:tcBorders>
              <w:top w:val="nil"/>
              <w:left w:val="nil"/>
              <w:bottom w:val="nil"/>
              <w:right w:val="single" w:sz="4" w:space="0" w:color="000000" w:themeColor="text1"/>
            </w:tcBorders>
            <w:vAlign w:val="center"/>
            <w:hideMark/>
          </w:tcPr>
          <w:p w:rsidR="004B2E86" w:rsidRPr="00841B95" w:rsidRDefault="004B2E86" w:rsidP="00F47208">
            <w:pPr>
              <w:rPr>
                <w:rFonts w:ascii="Arial" w:hAnsi="Arial" w:cs="Arial"/>
                <w:b/>
                <w:sz w:val="14"/>
                <w:szCs w:val="14"/>
              </w:rPr>
            </w:pPr>
            <w:r w:rsidRPr="00841B95">
              <w:rPr>
                <w:rFonts w:ascii="Arial" w:hAnsi="Arial" w:cs="Arial"/>
                <w:b/>
                <w:sz w:val="14"/>
                <w:szCs w:val="14"/>
              </w:rPr>
              <w:t>Sitting of the Court /</w:t>
            </w:r>
          </w:p>
          <w:p w:rsidR="004B2E86" w:rsidRPr="00841B95" w:rsidRDefault="004B2E86" w:rsidP="00F47208">
            <w:pPr>
              <w:rPr>
                <w:rFonts w:ascii="Arial" w:hAnsi="Arial" w:cs="Arial"/>
                <w:b/>
                <w:sz w:val="14"/>
                <w:szCs w:val="14"/>
              </w:rPr>
            </w:pPr>
            <w:r w:rsidRPr="00841B95">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841B95" w:rsidRDefault="004B2E86" w:rsidP="00F47208">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841B95" w:rsidRDefault="004B2E86" w:rsidP="00F47208">
            <w:pPr>
              <w:tabs>
                <w:tab w:val="left" w:pos="203"/>
              </w:tabs>
              <w:spacing w:after="120"/>
              <w:rPr>
                <w:rFonts w:ascii="Arial" w:hAnsi="Arial" w:cs="Arial"/>
                <w:b/>
                <w:sz w:val="14"/>
                <w:szCs w:val="14"/>
                <w:lang w:val="fr-CA"/>
              </w:rPr>
            </w:pPr>
            <w:r w:rsidRPr="00841B95">
              <w:rPr>
                <w:rFonts w:ascii="Arial" w:hAnsi="Arial" w:cs="Arial"/>
                <w:b/>
                <w:sz w:val="14"/>
                <w:szCs w:val="14"/>
                <w:lang w:val="fr-CA"/>
              </w:rPr>
              <w:t>18</w:t>
            </w:r>
            <w:r w:rsidRPr="00841B95">
              <w:rPr>
                <w:rFonts w:ascii="Arial" w:hAnsi="Arial" w:cs="Arial"/>
                <w:b/>
                <w:sz w:val="14"/>
                <w:szCs w:val="14"/>
                <w:lang w:val="fr-CA"/>
              </w:rPr>
              <w:tab/>
              <w:t xml:space="preserve"> sitting weeks / semaines séances de la Cour</w:t>
            </w:r>
          </w:p>
          <w:p w:rsidR="004B2E86" w:rsidRPr="00841B95" w:rsidRDefault="004B2E86" w:rsidP="00F47208">
            <w:pPr>
              <w:tabs>
                <w:tab w:val="left" w:pos="203"/>
              </w:tabs>
              <w:rPr>
                <w:rFonts w:ascii="Arial" w:hAnsi="Arial" w:cs="Arial"/>
                <w:b/>
                <w:sz w:val="14"/>
                <w:szCs w:val="14"/>
                <w:lang w:val="fr-CA"/>
              </w:rPr>
            </w:pPr>
            <w:r w:rsidRPr="00841B95">
              <w:rPr>
                <w:rFonts w:ascii="Arial" w:hAnsi="Arial" w:cs="Arial"/>
                <w:b/>
                <w:sz w:val="14"/>
                <w:szCs w:val="14"/>
                <w:lang w:val="fr-CA"/>
              </w:rPr>
              <w:t>86</w:t>
            </w:r>
            <w:r w:rsidRPr="00841B95">
              <w:rPr>
                <w:rFonts w:ascii="Arial" w:hAnsi="Arial" w:cs="Arial"/>
                <w:b/>
                <w:sz w:val="14"/>
                <w:szCs w:val="14"/>
                <w:lang w:val="fr-CA"/>
              </w:rPr>
              <w:tab/>
              <w:t xml:space="preserve"> sitting days / journées séances de la Cour</w:t>
            </w:r>
          </w:p>
        </w:tc>
        <w:tc>
          <w:tcPr>
            <w:tcW w:w="3828" w:type="dxa"/>
            <w:tcMar>
              <w:top w:w="0" w:type="dxa"/>
              <w:left w:w="58" w:type="dxa"/>
              <w:bottom w:w="0" w:type="dxa"/>
              <w:right w:w="58" w:type="dxa"/>
            </w:tcMar>
            <w:hideMark/>
          </w:tcPr>
          <w:p w:rsidR="004B2E86" w:rsidRPr="00841B95" w:rsidRDefault="004B2E86" w:rsidP="00F47208">
            <w:pPr>
              <w:spacing w:after="120"/>
              <w:rPr>
                <w:rFonts w:ascii="Arial" w:hAnsi="Arial" w:cs="Arial"/>
                <w:b/>
                <w:sz w:val="14"/>
                <w:szCs w:val="14"/>
                <w:lang w:val="fr-FR"/>
              </w:rPr>
            </w:pPr>
            <w:r w:rsidRPr="00841B95">
              <w:rPr>
                <w:rFonts w:ascii="Arial" w:hAnsi="Arial" w:cs="Arial"/>
                <w:b/>
                <w:sz w:val="14"/>
                <w:szCs w:val="14"/>
                <w:lang w:val="fr-FR"/>
              </w:rPr>
              <w:t>Rosh Hashanah / Nouvel An juif</w:t>
            </w:r>
          </w:p>
          <w:p w:rsidR="004B2E86" w:rsidRPr="00841B95" w:rsidRDefault="004B2E86" w:rsidP="00F47208">
            <w:pPr>
              <w:spacing w:after="120"/>
              <w:rPr>
                <w:rFonts w:ascii="Arial" w:hAnsi="Arial" w:cs="Arial"/>
                <w:b/>
                <w:sz w:val="14"/>
                <w:szCs w:val="14"/>
                <w:lang w:val="fr-CA"/>
              </w:rPr>
            </w:pPr>
            <w:r w:rsidRPr="00841B95">
              <w:rPr>
                <w:rFonts w:ascii="Arial" w:hAnsi="Arial" w:cs="Arial"/>
                <w:b/>
                <w:sz w:val="14"/>
                <w:szCs w:val="14"/>
                <w:lang w:val="fr-FR"/>
              </w:rPr>
              <w:t>Yom Kippur / Yom Kippour</w:t>
            </w:r>
          </w:p>
        </w:tc>
        <w:tc>
          <w:tcPr>
            <w:tcW w:w="567" w:type="dxa"/>
            <w:hideMark/>
          </w:tcPr>
          <w:p w:rsidR="004B2E86" w:rsidRPr="00841B95" w:rsidRDefault="004B2E86" w:rsidP="00F47208">
            <w:pPr>
              <w:spacing w:after="120"/>
              <w:jc w:val="center"/>
              <w:rPr>
                <w:rFonts w:ascii="Arial" w:hAnsi="Arial" w:cs="Arial"/>
                <w:b/>
                <w:sz w:val="14"/>
                <w:szCs w:val="14"/>
                <w:lang w:val="fr-CA"/>
              </w:rPr>
            </w:pPr>
            <w:r w:rsidRPr="00841B95">
              <w:rPr>
                <w:rFonts w:ascii="Arial" w:hAnsi="Arial" w:cs="Arial"/>
                <w:b/>
                <w:sz w:val="14"/>
                <w:szCs w:val="14"/>
                <w:lang w:val="fr-CA"/>
              </w:rPr>
              <w:t>RH</w:t>
            </w:r>
          </w:p>
          <w:p w:rsidR="004B2E86" w:rsidRPr="00841B95" w:rsidRDefault="004B2E86" w:rsidP="00F47208">
            <w:pPr>
              <w:jc w:val="center"/>
              <w:rPr>
                <w:rFonts w:ascii="Arial" w:hAnsi="Arial" w:cs="Arial"/>
                <w:b/>
                <w:sz w:val="14"/>
                <w:szCs w:val="14"/>
                <w:lang w:val="fr-CA"/>
              </w:rPr>
            </w:pPr>
            <w:r w:rsidRPr="00841B95">
              <w:rPr>
                <w:rFonts w:ascii="Arial" w:hAnsi="Arial" w:cs="Arial"/>
                <w:b/>
                <w:sz w:val="14"/>
                <w:szCs w:val="14"/>
                <w:lang w:val="fr-CA"/>
              </w:rPr>
              <w:t>YK</w:t>
            </w:r>
          </w:p>
        </w:tc>
      </w:tr>
      <w:tr w:rsidR="004B2E86" w:rsidRPr="00841B95" w:rsidTr="00F47208">
        <w:tc>
          <w:tcPr>
            <w:tcW w:w="1890" w:type="dxa"/>
            <w:tcBorders>
              <w:top w:val="nil"/>
              <w:left w:val="nil"/>
              <w:bottom w:val="nil"/>
              <w:right w:val="double" w:sz="4" w:space="0" w:color="auto"/>
            </w:tcBorders>
            <w:vAlign w:val="center"/>
            <w:hideMark/>
          </w:tcPr>
          <w:p w:rsidR="004B2E86" w:rsidRPr="00841B95" w:rsidRDefault="004B2E86" w:rsidP="00F47208">
            <w:pPr>
              <w:spacing w:before="60"/>
              <w:rPr>
                <w:rFonts w:ascii="Arial" w:hAnsi="Arial" w:cs="Arial"/>
                <w:b/>
                <w:sz w:val="14"/>
                <w:szCs w:val="14"/>
                <w:lang w:val="fr-CA"/>
              </w:rPr>
            </w:pPr>
            <w:r w:rsidRPr="00841B95">
              <w:rPr>
                <w:rFonts w:ascii="Arial" w:hAnsi="Arial" w:cs="Arial"/>
                <w:b/>
                <w:sz w:val="14"/>
                <w:szCs w:val="14"/>
                <w:lang w:val="fr-CA"/>
              </w:rPr>
              <w:t>Court conference /</w:t>
            </w:r>
          </w:p>
          <w:p w:rsidR="004B2E86" w:rsidRPr="00841B95" w:rsidRDefault="004B2E86" w:rsidP="00F47208">
            <w:pPr>
              <w:rPr>
                <w:rFonts w:ascii="Arial" w:hAnsi="Arial" w:cs="Arial"/>
                <w:b/>
                <w:sz w:val="14"/>
                <w:szCs w:val="14"/>
                <w:lang w:val="fr-CA"/>
              </w:rPr>
            </w:pPr>
            <w:r w:rsidRPr="00841B95">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841B95" w:rsidRDefault="004B2E86" w:rsidP="00F47208">
            <w:pPr>
              <w:jc w:val="center"/>
              <w:rPr>
                <w:rFonts w:ascii="Arial" w:hAnsi="Arial" w:cs="Arial"/>
                <w:b/>
                <w:sz w:val="14"/>
                <w:szCs w:val="14"/>
                <w:lang w:val="fr-FR"/>
              </w:rPr>
            </w:pPr>
            <w:r w:rsidRPr="00841B95">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841B95" w:rsidRDefault="004B2E86" w:rsidP="00F47208">
            <w:pPr>
              <w:tabs>
                <w:tab w:val="left" w:pos="203"/>
              </w:tabs>
              <w:spacing w:before="120"/>
              <w:rPr>
                <w:rFonts w:ascii="Arial" w:hAnsi="Arial" w:cs="Arial"/>
                <w:b/>
                <w:sz w:val="14"/>
                <w:szCs w:val="14"/>
                <w:lang w:val="fr-CA"/>
              </w:rPr>
            </w:pPr>
            <w:r w:rsidRPr="00841B95">
              <w:rPr>
                <w:rFonts w:ascii="Arial" w:hAnsi="Arial" w:cs="Arial"/>
                <w:b/>
                <w:sz w:val="14"/>
                <w:szCs w:val="14"/>
                <w:lang w:val="fr-CA"/>
              </w:rPr>
              <w:t>9</w:t>
            </w:r>
            <w:r w:rsidRPr="00841B95">
              <w:rPr>
                <w:rFonts w:ascii="Arial" w:hAnsi="Arial" w:cs="Arial"/>
                <w:b/>
                <w:sz w:val="14"/>
                <w:szCs w:val="14"/>
                <w:lang w:val="fr-CA"/>
              </w:rPr>
              <w:tab/>
              <w:t>Court conference days /</w:t>
            </w:r>
          </w:p>
          <w:p w:rsidR="004B2E86" w:rsidRPr="00841B95" w:rsidRDefault="004B2E86" w:rsidP="00F47208">
            <w:pPr>
              <w:tabs>
                <w:tab w:val="left" w:pos="203"/>
              </w:tabs>
              <w:rPr>
                <w:rFonts w:ascii="Arial" w:hAnsi="Arial" w:cs="Arial"/>
                <w:b/>
                <w:sz w:val="14"/>
                <w:szCs w:val="14"/>
                <w:lang w:val="fr-CA"/>
              </w:rPr>
            </w:pPr>
            <w:r w:rsidRPr="00841B95">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841B95" w:rsidRDefault="004B2E86" w:rsidP="00F47208">
            <w:pPr>
              <w:rPr>
                <w:rFonts w:ascii="Arial" w:hAnsi="Arial" w:cs="Arial"/>
                <w:b/>
                <w:sz w:val="14"/>
                <w:szCs w:val="14"/>
                <w:lang w:val="en-US"/>
              </w:rPr>
            </w:pPr>
            <w:r w:rsidRPr="00841B95">
              <w:rPr>
                <w:rFonts w:ascii="Arial" w:hAnsi="Arial" w:cs="Arial"/>
                <w:b/>
                <w:sz w:val="14"/>
                <w:szCs w:val="14"/>
                <w:lang w:val="en-US"/>
              </w:rPr>
              <w:t>Greek Orthodox Easter / Pâques orthodoxe grecque</w:t>
            </w:r>
          </w:p>
        </w:tc>
        <w:tc>
          <w:tcPr>
            <w:tcW w:w="567" w:type="dxa"/>
            <w:hideMark/>
          </w:tcPr>
          <w:p w:rsidR="004B2E86" w:rsidRPr="00841B95" w:rsidRDefault="004B2E86" w:rsidP="00F47208">
            <w:pPr>
              <w:jc w:val="center"/>
              <w:rPr>
                <w:rFonts w:ascii="Arial" w:hAnsi="Arial" w:cs="Arial"/>
                <w:b/>
                <w:sz w:val="14"/>
                <w:szCs w:val="14"/>
                <w:lang w:val="en-US"/>
              </w:rPr>
            </w:pPr>
            <w:r w:rsidRPr="00841B95">
              <w:rPr>
                <w:rFonts w:ascii="Arial" w:hAnsi="Arial" w:cs="Arial"/>
                <w:b/>
                <w:sz w:val="14"/>
                <w:szCs w:val="14"/>
                <w:lang w:val="en-US"/>
              </w:rPr>
              <w:t>GO</w:t>
            </w:r>
          </w:p>
        </w:tc>
      </w:tr>
      <w:tr w:rsidR="004B2E86" w:rsidTr="00F47208">
        <w:trPr>
          <w:trHeight w:val="420"/>
        </w:trPr>
        <w:tc>
          <w:tcPr>
            <w:tcW w:w="1890" w:type="dxa"/>
            <w:tcBorders>
              <w:top w:val="nil"/>
              <w:left w:val="nil"/>
              <w:bottom w:val="nil"/>
              <w:right w:val="double" w:sz="4" w:space="0" w:color="auto"/>
            </w:tcBorders>
            <w:vAlign w:val="center"/>
            <w:hideMark/>
          </w:tcPr>
          <w:p w:rsidR="004B2E86" w:rsidRPr="00841B95" w:rsidRDefault="004B2E86" w:rsidP="00F47208">
            <w:pPr>
              <w:rPr>
                <w:rFonts w:ascii="Arial" w:hAnsi="Arial" w:cs="Arial"/>
                <w:b/>
                <w:sz w:val="14"/>
                <w:szCs w:val="14"/>
              </w:rPr>
            </w:pPr>
            <w:r w:rsidRPr="00841B95">
              <w:rPr>
                <w:rFonts w:ascii="Arial" w:hAnsi="Arial" w:cs="Arial"/>
                <w:b/>
                <w:sz w:val="14"/>
                <w:szCs w:val="14"/>
              </w:rPr>
              <w:t xml:space="preserve">Holiday / </w:t>
            </w:r>
            <w:r w:rsidRPr="00841B95">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841B95" w:rsidRDefault="004B2E86" w:rsidP="00F47208">
            <w:pPr>
              <w:jc w:val="center"/>
              <w:rPr>
                <w:rFonts w:ascii="Arial" w:hAnsi="Arial" w:cs="Arial"/>
                <w:b/>
                <w:sz w:val="14"/>
                <w:szCs w:val="14"/>
              </w:rPr>
            </w:pPr>
            <w:r w:rsidRPr="00841B95">
              <w:rPr>
                <w:rFonts w:ascii="Arial" w:hAnsi="Arial" w:cs="Arial"/>
                <w:b/>
                <w:sz w:val="14"/>
                <w:szCs w:val="14"/>
              </w:rPr>
              <w:t>H</w:t>
            </w:r>
          </w:p>
        </w:tc>
        <w:tc>
          <w:tcPr>
            <w:tcW w:w="3524" w:type="dxa"/>
            <w:tcBorders>
              <w:top w:val="nil"/>
              <w:left w:val="double" w:sz="4" w:space="0" w:color="auto"/>
              <w:bottom w:val="nil"/>
              <w:right w:val="nil"/>
            </w:tcBorders>
            <w:hideMark/>
          </w:tcPr>
          <w:p w:rsidR="004B2E86" w:rsidRPr="00841B95" w:rsidRDefault="004B2E86" w:rsidP="00F47208">
            <w:pPr>
              <w:tabs>
                <w:tab w:val="left" w:pos="203"/>
              </w:tabs>
              <w:spacing w:before="120"/>
              <w:rPr>
                <w:rFonts w:ascii="Arial" w:hAnsi="Arial" w:cs="Arial"/>
                <w:b/>
                <w:sz w:val="14"/>
                <w:szCs w:val="14"/>
              </w:rPr>
            </w:pPr>
            <w:r w:rsidRPr="00841B95">
              <w:rPr>
                <w:rFonts w:ascii="Arial" w:hAnsi="Arial" w:cs="Arial"/>
                <w:b/>
                <w:sz w:val="14"/>
                <w:szCs w:val="14"/>
              </w:rPr>
              <w:t>4</w:t>
            </w:r>
            <w:r w:rsidRPr="00841B95">
              <w:rPr>
                <w:rFonts w:ascii="Arial" w:hAnsi="Arial" w:cs="Arial"/>
                <w:b/>
                <w:sz w:val="14"/>
                <w:szCs w:val="14"/>
              </w:rPr>
              <w:tab/>
              <w:t xml:space="preserve">holidays during sitting days / </w:t>
            </w:r>
          </w:p>
          <w:p w:rsidR="004B2E86" w:rsidRDefault="004B2E86" w:rsidP="00F47208">
            <w:pPr>
              <w:tabs>
                <w:tab w:val="left" w:pos="203"/>
              </w:tabs>
              <w:rPr>
                <w:rFonts w:ascii="Arial" w:hAnsi="Arial" w:cs="Arial"/>
                <w:b/>
                <w:sz w:val="14"/>
                <w:szCs w:val="14"/>
                <w:lang w:val="fr-CA"/>
              </w:rPr>
            </w:pPr>
            <w:r w:rsidRPr="00841B95">
              <w:rPr>
                <w:rFonts w:ascii="Arial" w:hAnsi="Arial" w:cs="Arial"/>
                <w:b/>
                <w:sz w:val="14"/>
                <w:szCs w:val="14"/>
              </w:rPr>
              <w:tab/>
            </w:r>
            <w:r w:rsidRPr="00841B95">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F47208">
            <w:pPr>
              <w:rPr>
                <w:rFonts w:ascii="Arial" w:hAnsi="Arial" w:cs="Arial"/>
                <w:b/>
                <w:sz w:val="14"/>
                <w:szCs w:val="14"/>
                <w:lang w:val="fr-FR"/>
              </w:rPr>
            </w:pPr>
          </w:p>
        </w:tc>
        <w:tc>
          <w:tcPr>
            <w:tcW w:w="567" w:type="dxa"/>
          </w:tcPr>
          <w:p w:rsidR="004B2E86" w:rsidRDefault="004B2E86" w:rsidP="00F47208">
            <w:pPr>
              <w:jc w:val="center"/>
              <w:rPr>
                <w:rFonts w:ascii="Arial" w:hAnsi="Arial" w:cs="Arial"/>
                <w:b/>
                <w:sz w:val="14"/>
                <w:szCs w:val="14"/>
                <w:lang w:val="fr-FR"/>
              </w:rPr>
            </w:pPr>
          </w:p>
        </w:tc>
      </w:tr>
    </w:tbl>
    <w:p w:rsidR="002410B8" w:rsidRPr="0022323B" w:rsidRDefault="002410B8" w:rsidP="00E80681">
      <w:pPr>
        <w:tabs>
          <w:tab w:val="center" w:pos="5220"/>
          <w:tab w:val="right" w:pos="10800"/>
        </w:tabs>
        <w:rPr>
          <w:lang w:val="fr-CA"/>
        </w:rPr>
      </w:pPr>
    </w:p>
    <w:sectPr w:rsidR="002410B8" w:rsidRPr="0022323B" w:rsidSect="003008F5">
      <w:headerReference w:type="default" r:id="rId41"/>
      <w:footerReference w:type="default" r:id="rId4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83" w:rsidRDefault="005F4D83" w:rsidP="00A87207">
      <w:r>
        <w:separator/>
      </w:r>
    </w:p>
  </w:endnote>
  <w:endnote w:type="continuationSeparator" w:id="0">
    <w:p w:rsidR="005F4D83" w:rsidRDefault="005F4D8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937854" w:rsidP="00A87207">
    <w:pPr>
      <w:pStyle w:val="Footer"/>
    </w:pPr>
    <w:r>
      <w:pict>
        <v:rect id="_x0000_i1031" style="width:480.95pt;height:1pt" o:hralign="center" o:hrstd="t" o:hrnoshade="t" o:hr="t" fillcolor="black [3213]" stroked="f"/>
      </w:pict>
    </w:r>
  </w:p>
  <w:p w:rsidR="005F4D83" w:rsidRPr="00B7374B" w:rsidRDefault="005F4D8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D061CA">
      <w:rPr>
        <w:noProof/>
        <w:szCs w:val="24"/>
      </w:rPr>
      <w:t>2</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937854" w:rsidP="00755F22">
    <w:pPr>
      <w:tabs>
        <w:tab w:val="left" w:pos="-1440"/>
        <w:tab w:val="left" w:pos="-720"/>
      </w:tabs>
    </w:pPr>
    <w:r>
      <w:pict>
        <v:rect id="_x0000_i1032" style="width:480.95pt;height:1pt" o:hralign="center" o:hrstd="t" o:hrnoshade="t" o:hr="t" fillcolor="black [3213]" stroked="f"/>
      </w:pict>
    </w:r>
  </w:p>
  <w:p w:rsidR="005F4D83" w:rsidRPr="00954D22" w:rsidRDefault="005F4D8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37854">
      <w:rPr>
        <w:noProof/>
        <w:szCs w:val="24"/>
      </w:rPr>
      <w:t>1</w:t>
    </w:r>
    <w:r>
      <w:rPr>
        <w:szCs w:val="24"/>
      </w:rPr>
      <w:fldChar w:fldCharType="end"/>
    </w:r>
    <w:r w:rsidRPr="00954D22">
      <w:rPr>
        <w:szCs w:val="24"/>
      </w:rPr>
      <w:t xml:space="preserve"> -</w:t>
    </w:r>
  </w:p>
  <w:p w:rsidR="005F4D83" w:rsidRDefault="005F4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937854" w:rsidP="00A87207">
    <w:pPr>
      <w:pStyle w:val="Footer"/>
    </w:pPr>
    <w:r>
      <w:pict>
        <v:rect id="_x0000_i1034" style="width:480.95pt;height:1pt" o:hralign="center" o:hrstd="t" o:hrnoshade="t" o:hr="t" fillcolor="black [3213]" stroked="f"/>
      </w:pict>
    </w:r>
  </w:p>
  <w:p w:rsidR="005F4D83" w:rsidRPr="00B7374B" w:rsidRDefault="005F4D8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37854">
      <w:rPr>
        <w:noProof/>
        <w:szCs w:val="24"/>
      </w:rPr>
      <w:t>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93785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5F4D83" w:rsidRPr="00954D22" w:rsidRDefault="005F4D8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37854">
      <w:rPr>
        <w:noProof/>
        <w:szCs w:val="24"/>
      </w:rPr>
      <w:t>2</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5F4D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F4D83" w:rsidRDefault="005F4D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F4D83" w:rsidRDefault="005F4D83">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9378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5F4D83" w:rsidRPr="0009648D" w:rsidRDefault="005F4D83" w:rsidP="00ED7E83">
    <w:pPr>
      <w:tabs>
        <w:tab w:val="center" w:pos="4680"/>
      </w:tabs>
    </w:pPr>
    <w:r>
      <w:tab/>
    </w:r>
    <w:r w:rsidRPr="0009648D">
      <w:t xml:space="preserve">- </w:t>
    </w:r>
    <w:r>
      <w:fldChar w:fldCharType="begin"/>
    </w:r>
    <w:r>
      <w:instrText xml:space="preserve"> PAGE   \* MERGEFORMAT </w:instrText>
    </w:r>
    <w:r>
      <w:fldChar w:fldCharType="separate"/>
    </w:r>
    <w:r w:rsidR="00937854">
      <w:rPr>
        <w:noProof/>
      </w:rPr>
      <w:t>13</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937854">
    <w:pPr>
      <w:pStyle w:val="Footer"/>
      <w:rPr>
        <w:lang w:val="fr-CA"/>
      </w:rPr>
    </w:pPr>
    <w:r>
      <w:rPr>
        <w:lang w:val="fr-CA"/>
      </w:rPr>
      <w:pict>
        <v:rect id="_x0000_i1047" style="width:480.95pt;height:1pt" o:hralign="center" o:hrstd="t" o:hrnoshade="t" o:hr="t" fillcolor="black [3213]" stroked="f"/>
      </w:pict>
    </w:r>
  </w:p>
  <w:p w:rsidR="005F4D83" w:rsidRDefault="005F4D83" w:rsidP="00245129">
    <w:pPr>
      <w:tabs>
        <w:tab w:val="center" w:pos="4680"/>
      </w:tabs>
    </w:pPr>
    <w:r>
      <w:tab/>
    </w:r>
    <w:r w:rsidRPr="0009648D">
      <w:t xml:space="preserve">- </w:t>
    </w:r>
    <w:r>
      <w:fldChar w:fldCharType="begin"/>
    </w:r>
    <w:r>
      <w:instrText xml:space="preserve"> PAGE   \* MERGEFORMAT </w:instrText>
    </w:r>
    <w:r>
      <w:fldChar w:fldCharType="separate"/>
    </w:r>
    <w:r w:rsidR="00937854">
      <w:rPr>
        <w:noProof/>
      </w:rPr>
      <w:t>4</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Pr="00924065" w:rsidRDefault="005F4D83"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83" w:rsidRDefault="005F4D83" w:rsidP="00A87207">
      <w:r>
        <w:separator/>
      </w:r>
    </w:p>
  </w:footnote>
  <w:footnote w:type="continuationSeparator" w:id="0">
    <w:p w:rsidR="005F4D83" w:rsidRDefault="005F4D8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F4D83" w:rsidRPr="0044776A" w:rsidTr="00245129">
      <w:tc>
        <w:tcPr>
          <w:tcW w:w="4290" w:type="dxa"/>
          <w:tcMar>
            <w:left w:w="0" w:type="dxa"/>
            <w:right w:w="0" w:type="dxa"/>
          </w:tcMar>
        </w:tcPr>
        <w:p w:rsidR="005F4D83" w:rsidRPr="00D31809" w:rsidRDefault="005F4D83" w:rsidP="00D31809">
          <w:pPr>
            <w:keepNext/>
            <w:keepLines/>
            <w:rPr>
              <w:sz w:val="20"/>
              <w:szCs w:val="20"/>
              <w:lang w:val="en-US"/>
            </w:rPr>
          </w:pPr>
          <w:r w:rsidRPr="00D31809">
            <w:rPr>
              <w:sz w:val="20"/>
              <w:szCs w:val="20"/>
              <w:lang w:val="en-US"/>
            </w:rPr>
            <w:t>Applications for leave to appeal filed</w:t>
          </w:r>
        </w:p>
        <w:p w:rsidR="005F4D83" w:rsidRPr="00D31809" w:rsidRDefault="005F4D83" w:rsidP="00D31809">
          <w:pPr>
            <w:keepNext/>
            <w:keepLines/>
            <w:rPr>
              <w:sz w:val="20"/>
              <w:szCs w:val="20"/>
            </w:rPr>
          </w:pPr>
        </w:p>
      </w:tc>
      <w:tc>
        <w:tcPr>
          <w:tcW w:w="1200" w:type="dxa"/>
          <w:tcMar>
            <w:left w:w="0" w:type="dxa"/>
            <w:right w:w="0" w:type="dxa"/>
          </w:tcMar>
        </w:tcPr>
        <w:p w:rsidR="005F4D83" w:rsidRPr="00D31809" w:rsidRDefault="005F4D83" w:rsidP="002E2327">
          <w:pPr>
            <w:keepNext/>
            <w:keepLines/>
            <w:tabs>
              <w:tab w:val="left" w:pos="-1440"/>
              <w:tab w:val="left" w:pos="-720"/>
            </w:tabs>
            <w:jc w:val="center"/>
            <w:rPr>
              <w:sz w:val="20"/>
              <w:szCs w:val="20"/>
            </w:rPr>
          </w:pPr>
        </w:p>
      </w:tc>
      <w:tc>
        <w:tcPr>
          <w:tcW w:w="4320" w:type="dxa"/>
          <w:tcMar>
            <w:left w:w="0" w:type="dxa"/>
            <w:right w:w="0" w:type="dxa"/>
          </w:tcMar>
        </w:tcPr>
        <w:p w:rsidR="005F4D83" w:rsidRPr="00D31809" w:rsidRDefault="005F4D83" w:rsidP="002E2327">
          <w:pPr>
            <w:keepLines/>
            <w:rPr>
              <w:sz w:val="20"/>
              <w:szCs w:val="20"/>
              <w:lang w:val="fr-CA"/>
            </w:rPr>
          </w:pPr>
          <w:r w:rsidRPr="00D31809">
            <w:rPr>
              <w:sz w:val="20"/>
              <w:szCs w:val="20"/>
              <w:lang w:val="fr-CA"/>
            </w:rPr>
            <w:t>Demandes d’autorisation d’appel déposées</w:t>
          </w:r>
        </w:p>
      </w:tc>
    </w:tr>
  </w:tbl>
  <w:p w:rsidR="005F4D83" w:rsidRDefault="005F4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5F4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4D83" w:rsidRPr="005662E5" w:rsidTr="00245129">
      <w:tc>
        <w:tcPr>
          <w:tcW w:w="4200" w:type="dxa"/>
          <w:tcMar>
            <w:left w:w="0" w:type="dxa"/>
            <w:right w:w="0" w:type="dxa"/>
          </w:tcMar>
        </w:tcPr>
        <w:p w:rsidR="005F4D83" w:rsidRPr="00A81DCF" w:rsidRDefault="005F4D83" w:rsidP="0044776A">
          <w:pPr>
            <w:keepNext/>
            <w:keepLines/>
            <w:widowControl w:val="0"/>
            <w:rPr>
              <w:sz w:val="20"/>
              <w:szCs w:val="20"/>
              <w:lang w:val="en-US"/>
            </w:rPr>
          </w:pPr>
          <w:r w:rsidRPr="00A81DCF">
            <w:rPr>
              <w:sz w:val="20"/>
              <w:lang w:val="en-US"/>
            </w:rPr>
            <w:t>Applications for leave submitted to the Court since the last issue</w:t>
          </w:r>
        </w:p>
      </w:tc>
      <w:tc>
        <w:tcPr>
          <w:tcW w:w="1200" w:type="dxa"/>
          <w:tcMar>
            <w:left w:w="0" w:type="dxa"/>
            <w:right w:w="0" w:type="dxa"/>
          </w:tcMar>
        </w:tcPr>
        <w:p w:rsidR="005F4D83" w:rsidRPr="0044776A" w:rsidRDefault="005F4D83" w:rsidP="0044776A">
          <w:pPr>
            <w:keepNext/>
            <w:keepLines/>
            <w:widowControl w:val="0"/>
            <w:jc w:val="center"/>
            <w:rPr>
              <w:sz w:val="20"/>
              <w:szCs w:val="20"/>
            </w:rPr>
          </w:pPr>
        </w:p>
        <w:p w:rsidR="005F4D83" w:rsidRPr="0044776A" w:rsidRDefault="005F4D83" w:rsidP="0044776A">
          <w:pPr>
            <w:keepNext/>
            <w:keepLines/>
            <w:widowControl w:val="0"/>
            <w:jc w:val="center"/>
            <w:rPr>
              <w:sz w:val="20"/>
              <w:szCs w:val="20"/>
            </w:rPr>
          </w:pPr>
        </w:p>
        <w:p w:rsidR="005F4D83" w:rsidRPr="0044776A" w:rsidRDefault="005F4D83" w:rsidP="0044776A">
          <w:pPr>
            <w:keepNext/>
            <w:keepLines/>
            <w:widowControl w:val="0"/>
            <w:jc w:val="center"/>
            <w:rPr>
              <w:sz w:val="20"/>
              <w:szCs w:val="20"/>
            </w:rPr>
          </w:pPr>
        </w:p>
      </w:tc>
      <w:tc>
        <w:tcPr>
          <w:tcW w:w="4080" w:type="dxa"/>
          <w:tcMar>
            <w:left w:w="0" w:type="dxa"/>
            <w:right w:w="0" w:type="dxa"/>
          </w:tcMar>
        </w:tcPr>
        <w:p w:rsidR="005F4D83" w:rsidRPr="0044776A" w:rsidRDefault="005F4D83" w:rsidP="00A81DCF">
          <w:pPr>
            <w:widowControl w:val="0"/>
            <w:rPr>
              <w:sz w:val="20"/>
              <w:szCs w:val="20"/>
              <w:lang w:val="fr-CA"/>
            </w:rPr>
          </w:pPr>
          <w:r w:rsidRPr="00A81DCF">
            <w:rPr>
              <w:sz w:val="20"/>
              <w:lang w:val="fr-CA"/>
            </w:rPr>
            <w:t>Demandes soumises à la Cour depuis la dernière parution</w:t>
          </w:r>
          <w:r w:rsidRPr="00A81DCF">
            <w:rPr>
              <w:sz w:val="16"/>
              <w:szCs w:val="20"/>
              <w:lang w:val="fr-CA"/>
            </w:rPr>
            <w:t xml:space="preserve"> </w:t>
          </w:r>
        </w:p>
      </w:tc>
    </w:tr>
  </w:tbl>
  <w:p w:rsidR="005F4D83" w:rsidRPr="002E2327" w:rsidRDefault="005F4D83">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5F4D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F4D83" w:rsidRPr="005662E5">
      <w:tc>
        <w:tcPr>
          <w:tcW w:w="4200" w:type="dxa"/>
          <w:tcMar>
            <w:left w:w="0" w:type="dxa"/>
            <w:right w:w="0" w:type="dxa"/>
          </w:tcMar>
        </w:tcPr>
        <w:p w:rsidR="005F4D83" w:rsidRDefault="005F4D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F4D83" w:rsidRDefault="005F4D8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F4D83" w:rsidRDefault="005F4D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F4D83" w:rsidRPr="00FF6BA5" w:rsidRDefault="005F4D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F4D83" w:rsidRPr="00FF6BA5" w:rsidRDefault="005F4D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F4D83" w:rsidRPr="00FF6BA5" w:rsidRDefault="005F4D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F4D83" w:rsidRPr="00FF6BA5" w:rsidRDefault="005F4D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4D83" w:rsidRPr="005662E5" w:rsidTr="00245129">
      <w:tc>
        <w:tcPr>
          <w:tcW w:w="4200" w:type="dxa"/>
          <w:tcMar>
            <w:left w:w="0" w:type="dxa"/>
            <w:right w:w="0" w:type="dxa"/>
          </w:tcMar>
        </w:tcPr>
        <w:p w:rsidR="005F4D83" w:rsidRPr="00634F42" w:rsidRDefault="005F4D8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5F4D83" w:rsidRPr="00755F22" w:rsidRDefault="005F4D8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F4D83" w:rsidRPr="00755F22" w:rsidRDefault="005F4D8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F4D83" w:rsidRPr="00755F22" w:rsidRDefault="005F4D8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5F4D83" w:rsidRPr="00FF6BA5" w:rsidRDefault="005F4D83"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5F4D8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83" w:rsidRDefault="005F4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45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FE"/>
    <w:rsid w:val="00002704"/>
    <w:rsid w:val="00020DC3"/>
    <w:rsid w:val="0003223B"/>
    <w:rsid w:val="000327B2"/>
    <w:rsid w:val="00033A57"/>
    <w:rsid w:val="0004528B"/>
    <w:rsid w:val="00064FBA"/>
    <w:rsid w:val="000670E9"/>
    <w:rsid w:val="00073764"/>
    <w:rsid w:val="0008769F"/>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2102B"/>
    <w:rsid w:val="00124D41"/>
    <w:rsid w:val="00125B8F"/>
    <w:rsid w:val="0013369E"/>
    <w:rsid w:val="0013595D"/>
    <w:rsid w:val="001434B9"/>
    <w:rsid w:val="00143EF6"/>
    <w:rsid w:val="00152E76"/>
    <w:rsid w:val="0016128C"/>
    <w:rsid w:val="00164E6D"/>
    <w:rsid w:val="0016538E"/>
    <w:rsid w:val="00172473"/>
    <w:rsid w:val="00183454"/>
    <w:rsid w:val="0019203D"/>
    <w:rsid w:val="00195F99"/>
    <w:rsid w:val="001B157C"/>
    <w:rsid w:val="001B1994"/>
    <w:rsid w:val="001B4006"/>
    <w:rsid w:val="001B5C23"/>
    <w:rsid w:val="001C76A4"/>
    <w:rsid w:val="001D0D5F"/>
    <w:rsid w:val="001D6B8C"/>
    <w:rsid w:val="001F1F83"/>
    <w:rsid w:val="001F40DF"/>
    <w:rsid w:val="001F43F8"/>
    <w:rsid w:val="001F6B2D"/>
    <w:rsid w:val="002021A9"/>
    <w:rsid w:val="00205D49"/>
    <w:rsid w:val="002139A7"/>
    <w:rsid w:val="00215574"/>
    <w:rsid w:val="00215F7C"/>
    <w:rsid w:val="0021693B"/>
    <w:rsid w:val="00221DEF"/>
    <w:rsid w:val="0022323B"/>
    <w:rsid w:val="002410B8"/>
    <w:rsid w:val="00242AEE"/>
    <w:rsid w:val="00245129"/>
    <w:rsid w:val="00245879"/>
    <w:rsid w:val="00253236"/>
    <w:rsid w:val="002534CE"/>
    <w:rsid w:val="00253E40"/>
    <w:rsid w:val="002607CB"/>
    <w:rsid w:val="00263E42"/>
    <w:rsid w:val="00266FFE"/>
    <w:rsid w:val="00267FD5"/>
    <w:rsid w:val="00271E1E"/>
    <w:rsid w:val="00274D34"/>
    <w:rsid w:val="00281DA2"/>
    <w:rsid w:val="00283AFF"/>
    <w:rsid w:val="00283ED8"/>
    <w:rsid w:val="002868D0"/>
    <w:rsid w:val="0028760B"/>
    <w:rsid w:val="002A008C"/>
    <w:rsid w:val="002A1BA5"/>
    <w:rsid w:val="002A27D1"/>
    <w:rsid w:val="002A4AFA"/>
    <w:rsid w:val="002B2610"/>
    <w:rsid w:val="002B5112"/>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B3977"/>
    <w:rsid w:val="003D49B1"/>
    <w:rsid w:val="003E1D4C"/>
    <w:rsid w:val="003E21E7"/>
    <w:rsid w:val="003E5F3E"/>
    <w:rsid w:val="00407C5D"/>
    <w:rsid w:val="0041245B"/>
    <w:rsid w:val="004137A0"/>
    <w:rsid w:val="00422D9A"/>
    <w:rsid w:val="004317DE"/>
    <w:rsid w:val="00432989"/>
    <w:rsid w:val="00433037"/>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62E5"/>
    <w:rsid w:val="00567602"/>
    <w:rsid w:val="00567680"/>
    <w:rsid w:val="00571CA4"/>
    <w:rsid w:val="00573AF2"/>
    <w:rsid w:val="00574706"/>
    <w:rsid w:val="00582136"/>
    <w:rsid w:val="005967EF"/>
    <w:rsid w:val="005B6826"/>
    <w:rsid w:val="005C6840"/>
    <w:rsid w:val="005F1ED8"/>
    <w:rsid w:val="005F263E"/>
    <w:rsid w:val="005F4D83"/>
    <w:rsid w:val="00600252"/>
    <w:rsid w:val="00612A40"/>
    <w:rsid w:val="0062714A"/>
    <w:rsid w:val="00634F42"/>
    <w:rsid w:val="006615F4"/>
    <w:rsid w:val="00675479"/>
    <w:rsid w:val="00680709"/>
    <w:rsid w:val="00681F61"/>
    <w:rsid w:val="00684F23"/>
    <w:rsid w:val="00693C38"/>
    <w:rsid w:val="00696BF9"/>
    <w:rsid w:val="00697C62"/>
    <w:rsid w:val="006A329B"/>
    <w:rsid w:val="006A7EB8"/>
    <w:rsid w:val="006B6926"/>
    <w:rsid w:val="006C3F47"/>
    <w:rsid w:val="006C5F7A"/>
    <w:rsid w:val="006E06AF"/>
    <w:rsid w:val="006E1CB0"/>
    <w:rsid w:val="006F350F"/>
    <w:rsid w:val="00717608"/>
    <w:rsid w:val="00726F45"/>
    <w:rsid w:val="00727571"/>
    <w:rsid w:val="00732DB7"/>
    <w:rsid w:val="0074238B"/>
    <w:rsid w:val="00745EF7"/>
    <w:rsid w:val="00755F22"/>
    <w:rsid w:val="00766E4A"/>
    <w:rsid w:val="007820CE"/>
    <w:rsid w:val="00782AE4"/>
    <w:rsid w:val="0079724F"/>
    <w:rsid w:val="007A3EAE"/>
    <w:rsid w:val="007B12CF"/>
    <w:rsid w:val="007B4DFF"/>
    <w:rsid w:val="007B5129"/>
    <w:rsid w:val="007C04FC"/>
    <w:rsid w:val="007C3D5F"/>
    <w:rsid w:val="007C3DB0"/>
    <w:rsid w:val="007C47C2"/>
    <w:rsid w:val="007D3E0F"/>
    <w:rsid w:val="007E2838"/>
    <w:rsid w:val="007E4282"/>
    <w:rsid w:val="007F1FDB"/>
    <w:rsid w:val="007F387B"/>
    <w:rsid w:val="007F69F9"/>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7592"/>
    <w:rsid w:val="008859F1"/>
    <w:rsid w:val="008902B1"/>
    <w:rsid w:val="00890FEB"/>
    <w:rsid w:val="00893449"/>
    <w:rsid w:val="00895E7E"/>
    <w:rsid w:val="008961FD"/>
    <w:rsid w:val="008A1011"/>
    <w:rsid w:val="008A51F5"/>
    <w:rsid w:val="008A5C1A"/>
    <w:rsid w:val="008C2318"/>
    <w:rsid w:val="008D085E"/>
    <w:rsid w:val="008D292F"/>
    <w:rsid w:val="008D3D4B"/>
    <w:rsid w:val="008E03DC"/>
    <w:rsid w:val="008E3A1D"/>
    <w:rsid w:val="00902E51"/>
    <w:rsid w:val="009058B9"/>
    <w:rsid w:val="00924065"/>
    <w:rsid w:val="00930B8A"/>
    <w:rsid w:val="00930D68"/>
    <w:rsid w:val="00932DB4"/>
    <w:rsid w:val="00937854"/>
    <w:rsid w:val="00941A4B"/>
    <w:rsid w:val="009420ED"/>
    <w:rsid w:val="00946242"/>
    <w:rsid w:val="0095096B"/>
    <w:rsid w:val="00955827"/>
    <w:rsid w:val="00957556"/>
    <w:rsid w:val="00961C83"/>
    <w:rsid w:val="00970CD3"/>
    <w:rsid w:val="009723FA"/>
    <w:rsid w:val="00984546"/>
    <w:rsid w:val="00996510"/>
    <w:rsid w:val="00996702"/>
    <w:rsid w:val="009A75CF"/>
    <w:rsid w:val="009C4E23"/>
    <w:rsid w:val="009D1F15"/>
    <w:rsid w:val="009D555E"/>
    <w:rsid w:val="009F3024"/>
    <w:rsid w:val="009F39BA"/>
    <w:rsid w:val="00A0355E"/>
    <w:rsid w:val="00A234E1"/>
    <w:rsid w:val="00A242F4"/>
    <w:rsid w:val="00A375D1"/>
    <w:rsid w:val="00A41BE3"/>
    <w:rsid w:val="00A41D2B"/>
    <w:rsid w:val="00A50DD5"/>
    <w:rsid w:val="00A51D10"/>
    <w:rsid w:val="00A521D5"/>
    <w:rsid w:val="00A52A83"/>
    <w:rsid w:val="00A61252"/>
    <w:rsid w:val="00A6552C"/>
    <w:rsid w:val="00A744AF"/>
    <w:rsid w:val="00A760C7"/>
    <w:rsid w:val="00A773B5"/>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35437"/>
    <w:rsid w:val="00B36BE5"/>
    <w:rsid w:val="00B37436"/>
    <w:rsid w:val="00B40FD9"/>
    <w:rsid w:val="00B4740D"/>
    <w:rsid w:val="00B61629"/>
    <w:rsid w:val="00B635E0"/>
    <w:rsid w:val="00B67395"/>
    <w:rsid w:val="00B7374B"/>
    <w:rsid w:val="00B90DC0"/>
    <w:rsid w:val="00BA116A"/>
    <w:rsid w:val="00BA5582"/>
    <w:rsid w:val="00BA6468"/>
    <w:rsid w:val="00BB15A8"/>
    <w:rsid w:val="00BB1D44"/>
    <w:rsid w:val="00BC680C"/>
    <w:rsid w:val="00BD06DA"/>
    <w:rsid w:val="00BD264E"/>
    <w:rsid w:val="00BD4217"/>
    <w:rsid w:val="00BD4A3C"/>
    <w:rsid w:val="00BE34F7"/>
    <w:rsid w:val="00BF25F3"/>
    <w:rsid w:val="00C01FCB"/>
    <w:rsid w:val="00C1697B"/>
    <w:rsid w:val="00C21644"/>
    <w:rsid w:val="00C21CB5"/>
    <w:rsid w:val="00C257CD"/>
    <w:rsid w:val="00C27015"/>
    <w:rsid w:val="00C378F7"/>
    <w:rsid w:val="00C406CA"/>
    <w:rsid w:val="00C4071E"/>
    <w:rsid w:val="00C46376"/>
    <w:rsid w:val="00C50A5C"/>
    <w:rsid w:val="00C50FDF"/>
    <w:rsid w:val="00C63381"/>
    <w:rsid w:val="00C73D06"/>
    <w:rsid w:val="00C73E1B"/>
    <w:rsid w:val="00C73EE8"/>
    <w:rsid w:val="00C7556C"/>
    <w:rsid w:val="00C759B4"/>
    <w:rsid w:val="00C77713"/>
    <w:rsid w:val="00C8528C"/>
    <w:rsid w:val="00C85BB7"/>
    <w:rsid w:val="00C86E0F"/>
    <w:rsid w:val="00CA2DEA"/>
    <w:rsid w:val="00CB1C67"/>
    <w:rsid w:val="00CB3520"/>
    <w:rsid w:val="00CB43D5"/>
    <w:rsid w:val="00CC4D84"/>
    <w:rsid w:val="00CE198A"/>
    <w:rsid w:val="00CF08C8"/>
    <w:rsid w:val="00D004FC"/>
    <w:rsid w:val="00D061CA"/>
    <w:rsid w:val="00D22BC0"/>
    <w:rsid w:val="00D31809"/>
    <w:rsid w:val="00D43E53"/>
    <w:rsid w:val="00D51FCD"/>
    <w:rsid w:val="00D616AC"/>
    <w:rsid w:val="00D6331A"/>
    <w:rsid w:val="00D64901"/>
    <w:rsid w:val="00D7030F"/>
    <w:rsid w:val="00D76BDF"/>
    <w:rsid w:val="00D818B6"/>
    <w:rsid w:val="00D82A57"/>
    <w:rsid w:val="00D82BFF"/>
    <w:rsid w:val="00D8443D"/>
    <w:rsid w:val="00D862C1"/>
    <w:rsid w:val="00D90B93"/>
    <w:rsid w:val="00D93B50"/>
    <w:rsid w:val="00D94028"/>
    <w:rsid w:val="00D94670"/>
    <w:rsid w:val="00DA46F6"/>
    <w:rsid w:val="00DA756F"/>
    <w:rsid w:val="00DC0577"/>
    <w:rsid w:val="00DC6B2E"/>
    <w:rsid w:val="00DD0B49"/>
    <w:rsid w:val="00DD0BDC"/>
    <w:rsid w:val="00DE0502"/>
    <w:rsid w:val="00DE349D"/>
    <w:rsid w:val="00E0270C"/>
    <w:rsid w:val="00E0412B"/>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681"/>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3671"/>
    <w:rsid w:val="00F253CC"/>
    <w:rsid w:val="00F26C61"/>
    <w:rsid w:val="00F33CCE"/>
    <w:rsid w:val="00F40249"/>
    <w:rsid w:val="00F4238B"/>
    <w:rsid w:val="00F47208"/>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E638F"/>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43E53"/>
    <w:pPr>
      <w:jc w:val="both"/>
    </w:pPr>
    <w:rPr>
      <w:rFonts w:eastAsia="Calibri" w:cs="Times New Roman"/>
      <w:smallCaps/>
    </w:rPr>
  </w:style>
  <w:style w:type="character" w:customStyle="1" w:styleId="SCCBanSummaryChar">
    <w:name w:val="SCC.BanSummary Char"/>
    <w:basedOn w:val="DefaultParagraphFont"/>
    <w:link w:val="SCCBanSummary0"/>
    <w:rsid w:val="00D43E53"/>
    <w:rPr>
      <w:rFonts w:eastAsia="Calibri" w:cs="Times New Roman"/>
      <w:smallCaps/>
      <w:lang w:val="en-CA"/>
    </w:rPr>
  </w:style>
  <w:style w:type="paragraph" w:customStyle="1" w:styleId="mainparagraph1">
    <w:name w:val="mainparagraph1"/>
    <w:basedOn w:val="Normal"/>
    <w:rsid w:val="00D43E53"/>
    <w:pPr>
      <w:spacing w:after="240"/>
      <w:ind w:left="720" w:hanging="720"/>
      <w:jc w:val="both"/>
    </w:pPr>
    <w:rPr>
      <w:rFonts w:eastAsia="Times New Roman" w:cs="Times New Roman"/>
      <w:szCs w:val="24"/>
      <w:lang w:val="en-US"/>
    </w:rPr>
  </w:style>
  <w:style w:type="character" w:customStyle="1" w:styleId="reflex3-block">
    <w:name w:val="reflex3-block"/>
    <w:basedOn w:val="DefaultParagraphFont"/>
    <w:rsid w:val="00D43E53"/>
  </w:style>
  <w:style w:type="character" w:customStyle="1" w:styleId="reflex3-alt">
    <w:name w:val="reflex3-alt"/>
    <w:basedOn w:val="DefaultParagraphFont"/>
    <w:rsid w:val="00D43E53"/>
  </w:style>
  <w:style w:type="character" w:customStyle="1" w:styleId="reflex">
    <w:name w:val="reflex"/>
    <w:basedOn w:val="DefaultParagraphFont"/>
    <w:rsid w:val="00D4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018504766">
      <w:bodyDiv w:val="1"/>
      <w:marLeft w:val="0"/>
      <w:marRight w:val="0"/>
      <w:marTop w:val="0"/>
      <w:marBottom w:val="0"/>
      <w:divBdr>
        <w:top w:val="none" w:sz="0" w:space="0" w:color="auto"/>
        <w:left w:val="none" w:sz="0" w:space="0" w:color="auto"/>
        <w:bottom w:val="none" w:sz="0" w:space="0" w:color="auto"/>
        <w:right w:val="none" w:sz="0" w:space="0" w:color="auto"/>
      </w:divBdr>
      <w:divsChild>
        <w:div w:id="1083914375">
          <w:marLeft w:val="0"/>
          <w:marRight w:val="0"/>
          <w:marTop w:val="0"/>
          <w:marBottom w:val="0"/>
          <w:divBdr>
            <w:top w:val="none" w:sz="0" w:space="0" w:color="auto"/>
            <w:left w:val="none" w:sz="0" w:space="0" w:color="auto"/>
            <w:bottom w:val="none" w:sz="0" w:space="0" w:color="auto"/>
            <w:right w:val="none" w:sz="0" w:space="0" w:color="auto"/>
          </w:divBdr>
        </w:div>
      </w:divsChild>
    </w:div>
    <w:div w:id="141644051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fr/qc/qcca/doc/2019/2019qcca973/2019qcca973.pdf"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canlii.ca/t/j23v5" TargetMode="External"/><Relationship Id="rId34" Type="http://schemas.openxmlformats.org/officeDocument/2006/relationships/hyperlink" Target="http://canlii.ca/t/j1zgh" TargetMode="Externa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fr/qc/qccs/doc/2016/2016qccs5077/2016qccs5077.pdf" TargetMode="External"/><Relationship Id="rId33" Type="http://schemas.openxmlformats.org/officeDocument/2006/relationships/hyperlink" Target="http://canlii.ca/t/ht382"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canlii.org/en/on/onscdc/doc/2019/2019onsc946/2019onsc946.html?searchUrlHash=AAAAAQANMjAxOSBPTkNBIDk0NgAAAAAB&amp;resultIndex=1" TargetMode="External"/><Relationship Id="rId29" Type="http://schemas.openxmlformats.org/officeDocument/2006/relationships/hyperlink" Target="../../Forms/AllDocumentsEn.aspx?View=%7b9B1018AF-C1E8-431B-8578-C5364878007E%7d&amp;FilterClear=1"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qc/qcca/doc/2019/2019qcca973/2019qcca973.pdf" TargetMode="External"/><Relationship Id="rId32" Type="http://schemas.openxmlformats.org/officeDocument/2006/relationships/hyperlink" Target="http://canlii.ca/t/j1zgh"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anlii.org/fr/qc/qccs/doc/2016/2016qccs5077/2016qccs5077.pdf" TargetMode="External"/><Relationship Id="rId28" Type="http://schemas.openxmlformats.org/officeDocument/2006/relationships/hyperlink" Target="file:///C:\Users\baloghs\AppData\Local\Microsoft\Windows\INetCache\Forms\AllDocumentsEn.aspx%3fView=%7b9B1018AF-C1E8-431B-8578-C5364878007E%7d&amp;FilterClear=1" TargetMode="External"/><Relationship Id="rId36" Type="http://schemas.openxmlformats.org/officeDocument/2006/relationships/header" Target="header6.xml"/><Relationship Id="rId10" Type="http://schemas.openxmlformats.org/officeDocument/2006/relationships/hyperlink" Target="https://www.scc-csc.ca" TargetMode="External"/><Relationship Id="rId19" Type="http://schemas.openxmlformats.org/officeDocument/2006/relationships/hyperlink" Target="https://www.canlii.org/en/on/onscdc/doc/2019/2019onsc946/2019onsc946.html?searchUrlHash=AAAAAQANMjAxOSBPTkNBIDk0NgAAAAAB&amp;resultIndex=1" TargetMode="External"/><Relationship Id="rId31" Type="http://schemas.openxmlformats.org/officeDocument/2006/relationships/hyperlink" Target="http://canlii.ca/t/ht38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canlii.ca/t/j23v5" TargetMode="External"/><Relationship Id="rId27" Type="http://schemas.openxmlformats.org/officeDocument/2006/relationships/hyperlink" Target="file:///C:\Users\baloghs\AppData\Local\Microsoft\Windows\INetCache\Forms\AllDocumentsEn.aspx%3fView=%7b9B1018AF-C1E8-431B-8578-C5364878007E%7d&amp;FilterClear=1" TargetMode="External"/><Relationship Id="rId30" Type="http://schemas.openxmlformats.org/officeDocument/2006/relationships/hyperlink" Target="../../Forms/AllDocumentsEn.aspx?View=%7b9B1018AF-C1E8-431B-8578-C5364878007E%7d&amp;FilterClear=1" TargetMode="External"/><Relationship Id="rId35" Type="http://schemas.openxmlformats.org/officeDocument/2006/relationships/header" Target="header5.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0503-F216-45B7-B44D-395137F0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17</Pages>
  <Words>6449</Words>
  <Characters>36762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2020-01-13T19:46:00Z</dcterms:created>
  <dcterms:modified xsi:type="dcterms:W3CDTF">2020-03-12T13:31:00Z</dcterms:modified>
</cp:coreProperties>
</file>