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126AB" w:rsidTr="00F138C1">
        <w:tc>
          <w:tcPr>
            <w:tcW w:w="9648" w:type="dxa"/>
            <w:gridSpan w:val="3"/>
          </w:tcPr>
          <w:p w:rsidR="00F138C1" w:rsidRPr="001126AB" w:rsidRDefault="00F138C1" w:rsidP="00F138C1">
            <w:pPr>
              <w:tabs>
                <w:tab w:val="left" w:pos="6075"/>
              </w:tabs>
              <w:jc w:val="center"/>
              <w:rPr>
                <w:b/>
                <w:sz w:val="32"/>
                <w:szCs w:val="32"/>
                <w:lang w:val="fr-CA"/>
              </w:rPr>
            </w:pPr>
            <w:r w:rsidRPr="001126A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1126AB" w:rsidTr="00F138C1">
        <w:tc>
          <w:tcPr>
            <w:tcW w:w="4599" w:type="dxa"/>
            <w:tcMar>
              <w:top w:w="284" w:type="dxa"/>
            </w:tcMar>
          </w:tcPr>
          <w:p w:rsidR="00F138C1" w:rsidRPr="001126AB" w:rsidRDefault="00F138C1" w:rsidP="00F138C1">
            <w:pPr>
              <w:tabs>
                <w:tab w:val="left" w:pos="6075"/>
              </w:tabs>
              <w:jc w:val="center"/>
              <w:rPr>
                <w:b/>
                <w:sz w:val="32"/>
                <w:szCs w:val="32"/>
              </w:rPr>
            </w:pPr>
            <w:r w:rsidRPr="001126AB">
              <w:rPr>
                <w:b/>
                <w:sz w:val="32"/>
                <w:szCs w:val="32"/>
              </w:rPr>
              <w:t>SUPREME COURT OF CANADA</w:t>
            </w:r>
          </w:p>
        </w:tc>
        <w:tc>
          <w:tcPr>
            <w:tcW w:w="483" w:type="dxa"/>
          </w:tcPr>
          <w:p w:rsidR="00F138C1" w:rsidRPr="001126AB" w:rsidRDefault="00F138C1" w:rsidP="00F138C1">
            <w:pPr>
              <w:tabs>
                <w:tab w:val="left" w:pos="6075"/>
              </w:tabs>
              <w:jc w:val="center"/>
              <w:rPr>
                <w:sz w:val="32"/>
                <w:szCs w:val="32"/>
              </w:rPr>
            </w:pPr>
          </w:p>
        </w:tc>
        <w:tc>
          <w:tcPr>
            <w:tcW w:w="4566" w:type="dxa"/>
            <w:tcMar>
              <w:top w:w="284" w:type="dxa"/>
            </w:tcMar>
          </w:tcPr>
          <w:p w:rsidR="00F138C1" w:rsidRPr="001126AB" w:rsidRDefault="00F138C1" w:rsidP="00F138C1">
            <w:pPr>
              <w:tabs>
                <w:tab w:val="left" w:pos="6075"/>
              </w:tabs>
              <w:jc w:val="center"/>
              <w:rPr>
                <w:b/>
                <w:sz w:val="32"/>
                <w:szCs w:val="32"/>
                <w:lang w:val="fr-CA"/>
              </w:rPr>
            </w:pPr>
            <w:r w:rsidRPr="001126AB">
              <w:rPr>
                <w:b/>
                <w:sz w:val="32"/>
                <w:szCs w:val="32"/>
                <w:lang w:val="fr-CA"/>
              </w:rPr>
              <w:t>COUR SUPRÊME DU CANADA</w:t>
            </w:r>
          </w:p>
        </w:tc>
      </w:tr>
      <w:tr w:rsidR="00F138C1" w:rsidRPr="001126AB" w:rsidTr="00F138C1">
        <w:tc>
          <w:tcPr>
            <w:tcW w:w="4599" w:type="dxa"/>
            <w:tcMar>
              <w:top w:w="567" w:type="dxa"/>
            </w:tcMar>
          </w:tcPr>
          <w:p w:rsidR="00F138C1" w:rsidRPr="001126AB" w:rsidRDefault="00F138C1" w:rsidP="00F138C1">
            <w:pPr>
              <w:tabs>
                <w:tab w:val="left" w:pos="6075"/>
              </w:tabs>
              <w:jc w:val="center"/>
              <w:rPr>
                <w:sz w:val="28"/>
                <w:szCs w:val="28"/>
              </w:rPr>
            </w:pPr>
            <w:r w:rsidRPr="001126AB">
              <w:rPr>
                <w:sz w:val="28"/>
                <w:szCs w:val="28"/>
              </w:rPr>
              <w:t>BULLETIN OF</w:t>
            </w:r>
            <w:r w:rsidRPr="001126AB">
              <w:rPr>
                <w:sz w:val="28"/>
                <w:szCs w:val="28"/>
              </w:rPr>
              <w:br/>
              <w:t xml:space="preserve"> PROCEEDINGS</w:t>
            </w:r>
          </w:p>
        </w:tc>
        <w:tc>
          <w:tcPr>
            <w:tcW w:w="483" w:type="dxa"/>
          </w:tcPr>
          <w:p w:rsidR="00F138C1" w:rsidRPr="001126AB" w:rsidRDefault="00F138C1" w:rsidP="00F138C1">
            <w:pPr>
              <w:tabs>
                <w:tab w:val="left" w:pos="6075"/>
              </w:tabs>
            </w:pPr>
          </w:p>
        </w:tc>
        <w:tc>
          <w:tcPr>
            <w:tcW w:w="4566" w:type="dxa"/>
            <w:tcMar>
              <w:top w:w="567" w:type="dxa"/>
            </w:tcMar>
          </w:tcPr>
          <w:p w:rsidR="00F138C1" w:rsidRPr="001126AB" w:rsidRDefault="00F138C1" w:rsidP="00F138C1">
            <w:pPr>
              <w:tabs>
                <w:tab w:val="left" w:pos="6075"/>
              </w:tabs>
              <w:jc w:val="center"/>
              <w:rPr>
                <w:sz w:val="28"/>
                <w:szCs w:val="28"/>
                <w:lang w:val="fr-CA"/>
              </w:rPr>
            </w:pPr>
            <w:r w:rsidRPr="001126AB">
              <w:rPr>
                <w:sz w:val="28"/>
                <w:szCs w:val="28"/>
                <w:lang w:val="fr-CA"/>
              </w:rPr>
              <w:t>BULLETIN DES</w:t>
            </w:r>
            <w:r w:rsidRPr="001126AB">
              <w:rPr>
                <w:sz w:val="28"/>
                <w:szCs w:val="28"/>
                <w:lang w:val="fr-CA"/>
              </w:rPr>
              <w:br/>
              <w:t xml:space="preserve"> PROCÉDURES</w:t>
            </w:r>
          </w:p>
        </w:tc>
      </w:tr>
      <w:tr w:rsidR="00F138C1" w:rsidRPr="001126AB" w:rsidTr="00F138C1">
        <w:tc>
          <w:tcPr>
            <w:tcW w:w="4599" w:type="dxa"/>
            <w:tcMar>
              <w:top w:w="567" w:type="dxa"/>
            </w:tcMar>
          </w:tcPr>
          <w:p w:rsidR="00F138C1" w:rsidRPr="001126AB" w:rsidRDefault="00F138C1" w:rsidP="00F138C1">
            <w:pPr>
              <w:tabs>
                <w:tab w:val="left" w:pos="6075"/>
              </w:tabs>
              <w:jc w:val="both"/>
              <w:rPr>
                <w:rFonts w:ascii="Arial" w:hAnsi="Arial" w:cs="Arial"/>
                <w:i/>
                <w:sz w:val="20"/>
                <w:szCs w:val="20"/>
              </w:rPr>
            </w:pPr>
            <w:r w:rsidRPr="001126A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126A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126AB" w:rsidRDefault="00F138C1" w:rsidP="00F138C1">
            <w:pPr>
              <w:tabs>
                <w:tab w:val="left" w:pos="6075"/>
              </w:tabs>
              <w:jc w:val="both"/>
              <w:rPr>
                <w:rFonts w:ascii="Arial" w:hAnsi="Arial" w:cs="Arial"/>
                <w:i/>
                <w:sz w:val="20"/>
                <w:szCs w:val="20"/>
                <w:lang w:val="fr-CA"/>
              </w:rPr>
            </w:pPr>
            <w:r w:rsidRPr="001126A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126AB" w:rsidTr="00F138C1">
        <w:tc>
          <w:tcPr>
            <w:tcW w:w="4599" w:type="dxa"/>
            <w:tcMar>
              <w:top w:w="567" w:type="dxa"/>
            </w:tcMar>
          </w:tcPr>
          <w:p w:rsidR="00F138C1" w:rsidRPr="001126AB" w:rsidRDefault="00F138C1" w:rsidP="00F138C1">
            <w:pPr>
              <w:tabs>
                <w:tab w:val="left" w:pos="6075"/>
              </w:tabs>
              <w:jc w:val="both"/>
              <w:rPr>
                <w:rFonts w:ascii="Arial" w:hAnsi="Arial" w:cs="Arial"/>
                <w:i/>
                <w:sz w:val="20"/>
                <w:szCs w:val="20"/>
              </w:rPr>
            </w:pPr>
            <w:r w:rsidRPr="001126AB">
              <w:rPr>
                <w:rFonts w:ascii="Arial" w:hAnsi="Arial" w:cs="Arial"/>
                <w:i/>
                <w:sz w:val="20"/>
                <w:szCs w:val="20"/>
              </w:rPr>
              <w:t>During Court sessions, the Bulletin is usually issued weekly.</w:t>
            </w:r>
          </w:p>
        </w:tc>
        <w:tc>
          <w:tcPr>
            <w:tcW w:w="483" w:type="dxa"/>
          </w:tcPr>
          <w:p w:rsidR="00F138C1" w:rsidRPr="001126A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126AB" w:rsidRDefault="00F138C1" w:rsidP="00F138C1">
            <w:pPr>
              <w:tabs>
                <w:tab w:val="left" w:pos="6075"/>
              </w:tabs>
              <w:jc w:val="both"/>
              <w:rPr>
                <w:rFonts w:ascii="Arial" w:hAnsi="Arial" w:cs="Arial"/>
                <w:i/>
                <w:sz w:val="20"/>
                <w:szCs w:val="20"/>
                <w:lang w:val="fr-CA"/>
              </w:rPr>
            </w:pPr>
            <w:r w:rsidRPr="001126AB">
              <w:rPr>
                <w:rFonts w:ascii="Arial" w:hAnsi="Arial" w:cs="Arial"/>
                <w:i/>
                <w:sz w:val="20"/>
                <w:szCs w:val="20"/>
                <w:lang w:val="fr-CA"/>
              </w:rPr>
              <w:t>Le Bulletin paraît en principe toutes les semaines pendant les sessions de la Cour.</w:t>
            </w:r>
          </w:p>
        </w:tc>
      </w:tr>
      <w:tr w:rsidR="00F138C1" w:rsidRPr="001126AB" w:rsidTr="00F138C1">
        <w:tc>
          <w:tcPr>
            <w:tcW w:w="4599" w:type="dxa"/>
            <w:tcMar>
              <w:top w:w="567" w:type="dxa"/>
            </w:tcMar>
          </w:tcPr>
          <w:p w:rsidR="00F138C1" w:rsidRPr="001126AB" w:rsidRDefault="00F138C1" w:rsidP="00F138C1">
            <w:pPr>
              <w:tabs>
                <w:tab w:val="left" w:pos="6075"/>
              </w:tabs>
              <w:jc w:val="both"/>
              <w:rPr>
                <w:rFonts w:ascii="Arial" w:hAnsi="Arial" w:cs="Arial"/>
                <w:i/>
                <w:sz w:val="20"/>
                <w:szCs w:val="20"/>
              </w:rPr>
            </w:pPr>
            <w:r w:rsidRPr="001126AB">
              <w:rPr>
                <w:rFonts w:ascii="Arial" w:hAnsi="Arial" w:cs="Arial"/>
                <w:i/>
                <w:sz w:val="20"/>
                <w:szCs w:val="20"/>
              </w:rPr>
              <w:fldChar w:fldCharType="begin"/>
            </w:r>
            <w:r w:rsidRPr="001126AB">
              <w:rPr>
                <w:rFonts w:ascii="Arial" w:hAnsi="Arial" w:cs="Arial"/>
                <w:i/>
                <w:sz w:val="20"/>
                <w:szCs w:val="20"/>
              </w:rPr>
              <w:instrText xml:space="preserve"> SEQ CHAPTER \h \r 1</w:instrText>
            </w:r>
            <w:r w:rsidRPr="001126AB">
              <w:rPr>
                <w:rFonts w:ascii="Arial" w:hAnsi="Arial" w:cs="Arial"/>
                <w:i/>
                <w:sz w:val="20"/>
                <w:szCs w:val="20"/>
              </w:rPr>
              <w:fldChar w:fldCharType="end"/>
            </w:r>
            <w:r w:rsidRPr="001126A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126A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126AB" w:rsidRDefault="00F138C1" w:rsidP="00F138C1">
            <w:pPr>
              <w:tabs>
                <w:tab w:val="left" w:pos="6075"/>
              </w:tabs>
              <w:jc w:val="both"/>
              <w:rPr>
                <w:rFonts w:ascii="Arial" w:hAnsi="Arial" w:cs="Arial"/>
                <w:i/>
                <w:sz w:val="20"/>
                <w:szCs w:val="20"/>
                <w:lang w:val="fr-CA"/>
              </w:rPr>
            </w:pPr>
            <w:r w:rsidRPr="001126AB">
              <w:rPr>
                <w:rFonts w:ascii="Arial" w:hAnsi="Arial" w:cs="Arial"/>
                <w:i/>
                <w:sz w:val="20"/>
                <w:szCs w:val="20"/>
                <w:lang w:val="fr-CA"/>
              </w:rPr>
              <w:fldChar w:fldCharType="begin"/>
            </w:r>
            <w:r w:rsidRPr="001126AB">
              <w:rPr>
                <w:rFonts w:ascii="Arial" w:hAnsi="Arial" w:cs="Arial"/>
                <w:i/>
                <w:sz w:val="20"/>
                <w:szCs w:val="20"/>
                <w:lang w:val="fr-CA"/>
              </w:rPr>
              <w:instrText xml:space="preserve"> SEQ CHAPTER \h \r 1</w:instrText>
            </w:r>
            <w:r w:rsidRPr="001126AB">
              <w:rPr>
                <w:rFonts w:ascii="Arial" w:hAnsi="Arial" w:cs="Arial"/>
                <w:i/>
                <w:sz w:val="20"/>
                <w:szCs w:val="20"/>
                <w:lang w:val="fr-CA"/>
              </w:rPr>
              <w:fldChar w:fldCharType="end"/>
            </w:r>
            <w:r w:rsidRPr="001126A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126AB" w:rsidTr="00F138C1">
        <w:tc>
          <w:tcPr>
            <w:tcW w:w="4599" w:type="dxa"/>
            <w:tcMar>
              <w:top w:w="567" w:type="dxa"/>
            </w:tcMar>
          </w:tcPr>
          <w:p w:rsidR="00F138C1" w:rsidRPr="001126AB" w:rsidRDefault="00F138C1" w:rsidP="00F138C1">
            <w:pPr>
              <w:tabs>
                <w:tab w:val="left" w:pos="6075"/>
              </w:tabs>
              <w:jc w:val="both"/>
              <w:rPr>
                <w:rFonts w:ascii="Arial" w:hAnsi="Arial" w:cs="Arial"/>
                <w:i/>
                <w:sz w:val="20"/>
                <w:szCs w:val="20"/>
              </w:rPr>
            </w:pPr>
            <w:r w:rsidRPr="001126AB">
              <w:rPr>
                <w:rFonts w:ascii="Arial" w:hAnsi="Arial" w:cs="Arial"/>
                <w:i/>
                <w:sz w:val="20"/>
                <w:szCs w:val="20"/>
                <w:lang w:val="en-US"/>
              </w:rPr>
              <w:t>Please c</w:t>
            </w:r>
            <w:r w:rsidRPr="001126AB">
              <w:rPr>
                <w:rFonts w:ascii="Arial" w:hAnsi="Arial" w:cs="Arial"/>
                <w:i/>
                <w:sz w:val="20"/>
                <w:szCs w:val="20"/>
              </w:rPr>
              <w:t xml:space="preserve">onsult the Supreme Court of Canada website at </w:t>
            </w:r>
            <w:hyperlink r:id="rId9" w:history="1">
              <w:r w:rsidRPr="001126AB">
                <w:rPr>
                  <w:rStyle w:val="Hyperlink"/>
                  <w:rFonts w:ascii="Arial" w:hAnsi="Arial" w:cs="Arial"/>
                  <w:i/>
                  <w:sz w:val="20"/>
                  <w:szCs w:val="20"/>
                </w:rPr>
                <w:t>www.scc-csc.ca</w:t>
              </w:r>
            </w:hyperlink>
            <w:r w:rsidRPr="001126AB">
              <w:rPr>
                <w:rFonts w:ascii="Arial" w:hAnsi="Arial" w:cs="Arial"/>
                <w:i/>
                <w:sz w:val="20"/>
                <w:szCs w:val="20"/>
              </w:rPr>
              <w:t xml:space="preserve"> for more information.</w:t>
            </w:r>
          </w:p>
        </w:tc>
        <w:tc>
          <w:tcPr>
            <w:tcW w:w="483" w:type="dxa"/>
          </w:tcPr>
          <w:p w:rsidR="00F138C1" w:rsidRPr="001126A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126AB" w:rsidRDefault="00F138C1" w:rsidP="00F138C1">
            <w:pPr>
              <w:tabs>
                <w:tab w:val="left" w:pos="6075"/>
              </w:tabs>
              <w:jc w:val="both"/>
              <w:rPr>
                <w:rFonts w:ascii="Arial" w:hAnsi="Arial" w:cs="Arial"/>
                <w:i/>
                <w:sz w:val="20"/>
                <w:szCs w:val="20"/>
                <w:lang w:val="fr-CA"/>
              </w:rPr>
            </w:pPr>
            <w:r w:rsidRPr="001126AB">
              <w:rPr>
                <w:rFonts w:ascii="Arial" w:hAnsi="Arial" w:cs="Arial"/>
                <w:i/>
                <w:sz w:val="20"/>
                <w:szCs w:val="20"/>
                <w:lang w:val="fr-CA"/>
              </w:rPr>
              <w:t xml:space="preserve">Pour de plus amples informations, veuillez consulter le site Web de la Cour suprême du Canada à l’adresse suivante : </w:t>
            </w:r>
            <w:hyperlink r:id="rId10" w:history="1">
              <w:r w:rsidRPr="001126AB">
                <w:rPr>
                  <w:rStyle w:val="Hyperlink"/>
                  <w:rFonts w:ascii="Arial" w:hAnsi="Arial" w:cs="Arial"/>
                  <w:i/>
                  <w:sz w:val="20"/>
                  <w:szCs w:val="20"/>
                  <w:lang w:val="fr-CA"/>
                </w:rPr>
                <w:t>www.scc-csc.ca</w:t>
              </w:r>
            </w:hyperlink>
            <w:r w:rsidRPr="001126AB">
              <w:rPr>
                <w:rFonts w:ascii="Arial" w:hAnsi="Arial" w:cs="Arial"/>
                <w:i/>
                <w:sz w:val="20"/>
                <w:szCs w:val="20"/>
                <w:lang w:val="fr-CA"/>
              </w:rPr>
              <w:t xml:space="preserve"> </w:t>
            </w:r>
          </w:p>
        </w:tc>
      </w:tr>
    </w:tbl>
    <w:p w:rsidR="00F138C1" w:rsidRPr="001126A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126AB" w:rsidTr="00F138C1">
        <w:tc>
          <w:tcPr>
            <w:tcW w:w="2250" w:type="pct"/>
            <w:tcBorders>
              <w:top w:val="single" w:sz="4" w:space="0" w:color="auto"/>
            </w:tcBorders>
            <w:tcMar>
              <w:top w:w="284" w:type="dxa"/>
              <w:bottom w:w="284" w:type="dxa"/>
            </w:tcMar>
          </w:tcPr>
          <w:p w:rsidR="00F138C1" w:rsidRPr="001126AB" w:rsidRDefault="001A7A20" w:rsidP="001A7A20">
            <w:pPr>
              <w:tabs>
                <w:tab w:val="left" w:pos="6075"/>
              </w:tabs>
              <w:rPr>
                <w:rFonts w:ascii="Arial" w:hAnsi="Arial" w:cs="Arial"/>
                <w:i/>
                <w:sz w:val="20"/>
                <w:szCs w:val="20"/>
              </w:rPr>
            </w:pPr>
            <w:r w:rsidRPr="001126AB">
              <w:rPr>
                <w:lang w:val="fr-CA"/>
              </w:rPr>
              <w:t>November</w:t>
            </w:r>
            <w:r w:rsidR="00F138C1" w:rsidRPr="001126AB">
              <w:rPr>
                <w:lang w:val="fr-CA"/>
              </w:rPr>
              <w:t xml:space="preserve"> </w:t>
            </w:r>
            <w:r w:rsidRPr="001126AB">
              <w:rPr>
                <w:lang w:val="fr-CA"/>
              </w:rPr>
              <w:t>27</w:t>
            </w:r>
            <w:r w:rsidR="00F138C1" w:rsidRPr="001126AB">
              <w:rPr>
                <w:lang w:val="fr-CA"/>
              </w:rPr>
              <w:t>, 2020</w:t>
            </w:r>
          </w:p>
        </w:tc>
        <w:tc>
          <w:tcPr>
            <w:tcW w:w="500" w:type="pct"/>
            <w:tcBorders>
              <w:top w:val="single" w:sz="4" w:space="0" w:color="auto"/>
            </w:tcBorders>
            <w:tcMar>
              <w:top w:w="284" w:type="dxa"/>
              <w:bottom w:w="284" w:type="dxa"/>
            </w:tcMar>
          </w:tcPr>
          <w:p w:rsidR="00F138C1" w:rsidRPr="001126AB" w:rsidRDefault="00F138C1" w:rsidP="00AD52FC">
            <w:pPr>
              <w:tabs>
                <w:tab w:val="left" w:pos="6075"/>
              </w:tabs>
              <w:jc w:val="center"/>
              <w:rPr>
                <w:rFonts w:ascii="Arial" w:hAnsi="Arial" w:cs="Arial"/>
                <w:i/>
                <w:sz w:val="20"/>
                <w:szCs w:val="20"/>
              </w:rPr>
            </w:pPr>
            <w:r w:rsidRPr="001126AB">
              <w:rPr>
                <w:lang w:val="fr-CA"/>
              </w:rPr>
              <w:t xml:space="preserve">1 - </w:t>
            </w:r>
            <w:r w:rsidR="00785D14" w:rsidRPr="001126AB">
              <w:rPr>
                <w:lang w:val="fr-CA"/>
              </w:rPr>
              <w:t>2</w:t>
            </w:r>
            <w:r w:rsidR="00AD52FC" w:rsidRPr="001126AB">
              <w:rPr>
                <w:lang w:val="fr-CA"/>
              </w:rPr>
              <w:t>1</w:t>
            </w:r>
          </w:p>
        </w:tc>
        <w:tc>
          <w:tcPr>
            <w:tcW w:w="2250" w:type="pct"/>
            <w:tcBorders>
              <w:top w:val="single" w:sz="4" w:space="0" w:color="auto"/>
            </w:tcBorders>
            <w:tcMar>
              <w:top w:w="284" w:type="dxa"/>
              <w:bottom w:w="284" w:type="dxa"/>
            </w:tcMar>
          </w:tcPr>
          <w:p w:rsidR="00F138C1" w:rsidRPr="001126AB" w:rsidRDefault="00F138C1" w:rsidP="001A7A20">
            <w:pPr>
              <w:tabs>
                <w:tab w:val="left" w:pos="6075"/>
              </w:tabs>
              <w:jc w:val="right"/>
              <w:rPr>
                <w:rFonts w:ascii="Arial" w:hAnsi="Arial" w:cs="Arial"/>
                <w:i/>
                <w:sz w:val="20"/>
                <w:szCs w:val="20"/>
                <w:lang w:val="fr-CA"/>
              </w:rPr>
            </w:pPr>
            <w:r w:rsidRPr="001126AB">
              <w:rPr>
                <w:lang w:val="fr-CA"/>
              </w:rPr>
              <w:t xml:space="preserve">Le </w:t>
            </w:r>
            <w:r w:rsidR="001A7A20" w:rsidRPr="001126AB">
              <w:rPr>
                <w:lang w:val="fr-CA"/>
              </w:rPr>
              <w:t>27</w:t>
            </w:r>
            <w:r w:rsidRPr="001126AB">
              <w:rPr>
                <w:lang w:val="fr-CA"/>
              </w:rPr>
              <w:t xml:space="preserve"> </w:t>
            </w:r>
            <w:r w:rsidR="001A7A20" w:rsidRPr="001126AB">
              <w:rPr>
                <w:lang w:val="fr-CA"/>
              </w:rPr>
              <w:t>novembre</w:t>
            </w:r>
            <w:r w:rsidRPr="001126AB">
              <w:rPr>
                <w:lang w:val="fr-CA"/>
              </w:rPr>
              <w:t xml:space="preserve"> 2020</w:t>
            </w:r>
          </w:p>
        </w:tc>
      </w:tr>
      <w:tr w:rsidR="00F138C1" w:rsidRPr="001126AB" w:rsidTr="00F138C1">
        <w:tc>
          <w:tcPr>
            <w:tcW w:w="2250" w:type="pct"/>
            <w:tcBorders>
              <w:bottom w:val="single" w:sz="4" w:space="0" w:color="auto"/>
            </w:tcBorders>
            <w:tcMar>
              <w:top w:w="284" w:type="dxa"/>
              <w:bottom w:w="284" w:type="dxa"/>
            </w:tcMar>
          </w:tcPr>
          <w:p w:rsidR="00F138C1" w:rsidRPr="001126AB" w:rsidRDefault="00F138C1" w:rsidP="00F138C1">
            <w:pPr>
              <w:tabs>
                <w:tab w:val="left" w:pos="6075"/>
              </w:tabs>
              <w:rPr>
                <w:rFonts w:ascii="Arial" w:hAnsi="Arial" w:cs="Arial"/>
                <w:i/>
                <w:sz w:val="20"/>
                <w:szCs w:val="20"/>
              </w:rPr>
            </w:pPr>
            <w:r w:rsidRPr="001126AB">
              <w:rPr>
                <w:sz w:val="18"/>
                <w:szCs w:val="18"/>
                <w:lang w:val="en-US"/>
              </w:rPr>
              <w:t>© Supreme Court of Canada (2020)</w:t>
            </w:r>
            <w:r w:rsidRPr="001126AB">
              <w:rPr>
                <w:sz w:val="18"/>
                <w:szCs w:val="18"/>
                <w:lang w:val="en-US"/>
              </w:rPr>
              <w:br/>
              <w:t>ISSN 1918-8358 (Online)</w:t>
            </w:r>
          </w:p>
        </w:tc>
        <w:tc>
          <w:tcPr>
            <w:tcW w:w="500" w:type="pct"/>
            <w:tcBorders>
              <w:bottom w:val="single" w:sz="4" w:space="0" w:color="auto"/>
            </w:tcBorders>
            <w:tcMar>
              <w:top w:w="284" w:type="dxa"/>
              <w:bottom w:w="284" w:type="dxa"/>
            </w:tcMar>
          </w:tcPr>
          <w:p w:rsidR="00F138C1" w:rsidRPr="001126A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126AB" w:rsidRDefault="00F138C1" w:rsidP="00F138C1">
            <w:pPr>
              <w:tabs>
                <w:tab w:val="left" w:pos="6075"/>
              </w:tabs>
              <w:jc w:val="right"/>
              <w:rPr>
                <w:rFonts w:ascii="Arial" w:hAnsi="Arial" w:cs="Arial"/>
                <w:i/>
                <w:sz w:val="20"/>
                <w:szCs w:val="20"/>
                <w:lang w:val="fr-CA"/>
              </w:rPr>
            </w:pPr>
            <w:r w:rsidRPr="001126AB">
              <w:rPr>
                <w:sz w:val="18"/>
                <w:szCs w:val="18"/>
                <w:lang w:val="fr-CA"/>
              </w:rPr>
              <w:t>© Cour suprême du Canada (2020</w:t>
            </w:r>
            <w:proofErr w:type="gramStart"/>
            <w:r w:rsidRPr="001126AB">
              <w:rPr>
                <w:sz w:val="18"/>
                <w:szCs w:val="18"/>
                <w:lang w:val="fr-CA"/>
              </w:rPr>
              <w:t>)</w:t>
            </w:r>
            <w:proofErr w:type="gramEnd"/>
            <w:r w:rsidRPr="001126AB">
              <w:rPr>
                <w:sz w:val="18"/>
                <w:szCs w:val="18"/>
                <w:lang w:val="fr-CA"/>
              </w:rPr>
              <w:br/>
              <w:t>ISSN 1918-8358 (En ligne)</w:t>
            </w:r>
          </w:p>
        </w:tc>
      </w:tr>
    </w:tbl>
    <w:p w:rsidR="0030050B" w:rsidRPr="001126AB" w:rsidRDefault="0030050B" w:rsidP="00F138C1">
      <w:pPr>
        <w:tabs>
          <w:tab w:val="left" w:pos="6075"/>
        </w:tabs>
        <w:rPr>
          <w:lang w:val="fr-CA"/>
        </w:rPr>
      </w:pPr>
    </w:p>
    <w:p w:rsidR="00560DF1" w:rsidRPr="001126AB" w:rsidRDefault="00560DF1" w:rsidP="0095096B">
      <w:pPr>
        <w:tabs>
          <w:tab w:val="right" w:pos="9360"/>
        </w:tabs>
        <w:rPr>
          <w:lang w:val="fr-CA"/>
        </w:rPr>
      </w:pPr>
    </w:p>
    <w:p w:rsidR="00F138C1" w:rsidRPr="001126A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126AB" w:rsidRDefault="00DC6B2E" w:rsidP="00693C38">
          <w:pPr>
            <w:pStyle w:val="Title"/>
            <w:jc w:val="center"/>
            <w:rPr>
              <w:rFonts w:ascii="Times New Roman" w:hAnsi="Times New Roman" w:cs="Times New Roman"/>
              <w:b/>
              <w:sz w:val="24"/>
              <w:szCs w:val="28"/>
              <w:lang w:val="fr-CA"/>
            </w:rPr>
          </w:pPr>
          <w:r w:rsidRPr="001126AB">
            <w:rPr>
              <w:rFonts w:ascii="Times New Roman" w:hAnsi="Times New Roman" w:cs="Times New Roman"/>
              <w:b/>
              <w:sz w:val="24"/>
              <w:szCs w:val="28"/>
              <w:lang w:val="fr-CA"/>
            </w:rPr>
            <w:t>Contents</w:t>
          </w:r>
        </w:p>
        <w:p w:rsidR="00693C38" w:rsidRPr="001126AB" w:rsidRDefault="00DC6B2E" w:rsidP="00693C38">
          <w:pPr>
            <w:jc w:val="center"/>
            <w:rPr>
              <w:b/>
              <w:szCs w:val="28"/>
              <w:lang w:val="fr-CA"/>
            </w:rPr>
          </w:pPr>
          <w:r w:rsidRPr="001126AB">
            <w:rPr>
              <w:b/>
              <w:szCs w:val="28"/>
              <w:lang w:val="fr-CA"/>
            </w:rPr>
            <w:t>Table des matières</w:t>
          </w:r>
        </w:p>
        <w:p w:rsidR="00693C38" w:rsidRPr="001126AB" w:rsidRDefault="00693C38" w:rsidP="00693C38">
          <w:pPr>
            <w:rPr>
              <w:lang w:val="fr-CA"/>
            </w:rPr>
          </w:pPr>
        </w:p>
        <w:p w:rsidR="00AD52FC" w:rsidRPr="001126AB" w:rsidRDefault="00DC6B2E">
          <w:pPr>
            <w:pStyle w:val="TOC1"/>
            <w:tabs>
              <w:tab w:val="right" w:leader="dot" w:pos="9638"/>
            </w:tabs>
            <w:rPr>
              <w:rFonts w:asciiTheme="minorHAnsi" w:eastAsiaTheme="minorEastAsia" w:hAnsiTheme="minorHAnsi"/>
              <w:noProof/>
              <w:sz w:val="22"/>
              <w:lang w:val="en-US"/>
            </w:rPr>
          </w:pPr>
          <w:r w:rsidRPr="001126AB">
            <w:rPr>
              <w:b/>
              <w:bCs/>
              <w:noProof/>
            </w:rPr>
            <w:fldChar w:fldCharType="begin"/>
          </w:r>
          <w:r w:rsidRPr="001126AB">
            <w:rPr>
              <w:b/>
              <w:bCs/>
              <w:noProof/>
            </w:rPr>
            <w:instrText xml:space="preserve"> TOC \o "1-3" \h \z \u </w:instrText>
          </w:r>
          <w:r w:rsidRPr="001126AB">
            <w:rPr>
              <w:b/>
              <w:bCs/>
              <w:noProof/>
            </w:rPr>
            <w:fldChar w:fldCharType="separate"/>
          </w:r>
          <w:hyperlink w:anchor="_Toc57270709" w:history="1">
            <w:r w:rsidR="00AD52FC" w:rsidRPr="001126AB">
              <w:rPr>
                <w:rStyle w:val="Hyperlink"/>
                <w:noProof/>
                <w:lang w:val="fr-CA"/>
              </w:rPr>
              <w:t>Applications for leave to appeal filed /  Demandes d’autorisation d’appel déposées</w:t>
            </w:r>
            <w:r w:rsidR="00AD52FC" w:rsidRPr="001126AB">
              <w:rPr>
                <w:noProof/>
                <w:webHidden/>
              </w:rPr>
              <w:tab/>
            </w:r>
            <w:r w:rsidR="00AD52FC" w:rsidRPr="001126AB">
              <w:rPr>
                <w:noProof/>
                <w:webHidden/>
              </w:rPr>
              <w:fldChar w:fldCharType="begin"/>
            </w:r>
            <w:r w:rsidR="00AD52FC" w:rsidRPr="001126AB">
              <w:rPr>
                <w:noProof/>
                <w:webHidden/>
              </w:rPr>
              <w:instrText xml:space="preserve"> PAGEREF _Toc57270709 \h </w:instrText>
            </w:r>
            <w:r w:rsidR="00AD52FC" w:rsidRPr="001126AB">
              <w:rPr>
                <w:noProof/>
                <w:webHidden/>
              </w:rPr>
            </w:r>
            <w:r w:rsidR="00AD52FC" w:rsidRPr="001126AB">
              <w:rPr>
                <w:noProof/>
                <w:webHidden/>
              </w:rPr>
              <w:fldChar w:fldCharType="separate"/>
            </w:r>
            <w:r w:rsidR="001126AB" w:rsidRPr="001126AB">
              <w:rPr>
                <w:noProof/>
                <w:webHidden/>
              </w:rPr>
              <w:t>1</w:t>
            </w:r>
            <w:r w:rsidR="00AD52FC" w:rsidRPr="001126AB">
              <w:rPr>
                <w:noProof/>
                <w:webHidden/>
              </w:rPr>
              <w:fldChar w:fldCharType="end"/>
            </w:r>
          </w:hyperlink>
        </w:p>
        <w:p w:rsidR="00AD52FC" w:rsidRPr="001126AB" w:rsidRDefault="008F207C">
          <w:pPr>
            <w:pStyle w:val="TOC1"/>
            <w:tabs>
              <w:tab w:val="right" w:leader="dot" w:pos="9638"/>
            </w:tabs>
            <w:rPr>
              <w:rFonts w:asciiTheme="minorHAnsi" w:eastAsiaTheme="minorEastAsia" w:hAnsiTheme="minorHAnsi"/>
              <w:noProof/>
              <w:sz w:val="22"/>
              <w:lang w:val="en-US"/>
            </w:rPr>
          </w:pPr>
          <w:hyperlink w:anchor="_Toc57270710" w:history="1">
            <w:r w:rsidR="00AD52FC" w:rsidRPr="001126AB">
              <w:rPr>
                <w:rStyle w:val="Hyperlink"/>
                <w:noProof/>
                <w:lang w:val="fr-CA"/>
              </w:rPr>
              <w:t>Judgments on applications for leave /  Jugements rendus sur les demandes d’autorisation</w:t>
            </w:r>
            <w:r w:rsidR="00AD52FC" w:rsidRPr="001126AB">
              <w:rPr>
                <w:noProof/>
                <w:webHidden/>
              </w:rPr>
              <w:tab/>
            </w:r>
            <w:r w:rsidR="00AD52FC" w:rsidRPr="001126AB">
              <w:rPr>
                <w:noProof/>
                <w:webHidden/>
              </w:rPr>
              <w:fldChar w:fldCharType="begin"/>
            </w:r>
            <w:r w:rsidR="00AD52FC" w:rsidRPr="001126AB">
              <w:rPr>
                <w:noProof/>
                <w:webHidden/>
              </w:rPr>
              <w:instrText xml:space="preserve"> PAGEREF _Toc57270710 \h </w:instrText>
            </w:r>
            <w:r w:rsidR="00AD52FC" w:rsidRPr="001126AB">
              <w:rPr>
                <w:noProof/>
                <w:webHidden/>
              </w:rPr>
            </w:r>
            <w:r w:rsidR="00AD52FC" w:rsidRPr="001126AB">
              <w:rPr>
                <w:noProof/>
                <w:webHidden/>
              </w:rPr>
              <w:fldChar w:fldCharType="separate"/>
            </w:r>
            <w:r w:rsidR="001126AB" w:rsidRPr="001126AB">
              <w:rPr>
                <w:noProof/>
                <w:webHidden/>
              </w:rPr>
              <w:t>3</w:t>
            </w:r>
            <w:r w:rsidR="00AD52FC" w:rsidRPr="001126AB">
              <w:rPr>
                <w:noProof/>
                <w:webHidden/>
              </w:rPr>
              <w:fldChar w:fldCharType="end"/>
            </w:r>
          </w:hyperlink>
        </w:p>
        <w:p w:rsidR="00AD52FC" w:rsidRPr="001126AB" w:rsidRDefault="008F207C">
          <w:pPr>
            <w:pStyle w:val="TOC1"/>
            <w:tabs>
              <w:tab w:val="right" w:leader="dot" w:pos="9638"/>
            </w:tabs>
            <w:rPr>
              <w:rFonts w:asciiTheme="minorHAnsi" w:eastAsiaTheme="minorEastAsia" w:hAnsiTheme="minorHAnsi"/>
              <w:noProof/>
              <w:sz w:val="22"/>
              <w:lang w:val="en-US"/>
            </w:rPr>
          </w:pPr>
          <w:hyperlink w:anchor="_Toc57270711" w:history="1">
            <w:r w:rsidR="00AD52FC" w:rsidRPr="001126AB">
              <w:rPr>
                <w:rStyle w:val="Hyperlink"/>
                <w:noProof/>
                <w:lang w:val="fr-CA"/>
              </w:rPr>
              <w:t>Motions /  Requêtes</w:t>
            </w:r>
            <w:r w:rsidR="00AD52FC" w:rsidRPr="001126AB">
              <w:rPr>
                <w:noProof/>
                <w:webHidden/>
              </w:rPr>
              <w:tab/>
            </w:r>
            <w:r w:rsidR="00AD52FC" w:rsidRPr="001126AB">
              <w:rPr>
                <w:noProof/>
                <w:webHidden/>
              </w:rPr>
              <w:fldChar w:fldCharType="begin"/>
            </w:r>
            <w:r w:rsidR="00AD52FC" w:rsidRPr="001126AB">
              <w:rPr>
                <w:noProof/>
                <w:webHidden/>
              </w:rPr>
              <w:instrText xml:space="preserve"> PAGEREF _Toc57270711 \h </w:instrText>
            </w:r>
            <w:r w:rsidR="00AD52FC" w:rsidRPr="001126AB">
              <w:rPr>
                <w:noProof/>
                <w:webHidden/>
              </w:rPr>
            </w:r>
            <w:r w:rsidR="00AD52FC" w:rsidRPr="001126AB">
              <w:rPr>
                <w:noProof/>
                <w:webHidden/>
              </w:rPr>
              <w:fldChar w:fldCharType="separate"/>
            </w:r>
            <w:r w:rsidR="001126AB" w:rsidRPr="001126AB">
              <w:rPr>
                <w:noProof/>
                <w:webHidden/>
              </w:rPr>
              <w:t>19</w:t>
            </w:r>
            <w:r w:rsidR="00AD52FC" w:rsidRPr="001126AB">
              <w:rPr>
                <w:noProof/>
                <w:webHidden/>
              </w:rPr>
              <w:fldChar w:fldCharType="end"/>
            </w:r>
          </w:hyperlink>
        </w:p>
        <w:p w:rsidR="00AD52FC" w:rsidRPr="001126AB" w:rsidRDefault="008F207C">
          <w:pPr>
            <w:pStyle w:val="TOC1"/>
            <w:tabs>
              <w:tab w:val="right" w:leader="dot" w:pos="9638"/>
            </w:tabs>
            <w:rPr>
              <w:rFonts w:asciiTheme="minorHAnsi" w:eastAsiaTheme="minorEastAsia" w:hAnsiTheme="minorHAnsi"/>
              <w:noProof/>
              <w:sz w:val="22"/>
              <w:lang w:val="en-US"/>
            </w:rPr>
          </w:pPr>
          <w:hyperlink w:anchor="_Toc57270712" w:history="1">
            <w:r w:rsidR="00AD52FC" w:rsidRPr="001126AB">
              <w:rPr>
                <w:rStyle w:val="Hyperlink"/>
                <w:noProof/>
              </w:rPr>
              <w:t xml:space="preserve">Notices of appeal filed since the last issue /  </w:t>
            </w:r>
            <w:r w:rsidR="00AD52FC" w:rsidRPr="001126AB">
              <w:rPr>
                <w:rStyle w:val="Hyperlink"/>
                <w:noProof/>
                <w:lang w:val="fr-CA"/>
              </w:rPr>
              <w:t>Avis d’appel déposés depuis la dernière parution</w:t>
            </w:r>
            <w:r w:rsidR="00AD52FC" w:rsidRPr="001126AB">
              <w:rPr>
                <w:noProof/>
                <w:webHidden/>
              </w:rPr>
              <w:tab/>
            </w:r>
            <w:r w:rsidR="00AD52FC" w:rsidRPr="001126AB">
              <w:rPr>
                <w:noProof/>
                <w:webHidden/>
              </w:rPr>
              <w:fldChar w:fldCharType="begin"/>
            </w:r>
            <w:r w:rsidR="00AD52FC" w:rsidRPr="001126AB">
              <w:rPr>
                <w:noProof/>
                <w:webHidden/>
              </w:rPr>
              <w:instrText xml:space="preserve"> PAGEREF _Toc57270712 \h </w:instrText>
            </w:r>
            <w:r w:rsidR="00AD52FC" w:rsidRPr="001126AB">
              <w:rPr>
                <w:noProof/>
                <w:webHidden/>
              </w:rPr>
            </w:r>
            <w:r w:rsidR="00AD52FC" w:rsidRPr="001126AB">
              <w:rPr>
                <w:noProof/>
                <w:webHidden/>
              </w:rPr>
              <w:fldChar w:fldCharType="separate"/>
            </w:r>
            <w:r w:rsidR="001126AB" w:rsidRPr="001126AB">
              <w:rPr>
                <w:noProof/>
                <w:webHidden/>
              </w:rPr>
              <w:t>21</w:t>
            </w:r>
            <w:r w:rsidR="00AD52FC" w:rsidRPr="001126AB">
              <w:rPr>
                <w:noProof/>
                <w:webHidden/>
              </w:rPr>
              <w:fldChar w:fldCharType="end"/>
            </w:r>
          </w:hyperlink>
        </w:p>
        <w:p w:rsidR="00560DF1" w:rsidRPr="001126AB" w:rsidRDefault="00DC6B2E">
          <w:r w:rsidRPr="001126AB">
            <w:rPr>
              <w:b/>
              <w:bCs/>
              <w:noProof/>
              <w:sz w:val="20"/>
            </w:rPr>
            <w:fldChar w:fldCharType="end"/>
          </w:r>
        </w:p>
      </w:sdtContent>
    </w:sdt>
    <w:p w:rsidR="00560DF1" w:rsidRPr="001126A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126AB" w:rsidTr="00F138C1">
        <w:trPr>
          <w:jc w:val="center"/>
        </w:trPr>
        <w:tc>
          <w:tcPr>
            <w:tcW w:w="9638" w:type="dxa"/>
          </w:tcPr>
          <w:p w:rsidR="00F138C1" w:rsidRPr="001126AB" w:rsidRDefault="00F138C1" w:rsidP="00F138C1">
            <w:pPr>
              <w:keepNext/>
              <w:tabs>
                <w:tab w:val="right" w:pos="9360"/>
              </w:tabs>
              <w:spacing w:after="120"/>
              <w:jc w:val="center"/>
              <w:rPr>
                <w:szCs w:val="24"/>
              </w:rPr>
            </w:pPr>
            <w:r w:rsidRPr="001126AB">
              <w:rPr>
                <w:szCs w:val="24"/>
              </w:rPr>
              <w:t>NOTICE</w:t>
            </w:r>
          </w:p>
          <w:p w:rsidR="00F138C1" w:rsidRPr="001126AB" w:rsidRDefault="00F138C1" w:rsidP="00F138C1">
            <w:pPr>
              <w:keepNext/>
              <w:tabs>
                <w:tab w:val="right" w:pos="9360"/>
              </w:tabs>
              <w:spacing w:after="120"/>
              <w:jc w:val="both"/>
              <w:rPr>
                <w:szCs w:val="24"/>
              </w:rPr>
            </w:pPr>
            <w:r w:rsidRPr="001126AB">
              <w:rPr>
                <w:szCs w:val="24"/>
              </w:rPr>
              <w:t>Case summaries included in the Bulletin are prepared by the Office of the Registrar of the Supreme Court of Canada (Law Branch) for information purposes only.</w:t>
            </w:r>
          </w:p>
          <w:p w:rsidR="00F138C1" w:rsidRPr="001126AB" w:rsidRDefault="00F138C1" w:rsidP="00F138C1">
            <w:pPr>
              <w:keepNext/>
              <w:tabs>
                <w:tab w:val="right" w:pos="9360"/>
              </w:tabs>
              <w:spacing w:after="120"/>
              <w:jc w:val="center"/>
              <w:rPr>
                <w:szCs w:val="24"/>
                <w:lang w:val="fr-CA"/>
              </w:rPr>
            </w:pPr>
            <w:r w:rsidRPr="001126AB">
              <w:rPr>
                <w:szCs w:val="24"/>
                <w:lang w:val="fr-CA"/>
              </w:rPr>
              <w:t>AVIS</w:t>
            </w:r>
          </w:p>
          <w:p w:rsidR="00F138C1" w:rsidRPr="001126AB" w:rsidRDefault="00F138C1" w:rsidP="00F138C1">
            <w:pPr>
              <w:keepNext/>
              <w:tabs>
                <w:tab w:val="right" w:pos="9360"/>
              </w:tabs>
              <w:spacing w:after="120"/>
              <w:jc w:val="both"/>
              <w:rPr>
                <w:sz w:val="20"/>
                <w:szCs w:val="20"/>
                <w:lang w:val="fr-CA"/>
              </w:rPr>
            </w:pPr>
            <w:r w:rsidRPr="001126AB">
              <w:rPr>
                <w:szCs w:val="24"/>
                <w:lang w:val="fr-CA"/>
              </w:rPr>
              <w:t>Les résumés des causes publiés dans le bulletin sont préparés par le Bureau du registraire (Direction générale du droit) uniquement à titre d’information.</w:t>
            </w:r>
          </w:p>
        </w:tc>
      </w:tr>
    </w:tbl>
    <w:p w:rsidR="00F138C1" w:rsidRPr="001126AB" w:rsidRDefault="00F138C1" w:rsidP="00F138C1">
      <w:pPr>
        <w:tabs>
          <w:tab w:val="right" w:pos="9360"/>
        </w:tabs>
        <w:rPr>
          <w:lang w:val="fr-CA"/>
        </w:rPr>
      </w:pPr>
    </w:p>
    <w:p w:rsidR="00F138C1" w:rsidRPr="001126AB" w:rsidRDefault="00F138C1" w:rsidP="00F138C1">
      <w:pPr>
        <w:tabs>
          <w:tab w:val="right" w:pos="9360"/>
        </w:tabs>
        <w:rPr>
          <w:lang w:val="fr-CA"/>
        </w:rPr>
      </w:pPr>
    </w:p>
    <w:p w:rsidR="00C01FCB" w:rsidRPr="001126AB" w:rsidRDefault="00C01FCB" w:rsidP="0095096B">
      <w:pPr>
        <w:tabs>
          <w:tab w:val="right" w:pos="9360"/>
        </w:tabs>
        <w:rPr>
          <w:lang w:val="fr-CA"/>
        </w:rPr>
      </w:pPr>
    </w:p>
    <w:p w:rsidR="00A87207" w:rsidRPr="001126AB" w:rsidRDefault="00A87207" w:rsidP="0095096B">
      <w:pPr>
        <w:tabs>
          <w:tab w:val="right" w:pos="9360"/>
        </w:tabs>
        <w:rPr>
          <w:lang w:val="fr-CA"/>
        </w:rPr>
        <w:sectPr w:rsidR="00A87207" w:rsidRPr="001126AB" w:rsidSect="0044776A">
          <w:pgSz w:w="12240" w:h="15840"/>
          <w:pgMar w:top="720" w:right="1152" w:bottom="1080" w:left="1440" w:header="706" w:footer="706" w:gutter="0"/>
          <w:cols w:space="708"/>
          <w:titlePg/>
          <w:docGrid w:linePitch="360"/>
        </w:sectPr>
      </w:pPr>
    </w:p>
    <w:p w:rsidR="00560DF1" w:rsidRPr="001126AB" w:rsidRDefault="00DD0BDC" w:rsidP="00567602">
      <w:pPr>
        <w:pStyle w:val="Header1StyleE"/>
        <w:pBdr>
          <w:bottom w:val="single" w:sz="12" w:space="1" w:color="auto"/>
        </w:pBdr>
        <w:rPr>
          <w:lang w:val="fr-CA"/>
        </w:rPr>
      </w:pPr>
      <w:bookmarkStart w:id="0" w:name="_Toc57270709"/>
      <w:r w:rsidRPr="001126AB">
        <w:rPr>
          <w:lang w:val="fr-CA"/>
        </w:rPr>
        <w:lastRenderedPageBreak/>
        <w:t>Applications for leave to appeal filed</w:t>
      </w:r>
      <w:r w:rsidR="00271E1E" w:rsidRPr="001126AB">
        <w:rPr>
          <w:lang w:val="fr-CA"/>
        </w:rPr>
        <w:t xml:space="preserve"> / </w:t>
      </w:r>
      <w:r w:rsidR="00727571" w:rsidRPr="001126AB">
        <w:rPr>
          <w:lang w:val="fr-CA"/>
        </w:rPr>
        <w:br/>
      </w:r>
      <w:r w:rsidRPr="001126AB">
        <w:rPr>
          <w:lang w:val="fr-CA"/>
        </w:rPr>
        <w:t>Demandes d’autorisation d’appel déposées</w:t>
      </w:r>
      <w:bookmarkEnd w:id="0"/>
    </w:p>
    <w:p w:rsidR="00F138C1" w:rsidRPr="001126A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126AB" w:rsidTr="00F138C1">
        <w:tc>
          <w:tcPr>
            <w:tcW w:w="4239" w:type="dxa"/>
            <w:shd w:val="clear" w:color="auto" w:fill="auto"/>
          </w:tcPr>
          <w:p w:rsidR="00F138C1" w:rsidRPr="001126AB" w:rsidRDefault="008649B4" w:rsidP="00F138C1">
            <w:pPr>
              <w:rPr>
                <w:sz w:val="20"/>
                <w:szCs w:val="20"/>
                <w:lang w:val="fr-CA"/>
              </w:rPr>
            </w:pPr>
            <w:r w:rsidRPr="001126AB">
              <w:rPr>
                <w:b/>
                <w:sz w:val="20"/>
                <w:szCs w:val="20"/>
                <w:lang w:val="fr-CA"/>
              </w:rPr>
              <w:t>Yowan Guillemette-Lamontagne</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8649B4" w:rsidRPr="001126AB">
              <w:rPr>
                <w:sz w:val="20"/>
                <w:szCs w:val="20"/>
                <w:lang w:val="fr-CA"/>
              </w:rPr>
              <w:t>St-Laurent, Sébastien</w:t>
            </w:r>
          </w:p>
          <w:p w:rsidR="003D0507" w:rsidRPr="001126AB" w:rsidRDefault="003D0507" w:rsidP="00F138C1">
            <w:pPr>
              <w:tabs>
                <w:tab w:val="left" w:pos="-1440"/>
                <w:tab w:val="left" w:pos="-720"/>
              </w:tabs>
              <w:rPr>
                <w:sz w:val="20"/>
                <w:szCs w:val="20"/>
                <w:lang w:val="fr-CA"/>
              </w:rPr>
            </w:pP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8649B4" w:rsidRPr="001126AB">
              <w:rPr>
                <w:sz w:val="20"/>
                <w:szCs w:val="20"/>
                <w:lang w:val="fr-CA"/>
              </w:rPr>
              <w:t>c.</w:t>
            </w:r>
            <w:r w:rsidRPr="001126AB">
              <w:rPr>
                <w:sz w:val="20"/>
                <w:szCs w:val="20"/>
                <w:lang w:val="fr-CA"/>
              </w:rPr>
              <w:t xml:space="preserve"> (39</w:t>
            </w:r>
            <w:r w:rsidR="008649B4" w:rsidRPr="001126AB">
              <w:rPr>
                <w:sz w:val="20"/>
                <w:szCs w:val="20"/>
                <w:lang w:val="fr-CA"/>
              </w:rPr>
              <w:t>378</w:t>
            </w:r>
            <w:r w:rsidRPr="001126AB">
              <w:rPr>
                <w:sz w:val="20"/>
                <w:szCs w:val="20"/>
                <w:lang w:val="fr-CA"/>
              </w:rPr>
              <w:t>)</w:t>
            </w:r>
          </w:p>
          <w:p w:rsidR="00F138C1" w:rsidRPr="001126AB" w:rsidRDefault="00F138C1" w:rsidP="00F138C1">
            <w:pPr>
              <w:tabs>
                <w:tab w:val="left" w:pos="-1440"/>
                <w:tab w:val="left" w:pos="-720"/>
              </w:tabs>
              <w:rPr>
                <w:sz w:val="20"/>
                <w:szCs w:val="20"/>
                <w:lang w:val="fr-CA"/>
              </w:rPr>
            </w:pPr>
          </w:p>
          <w:p w:rsidR="00F138C1" w:rsidRPr="001126AB" w:rsidRDefault="008649B4" w:rsidP="00F138C1">
            <w:pPr>
              <w:tabs>
                <w:tab w:val="left" w:pos="-1440"/>
                <w:tab w:val="left" w:pos="-720"/>
              </w:tabs>
              <w:rPr>
                <w:b/>
                <w:sz w:val="20"/>
                <w:szCs w:val="20"/>
                <w:lang w:val="fr-CA"/>
              </w:rPr>
            </w:pPr>
            <w:r w:rsidRPr="001126AB">
              <w:rPr>
                <w:b/>
                <w:sz w:val="20"/>
                <w:szCs w:val="20"/>
                <w:lang w:val="fr-CA"/>
              </w:rPr>
              <w:t>Sa Majesté la Reine</w:t>
            </w:r>
            <w:r w:rsidR="00F138C1" w:rsidRPr="001126AB">
              <w:rPr>
                <w:b/>
                <w:sz w:val="20"/>
                <w:szCs w:val="20"/>
                <w:lang w:val="fr-CA"/>
              </w:rPr>
              <w:t xml:space="preserve"> (</w:t>
            </w:r>
            <w:r w:rsidRPr="001126AB">
              <w:rPr>
                <w:b/>
                <w:sz w:val="20"/>
                <w:szCs w:val="20"/>
                <w:lang w:val="fr-CA"/>
              </w:rPr>
              <w:t>Qc</w:t>
            </w:r>
            <w:r w:rsidR="00F138C1" w:rsidRPr="001126AB">
              <w:rPr>
                <w:b/>
                <w:sz w:val="20"/>
                <w:szCs w:val="20"/>
                <w:lang w:val="fr-CA"/>
              </w:rPr>
              <w:t>)</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8649B4" w:rsidRPr="001126AB">
              <w:rPr>
                <w:sz w:val="20"/>
                <w:szCs w:val="20"/>
                <w:lang w:val="fr-CA"/>
              </w:rPr>
              <w:t>Doyon-Gascon, François</w:t>
            </w:r>
          </w:p>
          <w:p w:rsidR="008649B4" w:rsidRPr="001126AB" w:rsidRDefault="00F138C1" w:rsidP="00F138C1">
            <w:pPr>
              <w:tabs>
                <w:tab w:val="left" w:pos="-1440"/>
                <w:tab w:val="left" w:pos="-720"/>
              </w:tabs>
              <w:rPr>
                <w:sz w:val="20"/>
                <w:szCs w:val="20"/>
                <w:lang w:val="fr-CA"/>
              </w:rPr>
            </w:pPr>
            <w:r w:rsidRPr="001126AB">
              <w:rPr>
                <w:sz w:val="20"/>
                <w:szCs w:val="20"/>
                <w:lang w:val="fr-CA"/>
              </w:rPr>
              <w:tab/>
            </w:r>
            <w:r w:rsidR="008649B4" w:rsidRPr="001126AB">
              <w:rPr>
                <w:sz w:val="20"/>
                <w:szCs w:val="20"/>
                <w:lang w:val="fr-CA"/>
              </w:rPr>
              <w:t xml:space="preserve">Directeur des poursuites criminelles et </w:t>
            </w:r>
          </w:p>
          <w:p w:rsidR="00F138C1" w:rsidRPr="001126AB" w:rsidRDefault="008649B4" w:rsidP="00F138C1">
            <w:pPr>
              <w:tabs>
                <w:tab w:val="left" w:pos="-1440"/>
                <w:tab w:val="left" w:pos="-720"/>
              </w:tabs>
              <w:rPr>
                <w:sz w:val="20"/>
                <w:szCs w:val="20"/>
                <w:lang w:val="fr-CA"/>
              </w:rPr>
            </w:pPr>
            <w:r w:rsidRPr="001126AB">
              <w:rPr>
                <w:sz w:val="20"/>
                <w:szCs w:val="20"/>
                <w:lang w:val="fr-CA"/>
              </w:rPr>
              <w:tab/>
              <w:t>pénales du Québec</w:t>
            </w:r>
          </w:p>
          <w:p w:rsidR="00F138C1" w:rsidRPr="001126AB" w:rsidRDefault="00F138C1" w:rsidP="00F138C1">
            <w:pPr>
              <w:tabs>
                <w:tab w:val="left" w:pos="-1440"/>
                <w:tab w:val="left" w:pos="-720"/>
              </w:tabs>
              <w:rPr>
                <w:sz w:val="20"/>
                <w:szCs w:val="20"/>
                <w:lang w:val="fr-CA"/>
              </w:rPr>
            </w:pPr>
          </w:p>
          <w:p w:rsidR="00F138C1" w:rsidRPr="001126AB" w:rsidRDefault="00F138C1" w:rsidP="00F138C1">
            <w:pPr>
              <w:rPr>
                <w:sz w:val="20"/>
                <w:szCs w:val="20"/>
                <w:lang w:val="fr-CA"/>
              </w:rPr>
            </w:pPr>
            <w:r w:rsidRPr="001126AB">
              <w:rPr>
                <w:sz w:val="20"/>
                <w:szCs w:val="20"/>
                <w:lang w:val="fr-CA"/>
              </w:rPr>
              <w:t>DATE</w:t>
            </w:r>
            <w:r w:rsidR="008649B4" w:rsidRPr="001126AB">
              <w:rPr>
                <w:sz w:val="20"/>
                <w:szCs w:val="20"/>
                <w:lang w:val="fr-CA"/>
              </w:rPr>
              <w:t xml:space="preserve"> DE PRODUCTION</w:t>
            </w:r>
            <w:r w:rsidRPr="001126AB">
              <w:rPr>
                <w:sz w:val="20"/>
                <w:szCs w:val="20"/>
                <w:lang w:val="fr-CA"/>
              </w:rPr>
              <w:t xml:space="preserve">: </w:t>
            </w:r>
            <w:r w:rsidR="008649B4" w:rsidRPr="001126AB">
              <w:rPr>
                <w:sz w:val="20"/>
                <w:szCs w:val="20"/>
                <w:lang w:val="fr-CA"/>
              </w:rPr>
              <w:t>le 18 novembre</w:t>
            </w:r>
            <w:r w:rsidRPr="001126AB">
              <w:rPr>
                <w:sz w:val="20"/>
                <w:szCs w:val="20"/>
                <w:lang w:val="fr-CA"/>
              </w:rPr>
              <w:t xml:space="preserve"> 20</w:t>
            </w:r>
            <w:r w:rsidR="00DA1D48" w:rsidRPr="001126AB">
              <w:rPr>
                <w:sz w:val="20"/>
                <w:szCs w:val="20"/>
                <w:lang w:val="fr-CA"/>
              </w:rPr>
              <w:t>20</w:t>
            </w:r>
          </w:p>
          <w:p w:rsidR="004B2E86" w:rsidRPr="001126AB" w:rsidRDefault="004B2E86" w:rsidP="00F138C1">
            <w:pPr>
              <w:rPr>
                <w:sz w:val="20"/>
                <w:szCs w:val="20"/>
                <w:lang w:val="fr-CA"/>
              </w:rPr>
            </w:pPr>
          </w:p>
          <w:p w:rsidR="00F138C1" w:rsidRPr="001126AB" w:rsidRDefault="008F207C" w:rsidP="00F138C1">
            <w:pPr>
              <w:rPr>
                <w:sz w:val="20"/>
                <w:szCs w:val="20"/>
              </w:rPr>
            </w:pPr>
            <w:r w:rsidRPr="001126A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F138C1" w:rsidRPr="001126AB" w:rsidRDefault="00F138C1" w:rsidP="00F138C1">
            <w:pPr>
              <w:jc w:val="center"/>
              <w:rPr>
                <w:sz w:val="20"/>
                <w:szCs w:val="20"/>
              </w:rPr>
            </w:pPr>
          </w:p>
          <w:p w:rsidR="004B2E86" w:rsidRPr="001126AB" w:rsidRDefault="004B2E86" w:rsidP="00F138C1">
            <w:pPr>
              <w:jc w:val="center"/>
              <w:rPr>
                <w:sz w:val="20"/>
                <w:szCs w:val="20"/>
              </w:rPr>
            </w:pPr>
          </w:p>
          <w:p w:rsidR="00F138C1" w:rsidRPr="001126AB" w:rsidRDefault="00F138C1" w:rsidP="00F138C1">
            <w:pPr>
              <w:jc w:val="center"/>
              <w:rPr>
                <w:sz w:val="20"/>
                <w:szCs w:val="20"/>
              </w:rPr>
            </w:pPr>
          </w:p>
        </w:tc>
        <w:tc>
          <w:tcPr>
            <w:tcW w:w="4239" w:type="dxa"/>
            <w:shd w:val="clear" w:color="auto" w:fill="auto"/>
          </w:tcPr>
          <w:p w:rsidR="00F138C1" w:rsidRPr="001126AB" w:rsidRDefault="00211666" w:rsidP="00F138C1">
            <w:pPr>
              <w:rPr>
                <w:b/>
                <w:sz w:val="20"/>
                <w:szCs w:val="20"/>
                <w:lang w:val="fr-CA"/>
              </w:rPr>
            </w:pPr>
            <w:r w:rsidRPr="001126AB">
              <w:rPr>
                <w:b/>
                <w:sz w:val="20"/>
                <w:szCs w:val="20"/>
                <w:lang w:val="fr-CA"/>
              </w:rPr>
              <w:t>L'Honorable Michel Girouard</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211666" w:rsidRPr="001126AB">
              <w:rPr>
                <w:sz w:val="20"/>
                <w:szCs w:val="20"/>
                <w:lang w:val="fr-CA"/>
              </w:rPr>
              <w:t>Potter, Ad. E., Simon V.</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211666" w:rsidRPr="001126AB">
              <w:rPr>
                <w:sz w:val="20"/>
                <w:szCs w:val="20"/>
                <w:lang w:val="fr-CA"/>
              </w:rPr>
              <w:t>Consultation Simon Potter inc.</w:t>
            </w:r>
          </w:p>
          <w:p w:rsidR="00F138C1" w:rsidRPr="001126AB" w:rsidRDefault="00F138C1" w:rsidP="00F138C1">
            <w:pPr>
              <w:tabs>
                <w:tab w:val="left" w:pos="-1440"/>
                <w:tab w:val="left" w:pos="-720"/>
              </w:tabs>
              <w:rPr>
                <w:sz w:val="20"/>
                <w:szCs w:val="20"/>
                <w:lang w:val="fr-CA"/>
              </w:rPr>
            </w:pPr>
          </w:p>
          <w:p w:rsidR="00F138C1" w:rsidRPr="001126AB" w:rsidRDefault="00F138C1" w:rsidP="00F138C1">
            <w:pPr>
              <w:tabs>
                <w:tab w:val="left" w:pos="-1440"/>
                <w:tab w:val="left" w:pos="-720"/>
              </w:tabs>
              <w:rPr>
                <w:sz w:val="20"/>
                <w:szCs w:val="20"/>
                <w:lang w:val="fr-CA"/>
              </w:rPr>
            </w:pPr>
            <w:r w:rsidRPr="001126AB">
              <w:rPr>
                <w:sz w:val="20"/>
                <w:szCs w:val="20"/>
                <w:lang w:val="fr-CA"/>
              </w:rPr>
              <w:tab/>
              <w:t>c. (39</w:t>
            </w:r>
            <w:r w:rsidR="008649B4" w:rsidRPr="001126AB">
              <w:rPr>
                <w:sz w:val="20"/>
                <w:szCs w:val="20"/>
                <w:lang w:val="fr-CA"/>
              </w:rPr>
              <w:t>379</w:t>
            </w:r>
            <w:r w:rsidRPr="001126AB">
              <w:rPr>
                <w:sz w:val="20"/>
                <w:szCs w:val="20"/>
                <w:lang w:val="fr-CA"/>
              </w:rPr>
              <w:t>)</w:t>
            </w:r>
          </w:p>
          <w:p w:rsidR="00F138C1" w:rsidRPr="001126AB" w:rsidRDefault="00F138C1" w:rsidP="00F138C1">
            <w:pPr>
              <w:tabs>
                <w:tab w:val="left" w:pos="-1440"/>
                <w:tab w:val="left" w:pos="-720"/>
              </w:tabs>
              <w:rPr>
                <w:sz w:val="20"/>
                <w:szCs w:val="20"/>
                <w:lang w:val="fr-CA"/>
              </w:rPr>
            </w:pPr>
          </w:p>
          <w:p w:rsidR="00F138C1" w:rsidRPr="001126AB" w:rsidRDefault="00211666" w:rsidP="00F138C1">
            <w:pPr>
              <w:tabs>
                <w:tab w:val="left" w:pos="-1440"/>
                <w:tab w:val="left" w:pos="-720"/>
              </w:tabs>
              <w:rPr>
                <w:b/>
                <w:sz w:val="20"/>
                <w:szCs w:val="20"/>
                <w:lang w:val="fr-CA"/>
              </w:rPr>
            </w:pPr>
            <w:r w:rsidRPr="001126AB">
              <w:rPr>
                <w:b/>
                <w:sz w:val="20"/>
                <w:szCs w:val="20"/>
                <w:lang w:val="fr-CA"/>
              </w:rPr>
              <w:t>Procureur général du Canada</w:t>
            </w:r>
            <w:r w:rsidR="00F138C1" w:rsidRPr="001126AB">
              <w:rPr>
                <w:sz w:val="20"/>
                <w:szCs w:val="20"/>
                <w:lang w:val="fr-CA"/>
              </w:rPr>
              <w:t xml:space="preserve"> </w:t>
            </w:r>
            <w:r w:rsidR="00F138C1" w:rsidRPr="001126AB">
              <w:rPr>
                <w:b/>
                <w:sz w:val="20"/>
                <w:szCs w:val="20"/>
                <w:lang w:val="fr-CA"/>
              </w:rPr>
              <w:t>(</w:t>
            </w:r>
            <w:r w:rsidRPr="001126AB">
              <w:rPr>
                <w:b/>
                <w:sz w:val="20"/>
                <w:szCs w:val="20"/>
                <w:lang w:val="fr-CA"/>
              </w:rPr>
              <w:t>C.F.</w:t>
            </w:r>
            <w:r w:rsidR="00F138C1" w:rsidRPr="001126AB">
              <w:rPr>
                <w:b/>
                <w:sz w:val="20"/>
                <w:szCs w:val="20"/>
                <w:lang w:val="fr-CA"/>
              </w:rPr>
              <w:t>)</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211666" w:rsidRPr="001126AB">
              <w:rPr>
                <w:sz w:val="20"/>
                <w:szCs w:val="20"/>
                <w:lang w:val="fr-CA"/>
              </w:rPr>
              <w:t xml:space="preserve">Joyal, </w:t>
            </w:r>
            <w:proofErr w:type="gramStart"/>
            <w:r w:rsidR="00211666" w:rsidRPr="001126AB">
              <w:rPr>
                <w:sz w:val="20"/>
                <w:szCs w:val="20"/>
                <w:lang w:val="fr-CA"/>
              </w:rPr>
              <w:t>c.r.,</w:t>
            </w:r>
            <w:proofErr w:type="gramEnd"/>
            <w:r w:rsidR="00211666" w:rsidRPr="001126AB">
              <w:rPr>
                <w:sz w:val="20"/>
                <w:szCs w:val="20"/>
                <w:lang w:val="fr-CA"/>
              </w:rPr>
              <w:t xml:space="preserve"> Claude</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211666" w:rsidRPr="001126AB">
              <w:rPr>
                <w:sz w:val="20"/>
                <w:szCs w:val="20"/>
                <w:lang w:val="fr-CA"/>
              </w:rPr>
              <w:t>Procureur général du Canada</w:t>
            </w:r>
          </w:p>
          <w:p w:rsidR="00F138C1" w:rsidRPr="001126AB" w:rsidRDefault="00F138C1" w:rsidP="00F138C1">
            <w:pPr>
              <w:tabs>
                <w:tab w:val="left" w:pos="-1440"/>
                <w:tab w:val="left" w:pos="-720"/>
              </w:tabs>
              <w:rPr>
                <w:sz w:val="20"/>
                <w:szCs w:val="20"/>
                <w:lang w:val="fr-CA"/>
              </w:rPr>
            </w:pPr>
          </w:p>
          <w:p w:rsidR="00F138C1" w:rsidRPr="001126AB" w:rsidRDefault="00F138C1" w:rsidP="00F138C1">
            <w:pPr>
              <w:rPr>
                <w:sz w:val="20"/>
                <w:szCs w:val="20"/>
                <w:lang w:val="fr-CA"/>
              </w:rPr>
            </w:pPr>
            <w:r w:rsidRPr="001126AB">
              <w:rPr>
                <w:sz w:val="20"/>
                <w:szCs w:val="20"/>
                <w:lang w:val="fr-CA"/>
              </w:rPr>
              <w:t xml:space="preserve">DATE DE PRODUCTION: </w:t>
            </w:r>
            <w:r w:rsidR="008649B4" w:rsidRPr="001126AB">
              <w:rPr>
                <w:sz w:val="20"/>
                <w:szCs w:val="20"/>
                <w:lang w:val="fr-CA"/>
              </w:rPr>
              <w:t>le 18 novembre 2020</w:t>
            </w:r>
          </w:p>
          <w:p w:rsidR="004B2E86" w:rsidRPr="001126AB" w:rsidRDefault="004B2E86" w:rsidP="00F138C1">
            <w:pPr>
              <w:rPr>
                <w:sz w:val="20"/>
                <w:szCs w:val="20"/>
                <w:lang w:val="fr-CA"/>
              </w:rPr>
            </w:pPr>
          </w:p>
          <w:p w:rsidR="00F138C1" w:rsidRPr="001126AB" w:rsidRDefault="008F207C" w:rsidP="00F138C1">
            <w:pPr>
              <w:rPr>
                <w:sz w:val="20"/>
                <w:szCs w:val="20"/>
                <w:lang w:val="fr-CA"/>
              </w:rPr>
            </w:pPr>
            <w:r w:rsidRPr="001126AB">
              <w:rPr>
                <w:sz w:val="20"/>
                <w:szCs w:val="20"/>
                <w:lang w:val="fr-CA"/>
              </w:rPr>
              <w:pict>
                <v:rect id="_x0000_i1026" style="width:108pt;height:1pt" o:hrpct="0" o:hrstd="t" o:hrnoshade="t" o:hr="t" fillcolor="black [3213]" stroked="f"/>
              </w:pict>
            </w:r>
          </w:p>
        </w:tc>
      </w:tr>
      <w:tr w:rsidR="00F138C1" w:rsidRPr="001126AB" w:rsidTr="00F138C1">
        <w:tc>
          <w:tcPr>
            <w:tcW w:w="4239" w:type="dxa"/>
            <w:shd w:val="clear" w:color="auto" w:fill="auto"/>
          </w:tcPr>
          <w:p w:rsidR="00F138C1" w:rsidRPr="001126AB" w:rsidRDefault="008B2AAC" w:rsidP="00515A68">
            <w:pPr>
              <w:tabs>
                <w:tab w:val="left" w:pos="-1440"/>
                <w:tab w:val="left" w:pos="-720"/>
              </w:tabs>
              <w:rPr>
                <w:b/>
                <w:sz w:val="20"/>
                <w:szCs w:val="20"/>
                <w:lang w:val="en-US"/>
              </w:rPr>
            </w:pPr>
            <w:r w:rsidRPr="001126AB">
              <w:rPr>
                <w:b/>
                <w:sz w:val="20"/>
                <w:szCs w:val="20"/>
                <w:lang w:val="en-US"/>
              </w:rPr>
              <w:t>RTO Asset Management</w:t>
            </w:r>
          </w:p>
          <w:p w:rsidR="00F138C1" w:rsidRPr="001126AB" w:rsidRDefault="00F138C1" w:rsidP="00F138C1">
            <w:pPr>
              <w:keepNext/>
              <w:keepLines/>
              <w:tabs>
                <w:tab w:val="left" w:pos="-1440"/>
                <w:tab w:val="left" w:pos="-720"/>
              </w:tabs>
              <w:rPr>
                <w:sz w:val="20"/>
                <w:szCs w:val="20"/>
                <w:lang w:val="en-US"/>
              </w:rPr>
            </w:pPr>
            <w:r w:rsidRPr="001126AB">
              <w:rPr>
                <w:sz w:val="20"/>
                <w:szCs w:val="20"/>
                <w:lang w:val="en-US"/>
              </w:rPr>
              <w:tab/>
            </w:r>
            <w:r w:rsidR="008B2AAC" w:rsidRPr="001126AB">
              <w:rPr>
                <w:sz w:val="20"/>
                <w:szCs w:val="20"/>
                <w:lang w:val="en-US"/>
              </w:rPr>
              <w:t>Bungay, Jessica</w:t>
            </w:r>
          </w:p>
          <w:p w:rsidR="00F138C1" w:rsidRPr="001126AB" w:rsidRDefault="00F138C1" w:rsidP="00F138C1">
            <w:pPr>
              <w:keepNext/>
              <w:keepLines/>
              <w:tabs>
                <w:tab w:val="left" w:pos="-1440"/>
                <w:tab w:val="left" w:pos="-720"/>
              </w:tabs>
              <w:rPr>
                <w:sz w:val="20"/>
                <w:szCs w:val="20"/>
                <w:lang w:val="en-US"/>
              </w:rPr>
            </w:pPr>
            <w:r w:rsidRPr="001126AB">
              <w:rPr>
                <w:sz w:val="20"/>
                <w:szCs w:val="20"/>
                <w:lang w:val="en-US"/>
              </w:rPr>
              <w:tab/>
            </w:r>
            <w:r w:rsidR="008B2AAC" w:rsidRPr="001126AB">
              <w:rPr>
                <w:sz w:val="20"/>
                <w:szCs w:val="20"/>
                <w:lang w:val="en-US"/>
              </w:rPr>
              <w:t>Cox &amp; Palmer</w:t>
            </w:r>
          </w:p>
          <w:p w:rsidR="00F138C1" w:rsidRPr="001126AB" w:rsidRDefault="00F138C1" w:rsidP="00F138C1">
            <w:pPr>
              <w:keepNext/>
              <w:keepLines/>
              <w:tabs>
                <w:tab w:val="left" w:pos="-1440"/>
                <w:tab w:val="left" w:pos="-720"/>
              </w:tabs>
              <w:rPr>
                <w:sz w:val="20"/>
                <w:szCs w:val="20"/>
                <w:lang w:val="en-US"/>
              </w:rPr>
            </w:pPr>
          </w:p>
          <w:p w:rsidR="00F138C1" w:rsidRPr="001126AB" w:rsidRDefault="008B2AAC" w:rsidP="00F138C1">
            <w:pPr>
              <w:keepNext/>
              <w:keepLines/>
              <w:tabs>
                <w:tab w:val="left" w:pos="-1440"/>
                <w:tab w:val="left" w:pos="-720"/>
              </w:tabs>
              <w:rPr>
                <w:sz w:val="20"/>
                <w:szCs w:val="20"/>
                <w:lang w:val="en-US"/>
              </w:rPr>
            </w:pPr>
            <w:r w:rsidRPr="001126AB">
              <w:rPr>
                <w:sz w:val="20"/>
                <w:szCs w:val="20"/>
                <w:lang w:val="en-US"/>
              </w:rPr>
              <w:tab/>
              <w:t>v. (3</w:t>
            </w:r>
            <w:r w:rsidR="00F138C1" w:rsidRPr="001126AB">
              <w:rPr>
                <w:sz w:val="20"/>
                <w:szCs w:val="20"/>
                <w:lang w:val="en-US"/>
              </w:rPr>
              <w:t>9</w:t>
            </w:r>
            <w:r w:rsidRPr="001126AB">
              <w:rPr>
                <w:sz w:val="20"/>
                <w:szCs w:val="20"/>
                <w:lang w:val="en-US"/>
              </w:rPr>
              <w:t>380</w:t>
            </w:r>
            <w:r w:rsidR="00F138C1" w:rsidRPr="001126AB">
              <w:rPr>
                <w:sz w:val="20"/>
                <w:szCs w:val="20"/>
                <w:lang w:val="en-US"/>
              </w:rPr>
              <w:t>)</w:t>
            </w:r>
          </w:p>
          <w:p w:rsidR="00F138C1" w:rsidRPr="001126AB" w:rsidRDefault="00F138C1" w:rsidP="00F138C1">
            <w:pPr>
              <w:keepNext/>
              <w:keepLines/>
              <w:tabs>
                <w:tab w:val="left" w:pos="-1440"/>
                <w:tab w:val="left" w:pos="-720"/>
              </w:tabs>
              <w:rPr>
                <w:sz w:val="20"/>
                <w:szCs w:val="20"/>
                <w:lang w:val="en-US"/>
              </w:rPr>
            </w:pPr>
          </w:p>
          <w:p w:rsidR="00F138C1" w:rsidRPr="001126AB" w:rsidRDefault="008B2AAC" w:rsidP="00F138C1">
            <w:pPr>
              <w:keepNext/>
              <w:keepLines/>
              <w:tabs>
                <w:tab w:val="left" w:pos="-1440"/>
                <w:tab w:val="left" w:pos="-720"/>
              </w:tabs>
              <w:rPr>
                <w:b/>
                <w:sz w:val="20"/>
                <w:szCs w:val="20"/>
                <w:lang w:val="en-US"/>
              </w:rPr>
            </w:pPr>
            <w:r w:rsidRPr="001126AB">
              <w:rPr>
                <w:b/>
                <w:sz w:val="20"/>
                <w:szCs w:val="20"/>
                <w:lang w:val="en-US"/>
              </w:rPr>
              <w:t>James Abrams</w:t>
            </w:r>
            <w:r w:rsidR="00F138C1" w:rsidRPr="001126AB">
              <w:rPr>
                <w:b/>
                <w:sz w:val="20"/>
                <w:szCs w:val="20"/>
                <w:lang w:val="en-US"/>
              </w:rPr>
              <w:t xml:space="preserve"> (</w:t>
            </w:r>
            <w:r w:rsidRPr="001126AB">
              <w:rPr>
                <w:b/>
                <w:sz w:val="20"/>
                <w:szCs w:val="20"/>
                <w:lang w:val="en-US"/>
              </w:rPr>
              <w:t>N</w:t>
            </w:r>
            <w:r w:rsidR="00F138C1" w:rsidRPr="001126AB">
              <w:rPr>
                <w:b/>
                <w:sz w:val="20"/>
                <w:szCs w:val="20"/>
                <w:lang w:val="en-US"/>
              </w:rPr>
              <w:t>.</w:t>
            </w:r>
            <w:r w:rsidRPr="001126AB">
              <w:rPr>
                <w:b/>
                <w:sz w:val="20"/>
                <w:szCs w:val="20"/>
                <w:lang w:val="en-US"/>
              </w:rPr>
              <w:t>B</w:t>
            </w:r>
            <w:r w:rsidR="00F138C1" w:rsidRPr="001126AB">
              <w:rPr>
                <w:b/>
                <w:sz w:val="20"/>
                <w:szCs w:val="20"/>
                <w:lang w:val="en-US"/>
              </w:rPr>
              <w:t>.)</w:t>
            </w:r>
          </w:p>
          <w:p w:rsidR="00F138C1" w:rsidRPr="001126AB" w:rsidRDefault="00F138C1" w:rsidP="00F138C1">
            <w:pPr>
              <w:keepNext/>
              <w:keepLines/>
              <w:tabs>
                <w:tab w:val="left" w:pos="-1440"/>
                <w:tab w:val="left" w:pos="-720"/>
              </w:tabs>
              <w:rPr>
                <w:sz w:val="20"/>
                <w:szCs w:val="20"/>
                <w:lang w:val="en-US"/>
              </w:rPr>
            </w:pPr>
            <w:r w:rsidRPr="001126AB">
              <w:rPr>
                <w:sz w:val="20"/>
                <w:szCs w:val="20"/>
                <w:lang w:val="en-US"/>
              </w:rPr>
              <w:tab/>
            </w:r>
            <w:r w:rsidR="008B2AAC" w:rsidRPr="001126AB">
              <w:rPr>
                <w:sz w:val="20"/>
                <w:szCs w:val="20"/>
                <w:lang w:val="en-US"/>
              </w:rPr>
              <w:t>Leger, Daniel P.L.</w:t>
            </w:r>
          </w:p>
          <w:p w:rsidR="00F138C1" w:rsidRPr="001126AB" w:rsidRDefault="00F138C1" w:rsidP="00F138C1">
            <w:pPr>
              <w:keepNext/>
              <w:keepLines/>
              <w:tabs>
                <w:tab w:val="left" w:pos="-1440"/>
                <w:tab w:val="left" w:pos="-720"/>
              </w:tabs>
              <w:rPr>
                <w:sz w:val="20"/>
                <w:szCs w:val="20"/>
                <w:lang w:val="en-US"/>
              </w:rPr>
            </w:pPr>
            <w:r w:rsidRPr="001126AB">
              <w:rPr>
                <w:sz w:val="20"/>
                <w:szCs w:val="20"/>
                <w:lang w:val="en-US"/>
              </w:rPr>
              <w:tab/>
            </w:r>
            <w:r w:rsidR="008B2AAC" w:rsidRPr="001126AB">
              <w:rPr>
                <w:sz w:val="20"/>
                <w:szCs w:val="20"/>
                <w:lang w:val="en-US"/>
              </w:rPr>
              <w:t>Pink, Larkin</w:t>
            </w:r>
          </w:p>
          <w:p w:rsidR="00F138C1" w:rsidRPr="001126AB" w:rsidRDefault="00F138C1" w:rsidP="00F138C1">
            <w:pPr>
              <w:keepNext/>
              <w:keepLines/>
              <w:tabs>
                <w:tab w:val="left" w:pos="-1440"/>
                <w:tab w:val="left" w:pos="-720"/>
              </w:tabs>
              <w:rPr>
                <w:sz w:val="20"/>
                <w:szCs w:val="20"/>
                <w:lang w:val="en-US"/>
              </w:rPr>
            </w:pPr>
          </w:p>
          <w:p w:rsidR="004B2E86" w:rsidRPr="001126AB" w:rsidRDefault="00F138C1" w:rsidP="00F138C1">
            <w:pPr>
              <w:rPr>
                <w:sz w:val="20"/>
                <w:szCs w:val="20"/>
                <w:lang w:val="en-US"/>
              </w:rPr>
            </w:pPr>
            <w:r w:rsidRPr="001126AB">
              <w:rPr>
                <w:sz w:val="20"/>
                <w:szCs w:val="20"/>
                <w:lang w:val="en-US"/>
              </w:rPr>
              <w:t xml:space="preserve">FILING DATE: </w:t>
            </w:r>
            <w:r w:rsidR="008B2AAC" w:rsidRPr="001126AB">
              <w:rPr>
                <w:sz w:val="20"/>
                <w:szCs w:val="20"/>
                <w:lang w:val="en-US"/>
              </w:rPr>
              <w:t>November</w:t>
            </w:r>
            <w:r w:rsidRPr="001126AB">
              <w:rPr>
                <w:sz w:val="20"/>
                <w:szCs w:val="20"/>
                <w:lang w:val="en-US"/>
              </w:rPr>
              <w:t xml:space="preserve"> </w:t>
            </w:r>
            <w:r w:rsidR="008B2AAC" w:rsidRPr="001126AB">
              <w:rPr>
                <w:sz w:val="20"/>
                <w:szCs w:val="20"/>
                <w:lang w:val="en-US"/>
              </w:rPr>
              <w:t>19</w:t>
            </w:r>
            <w:r w:rsidRPr="001126AB">
              <w:rPr>
                <w:sz w:val="20"/>
                <w:szCs w:val="20"/>
                <w:lang w:val="en-US"/>
              </w:rPr>
              <w:t>, 20</w:t>
            </w:r>
            <w:r w:rsidR="00DA1D48" w:rsidRPr="001126AB">
              <w:rPr>
                <w:sz w:val="20"/>
                <w:szCs w:val="20"/>
                <w:lang w:val="en-US"/>
              </w:rPr>
              <w:t>20</w:t>
            </w:r>
          </w:p>
          <w:p w:rsidR="004B2E86" w:rsidRPr="001126AB" w:rsidRDefault="004B2E86" w:rsidP="00F138C1">
            <w:pPr>
              <w:rPr>
                <w:sz w:val="20"/>
                <w:szCs w:val="20"/>
                <w:lang w:val="en-US"/>
              </w:rPr>
            </w:pPr>
          </w:p>
          <w:p w:rsidR="00F138C1" w:rsidRPr="001126AB" w:rsidRDefault="008F207C" w:rsidP="00F138C1">
            <w:pPr>
              <w:rPr>
                <w:sz w:val="20"/>
                <w:szCs w:val="20"/>
                <w:lang w:val="en-US"/>
              </w:rPr>
            </w:pPr>
            <w:r w:rsidRPr="001126A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F138C1" w:rsidRPr="001126AB" w:rsidRDefault="00F138C1" w:rsidP="00F138C1">
            <w:pPr>
              <w:jc w:val="center"/>
              <w:rPr>
                <w:sz w:val="20"/>
                <w:szCs w:val="20"/>
                <w:lang w:val="en-US"/>
              </w:rPr>
            </w:pPr>
          </w:p>
          <w:p w:rsidR="009C4277" w:rsidRPr="001126AB" w:rsidRDefault="009C4277" w:rsidP="00F138C1">
            <w:pPr>
              <w:jc w:val="center"/>
              <w:rPr>
                <w:sz w:val="20"/>
                <w:szCs w:val="20"/>
                <w:lang w:val="en-US"/>
              </w:rPr>
            </w:pPr>
          </w:p>
          <w:p w:rsidR="004B2E86" w:rsidRPr="001126AB" w:rsidRDefault="004B2E86" w:rsidP="00F138C1">
            <w:pPr>
              <w:jc w:val="center"/>
              <w:rPr>
                <w:sz w:val="20"/>
                <w:szCs w:val="20"/>
                <w:lang w:val="en-US"/>
              </w:rPr>
            </w:pPr>
          </w:p>
        </w:tc>
        <w:tc>
          <w:tcPr>
            <w:tcW w:w="4239" w:type="dxa"/>
            <w:shd w:val="clear" w:color="auto" w:fill="auto"/>
          </w:tcPr>
          <w:p w:rsidR="00F138C1" w:rsidRPr="001126AB" w:rsidRDefault="009C4277" w:rsidP="00F138C1">
            <w:pPr>
              <w:rPr>
                <w:b/>
                <w:sz w:val="20"/>
                <w:szCs w:val="20"/>
                <w:lang w:val="fr-CA"/>
              </w:rPr>
            </w:pPr>
            <w:r w:rsidRPr="001126AB">
              <w:rPr>
                <w:b/>
                <w:sz w:val="20"/>
                <w:szCs w:val="20"/>
                <w:lang w:val="fr-CA"/>
              </w:rPr>
              <w:t>Sa Majesté la Reine</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9C4277" w:rsidRPr="001126AB">
              <w:rPr>
                <w:sz w:val="20"/>
                <w:szCs w:val="20"/>
                <w:lang w:val="fr-CA"/>
              </w:rPr>
              <w:t>Cimon, Magalie</w:t>
            </w:r>
          </w:p>
          <w:p w:rsidR="009C4277" w:rsidRPr="001126AB" w:rsidRDefault="00F138C1" w:rsidP="00F138C1">
            <w:pPr>
              <w:tabs>
                <w:tab w:val="left" w:pos="-1440"/>
                <w:tab w:val="left" w:pos="-720"/>
              </w:tabs>
              <w:rPr>
                <w:sz w:val="20"/>
                <w:szCs w:val="20"/>
                <w:lang w:val="fr-CA"/>
              </w:rPr>
            </w:pPr>
            <w:r w:rsidRPr="001126AB">
              <w:rPr>
                <w:sz w:val="20"/>
                <w:szCs w:val="20"/>
                <w:lang w:val="fr-CA"/>
              </w:rPr>
              <w:tab/>
            </w:r>
            <w:r w:rsidR="009C4277" w:rsidRPr="001126AB">
              <w:rPr>
                <w:sz w:val="20"/>
                <w:szCs w:val="20"/>
                <w:lang w:val="fr-CA"/>
              </w:rPr>
              <w:t xml:space="preserve">Procureurs aux poursuites criminelles et </w:t>
            </w:r>
          </w:p>
          <w:p w:rsidR="00F138C1" w:rsidRPr="001126AB" w:rsidRDefault="009C4277" w:rsidP="00F138C1">
            <w:pPr>
              <w:tabs>
                <w:tab w:val="left" w:pos="-1440"/>
                <w:tab w:val="left" w:pos="-720"/>
              </w:tabs>
              <w:rPr>
                <w:sz w:val="20"/>
                <w:szCs w:val="20"/>
                <w:lang w:val="fr-CA"/>
              </w:rPr>
            </w:pPr>
            <w:r w:rsidRPr="001126AB">
              <w:rPr>
                <w:sz w:val="20"/>
                <w:szCs w:val="20"/>
                <w:lang w:val="fr-CA"/>
              </w:rPr>
              <w:tab/>
              <w:t>pénales</w:t>
            </w:r>
          </w:p>
          <w:p w:rsidR="00F138C1" w:rsidRPr="001126AB" w:rsidRDefault="00F138C1" w:rsidP="00F138C1">
            <w:pPr>
              <w:tabs>
                <w:tab w:val="left" w:pos="-1440"/>
                <w:tab w:val="left" w:pos="-720"/>
              </w:tabs>
              <w:rPr>
                <w:sz w:val="20"/>
                <w:szCs w:val="20"/>
                <w:lang w:val="fr-CA"/>
              </w:rPr>
            </w:pPr>
          </w:p>
          <w:p w:rsidR="00F138C1" w:rsidRPr="001126AB" w:rsidRDefault="00F138C1" w:rsidP="00F138C1">
            <w:pPr>
              <w:tabs>
                <w:tab w:val="left" w:pos="-1440"/>
                <w:tab w:val="left" w:pos="-720"/>
              </w:tabs>
              <w:rPr>
                <w:sz w:val="20"/>
                <w:szCs w:val="20"/>
                <w:lang w:val="fr-CA"/>
              </w:rPr>
            </w:pPr>
            <w:r w:rsidRPr="001126AB">
              <w:rPr>
                <w:sz w:val="20"/>
                <w:szCs w:val="20"/>
                <w:lang w:val="fr-CA"/>
              </w:rPr>
              <w:tab/>
              <w:t>c. (39</w:t>
            </w:r>
            <w:r w:rsidR="009C4277" w:rsidRPr="001126AB">
              <w:rPr>
                <w:sz w:val="20"/>
                <w:szCs w:val="20"/>
                <w:lang w:val="fr-CA"/>
              </w:rPr>
              <w:t>381</w:t>
            </w:r>
            <w:r w:rsidRPr="001126AB">
              <w:rPr>
                <w:sz w:val="20"/>
                <w:szCs w:val="20"/>
                <w:lang w:val="fr-CA"/>
              </w:rPr>
              <w:t>)</w:t>
            </w:r>
          </w:p>
          <w:p w:rsidR="00F138C1" w:rsidRPr="001126AB" w:rsidRDefault="00F138C1" w:rsidP="00F138C1">
            <w:pPr>
              <w:tabs>
                <w:tab w:val="left" w:pos="-1440"/>
                <w:tab w:val="left" w:pos="-720"/>
              </w:tabs>
              <w:rPr>
                <w:sz w:val="20"/>
                <w:szCs w:val="20"/>
                <w:lang w:val="fr-CA"/>
              </w:rPr>
            </w:pPr>
          </w:p>
          <w:p w:rsidR="00F138C1" w:rsidRPr="001126AB" w:rsidRDefault="009C4277" w:rsidP="00F138C1">
            <w:pPr>
              <w:tabs>
                <w:tab w:val="left" w:pos="-1440"/>
                <w:tab w:val="left" w:pos="-720"/>
              </w:tabs>
              <w:rPr>
                <w:b/>
                <w:sz w:val="20"/>
                <w:szCs w:val="20"/>
                <w:lang w:val="fr-CA"/>
              </w:rPr>
            </w:pPr>
            <w:r w:rsidRPr="001126AB">
              <w:rPr>
                <w:b/>
                <w:sz w:val="20"/>
                <w:szCs w:val="20"/>
                <w:lang w:val="fr-CA"/>
              </w:rPr>
              <w:t xml:space="preserve">Mélanie Ste-Marie, et al. </w:t>
            </w:r>
            <w:r w:rsidR="00F138C1" w:rsidRPr="001126AB">
              <w:rPr>
                <w:b/>
                <w:sz w:val="20"/>
                <w:szCs w:val="20"/>
                <w:lang w:val="fr-CA"/>
              </w:rPr>
              <w:t>(Qc)</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9C4277" w:rsidRPr="001126AB">
              <w:rPr>
                <w:sz w:val="20"/>
                <w:szCs w:val="20"/>
                <w:lang w:val="fr-CA"/>
              </w:rPr>
              <w:t>Boulet, Marie-Pier</w:t>
            </w:r>
          </w:p>
          <w:p w:rsidR="00F138C1" w:rsidRPr="001126AB" w:rsidRDefault="00F138C1" w:rsidP="00F138C1">
            <w:pPr>
              <w:tabs>
                <w:tab w:val="left" w:pos="-1440"/>
                <w:tab w:val="left" w:pos="-720"/>
              </w:tabs>
              <w:rPr>
                <w:sz w:val="20"/>
                <w:szCs w:val="20"/>
                <w:lang w:val="fr-CA"/>
              </w:rPr>
            </w:pPr>
            <w:r w:rsidRPr="001126AB">
              <w:rPr>
                <w:sz w:val="20"/>
                <w:szCs w:val="20"/>
                <w:lang w:val="fr-CA"/>
              </w:rPr>
              <w:tab/>
            </w:r>
            <w:r w:rsidR="009C4277" w:rsidRPr="001126AB">
              <w:rPr>
                <w:sz w:val="20"/>
                <w:szCs w:val="20"/>
                <w:lang w:val="fr-CA"/>
              </w:rPr>
              <w:t>BMD Avocats</w:t>
            </w:r>
          </w:p>
          <w:p w:rsidR="00F138C1" w:rsidRPr="001126AB" w:rsidRDefault="00F138C1" w:rsidP="00F138C1">
            <w:pPr>
              <w:tabs>
                <w:tab w:val="left" w:pos="-1440"/>
                <w:tab w:val="left" w:pos="-720"/>
              </w:tabs>
              <w:rPr>
                <w:sz w:val="20"/>
                <w:szCs w:val="20"/>
                <w:lang w:val="fr-CA"/>
              </w:rPr>
            </w:pPr>
          </w:p>
          <w:p w:rsidR="00F138C1" w:rsidRPr="001126AB" w:rsidRDefault="00F138C1" w:rsidP="00F138C1">
            <w:pPr>
              <w:rPr>
                <w:sz w:val="20"/>
                <w:szCs w:val="20"/>
                <w:lang w:val="fr-CA"/>
              </w:rPr>
            </w:pPr>
            <w:r w:rsidRPr="001126AB">
              <w:rPr>
                <w:sz w:val="20"/>
                <w:szCs w:val="20"/>
                <w:lang w:val="fr-CA"/>
              </w:rPr>
              <w:t xml:space="preserve">DATE DE PRODUCTION: le </w:t>
            </w:r>
            <w:r w:rsidR="009C4277" w:rsidRPr="001126AB">
              <w:rPr>
                <w:sz w:val="20"/>
                <w:szCs w:val="20"/>
                <w:lang w:val="fr-CA"/>
              </w:rPr>
              <w:t>19</w:t>
            </w:r>
            <w:r w:rsidRPr="001126AB">
              <w:rPr>
                <w:sz w:val="20"/>
                <w:szCs w:val="20"/>
                <w:lang w:val="fr-CA"/>
              </w:rPr>
              <w:t xml:space="preserve"> </w:t>
            </w:r>
            <w:r w:rsidR="009C4277" w:rsidRPr="001126AB">
              <w:rPr>
                <w:sz w:val="20"/>
                <w:szCs w:val="20"/>
                <w:lang w:val="fr-CA"/>
              </w:rPr>
              <w:t>novembre</w:t>
            </w:r>
            <w:r w:rsidRPr="001126AB">
              <w:rPr>
                <w:sz w:val="20"/>
                <w:szCs w:val="20"/>
                <w:lang w:val="fr-CA"/>
              </w:rPr>
              <w:t xml:space="preserve"> 20</w:t>
            </w:r>
            <w:r w:rsidR="00DA1D48" w:rsidRPr="001126AB">
              <w:rPr>
                <w:sz w:val="20"/>
                <w:szCs w:val="20"/>
                <w:lang w:val="fr-CA"/>
              </w:rPr>
              <w:t>20</w:t>
            </w:r>
          </w:p>
          <w:p w:rsidR="004B2E86" w:rsidRPr="001126AB" w:rsidRDefault="004B2E86" w:rsidP="00F138C1">
            <w:pPr>
              <w:rPr>
                <w:sz w:val="20"/>
                <w:szCs w:val="20"/>
                <w:lang w:val="fr-CA"/>
              </w:rPr>
            </w:pPr>
          </w:p>
          <w:p w:rsidR="00F138C1" w:rsidRPr="001126AB" w:rsidRDefault="008F207C" w:rsidP="00F138C1">
            <w:pPr>
              <w:rPr>
                <w:sz w:val="20"/>
                <w:szCs w:val="20"/>
                <w:lang w:val="en-US"/>
              </w:rPr>
            </w:pPr>
            <w:r w:rsidRPr="001126AB">
              <w:rPr>
                <w:sz w:val="20"/>
                <w:szCs w:val="20"/>
                <w:lang w:val="fr-CA"/>
              </w:rPr>
              <w:pict>
                <v:rect id="_x0000_i1028" style="width:108pt;height:1pt" o:hrpct="0" o:hrstd="t" o:hrnoshade="t" o:hr="t" fillcolor="black [3213]" stroked="f"/>
              </w:pict>
            </w:r>
          </w:p>
        </w:tc>
      </w:tr>
      <w:tr w:rsidR="00F138C1" w:rsidRPr="001126AB" w:rsidTr="00F138C1">
        <w:tc>
          <w:tcPr>
            <w:tcW w:w="4239" w:type="dxa"/>
            <w:shd w:val="clear" w:color="auto" w:fill="auto"/>
          </w:tcPr>
          <w:p w:rsidR="00DA1D48" w:rsidRPr="001126AB" w:rsidRDefault="00BC7942" w:rsidP="00DA1D48">
            <w:pPr>
              <w:rPr>
                <w:sz w:val="20"/>
                <w:szCs w:val="20"/>
                <w:lang w:val="fr-CA"/>
              </w:rPr>
            </w:pPr>
            <w:r w:rsidRPr="001126AB">
              <w:rPr>
                <w:b/>
                <w:sz w:val="20"/>
                <w:szCs w:val="20"/>
                <w:lang w:val="fr-CA"/>
              </w:rPr>
              <w:t>J.M.</w:t>
            </w:r>
          </w:p>
          <w:p w:rsidR="00DA1D48" w:rsidRPr="001126AB" w:rsidRDefault="00DA1D48" w:rsidP="00DA1D48">
            <w:pPr>
              <w:tabs>
                <w:tab w:val="left" w:pos="-1440"/>
                <w:tab w:val="left" w:pos="-720"/>
              </w:tabs>
              <w:rPr>
                <w:sz w:val="20"/>
                <w:szCs w:val="20"/>
                <w:lang w:val="fr-CA"/>
              </w:rPr>
            </w:pPr>
            <w:r w:rsidRPr="001126AB">
              <w:rPr>
                <w:sz w:val="20"/>
                <w:szCs w:val="20"/>
                <w:lang w:val="fr-CA"/>
              </w:rPr>
              <w:tab/>
            </w:r>
            <w:r w:rsidR="00BC7942" w:rsidRPr="001126AB">
              <w:rPr>
                <w:sz w:val="20"/>
                <w:szCs w:val="20"/>
                <w:lang w:val="fr-CA"/>
              </w:rPr>
              <w:t>Schachter, Linda</w:t>
            </w:r>
          </w:p>
          <w:p w:rsidR="00DA1D48" w:rsidRPr="001126AB" w:rsidRDefault="003D0507" w:rsidP="00DA1D48">
            <w:pPr>
              <w:tabs>
                <w:tab w:val="left" w:pos="-1440"/>
                <w:tab w:val="left" w:pos="-720"/>
              </w:tabs>
              <w:rPr>
                <w:sz w:val="20"/>
                <w:szCs w:val="20"/>
                <w:lang w:val="fr-CA"/>
              </w:rPr>
            </w:pPr>
            <w:r w:rsidRPr="001126AB">
              <w:rPr>
                <w:sz w:val="20"/>
                <w:szCs w:val="20"/>
                <w:lang w:val="fr-CA"/>
              </w:rPr>
              <w:tab/>
            </w:r>
            <w:r w:rsidR="00BC7942" w:rsidRPr="001126AB">
              <w:rPr>
                <w:sz w:val="20"/>
                <w:szCs w:val="20"/>
                <w:lang w:val="fr-CA"/>
              </w:rPr>
              <w:t>Devine, Schachter, Polak</w:t>
            </w:r>
          </w:p>
          <w:p w:rsidR="003D0507" w:rsidRPr="001126AB" w:rsidRDefault="003D0507" w:rsidP="00DA1D48">
            <w:pPr>
              <w:tabs>
                <w:tab w:val="left" w:pos="-1440"/>
                <w:tab w:val="left" w:pos="-720"/>
              </w:tabs>
              <w:rPr>
                <w:sz w:val="20"/>
                <w:szCs w:val="20"/>
                <w:lang w:val="fr-CA"/>
              </w:rPr>
            </w:pPr>
          </w:p>
          <w:p w:rsidR="00DA1D48" w:rsidRPr="001126AB" w:rsidRDefault="00DA1D48" w:rsidP="00DA1D48">
            <w:pPr>
              <w:tabs>
                <w:tab w:val="left" w:pos="-1440"/>
                <w:tab w:val="left" w:pos="-720"/>
              </w:tabs>
              <w:rPr>
                <w:sz w:val="20"/>
                <w:szCs w:val="20"/>
                <w:lang w:val="fr-CA"/>
              </w:rPr>
            </w:pPr>
            <w:r w:rsidRPr="001126AB">
              <w:rPr>
                <w:sz w:val="20"/>
                <w:szCs w:val="20"/>
                <w:lang w:val="fr-CA"/>
              </w:rPr>
              <w:tab/>
              <w:t>v. (39</w:t>
            </w:r>
            <w:r w:rsidR="00BC7942" w:rsidRPr="001126AB">
              <w:rPr>
                <w:sz w:val="20"/>
                <w:szCs w:val="20"/>
                <w:lang w:val="fr-CA"/>
              </w:rPr>
              <w:t>382</w:t>
            </w:r>
            <w:r w:rsidRPr="001126AB">
              <w:rPr>
                <w:sz w:val="20"/>
                <w:szCs w:val="20"/>
                <w:lang w:val="fr-CA"/>
              </w:rPr>
              <w:t>)</w:t>
            </w:r>
          </w:p>
          <w:p w:rsidR="00DA1D48" w:rsidRPr="001126AB" w:rsidRDefault="00DA1D48" w:rsidP="00DA1D48">
            <w:pPr>
              <w:tabs>
                <w:tab w:val="left" w:pos="-1440"/>
                <w:tab w:val="left" w:pos="-720"/>
              </w:tabs>
              <w:rPr>
                <w:sz w:val="20"/>
                <w:szCs w:val="20"/>
                <w:lang w:val="fr-CA"/>
              </w:rPr>
            </w:pPr>
          </w:p>
          <w:p w:rsidR="00DA1D48" w:rsidRPr="001126AB" w:rsidRDefault="00BC7942" w:rsidP="00DA1D48">
            <w:pPr>
              <w:tabs>
                <w:tab w:val="left" w:pos="-1440"/>
                <w:tab w:val="left" w:pos="-720"/>
              </w:tabs>
              <w:rPr>
                <w:b/>
                <w:sz w:val="20"/>
                <w:szCs w:val="20"/>
                <w:lang w:val="fr-CA"/>
              </w:rPr>
            </w:pPr>
            <w:r w:rsidRPr="001126AB">
              <w:rPr>
                <w:b/>
                <w:sz w:val="20"/>
                <w:szCs w:val="20"/>
                <w:lang w:val="fr-CA"/>
              </w:rPr>
              <w:t>R.C.</w:t>
            </w:r>
            <w:r w:rsidR="00DA1D48" w:rsidRPr="001126AB">
              <w:rPr>
                <w:b/>
                <w:sz w:val="20"/>
                <w:szCs w:val="20"/>
                <w:lang w:val="fr-CA"/>
              </w:rPr>
              <w:t xml:space="preserve"> (</w:t>
            </w:r>
            <w:r w:rsidRPr="001126AB">
              <w:rPr>
                <w:b/>
                <w:sz w:val="20"/>
                <w:szCs w:val="20"/>
                <w:lang w:val="fr-CA"/>
              </w:rPr>
              <w:t>Que</w:t>
            </w:r>
            <w:r w:rsidR="00DA1D48" w:rsidRPr="001126AB">
              <w:rPr>
                <w:b/>
                <w:sz w:val="20"/>
                <w:szCs w:val="20"/>
                <w:lang w:val="fr-CA"/>
              </w:rPr>
              <w:t>.)</w:t>
            </w:r>
          </w:p>
          <w:p w:rsidR="00DA1D48" w:rsidRPr="001126AB" w:rsidRDefault="00DA1D48" w:rsidP="00DA1D48">
            <w:pPr>
              <w:tabs>
                <w:tab w:val="left" w:pos="-1440"/>
                <w:tab w:val="left" w:pos="-720"/>
              </w:tabs>
              <w:rPr>
                <w:sz w:val="20"/>
                <w:szCs w:val="20"/>
                <w:lang w:val="fr-CA"/>
              </w:rPr>
            </w:pPr>
            <w:r w:rsidRPr="001126AB">
              <w:rPr>
                <w:sz w:val="20"/>
                <w:szCs w:val="20"/>
                <w:lang w:val="fr-CA"/>
              </w:rPr>
              <w:tab/>
            </w:r>
            <w:r w:rsidR="00BC7942" w:rsidRPr="001126AB">
              <w:rPr>
                <w:sz w:val="20"/>
                <w:szCs w:val="20"/>
                <w:lang w:val="fr-CA"/>
              </w:rPr>
              <w:t>Librati, Muriel</w:t>
            </w:r>
          </w:p>
          <w:p w:rsidR="00DA1D48" w:rsidRPr="001126AB" w:rsidRDefault="00DA1D48" w:rsidP="00DA1D48">
            <w:pPr>
              <w:tabs>
                <w:tab w:val="left" w:pos="-1440"/>
                <w:tab w:val="left" w:pos="-720"/>
              </w:tabs>
              <w:rPr>
                <w:sz w:val="20"/>
                <w:szCs w:val="20"/>
              </w:rPr>
            </w:pPr>
            <w:r w:rsidRPr="001126AB">
              <w:rPr>
                <w:sz w:val="20"/>
                <w:szCs w:val="20"/>
                <w:lang w:val="fr-CA"/>
              </w:rPr>
              <w:tab/>
            </w:r>
            <w:r w:rsidR="00BC7942" w:rsidRPr="001126AB">
              <w:rPr>
                <w:sz w:val="20"/>
                <w:szCs w:val="20"/>
              </w:rPr>
              <w:t>Teitelbaum Librati</w:t>
            </w:r>
          </w:p>
          <w:p w:rsidR="00DA1D48" w:rsidRPr="001126AB" w:rsidRDefault="00DA1D48" w:rsidP="00DA1D48">
            <w:pPr>
              <w:tabs>
                <w:tab w:val="left" w:pos="-1440"/>
                <w:tab w:val="left" w:pos="-720"/>
              </w:tabs>
              <w:rPr>
                <w:sz w:val="20"/>
                <w:szCs w:val="20"/>
              </w:rPr>
            </w:pPr>
          </w:p>
          <w:p w:rsidR="00DA1D48" w:rsidRPr="001126AB" w:rsidRDefault="00DA1D48" w:rsidP="00DA1D48">
            <w:pPr>
              <w:rPr>
                <w:sz w:val="20"/>
                <w:szCs w:val="20"/>
              </w:rPr>
            </w:pPr>
            <w:r w:rsidRPr="001126AB">
              <w:rPr>
                <w:sz w:val="20"/>
                <w:szCs w:val="20"/>
              </w:rPr>
              <w:t xml:space="preserve">FILING DATE: </w:t>
            </w:r>
            <w:r w:rsidR="00BC7942" w:rsidRPr="001126AB">
              <w:rPr>
                <w:sz w:val="20"/>
                <w:szCs w:val="20"/>
              </w:rPr>
              <w:t>November</w:t>
            </w:r>
            <w:r w:rsidRPr="001126AB">
              <w:rPr>
                <w:sz w:val="20"/>
                <w:szCs w:val="20"/>
              </w:rPr>
              <w:t xml:space="preserve"> </w:t>
            </w:r>
            <w:r w:rsidR="00BC7942" w:rsidRPr="001126AB">
              <w:rPr>
                <w:sz w:val="20"/>
                <w:szCs w:val="20"/>
              </w:rPr>
              <w:t>19</w:t>
            </w:r>
            <w:r w:rsidRPr="001126AB">
              <w:rPr>
                <w:sz w:val="20"/>
                <w:szCs w:val="20"/>
              </w:rPr>
              <w:t>, 2020</w:t>
            </w:r>
          </w:p>
          <w:p w:rsidR="00DA1D48" w:rsidRPr="001126AB" w:rsidRDefault="00DA1D48" w:rsidP="00DA1D48">
            <w:pPr>
              <w:rPr>
                <w:sz w:val="20"/>
                <w:szCs w:val="20"/>
              </w:rPr>
            </w:pPr>
          </w:p>
          <w:p w:rsidR="00F138C1" w:rsidRPr="001126AB" w:rsidRDefault="008F207C" w:rsidP="00DA1D48">
            <w:pPr>
              <w:rPr>
                <w:sz w:val="20"/>
                <w:szCs w:val="20"/>
                <w:lang w:val="en-US"/>
              </w:rPr>
            </w:pPr>
            <w:r w:rsidRPr="001126AB">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126AB" w:rsidRDefault="00F138C1"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p w:rsidR="00DA1D48" w:rsidRPr="001126AB" w:rsidRDefault="00DA1D48" w:rsidP="00F138C1">
            <w:pPr>
              <w:jc w:val="center"/>
              <w:rPr>
                <w:sz w:val="20"/>
                <w:szCs w:val="20"/>
                <w:lang w:val="en-US"/>
              </w:rPr>
            </w:pPr>
          </w:p>
        </w:tc>
        <w:tc>
          <w:tcPr>
            <w:tcW w:w="4239" w:type="dxa"/>
            <w:shd w:val="clear" w:color="auto" w:fill="auto"/>
          </w:tcPr>
          <w:p w:rsidR="00DA1D48" w:rsidRPr="001126AB" w:rsidRDefault="00EB0C12" w:rsidP="00DA1D48">
            <w:pPr>
              <w:rPr>
                <w:b/>
                <w:sz w:val="20"/>
                <w:szCs w:val="20"/>
                <w:lang w:val="en-US"/>
              </w:rPr>
            </w:pPr>
            <w:r w:rsidRPr="001126AB">
              <w:rPr>
                <w:b/>
                <w:sz w:val="20"/>
                <w:szCs w:val="20"/>
                <w:lang w:val="en-US"/>
              </w:rPr>
              <w:t>Attorney General of Canada, et al.</w:t>
            </w:r>
          </w:p>
          <w:p w:rsidR="00DA1D48" w:rsidRPr="001126AB" w:rsidRDefault="00DA1D48" w:rsidP="00DA1D48">
            <w:pPr>
              <w:tabs>
                <w:tab w:val="left" w:pos="-1440"/>
                <w:tab w:val="left" w:pos="-720"/>
              </w:tabs>
              <w:rPr>
                <w:sz w:val="20"/>
                <w:szCs w:val="20"/>
                <w:lang w:val="en-US"/>
              </w:rPr>
            </w:pPr>
            <w:r w:rsidRPr="001126AB">
              <w:rPr>
                <w:sz w:val="20"/>
                <w:szCs w:val="20"/>
                <w:lang w:val="en-US"/>
              </w:rPr>
              <w:tab/>
            </w:r>
            <w:r w:rsidR="00EB0C12" w:rsidRPr="001126AB">
              <w:rPr>
                <w:sz w:val="20"/>
                <w:szCs w:val="20"/>
                <w:lang w:val="en-US"/>
              </w:rPr>
              <w:t>Akey, Christa</w:t>
            </w:r>
          </w:p>
          <w:p w:rsidR="00DA1D48" w:rsidRPr="001126AB" w:rsidRDefault="00DA1D48" w:rsidP="00DA1D48">
            <w:pPr>
              <w:tabs>
                <w:tab w:val="left" w:pos="-1440"/>
                <w:tab w:val="left" w:pos="-720"/>
              </w:tabs>
              <w:rPr>
                <w:sz w:val="20"/>
                <w:szCs w:val="20"/>
                <w:lang w:val="en-US"/>
              </w:rPr>
            </w:pPr>
            <w:r w:rsidRPr="001126AB">
              <w:rPr>
                <w:sz w:val="20"/>
                <w:szCs w:val="20"/>
                <w:lang w:val="en-US"/>
              </w:rPr>
              <w:tab/>
            </w:r>
            <w:r w:rsidR="00EB0C12" w:rsidRPr="001126AB">
              <w:rPr>
                <w:sz w:val="20"/>
                <w:szCs w:val="20"/>
                <w:lang w:val="en-US"/>
              </w:rPr>
              <w:t>Attorney General of Canada</w:t>
            </w:r>
          </w:p>
          <w:p w:rsidR="00DA1D48" w:rsidRPr="001126AB" w:rsidRDefault="00DA1D48" w:rsidP="00DA1D48">
            <w:pPr>
              <w:tabs>
                <w:tab w:val="left" w:pos="-1440"/>
                <w:tab w:val="left" w:pos="-720"/>
              </w:tabs>
              <w:rPr>
                <w:sz w:val="20"/>
                <w:szCs w:val="20"/>
                <w:lang w:val="en-US"/>
              </w:rPr>
            </w:pPr>
          </w:p>
          <w:p w:rsidR="00DA1D48" w:rsidRPr="001126AB" w:rsidRDefault="00DA1D48" w:rsidP="00DA1D48">
            <w:pPr>
              <w:tabs>
                <w:tab w:val="left" w:pos="-1440"/>
                <w:tab w:val="left" w:pos="-720"/>
              </w:tabs>
              <w:rPr>
                <w:sz w:val="20"/>
                <w:szCs w:val="20"/>
                <w:lang w:val="en-US"/>
              </w:rPr>
            </w:pPr>
            <w:r w:rsidRPr="001126AB">
              <w:rPr>
                <w:sz w:val="20"/>
                <w:szCs w:val="20"/>
                <w:lang w:val="en-US"/>
              </w:rPr>
              <w:tab/>
            </w:r>
            <w:r w:rsidR="00EB0C12" w:rsidRPr="001126AB">
              <w:rPr>
                <w:sz w:val="20"/>
                <w:szCs w:val="20"/>
                <w:lang w:val="en-US"/>
              </w:rPr>
              <w:t>v</w:t>
            </w:r>
            <w:r w:rsidRPr="001126AB">
              <w:rPr>
                <w:sz w:val="20"/>
                <w:szCs w:val="20"/>
                <w:lang w:val="en-US"/>
              </w:rPr>
              <w:t>. (39</w:t>
            </w:r>
            <w:r w:rsidR="00EB0C12" w:rsidRPr="001126AB">
              <w:rPr>
                <w:sz w:val="20"/>
                <w:szCs w:val="20"/>
                <w:lang w:val="en-US"/>
              </w:rPr>
              <w:t>383</w:t>
            </w:r>
            <w:r w:rsidRPr="001126AB">
              <w:rPr>
                <w:sz w:val="20"/>
                <w:szCs w:val="20"/>
                <w:lang w:val="en-US"/>
              </w:rPr>
              <w:t>)</w:t>
            </w:r>
          </w:p>
          <w:p w:rsidR="00DA1D48" w:rsidRPr="001126AB" w:rsidRDefault="00DA1D48" w:rsidP="00DA1D48">
            <w:pPr>
              <w:tabs>
                <w:tab w:val="left" w:pos="-1440"/>
                <w:tab w:val="left" w:pos="-720"/>
              </w:tabs>
              <w:rPr>
                <w:sz w:val="20"/>
                <w:szCs w:val="20"/>
                <w:lang w:val="en-US"/>
              </w:rPr>
            </w:pPr>
          </w:p>
          <w:p w:rsidR="00DA1D48" w:rsidRPr="001126AB" w:rsidRDefault="00EB0C12" w:rsidP="00DA1D48">
            <w:pPr>
              <w:tabs>
                <w:tab w:val="left" w:pos="-1440"/>
                <w:tab w:val="left" w:pos="-720"/>
              </w:tabs>
              <w:rPr>
                <w:b/>
                <w:sz w:val="20"/>
                <w:szCs w:val="20"/>
                <w:lang w:val="fr-CA"/>
              </w:rPr>
            </w:pPr>
            <w:r w:rsidRPr="001126AB">
              <w:rPr>
                <w:b/>
                <w:sz w:val="20"/>
                <w:szCs w:val="20"/>
                <w:lang w:val="en-US"/>
              </w:rPr>
              <w:t xml:space="preserve">Collins Family Trust, et al. </w:t>
            </w:r>
            <w:r w:rsidR="00DA1D48" w:rsidRPr="001126AB">
              <w:rPr>
                <w:b/>
                <w:sz w:val="20"/>
                <w:szCs w:val="20"/>
                <w:lang w:val="fr-CA"/>
              </w:rPr>
              <w:t>(</w:t>
            </w:r>
            <w:r w:rsidRPr="001126AB">
              <w:rPr>
                <w:b/>
                <w:sz w:val="20"/>
                <w:szCs w:val="20"/>
                <w:lang w:val="fr-CA"/>
              </w:rPr>
              <w:t>B.C.</w:t>
            </w:r>
            <w:r w:rsidR="00DA1D48" w:rsidRPr="001126AB">
              <w:rPr>
                <w:b/>
                <w:sz w:val="20"/>
                <w:szCs w:val="20"/>
                <w:lang w:val="fr-CA"/>
              </w:rPr>
              <w:t>)</w:t>
            </w:r>
          </w:p>
          <w:p w:rsidR="00DA1D48" w:rsidRPr="001126AB" w:rsidRDefault="00DA1D48" w:rsidP="00DA1D48">
            <w:pPr>
              <w:tabs>
                <w:tab w:val="left" w:pos="-1440"/>
                <w:tab w:val="left" w:pos="-720"/>
              </w:tabs>
              <w:rPr>
                <w:sz w:val="20"/>
                <w:szCs w:val="20"/>
                <w:lang w:val="fr-CA"/>
              </w:rPr>
            </w:pPr>
            <w:r w:rsidRPr="001126AB">
              <w:rPr>
                <w:sz w:val="20"/>
                <w:szCs w:val="20"/>
                <w:lang w:val="fr-CA"/>
              </w:rPr>
              <w:tab/>
            </w:r>
            <w:r w:rsidR="00EB0C12" w:rsidRPr="001126AB">
              <w:rPr>
                <w:sz w:val="20"/>
                <w:szCs w:val="20"/>
                <w:lang w:val="fr-CA"/>
              </w:rPr>
              <w:t>Nitikman, Joel A.</w:t>
            </w:r>
          </w:p>
          <w:p w:rsidR="00DA1D48" w:rsidRPr="001126AB" w:rsidRDefault="00DA1D48" w:rsidP="00DA1D48">
            <w:pPr>
              <w:tabs>
                <w:tab w:val="left" w:pos="-1440"/>
                <w:tab w:val="left" w:pos="-720"/>
              </w:tabs>
              <w:rPr>
                <w:sz w:val="20"/>
                <w:szCs w:val="20"/>
                <w:lang w:val="fr-CA"/>
              </w:rPr>
            </w:pPr>
            <w:r w:rsidRPr="001126AB">
              <w:rPr>
                <w:sz w:val="20"/>
                <w:szCs w:val="20"/>
                <w:lang w:val="fr-CA"/>
              </w:rPr>
              <w:tab/>
            </w:r>
            <w:r w:rsidR="00EB0C12" w:rsidRPr="001126AB">
              <w:rPr>
                <w:sz w:val="20"/>
                <w:szCs w:val="20"/>
                <w:lang w:val="fr-CA"/>
              </w:rPr>
              <w:t>Dentons Canada LLP</w:t>
            </w:r>
          </w:p>
          <w:p w:rsidR="00DA1D48" w:rsidRPr="001126AB" w:rsidRDefault="00DA1D48" w:rsidP="00DA1D48">
            <w:pPr>
              <w:tabs>
                <w:tab w:val="left" w:pos="-1440"/>
                <w:tab w:val="left" w:pos="-720"/>
              </w:tabs>
              <w:rPr>
                <w:sz w:val="20"/>
                <w:szCs w:val="20"/>
                <w:lang w:val="fr-CA"/>
              </w:rPr>
            </w:pPr>
          </w:p>
          <w:p w:rsidR="00DA1D48" w:rsidRPr="001126AB" w:rsidRDefault="00EB0C12" w:rsidP="00DA1D48">
            <w:pPr>
              <w:rPr>
                <w:sz w:val="20"/>
                <w:szCs w:val="20"/>
                <w:lang w:val="fr-CA"/>
              </w:rPr>
            </w:pPr>
            <w:r w:rsidRPr="001126AB">
              <w:rPr>
                <w:sz w:val="20"/>
                <w:szCs w:val="20"/>
                <w:lang w:val="fr-CA"/>
              </w:rPr>
              <w:t xml:space="preserve">FILING </w:t>
            </w:r>
            <w:r w:rsidR="00DA1D48" w:rsidRPr="001126AB">
              <w:rPr>
                <w:sz w:val="20"/>
                <w:szCs w:val="20"/>
                <w:lang w:val="fr-CA"/>
              </w:rPr>
              <w:t xml:space="preserve">DATE: </w:t>
            </w:r>
            <w:r w:rsidRPr="001126AB">
              <w:rPr>
                <w:sz w:val="20"/>
                <w:szCs w:val="20"/>
                <w:lang w:val="fr-CA"/>
              </w:rPr>
              <w:t>November 19,</w:t>
            </w:r>
            <w:r w:rsidR="00DA1D48" w:rsidRPr="001126AB">
              <w:rPr>
                <w:sz w:val="20"/>
                <w:szCs w:val="20"/>
                <w:lang w:val="fr-CA"/>
              </w:rPr>
              <w:t xml:space="preserve"> 2020</w:t>
            </w:r>
          </w:p>
          <w:p w:rsidR="00DA1D48" w:rsidRPr="001126AB" w:rsidRDefault="00DA1D48" w:rsidP="00DA1D48">
            <w:pPr>
              <w:rPr>
                <w:sz w:val="20"/>
                <w:szCs w:val="20"/>
                <w:lang w:val="fr-CA"/>
              </w:rPr>
            </w:pPr>
          </w:p>
          <w:p w:rsidR="00F138C1" w:rsidRPr="001126AB" w:rsidRDefault="008F207C" w:rsidP="00DA1D48">
            <w:pPr>
              <w:rPr>
                <w:sz w:val="20"/>
                <w:szCs w:val="20"/>
                <w:lang w:val="fr-CA"/>
              </w:rPr>
            </w:pPr>
            <w:r w:rsidRPr="001126AB">
              <w:rPr>
                <w:sz w:val="20"/>
                <w:szCs w:val="20"/>
                <w:lang w:val="fr-CA"/>
              </w:rPr>
              <w:pict>
                <v:rect id="_x0000_i1030" style="width:108pt;height:1pt" o:hrpct="0" o:hrstd="t" o:hrnoshade="t" o:hr="t" fillcolor="black [3213]" stroked="f"/>
              </w:pict>
            </w:r>
          </w:p>
        </w:tc>
      </w:tr>
    </w:tbl>
    <w:p w:rsidR="003D0507" w:rsidRPr="001126AB" w:rsidRDefault="003D0507">
      <w:r w:rsidRPr="001126A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D0507" w:rsidRPr="001126AB" w:rsidTr="00F138C1">
        <w:tc>
          <w:tcPr>
            <w:tcW w:w="4239" w:type="dxa"/>
            <w:shd w:val="clear" w:color="auto" w:fill="auto"/>
          </w:tcPr>
          <w:p w:rsidR="003D0507" w:rsidRPr="001126AB" w:rsidRDefault="00BE318B" w:rsidP="003D0507">
            <w:pPr>
              <w:rPr>
                <w:sz w:val="20"/>
                <w:szCs w:val="20"/>
                <w:lang w:val="en-US"/>
              </w:rPr>
            </w:pPr>
            <w:r w:rsidRPr="001126AB">
              <w:rPr>
                <w:b/>
                <w:sz w:val="20"/>
                <w:szCs w:val="20"/>
                <w:lang w:val="en-US"/>
              </w:rPr>
              <w:lastRenderedPageBreak/>
              <w:t>Nadine Galy, et al.</w:t>
            </w:r>
          </w:p>
          <w:p w:rsidR="003D0507" w:rsidRPr="001126AB" w:rsidRDefault="003D0507" w:rsidP="003D0507">
            <w:pPr>
              <w:tabs>
                <w:tab w:val="left" w:pos="-1440"/>
                <w:tab w:val="left" w:pos="-720"/>
              </w:tabs>
              <w:rPr>
                <w:sz w:val="20"/>
                <w:szCs w:val="20"/>
                <w:lang w:val="en-US"/>
              </w:rPr>
            </w:pPr>
            <w:r w:rsidRPr="001126AB">
              <w:rPr>
                <w:sz w:val="20"/>
                <w:szCs w:val="20"/>
                <w:lang w:val="en-US"/>
              </w:rPr>
              <w:tab/>
            </w:r>
            <w:r w:rsidR="00BE318B" w:rsidRPr="001126AB">
              <w:rPr>
                <w:sz w:val="20"/>
                <w:szCs w:val="20"/>
                <w:lang w:val="en-US"/>
              </w:rPr>
              <w:t>Noonan, William</w:t>
            </w:r>
          </w:p>
          <w:p w:rsidR="003D0507" w:rsidRPr="001126AB" w:rsidRDefault="003D0507" w:rsidP="003D0507">
            <w:pPr>
              <w:tabs>
                <w:tab w:val="left" w:pos="-1440"/>
                <w:tab w:val="left" w:pos="-720"/>
              </w:tabs>
              <w:rPr>
                <w:sz w:val="20"/>
                <w:szCs w:val="20"/>
                <w:lang w:val="fr-CA"/>
              </w:rPr>
            </w:pPr>
            <w:r w:rsidRPr="001126AB">
              <w:rPr>
                <w:sz w:val="20"/>
                <w:szCs w:val="20"/>
                <w:lang w:val="en-US"/>
              </w:rPr>
              <w:tab/>
            </w:r>
            <w:r w:rsidR="00BE318B" w:rsidRPr="001126AB">
              <w:rPr>
                <w:sz w:val="20"/>
                <w:szCs w:val="20"/>
                <w:lang w:val="fr-CA"/>
              </w:rPr>
              <w:t xml:space="preserve">Hickson </w:t>
            </w:r>
            <w:proofErr w:type="spellStart"/>
            <w:r w:rsidR="00BE318B" w:rsidRPr="001126AB">
              <w:rPr>
                <w:sz w:val="20"/>
                <w:szCs w:val="20"/>
                <w:lang w:val="fr-CA"/>
              </w:rPr>
              <w:t>Noonan</w:t>
            </w:r>
            <w:proofErr w:type="spellEnd"/>
          </w:p>
          <w:p w:rsidR="003D0507" w:rsidRPr="001126AB" w:rsidRDefault="003D0507" w:rsidP="003D0507">
            <w:pPr>
              <w:tabs>
                <w:tab w:val="left" w:pos="-1440"/>
                <w:tab w:val="left" w:pos="-720"/>
              </w:tabs>
              <w:rPr>
                <w:sz w:val="20"/>
                <w:szCs w:val="20"/>
                <w:lang w:val="fr-CA"/>
              </w:rPr>
            </w:pPr>
          </w:p>
          <w:p w:rsidR="003D0507" w:rsidRPr="001126AB" w:rsidRDefault="003D0507" w:rsidP="003D0507">
            <w:pPr>
              <w:tabs>
                <w:tab w:val="left" w:pos="-1440"/>
                <w:tab w:val="left" w:pos="-720"/>
              </w:tabs>
              <w:rPr>
                <w:sz w:val="20"/>
                <w:szCs w:val="20"/>
                <w:lang w:val="fr-CA"/>
              </w:rPr>
            </w:pPr>
            <w:r w:rsidRPr="001126AB">
              <w:rPr>
                <w:sz w:val="20"/>
                <w:szCs w:val="20"/>
                <w:lang w:val="fr-CA"/>
              </w:rPr>
              <w:tab/>
            </w:r>
            <w:r w:rsidR="00BE318B" w:rsidRPr="001126AB">
              <w:rPr>
                <w:sz w:val="20"/>
                <w:szCs w:val="20"/>
                <w:lang w:val="fr-CA"/>
              </w:rPr>
              <w:t>c</w:t>
            </w:r>
            <w:r w:rsidRPr="001126AB">
              <w:rPr>
                <w:sz w:val="20"/>
                <w:szCs w:val="20"/>
                <w:lang w:val="fr-CA"/>
              </w:rPr>
              <w:t>. (39</w:t>
            </w:r>
            <w:r w:rsidR="00BE318B" w:rsidRPr="001126AB">
              <w:rPr>
                <w:sz w:val="20"/>
                <w:szCs w:val="20"/>
                <w:lang w:val="fr-CA"/>
              </w:rPr>
              <w:t>38</w:t>
            </w:r>
            <w:r w:rsidRPr="001126AB">
              <w:rPr>
                <w:sz w:val="20"/>
                <w:szCs w:val="20"/>
                <w:lang w:val="fr-CA"/>
              </w:rPr>
              <w:t>4)</w:t>
            </w:r>
          </w:p>
          <w:p w:rsidR="003D0507" w:rsidRPr="001126AB" w:rsidRDefault="003D0507" w:rsidP="003D0507">
            <w:pPr>
              <w:tabs>
                <w:tab w:val="left" w:pos="-1440"/>
                <w:tab w:val="left" w:pos="-720"/>
              </w:tabs>
              <w:rPr>
                <w:sz w:val="20"/>
                <w:szCs w:val="20"/>
                <w:lang w:val="fr-CA"/>
              </w:rPr>
            </w:pPr>
          </w:p>
          <w:p w:rsidR="003D0507" w:rsidRPr="001126AB" w:rsidRDefault="00BE318B" w:rsidP="003D0507">
            <w:pPr>
              <w:tabs>
                <w:tab w:val="left" w:pos="-1440"/>
                <w:tab w:val="left" w:pos="-720"/>
              </w:tabs>
              <w:rPr>
                <w:b/>
                <w:sz w:val="20"/>
                <w:szCs w:val="20"/>
                <w:lang w:val="fr-CA"/>
              </w:rPr>
            </w:pPr>
            <w:r w:rsidRPr="001126AB">
              <w:rPr>
                <w:b/>
                <w:sz w:val="20"/>
                <w:szCs w:val="20"/>
                <w:lang w:val="fr-CA"/>
              </w:rPr>
              <w:t xml:space="preserve">Ville de Québec </w:t>
            </w:r>
            <w:r w:rsidR="003D0507" w:rsidRPr="001126AB">
              <w:rPr>
                <w:b/>
                <w:sz w:val="20"/>
                <w:szCs w:val="20"/>
                <w:lang w:val="fr-CA"/>
              </w:rPr>
              <w:t>(</w:t>
            </w:r>
            <w:r w:rsidRPr="001126AB">
              <w:rPr>
                <w:b/>
                <w:sz w:val="20"/>
                <w:szCs w:val="20"/>
                <w:lang w:val="fr-CA"/>
              </w:rPr>
              <w:t>Qc</w:t>
            </w:r>
            <w:r w:rsidR="003D0507" w:rsidRPr="001126AB">
              <w:rPr>
                <w:b/>
                <w:sz w:val="20"/>
                <w:szCs w:val="20"/>
                <w:lang w:val="fr-CA"/>
              </w:rPr>
              <w:t>)</w:t>
            </w:r>
          </w:p>
          <w:p w:rsidR="003D0507" w:rsidRPr="001126AB" w:rsidRDefault="003D0507" w:rsidP="003D0507">
            <w:pPr>
              <w:tabs>
                <w:tab w:val="left" w:pos="-1440"/>
                <w:tab w:val="left" w:pos="-720"/>
              </w:tabs>
              <w:rPr>
                <w:sz w:val="20"/>
                <w:szCs w:val="20"/>
                <w:lang w:val="fr-CA"/>
              </w:rPr>
            </w:pPr>
            <w:r w:rsidRPr="001126AB">
              <w:rPr>
                <w:sz w:val="20"/>
                <w:szCs w:val="20"/>
                <w:lang w:val="fr-CA"/>
              </w:rPr>
              <w:tab/>
            </w:r>
            <w:r w:rsidR="00BE318B" w:rsidRPr="001126AB">
              <w:rPr>
                <w:sz w:val="20"/>
                <w:szCs w:val="20"/>
                <w:lang w:val="fr-CA"/>
              </w:rPr>
              <w:t>Rheault, Sophie</w:t>
            </w:r>
          </w:p>
          <w:p w:rsidR="003D0507" w:rsidRPr="001126AB" w:rsidRDefault="003D0507" w:rsidP="003D0507">
            <w:pPr>
              <w:tabs>
                <w:tab w:val="left" w:pos="-1440"/>
                <w:tab w:val="left" w:pos="-720"/>
              </w:tabs>
              <w:rPr>
                <w:sz w:val="20"/>
                <w:szCs w:val="20"/>
                <w:lang w:val="fr-CA"/>
              </w:rPr>
            </w:pPr>
            <w:r w:rsidRPr="001126AB">
              <w:rPr>
                <w:sz w:val="20"/>
                <w:szCs w:val="20"/>
                <w:lang w:val="fr-CA"/>
              </w:rPr>
              <w:tab/>
            </w:r>
            <w:r w:rsidR="00BE318B" w:rsidRPr="001126AB">
              <w:rPr>
                <w:sz w:val="20"/>
                <w:szCs w:val="20"/>
                <w:lang w:val="fr-CA"/>
              </w:rPr>
              <w:t>Giasson et Associés</w:t>
            </w:r>
          </w:p>
          <w:p w:rsidR="003D0507" w:rsidRPr="001126AB" w:rsidRDefault="003D0507" w:rsidP="003D0507">
            <w:pPr>
              <w:tabs>
                <w:tab w:val="left" w:pos="-1440"/>
                <w:tab w:val="left" w:pos="-720"/>
              </w:tabs>
              <w:rPr>
                <w:sz w:val="20"/>
                <w:szCs w:val="20"/>
                <w:lang w:val="fr-CA"/>
              </w:rPr>
            </w:pPr>
          </w:p>
          <w:p w:rsidR="003D0507" w:rsidRPr="001126AB" w:rsidRDefault="003D0507" w:rsidP="003D0507">
            <w:pPr>
              <w:rPr>
                <w:sz w:val="20"/>
                <w:szCs w:val="20"/>
                <w:lang w:val="fr-CA"/>
              </w:rPr>
            </w:pPr>
            <w:r w:rsidRPr="001126AB">
              <w:rPr>
                <w:sz w:val="20"/>
                <w:szCs w:val="20"/>
                <w:lang w:val="fr-CA"/>
              </w:rPr>
              <w:t>DATE</w:t>
            </w:r>
            <w:r w:rsidR="00BE318B" w:rsidRPr="001126AB">
              <w:rPr>
                <w:sz w:val="20"/>
                <w:szCs w:val="20"/>
                <w:lang w:val="fr-CA"/>
              </w:rPr>
              <w:t xml:space="preserve"> DE PRODUCTION</w:t>
            </w:r>
            <w:r w:rsidRPr="001126AB">
              <w:rPr>
                <w:sz w:val="20"/>
                <w:szCs w:val="20"/>
                <w:lang w:val="fr-CA"/>
              </w:rPr>
              <w:t xml:space="preserve">: </w:t>
            </w:r>
            <w:r w:rsidR="00BE318B" w:rsidRPr="001126AB">
              <w:rPr>
                <w:sz w:val="20"/>
                <w:szCs w:val="20"/>
                <w:lang w:val="fr-CA"/>
              </w:rPr>
              <w:t>le 19 novembre</w:t>
            </w:r>
            <w:r w:rsidRPr="001126AB">
              <w:rPr>
                <w:sz w:val="20"/>
                <w:szCs w:val="20"/>
                <w:lang w:val="fr-CA"/>
              </w:rPr>
              <w:t xml:space="preserve"> 2020</w:t>
            </w:r>
          </w:p>
          <w:p w:rsidR="003D0507" w:rsidRPr="001126AB" w:rsidRDefault="003D0507" w:rsidP="003D0507">
            <w:pPr>
              <w:rPr>
                <w:sz w:val="20"/>
                <w:szCs w:val="20"/>
                <w:lang w:val="fr-CA"/>
              </w:rPr>
            </w:pPr>
          </w:p>
          <w:p w:rsidR="003D0507" w:rsidRPr="001126AB" w:rsidRDefault="008F207C" w:rsidP="003D0507">
            <w:pPr>
              <w:rPr>
                <w:b/>
                <w:sz w:val="20"/>
                <w:szCs w:val="20"/>
                <w:lang w:val="en-US"/>
              </w:rPr>
            </w:pPr>
            <w:r w:rsidRPr="001126AB">
              <w:rPr>
                <w:sz w:val="20"/>
                <w:szCs w:val="20"/>
                <w:lang w:val="fr-CA"/>
              </w:rPr>
              <w:pict>
                <v:rect id="_x0000_i1031" style="width:108pt;height:1pt" o:hrpct="0" o:hrstd="t" o:hrnoshade="t" o:hr="t" fillcolor="black [3213]" stroked="f"/>
              </w:pict>
            </w:r>
          </w:p>
        </w:tc>
        <w:tc>
          <w:tcPr>
            <w:tcW w:w="1141" w:type="dxa"/>
            <w:shd w:val="clear" w:color="auto" w:fill="auto"/>
          </w:tcPr>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p w:rsidR="003D0507" w:rsidRPr="001126AB" w:rsidRDefault="003D0507" w:rsidP="00F138C1">
            <w:pPr>
              <w:jc w:val="center"/>
              <w:rPr>
                <w:sz w:val="20"/>
                <w:szCs w:val="20"/>
                <w:lang w:val="en-US"/>
              </w:rPr>
            </w:pPr>
          </w:p>
        </w:tc>
        <w:tc>
          <w:tcPr>
            <w:tcW w:w="4239" w:type="dxa"/>
            <w:shd w:val="clear" w:color="auto" w:fill="auto"/>
          </w:tcPr>
          <w:p w:rsidR="003D0507" w:rsidRPr="001126AB" w:rsidRDefault="003D0507" w:rsidP="00DA1D48">
            <w:pPr>
              <w:rPr>
                <w:b/>
                <w:sz w:val="20"/>
                <w:szCs w:val="20"/>
                <w:lang w:val="fr-CA"/>
              </w:rPr>
            </w:pPr>
          </w:p>
        </w:tc>
      </w:tr>
    </w:tbl>
    <w:p w:rsidR="00F138C1" w:rsidRPr="001126AB" w:rsidRDefault="00F138C1" w:rsidP="00F138C1">
      <w:pPr>
        <w:tabs>
          <w:tab w:val="right" w:pos="9360"/>
        </w:tabs>
        <w:rPr>
          <w:sz w:val="20"/>
          <w:szCs w:val="20"/>
          <w:lang w:val="fr-CA"/>
        </w:rPr>
      </w:pPr>
    </w:p>
    <w:p w:rsidR="00F138C1" w:rsidRPr="001126AB" w:rsidRDefault="00F138C1" w:rsidP="00F138C1">
      <w:pPr>
        <w:tabs>
          <w:tab w:val="right" w:pos="9360"/>
        </w:tabs>
        <w:rPr>
          <w:sz w:val="20"/>
          <w:szCs w:val="20"/>
          <w:lang w:val="fr-CA"/>
        </w:rPr>
      </w:pPr>
    </w:p>
    <w:p w:rsidR="00C01FCB" w:rsidRPr="001126AB" w:rsidRDefault="00C01FCB" w:rsidP="0095096B">
      <w:pPr>
        <w:tabs>
          <w:tab w:val="right" w:pos="9360"/>
        </w:tabs>
        <w:rPr>
          <w:sz w:val="20"/>
          <w:szCs w:val="20"/>
          <w:lang w:val="fr-CA"/>
        </w:rPr>
      </w:pPr>
    </w:p>
    <w:p w:rsidR="00242AEE" w:rsidRPr="001126AB" w:rsidRDefault="00242AEE" w:rsidP="0095096B">
      <w:pPr>
        <w:tabs>
          <w:tab w:val="right" w:pos="9360"/>
        </w:tabs>
        <w:rPr>
          <w:sz w:val="20"/>
          <w:szCs w:val="20"/>
          <w:lang w:val="fr-CA"/>
        </w:rPr>
        <w:sectPr w:rsidR="00242AEE" w:rsidRPr="001126A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126AB" w:rsidRDefault="00DD0BDC" w:rsidP="00567602">
      <w:pPr>
        <w:pStyle w:val="Header1StyleE"/>
        <w:pBdr>
          <w:bottom w:val="single" w:sz="12" w:space="1" w:color="auto"/>
        </w:pBdr>
        <w:rPr>
          <w:lang w:val="fr-CA"/>
        </w:rPr>
      </w:pPr>
      <w:bookmarkStart w:id="1" w:name="QuickMark_1"/>
      <w:bookmarkStart w:id="2" w:name="_Toc57270710"/>
      <w:bookmarkEnd w:id="1"/>
      <w:r w:rsidRPr="001126AB">
        <w:rPr>
          <w:lang w:val="fr-CA"/>
        </w:rPr>
        <w:lastRenderedPageBreak/>
        <w:t>Judgments on applications</w:t>
      </w:r>
      <w:r w:rsidR="000C1D9D" w:rsidRPr="001126AB">
        <w:rPr>
          <w:lang w:val="fr-CA"/>
        </w:rPr>
        <w:t xml:space="preserve"> </w:t>
      </w:r>
      <w:r w:rsidRPr="001126AB">
        <w:rPr>
          <w:lang w:val="fr-CA"/>
        </w:rPr>
        <w:t>for leave</w:t>
      </w:r>
      <w:r w:rsidR="00693C38" w:rsidRPr="001126AB">
        <w:rPr>
          <w:noProof/>
          <w:sz w:val="20"/>
          <w:lang w:val="fr-CA"/>
        </w:rPr>
        <w:t xml:space="preserve"> </w:t>
      </w:r>
      <w:r w:rsidR="00271E1E" w:rsidRPr="001126AB">
        <w:rPr>
          <w:noProof/>
          <w:sz w:val="20"/>
          <w:lang w:val="fr-CA"/>
        </w:rPr>
        <w:t xml:space="preserve">/ </w:t>
      </w:r>
      <w:r w:rsidR="00693C38" w:rsidRPr="001126AB">
        <w:rPr>
          <w:noProof/>
          <w:sz w:val="20"/>
          <w:lang w:val="fr-CA"/>
        </w:rPr>
        <w:br/>
      </w:r>
      <w:r w:rsidRPr="001126AB">
        <w:rPr>
          <w:lang w:val="fr-CA"/>
        </w:rPr>
        <w:t>Jugements rendus sur les demandes d’autorisation</w:t>
      </w:r>
      <w:bookmarkEnd w:id="2"/>
    </w:p>
    <w:p w:rsidR="00FB1DB6" w:rsidRPr="001126AB" w:rsidRDefault="00FB1DB6" w:rsidP="00693C38">
      <w:pPr>
        <w:rPr>
          <w:sz w:val="20"/>
          <w:szCs w:val="20"/>
          <w:lang w:val="fr-CA"/>
        </w:rPr>
      </w:pPr>
    </w:p>
    <w:p w:rsidR="00F16063" w:rsidRPr="001126AB" w:rsidRDefault="001A7A20" w:rsidP="00F16063">
      <w:pPr>
        <w:rPr>
          <w:b/>
          <w:sz w:val="20"/>
          <w:szCs w:val="20"/>
        </w:rPr>
      </w:pPr>
      <w:r w:rsidRPr="001126AB">
        <w:rPr>
          <w:b/>
          <w:sz w:val="20"/>
          <w:szCs w:val="20"/>
          <w:lang w:val="fr-CA"/>
        </w:rPr>
        <w:t>NOVEMBER</w:t>
      </w:r>
      <w:r w:rsidR="00F16063" w:rsidRPr="001126AB">
        <w:rPr>
          <w:b/>
          <w:sz w:val="20"/>
          <w:szCs w:val="20"/>
        </w:rPr>
        <w:t xml:space="preserve"> </w:t>
      </w:r>
      <w:r w:rsidRPr="001126AB">
        <w:rPr>
          <w:b/>
          <w:sz w:val="20"/>
          <w:szCs w:val="20"/>
        </w:rPr>
        <w:t>26</w:t>
      </w:r>
      <w:r w:rsidR="00F16063" w:rsidRPr="001126AB">
        <w:rPr>
          <w:b/>
          <w:sz w:val="20"/>
          <w:szCs w:val="20"/>
        </w:rPr>
        <w:t xml:space="preserve">, </w:t>
      </w:r>
      <w:r w:rsidR="0034657E" w:rsidRPr="001126AB">
        <w:rPr>
          <w:b/>
          <w:sz w:val="20"/>
          <w:szCs w:val="20"/>
        </w:rPr>
        <w:t>20</w:t>
      </w:r>
      <w:r w:rsidR="005967EF" w:rsidRPr="001126AB">
        <w:rPr>
          <w:b/>
          <w:sz w:val="20"/>
          <w:szCs w:val="20"/>
        </w:rPr>
        <w:t>20</w:t>
      </w:r>
      <w:r w:rsidR="00F16063" w:rsidRPr="001126AB">
        <w:rPr>
          <w:b/>
          <w:sz w:val="20"/>
          <w:szCs w:val="20"/>
        </w:rPr>
        <w:t xml:space="preserve"> / LE </w:t>
      </w:r>
      <w:r w:rsidRPr="001126AB">
        <w:rPr>
          <w:b/>
          <w:sz w:val="20"/>
          <w:szCs w:val="20"/>
        </w:rPr>
        <w:t>26</w:t>
      </w:r>
      <w:r w:rsidR="00F16063" w:rsidRPr="001126AB">
        <w:rPr>
          <w:b/>
          <w:sz w:val="20"/>
          <w:szCs w:val="20"/>
        </w:rPr>
        <w:t xml:space="preserve"> </w:t>
      </w:r>
      <w:r w:rsidRPr="001126AB">
        <w:rPr>
          <w:b/>
          <w:sz w:val="20"/>
          <w:szCs w:val="20"/>
        </w:rPr>
        <w:t>NOVEMBRE</w:t>
      </w:r>
      <w:r w:rsidR="00F16063" w:rsidRPr="001126AB">
        <w:rPr>
          <w:b/>
          <w:sz w:val="20"/>
          <w:szCs w:val="20"/>
        </w:rPr>
        <w:t xml:space="preserve"> </w:t>
      </w:r>
      <w:r w:rsidR="0034657E" w:rsidRPr="001126AB">
        <w:rPr>
          <w:b/>
          <w:sz w:val="20"/>
          <w:szCs w:val="20"/>
        </w:rPr>
        <w:t>20</w:t>
      </w:r>
      <w:r w:rsidR="005967EF" w:rsidRPr="001126AB">
        <w:rPr>
          <w:b/>
          <w:sz w:val="20"/>
          <w:szCs w:val="20"/>
        </w:rPr>
        <w:t>20</w:t>
      </w:r>
    </w:p>
    <w:p w:rsidR="00E8665F" w:rsidRPr="001126AB" w:rsidRDefault="00E8665F" w:rsidP="00E8665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39183</w:t>
            </w:r>
          </w:p>
        </w:tc>
        <w:tc>
          <w:tcPr>
            <w:tcW w:w="4457" w:type="pct"/>
            <w:gridSpan w:val="3"/>
          </w:tcPr>
          <w:p w:rsidR="00E8665F" w:rsidRPr="001126AB" w:rsidRDefault="00E8665F" w:rsidP="00D245D5">
            <w:pPr>
              <w:jc w:val="both"/>
              <w:rPr>
                <w:sz w:val="20"/>
              </w:rPr>
            </w:pPr>
            <w:r w:rsidRPr="001126AB">
              <w:rPr>
                <w:b/>
                <w:sz w:val="20"/>
              </w:rPr>
              <w:t xml:space="preserve">WORKS Gourmet Burger Bistro Inc., </w:t>
            </w:r>
            <w:r w:rsidR="00A01AA0" w:rsidRPr="001126AB">
              <w:rPr>
                <w:b/>
                <w:sz w:val="20"/>
              </w:rPr>
              <w:t>WORKS Realty Corp., Fresh Brands Inc., Andrew O’Brien aka Thomas Andrew O’Brien, Sean Bell and David Wilson</w:t>
            </w:r>
            <w:r w:rsidRPr="001126AB">
              <w:rPr>
                <w:b/>
                <w:sz w:val="20"/>
              </w:rPr>
              <w:t xml:space="preserve"> v. 2352392 Ontario Inc., </w:t>
            </w:r>
            <w:r w:rsidR="00A01AA0" w:rsidRPr="001126AB">
              <w:rPr>
                <w:b/>
                <w:sz w:val="20"/>
              </w:rPr>
              <w:t>Brent Shearer, Vusumzi Msi and Vusumzi Msi Professional Corporation</w:t>
            </w:r>
          </w:p>
          <w:p w:rsidR="00E8665F" w:rsidRPr="001126AB" w:rsidRDefault="00E8665F" w:rsidP="00D245D5">
            <w:pPr>
              <w:jc w:val="both"/>
              <w:rPr>
                <w:sz w:val="20"/>
              </w:rPr>
            </w:pPr>
            <w:r w:rsidRPr="001126AB">
              <w:rPr>
                <w:sz w:val="20"/>
              </w:rPr>
              <w:t>(Ont.) (Civil) (By Leave)</w:t>
            </w:r>
          </w:p>
        </w:tc>
      </w:tr>
      <w:tr w:rsidR="00785D14" w:rsidRPr="001126AB" w:rsidTr="00D245D5">
        <w:tc>
          <w:tcPr>
            <w:tcW w:w="5000" w:type="pct"/>
            <w:gridSpan w:val="4"/>
          </w:tcPr>
          <w:p w:rsidR="00A01AA0" w:rsidRPr="001126AB" w:rsidRDefault="00A01AA0" w:rsidP="00A01AA0">
            <w:pPr>
              <w:jc w:val="both"/>
              <w:rPr>
                <w:sz w:val="20"/>
                <w:szCs w:val="20"/>
              </w:rPr>
            </w:pPr>
            <w:r w:rsidRPr="001126AB">
              <w:rPr>
                <w:sz w:val="20"/>
                <w:szCs w:val="20"/>
              </w:rPr>
              <w:t>The application for leave to appeal from the judgment of the</w:t>
            </w:r>
            <w:bookmarkStart w:id="3" w:name="BM_1_"/>
            <w:bookmarkEnd w:id="3"/>
            <w:r w:rsidRPr="001126AB">
              <w:rPr>
                <w:sz w:val="20"/>
                <w:szCs w:val="20"/>
              </w:rPr>
              <w:t xml:space="preserve"> Court of Appeal for Ontario, Number C67245, 2020 ONCA 237, dated March 23, 2020, is dismissed with costs to the respondents, Vusumzi Msi and Vusumzi Msi Professional Corporation.</w:t>
            </w:r>
          </w:p>
          <w:p w:rsidR="00785D14" w:rsidRPr="001126AB" w:rsidRDefault="00785D1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 xml:space="preserve">Commercial law — Franchises — Notice of rescission — Whether the interpretation of statutory provisions requiring notice to be given prior to commencing litigation allow notice to be given by means of a pleading — </w:t>
            </w:r>
            <w:r w:rsidRPr="001126AB">
              <w:rPr>
                <w:i/>
                <w:sz w:val="20"/>
              </w:rPr>
              <w:t>Arthur Wishart Act (Franchise Disclosure)</w:t>
            </w:r>
            <w:r w:rsidRPr="001126AB">
              <w:rPr>
                <w:sz w:val="20"/>
              </w:rPr>
              <w:t>, 2000, S.O. 2000, c. 3, s. 6</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In the context of proceedings against their former counsel, the respondents Mr. Shearer and 2352392 Ontario Inc. took the position that their third party claim against the applicant WORKS did not constitute a valid notice of rescission of a franchise agreement they had with WORKS. The issue was brought as a motion before the Ontario Superior Court of Justice, who concluded that the third party claim did not count as a notice pursuant to the </w:t>
            </w:r>
            <w:r w:rsidRPr="001126AB">
              <w:rPr>
                <w:i/>
                <w:sz w:val="20"/>
              </w:rPr>
              <w:t>Arthur Wishart Act</w:t>
            </w:r>
            <w:r w:rsidRPr="001126AB">
              <w:rPr>
                <w:sz w:val="20"/>
              </w:rPr>
              <w:t xml:space="preserve">, as a notice under s. 6(3) of the </w:t>
            </w:r>
            <w:r w:rsidRPr="001126AB">
              <w:rPr>
                <w:i/>
                <w:sz w:val="20"/>
              </w:rPr>
              <w:t>Arthur Wishart Act</w:t>
            </w:r>
            <w:r w:rsidRPr="001126AB">
              <w:rPr>
                <w:sz w:val="20"/>
              </w:rPr>
              <w:t xml:space="preserve"> serves a different purpose from a pleading. The Court of Appeal unanimously allowed the appeal. In its view, the purpose of the notice of rescission is not to serve a precondition to litigation, and in this case the pleading served as notice. </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July 3, 2019</w:t>
            </w:r>
          </w:p>
          <w:p w:rsidR="00E8665F" w:rsidRPr="001126AB" w:rsidRDefault="00E8665F" w:rsidP="00D245D5">
            <w:pPr>
              <w:jc w:val="both"/>
              <w:rPr>
                <w:sz w:val="20"/>
              </w:rPr>
            </w:pPr>
            <w:r w:rsidRPr="001126AB">
              <w:rPr>
                <w:sz w:val="20"/>
              </w:rPr>
              <w:t>Ontario Superior Court of Justice</w:t>
            </w:r>
          </w:p>
          <w:p w:rsidR="00E8665F" w:rsidRPr="001126AB" w:rsidRDefault="00E8665F" w:rsidP="00D245D5">
            <w:pPr>
              <w:jc w:val="both"/>
              <w:rPr>
                <w:sz w:val="20"/>
              </w:rPr>
            </w:pPr>
            <w:r w:rsidRPr="001126AB">
              <w:rPr>
                <w:sz w:val="20"/>
              </w:rPr>
              <w:t>(</w:t>
            </w:r>
            <w:proofErr w:type="spellStart"/>
            <w:r w:rsidRPr="001126AB">
              <w:rPr>
                <w:sz w:val="20"/>
              </w:rPr>
              <w:t>Nakatsuru</w:t>
            </w:r>
            <w:proofErr w:type="spellEnd"/>
            <w:r w:rsidRPr="001126AB">
              <w:rPr>
                <w:sz w:val="20"/>
              </w:rPr>
              <w:t xml:space="preserve"> J.)</w:t>
            </w:r>
          </w:p>
          <w:p w:rsidR="00E8665F" w:rsidRPr="001126AB" w:rsidRDefault="008F207C" w:rsidP="00D245D5">
            <w:pPr>
              <w:jc w:val="both"/>
              <w:rPr>
                <w:sz w:val="20"/>
              </w:rPr>
            </w:pPr>
            <w:hyperlink r:id="rId15" w:history="1">
              <w:r w:rsidR="00E8665F" w:rsidRPr="001126AB">
                <w:rPr>
                  <w:rStyle w:val="Hyperlink"/>
                  <w:sz w:val="20"/>
                </w:rPr>
                <w:t>2019 ONSC 4055</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Third party claim by respondents 2352392 Ontario Inc. and Brent Shearer does not to constitute proper notice of rescission of franchise agreement, ordered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March 23, 2020</w:t>
            </w:r>
          </w:p>
          <w:p w:rsidR="00E8665F" w:rsidRPr="001126AB" w:rsidRDefault="00E8665F" w:rsidP="00D245D5">
            <w:pPr>
              <w:jc w:val="both"/>
              <w:rPr>
                <w:sz w:val="20"/>
              </w:rPr>
            </w:pPr>
            <w:r w:rsidRPr="001126AB">
              <w:rPr>
                <w:sz w:val="20"/>
              </w:rPr>
              <w:t>Court of Appeal for Ontario</w:t>
            </w:r>
          </w:p>
          <w:p w:rsidR="00E8665F" w:rsidRPr="001126AB" w:rsidRDefault="00E8665F" w:rsidP="00D245D5">
            <w:pPr>
              <w:jc w:val="both"/>
              <w:rPr>
                <w:sz w:val="20"/>
              </w:rPr>
            </w:pPr>
            <w:r w:rsidRPr="001126AB">
              <w:rPr>
                <w:sz w:val="20"/>
              </w:rPr>
              <w:t>(Feldman, Huscroft and Harvison JJ.A.)</w:t>
            </w:r>
          </w:p>
          <w:p w:rsidR="00E8665F" w:rsidRPr="001126AB" w:rsidRDefault="008F207C" w:rsidP="00D245D5">
            <w:pPr>
              <w:jc w:val="both"/>
              <w:rPr>
                <w:sz w:val="20"/>
              </w:rPr>
            </w:pPr>
            <w:hyperlink r:id="rId16" w:history="1">
              <w:r w:rsidR="00E8665F" w:rsidRPr="001126AB">
                <w:rPr>
                  <w:rStyle w:val="Hyperlink"/>
                  <w:sz w:val="20"/>
                </w:rPr>
                <w:t>2020 ONCA 237</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allowed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May 22,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34"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lang w:val="fr-CA"/>
              </w:rPr>
            </w:pPr>
            <w:r w:rsidRPr="001126AB">
              <w:rPr>
                <w:rStyle w:val="SCCFileNumberChar"/>
                <w:sz w:val="20"/>
                <w:szCs w:val="20"/>
                <w:lang w:val="fr-CA"/>
              </w:rPr>
              <w:t>39183</w:t>
            </w:r>
          </w:p>
        </w:tc>
        <w:tc>
          <w:tcPr>
            <w:tcW w:w="4457" w:type="pct"/>
            <w:gridSpan w:val="3"/>
          </w:tcPr>
          <w:p w:rsidR="00E8665F" w:rsidRPr="001126AB" w:rsidRDefault="00E8665F" w:rsidP="00D245D5">
            <w:pPr>
              <w:jc w:val="both"/>
              <w:rPr>
                <w:sz w:val="20"/>
                <w:lang w:val="en-US"/>
              </w:rPr>
            </w:pPr>
            <w:r w:rsidRPr="001126AB">
              <w:rPr>
                <w:b/>
                <w:sz w:val="20"/>
              </w:rPr>
              <w:t xml:space="preserve">WORKS Gourmet Burger Bistro Inc., </w:t>
            </w:r>
            <w:r w:rsidR="00A01AA0" w:rsidRPr="001126AB">
              <w:rPr>
                <w:b/>
                <w:sz w:val="20"/>
              </w:rPr>
              <w:t>WORKS Realty Corp., Fresh Brands Inc., Andrew O’Brien alias Thomas Andrew O’Brien, Sean Bell et David Wilson</w:t>
            </w:r>
            <w:r w:rsidRPr="001126AB">
              <w:rPr>
                <w:b/>
                <w:sz w:val="20"/>
              </w:rPr>
              <w:t xml:space="preserve"> c. 2352392 Ontario Inc., </w:t>
            </w:r>
            <w:r w:rsidR="00A01AA0" w:rsidRPr="001126AB">
              <w:rPr>
                <w:b/>
                <w:sz w:val="20"/>
              </w:rPr>
              <w:t>Brent Shearer, Vusumzi Msi et Vusumzi Msi Professional Corporation</w:t>
            </w:r>
          </w:p>
          <w:p w:rsidR="00E8665F" w:rsidRPr="001126AB" w:rsidRDefault="00E8665F" w:rsidP="00D245D5">
            <w:pPr>
              <w:jc w:val="both"/>
              <w:rPr>
                <w:sz w:val="20"/>
                <w:lang w:val="fr-CA"/>
              </w:rPr>
            </w:pPr>
            <w:r w:rsidRPr="001126AB">
              <w:rPr>
                <w:sz w:val="20"/>
                <w:lang w:val="fr-CA"/>
              </w:rPr>
              <w:t>(Ont.) (Civile) (Sur autorisation)</w:t>
            </w:r>
          </w:p>
        </w:tc>
      </w:tr>
      <w:tr w:rsidR="00785D14" w:rsidRPr="001126AB" w:rsidTr="00D245D5">
        <w:tc>
          <w:tcPr>
            <w:tcW w:w="5000" w:type="pct"/>
            <w:gridSpan w:val="4"/>
          </w:tcPr>
          <w:p w:rsidR="00785D14" w:rsidRPr="001126AB" w:rsidRDefault="00A01AA0" w:rsidP="00D245D5">
            <w:pPr>
              <w:jc w:val="both"/>
              <w:rPr>
                <w:sz w:val="20"/>
                <w:szCs w:val="20"/>
                <w:lang w:val="fr-CA"/>
              </w:rPr>
            </w:pPr>
            <w:r w:rsidRPr="001126AB">
              <w:rPr>
                <w:sz w:val="20"/>
                <w:szCs w:val="20"/>
                <w:lang w:val="fr-CA"/>
              </w:rPr>
              <w:t>La demande d’autorisation d’appel de l’arrêt de la Cour d’appel de l’Ontario, numéro C67245, 2020 ONCA 237, daté du 23 mars 2020, est rejet</w:t>
            </w:r>
            <w:r w:rsidRPr="001126AB">
              <w:rPr>
                <w:rFonts w:cs="Times New Roman"/>
                <w:sz w:val="20"/>
                <w:szCs w:val="20"/>
                <w:lang w:val="fr-CA"/>
              </w:rPr>
              <w:t>é</w:t>
            </w:r>
            <w:r w:rsidRPr="001126AB">
              <w:rPr>
                <w:sz w:val="20"/>
                <w:szCs w:val="20"/>
                <w:lang w:val="fr-CA"/>
              </w:rPr>
              <w:t>e avec d</w:t>
            </w:r>
            <w:r w:rsidRPr="001126AB">
              <w:rPr>
                <w:rFonts w:cs="Times New Roman"/>
                <w:sz w:val="20"/>
                <w:szCs w:val="20"/>
                <w:lang w:val="fr-CA"/>
              </w:rPr>
              <w:t>é</w:t>
            </w:r>
            <w:r w:rsidRPr="001126AB">
              <w:rPr>
                <w:sz w:val="20"/>
                <w:szCs w:val="20"/>
                <w:lang w:val="fr-CA"/>
              </w:rPr>
              <w:t>pens en faveur des intim</w:t>
            </w:r>
            <w:r w:rsidRPr="001126AB">
              <w:rPr>
                <w:rFonts w:cs="Times New Roman"/>
                <w:sz w:val="20"/>
                <w:szCs w:val="20"/>
                <w:lang w:val="fr-CA"/>
              </w:rPr>
              <w:t>é</w:t>
            </w:r>
            <w:r w:rsidRPr="001126AB">
              <w:rPr>
                <w:sz w:val="20"/>
                <w:szCs w:val="20"/>
                <w:lang w:val="fr-CA"/>
              </w:rPr>
              <w:t>s, Vusumzi Msi et Vusumzi Msi Professional Corporation.</w:t>
            </w:r>
          </w:p>
          <w:p w:rsidR="00A01AA0" w:rsidRPr="001126AB" w:rsidRDefault="00A01AA0"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Droit commercial — Franchises — Avis de résolution — Les dispositions d’une loi exigeant qu’un avis soit donné avant l’introduction d’une poursuite peuvent</w:t>
            </w:r>
            <w:r w:rsidRPr="001126AB">
              <w:rPr>
                <w:sz w:val="20"/>
                <w:lang w:val="fr-CA"/>
              </w:rPr>
              <w:noBreakHyphen/>
              <w:t xml:space="preserve">elles être interprétées de manière à permettre que l’avis soit donné au moyen d’un acte de procédure ? — </w:t>
            </w:r>
            <w:r w:rsidRPr="001126AB">
              <w:rPr>
                <w:i/>
                <w:iCs/>
                <w:sz w:val="20"/>
                <w:lang w:val="fr-CA"/>
              </w:rPr>
              <w:t>Loi Arthur Wishart de 2000 sur la divulgation relative aux franchises</w:t>
            </w:r>
            <w:r w:rsidRPr="001126AB">
              <w:rPr>
                <w:sz w:val="20"/>
                <w:lang w:val="fr-CA"/>
              </w:rPr>
              <w:t>, L.O. 2000, ch. 3, art. 6</w:t>
            </w:r>
          </w:p>
        </w:tc>
      </w:tr>
      <w:tr w:rsidR="00E8665F" w:rsidRPr="001126AB" w:rsidTr="00D245D5">
        <w:tc>
          <w:tcPr>
            <w:tcW w:w="5000" w:type="pct"/>
            <w:gridSpan w:val="4"/>
          </w:tcPr>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lastRenderedPageBreak/>
              <w:t xml:space="preserve">Dans le contexte d’une instance à l’encontre de leur ancien avocat, les intimés M. Shearer et 2352392 Ontario Inc. étaient d’avis que leur mise en cause du demandeur WORKS ne constituait pas un avis de résolution valide du contrat de franchisage qu’ils avaient conclu avec WORKS. La question a été présentée sous forme de motion devant la Cour supérieure de justice de l’Ontario, qui a conclu que la mise en cause ne constituait pas un avis aux termes de la </w:t>
            </w:r>
            <w:r w:rsidRPr="001126AB">
              <w:rPr>
                <w:i/>
                <w:iCs/>
                <w:sz w:val="20"/>
                <w:lang w:val="fr-CA"/>
              </w:rPr>
              <w:t>Loi Arthur Wishart</w:t>
            </w:r>
            <w:r w:rsidRPr="001126AB">
              <w:rPr>
                <w:sz w:val="20"/>
                <w:lang w:val="fr-CA"/>
              </w:rPr>
              <w:t xml:space="preserve">, car l’avis prévu au </w:t>
            </w:r>
            <w:proofErr w:type="spellStart"/>
            <w:r w:rsidRPr="001126AB">
              <w:rPr>
                <w:sz w:val="20"/>
                <w:lang w:val="fr-CA"/>
              </w:rPr>
              <w:t>par</w:t>
            </w:r>
            <w:proofErr w:type="spellEnd"/>
            <w:r w:rsidRPr="001126AB">
              <w:rPr>
                <w:sz w:val="20"/>
                <w:lang w:val="fr-CA"/>
              </w:rPr>
              <w:t xml:space="preserve">. 6(3) de la </w:t>
            </w:r>
            <w:r w:rsidRPr="001126AB">
              <w:rPr>
                <w:i/>
                <w:iCs/>
                <w:sz w:val="20"/>
                <w:lang w:val="fr-CA"/>
              </w:rPr>
              <w:t>Loi Arthur Wishart</w:t>
            </w:r>
            <w:r w:rsidRPr="001126AB">
              <w:rPr>
                <w:sz w:val="20"/>
                <w:lang w:val="fr-CA"/>
              </w:rPr>
              <w:t xml:space="preserve"> vise un objectif différent d’un acte de procédure. La Cour d’appel a accueilli l’appel à l’unanimité. À son avis, l’objectif de l’avis de résolution n’est pas de servir de condition préalable à une poursuite, et en l’espèce l’acte de procédure a servi d’avis. </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3 juillet 2019</w:t>
            </w:r>
          </w:p>
          <w:p w:rsidR="00E8665F" w:rsidRPr="001126AB" w:rsidRDefault="00E8665F" w:rsidP="00D245D5">
            <w:pPr>
              <w:jc w:val="both"/>
              <w:rPr>
                <w:sz w:val="20"/>
                <w:lang w:val="fr-CA"/>
              </w:rPr>
            </w:pPr>
            <w:r w:rsidRPr="001126AB">
              <w:rPr>
                <w:sz w:val="20"/>
                <w:lang w:val="fr-CA"/>
              </w:rPr>
              <w:t xml:space="preserve">Cour supérieure de justice de l’Ontario </w:t>
            </w:r>
          </w:p>
          <w:p w:rsidR="00E8665F" w:rsidRPr="001126AB" w:rsidRDefault="00E8665F" w:rsidP="00D245D5">
            <w:pPr>
              <w:jc w:val="both"/>
              <w:rPr>
                <w:sz w:val="20"/>
                <w:lang w:val="fr-CA"/>
              </w:rPr>
            </w:pPr>
            <w:r w:rsidRPr="001126AB">
              <w:rPr>
                <w:sz w:val="20"/>
                <w:lang w:val="fr-CA"/>
              </w:rPr>
              <w:t xml:space="preserve">(Juge </w:t>
            </w:r>
            <w:proofErr w:type="spellStart"/>
            <w:r w:rsidRPr="001126AB">
              <w:rPr>
                <w:sz w:val="20"/>
                <w:lang w:val="fr-CA"/>
              </w:rPr>
              <w:t>Nakatsuru</w:t>
            </w:r>
            <w:proofErr w:type="spellEnd"/>
            <w:r w:rsidRPr="001126AB">
              <w:rPr>
                <w:sz w:val="20"/>
                <w:lang w:val="fr-CA"/>
              </w:rPr>
              <w:t>)</w:t>
            </w:r>
          </w:p>
          <w:p w:rsidR="00E8665F" w:rsidRPr="001126AB" w:rsidRDefault="008F207C" w:rsidP="00D245D5">
            <w:pPr>
              <w:jc w:val="both"/>
              <w:rPr>
                <w:sz w:val="20"/>
                <w:lang w:val="fr-CA"/>
              </w:rPr>
            </w:pPr>
            <w:hyperlink r:id="rId17" w:history="1">
              <w:r w:rsidR="00E8665F" w:rsidRPr="001126AB">
                <w:rPr>
                  <w:rStyle w:val="Hyperlink"/>
                  <w:sz w:val="20"/>
                  <w:lang w:val="fr-CA"/>
                </w:rPr>
                <w:t>2019 ONSC 4055</w:t>
              </w:r>
            </w:hyperlink>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 xml:space="preserve">Ordonnance portant que la mise en cause présentée par les intimés 2352392 Ontario Inc. et Brent Shearer ne constitue pas un avis en bonne et due forme de la résolution du contrat de franchisage. </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23 mars 2020</w:t>
            </w:r>
          </w:p>
          <w:p w:rsidR="00E8665F" w:rsidRPr="001126AB" w:rsidRDefault="00E8665F" w:rsidP="00D245D5">
            <w:pPr>
              <w:jc w:val="both"/>
              <w:rPr>
                <w:sz w:val="20"/>
                <w:lang w:val="fr-CA"/>
              </w:rPr>
            </w:pPr>
            <w:r w:rsidRPr="001126AB">
              <w:rPr>
                <w:sz w:val="20"/>
                <w:lang w:val="fr-CA"/>
              </w:rPr>
              <w:t>Cour d’appel de l’Ontario</w:t>
            </w:r>
          </w:p>
          <w:p w:rsidR="00E8665F" w:rsidRPr="001126AB" w:rsidRDefault="00E8665F" w:rsidP="00D245D5">
            <w:pPr>
              <w:jc w:val="both"/>
              <w:rPr>
                <w:sz w:val="20"/>
                <w:lang w:val="fr-CA"/>
              </w:rPr>
            </w:pPr>
            <w:r w:rsidRPr="001126AB">
              <w:rPr>
                <w:sz w:val="20"/>
                <w:lang w:val="fr-CA"/>
              </w:rPr>
              <w:t xml:space="preserve">(Juges Feldman, Huscroft et </w:t>
            </w:r>
            <w:proofErr w:type="spellStart"/>
            <w:r w:rsidRPr="001126AB">
              <w:rPr>
                <w:sz w:val="20"/>
                <w:lang w:val="fr-CA"/>
              </w:rPr>
              <w:t>Harvison</w:t>
            </w:r>
            <w:proofErr w:type="spellEnd"/>
            <w:r w:rsidRPr="001126AB">
              <w:rPr>
                <w:sz w:val="20"/>
                <w:lang w:val="fr-CA"/>
              </w:rPr>
              <w:t>)</w:t>
            </w:r>
          </w:p>
          <w:p w:rsidR="00E8665F" w:rsidRPr="001126AB" w:rsidRDefault="008F207C" w:rsidP="00D245D5">
            <w:pPr>
              <w:jc w:val="both"/>
              <w:rPr>
                <w:sz w:val="20"/>
                <w:lang w:val="fr-CA"/>
              </w:rPr>
            </w:pPr>
            <w:hyperlink r:id="rId18" w:history="1">
              <w:r w:rsidR="00E8665F" w:rsidRPr="001126AB">
                <w:rPr>
                  <w:rStyle w:val="Hyperlink"/>
                  <w:sz w:val="20"/>
                  <w:lang w:val="fr-CA"/>
                </w:rPr>
                <w:t>2020 ONCA 237</w:t>
              </w:r>
            </w:hyperlink>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Appel accueilli.</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22 mai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 xml:space="preserve">Demande d’autorisation d’appel présentée. </w:t>
            </w:r>
          </w:p>
          <w:p w:rsidR="00E8665F" w:rsidRPr="001126AB" w:rsidRDefault="00E8665F" w:rsidP="00D245D5">
            <w:pPr>
              <w:jc w:val="both"/>
              <w:rPr>
                <w:sz w:val="20"/>
                <w:lang w:val="fr-CA"/>
              </w:rPr>
            </w:pPr>
          </w:p>
        </w:tc>
      </w:tr>
    </w:tbl>
    <w:p w:rsidR="00E8665F" w:rsidRPr="001126AB" w:rsidRDefault="00E8665F" w:rsidP="00E8665F">
      <w:pPr>
        <w:jc w:val="both"/>
        <w:rPr>
          <w:sz w:val="20"/>
          <w:lang w:val="fr-CA"/>
        </w:rPr>
      </w:pPr>
    </w:p>
    <w:p w:rsidR="00E8665F" w:rsidRPr="001126AB" w:rsidRDefault="008F207C" w:rsidP="00E8665F">
      <w:pPr>
        <w:widowControl w:val="0"/>
        <w:jc w:val="both"/>
        <w:rPr>
          <w:sz w:val="20"/>
        </w:rPr>
      </w:pPr>
      <w:r w:rsidRPr="001126AB">
        <w:rPr>
          <w:sz w:val="20"/>
        </w:rPr>
        <w:pict>
          <v:rect id="_x0000_i1035" style="width:2in;height:1pt" o:hrpct="0" o:hralign="center" o:hrstd="t" o:hrnoshade="t" o:hr="t" fillcolor="black [3213]" stroked="f"/>
        </w:pict>
      </w:r>
    </w:p>
    <w:p w:rsidR="00E8665F" w:rsidRPr="001126AB" w:rsidRDefault="00E8665F" w:rsidP="00E8665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39255</w:t>
            </w:r>
          </w:p>
        </w:tc>
        <w:tc>
          <w:tcPr>
            <w:tcW w:w="4457" w:type="pct"/>
            <w:gridSpan w:val="3"/>
          </w:tcPr>
          <w:p w:rsidR="00E8665F" w:rsidRPr="001126AB" w:rsidRDefault="00E8665F" w:rsidP="00D245D5">
            <w:pPr>
              <w:pStyle w:val="SCCLsocParty"/>
              <w:jc w:val="both"/>
              <w:rPr>
                <w:b/>
                <w:sz w:val="20"/>
                <w:szCs w:val="20"/>
                <w:lang w:val="en-CA"/>
              </w:rPr>
            </w:pPr>
            <w:r w:rsidRPr="001126AB">
              <w:rPr>
                <w:b/>
                <w:sz w:val="20"/>
                <w:szCs w:val="20"/>
                <w:lang w:val="en-CA"/>
              </w:rPr>
              <w:t>Lyne Bélanger v. Her Majesty the Queen</w:t>
            </w:r>
          </w:p>
          <w:p w:rsidR="00E8665F" w:rsidRPr="001126AB" w:rsidRDefault="00E8665F" w:rsidP="00D245D5">
            <w:pPr>
              <w:jc w:val="both"/>
              <w:rPr>
                <w:sz w:val="20"/>
              </w:rPr>
            </w:pPr>
            <w:r w:rsidRPr="001126AB">
              <w:rPr>
                <w:sz w:val="20"/>
              </w:rPr>
              <w:t>(Que.) (Criminal) (By Leave)</w:t>
            </w:r>
          </w:p>
        </w:tc>
      </w:tr>
      <w:tr w:rsidR="00785D14" w:rsidRPr="001126AB" w:rsidTr="00D245D5">
        <w:tc>
          <w:tcPr>
            <w:tcW w:w="5000" w:type="pct"/>
            <w:gridSpan w:val="4"/>
          </w:tcPr>
          <w:p w:rsidR="00785D14" w:rsidRPr="001126AB" w:rsidRDefault="000B0824" w:rsidP="00D245D5">
            <w:pPr>
              <w:jc w:val="both"/>
              <w:rPr>
                <w:sz w:val="20"/>
                <w:szCs w:val="20"/>
              </w:rPr>
            </w:pPr>
            <w:r w:rsidRPr="001126AB">
              <w:rPr>
                <w:sz w:val="20"/>
                <w:szCs w:val="20"/>
              </w:rPr>
              <w:t xml:space="preserve">The motion for an extension of time to serve and file the application for leave to appeal is granted. The application for leave to appeal from the judgment of the </w:t>
            </w:r>
            <w:r w:rsidRPr="001126AB">
              <w:rPr>
                <w:sz w:val="20"/>
                <w:szCs w:val="20"/>
                <w:lang w:val="en-US"/>
              </w:rPr>
              <w:t>Court of Appeal of Quebec (Québec)</w:t>
            </w:r>
            <w:r w:rsidRPr="001126AB">
              <w:rPr>
                <w:sz w:val="20"/>
                <w:szCs w:val="20"/>
              </w:rPr>
              <w:t xml:space="preserve">, Number </w:t>
            </w:r>
            <w:r w:rsidRPr="001126AB">
              <w:rPr>
                <w:sz w:val="20"/>
                <w:szCs w:val="20"/>
                <w:lang w:val="en-US"/>
              </w:rPr>
              <w:t>200-10-003497-182, 2020 QCCA 431</w:t>
            </w:r>
            <w:r w:rsidRPr="001126AB">
              <w:rPr>
                <w:sz w:val="20"/>
                <w:szCs w:val="20"/>
              </w:rPr>
              <w:t xml:space="preserve">, dated </w:t>
            </w:r>
            <w:r w:rsidRPr="001126AB">
              <w:rPr>
                <w:sz w:val="20"/>
                <w:szCs w:val="20"/>
                <w:lang w:val="en-US"/>
              </w:rPr>
              <w:t>March 16, 2020,</w:t>
            </w:r>
            <w:r w:rsidRPr="001126AB">
              <w:rPr>
                <w:sz w:val="20"/>
                <w:szCs w:val="20"/>
              </w:rPr>
              <w:t xml:space="preserve"> is dismissed.</w:t>
            </w:r>
          </w:p>
          <w:p w:rsidR="000B0824" w:rsidRPr="001126AB" w:rsidRDefault="000B082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Criminal law — Evidence — Whether Court of Appeal erred in upholding conviction based solely on incomplete circumstantial evidence even though judgment rendered by trial court ordered disclosure of evidence by Crown, thereby undermining fundamental principles of our criminal law system, namely presumption of innocence, right to make full answer and defence, and search for truth.</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t>The applicant, Ms. Bélanger, was tried on charges of fraud and theft of a sum of money over $5,000.</w:t>
            </w:r>
          </w:p>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The Court of Québec found that the circumstantial evidence presented by the prosecution excluded any logical possibility other than Ms. Bélanger’s guilt. It convicted her of the fraud charges. The Court of Appeal unanimously dismissed the appeal. In its view, the trial judge had not failed to consider relevant evidence that was favourable to Ms. Bélanger, and there was no reviewable error in the judge’s analysis of the circumstantial evidence. </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February 16, 2018</w:t>
            </w:r>
          </w:p>
          <w:p w:rsidR="00E8665F" w:rsidRPr="001126AB" w:rsidRDefault="00E8665F" w:rsidP="00D245D5">
            <w:pPr>
              <w:jc w:val="both"/>
              <w:rPr>
                <w:sz w:val="20"/>
              </w:rPr>
            </w:pPr>
            <w:r w:rsidRPr="001126AB">
              <w:rPr>
                <w:sz w:val="20"/>
              </w:rPr>
              <w:t>Court of Québec</w:t>
            </w:r>
          </w:p>
          <w:p w:rsidR="00E8665F" w:rsidRPr="001126AB" w:rsidRDefault="00E8665F" w:rsidP="00D245D5">
            <w:pPr>
              <w:jc w:val="both"/>
              <w:rPr>
                <w:sz w:val="20"/>
              </w:rPr>
            </w:pPr>
            <w:r w:rsidRPr="001126AB">
              <w:rPr>
                <w:sz w:val="20"/>
              </w:rPr>
              <w:t>(Judge St-Cyr)</w:t>
            </w:r>
          </w:p>
          <w:p w:rsidR="00E8665F" w:rsidRPr="001126AB" w:rsidRDefault="00E8665F" w:rsidP="00D245D5">
            <w:pPr>
              <w:jc w:val="both"/>
              <w:rPr>
                <w:sz w:val="20"/>
              </w:rPr>
            </w:pPr>
            <w:r w:rsidRPr="001126AB">
              <w:rPr>
                <w:sz w:val="20"/>
              </w:rPr>
              <w:t>300</w:t>
            </w:r>
            <w:r w:rsidRPr="001126AB">
              <w:rPr>
                <w:sz w:val="20"/>
              </w:rPr>
              <w:noBreakHyphen/>
              <w:t>01</w:t>
            </w:r>
            <w:r w:rsidRPr="001126AB">
              <w:rPr>
                <w:sz w:val="20"/>
              </w:rPr>
              <w:noBreakHyphen/>
              <w:t>013895</w:t>
            </w:r>
            <w:r w:rsidRPr="001126AB">
              <w:rPr>
                <w:sz w:val="20"/>
              </w:rPr>
              <w:noBreakHyphen/>
              <w:t>133</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Applicant convicted of fraud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March 16, 2020</w:t>
            </w:r>
          </w:p>
          <w:p w:rsidR="00E8665F" w:rsidRPr="001126AB" w:rsidRDefault="00E8665F" w:rsidP="00D245D5">
            <w:pPr>
              <w:jc w:val="both"/>
              <w:rPr>
                <w:sz w:val="20"/>
              </w:rPr>
            </w:pPr>
            <w:r w:rsidRPr="001126AB">
              <w:rPr>
                <w:sz w:val="20"/>
              </w:rPr>
              <w:t>Quebec Court of Appeal (Québec)</w:t>
            </w:r>
          </w:p>
          <w:p w:rsidR="00E8665F" w:rsidRPr="001126AB" w:rsidRDefault="00E8665F" w:rsidP="00D245D5">
            <w:pPr>
              <w:jc w:val="both"/>
              <w:rPr>
                <w:sz w:val="20"/>
              </w:rPr>
            </w:pPr>
            <w:r w:rsidRPr="001126AB">
              <w:rPr>
                <w:sz w:val="20"/>
              </w:rPr>
              <w:t>(</w:t>
            </w:r>
            <w:proofErr w:type="spellStart"/>
            <w:r w:rsidRPr="001126AB">
              <w:rPr>
                <w:sz w:val="20"/>
              </w:rPr>
              <w:t>Rancourt</w:t>
            </w:r>
            <w:proofErr w:type="spellEnd"/>
            <w:r w:rsidRPr="001126AB">
              <w:rPr>
                <w:sz w:val="20"/>
              </w:rPr>
              <w:t xml:space="preserve">, </w:t>
            </w:r>
            <w:proofErr w:type="spellStart"/>
            <w:r w:rsidRPr="001126AB">
              <w:rPr>
                <w:sz w:val="20"/>
              </w:rPr>
              <w:t>Beaupré</w:t>
            </w:r>
            <w:proofErr w:type="spellEnd"/>
            <w:r w:rsidRPr="001126AB">
              <w:rPr>
                <w:sz w:val="20"/>
              </w:rPr>
              <w:t xml:space="preserve"> and Moore JJ.A.)</w:t>
            </w:r>
          </w:p>
          <w:p w:rsidR="00E8665F" w:rsidRPr="001126AB" w:rsidRDefault="008F207C" w:rsidP="00D245D5">
            <w:pPr>
              <w:jc w:val="both"/>
              <w:rPr>
                <w:sz w:val="20"/>
              </w:rPr>
            </w:pPr>
            <w:hyperlink r:id="rId19" w:history="1">
              <w:r w:rsidR="00E8665F" w:rsidRPr="001126AB">
                <w:rPr>
                  <w:rStyle w:val="Hyperlink"/>
                  <w:sz w:val="20"/>
                </w:rPr>
                <w:t>2020 QCCA 431</w:t>
              </w:r>
            </w:hyperlink>
            <w:r w:rsidR="00E8665F" w:rsidRPr="001126AB">
              <w:rPr>
                <w:sz w:val="20"/>
              </w:rPr>
              <w:t xml:space="preserve"> </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dismissed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July 13,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36"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39255</w:t>
            </w:r>
          </w:p>
        </w:tc>
        <w:tc>
          <w:tcPr>
            <w:tcW w:w="4457" w:type="pct"/>
            <w:gridSpan w:val="3"/>
          </w:tcPr>
          <w:p w:rsidR="00E8665F" w:rsidRPr="001126AB" w:rsidRDefault="00E8665F" w:rsidP="00D245D5">
            <w:pPr>
              <w:pStyle w:val="SCCLsocParty"/>
              <w:jc w:val="both"/>
              <w:rPr>
                <w:b/>
                <w:sz w:val="20"/>
                <w:szCs w:val="20"/>
              </w:rPr>
            </w:pPr>
            <w:r w:rsidRPr="001126AB">
              <w:rPr>
                <w:b/>
                <w:sz w:val="20"/>
                <w:szCs w:val="20"/>
              </w:rPr>
              <w:t>Lyne Bélanger c. Sa Majesté la Reine</w:t>
            </w:r>
          </w:p>
          <w:p w:rsidR="00E8665F" w:rsidRPr="001126AB" w:rsidRDefault="00E8665F" w:rsidP="00D245D5">
            <w:pPr>
              <w:jc w:val="both"/>
              <w:rPr>
                <w:sz w:val="20"/>
              </w:rPr>
            </w:pPr>
            <w:r w:rsidRPr="001126AB">
              <w:rPr>
                <w:sz w:val="20"/>
              </w:rPr>
              <w:t>(Qc) (Criminelle) (Autorisation)</w:t>
            </w:r>
          </w:p>
        </w:tc>
      </w:tr>
      <w:tr w:rsidR="00785D14" w:rsidRPr="001126AB" w:rsidTr="00D245D5">
        <w:tc>
          <w:tcPr>
            <w:tcW w:w="5000" w:type="pct"/>
            <w:gridSpan w:val="4"/>
          </w:tcPr>
          <w:p w:rsidR="000B0824" w:rsidRPr="001126AB" w:rsidRDefault="000B0824" w:rsidP="000B0824">
            <w:pPr>
              <w:jc w:val="both"/>
              <w:rPr>
                <w:sz w:val="20"/>
                <w:szCs w:val="20"/>
                <w:lang w:val="fr-CA"/>
              </w:rPr>
            </w:pPr>
            <w:r w:rsidRPr="001126AB">
              <w:rPr>
                <w:sz w:val="20"/>
                <w:szCs w:val="20"/>
                <w:lang w:val="fr-CA"/>
              </w:rPr>
              <w:t>La requ</w:t>
            </w:r>
            <w:r w:rsidRPr="001126AB">
              <w:rPr>
                <w:rFonts w:cs="Times New Roman"/>
                <w:sz w:val="20"/>
                <w:szCs w:val="20"/>
                <w:lang w:val="fr-CA"/>
              </w:rPr>
              <w:t>ê</w:t>
            </w:r>
            <w:r w:rsidRPr="001126AB">
              <w:rPr>
                <w:sz w:val="20"/>
                <w:szCs w:val="20"/>
                <w:lang w:val="fr-CA"/>
              </w:rPr>
              <w:t>te en prorogation du d</w:t>
            </w:r>
            <w:r w:rsidRPr="001126AB">
              <w:rPr>
                <w:rFonts w:cs="Times New Roman"/>
                <w:sz w:val="20"/>
                <w:szCs w:val="20"/>
                <w:lang w:val="fr-CA"/>
              </w:rPr>
              <w:t>é</w:t>
            </w:r>
            <w:r w:rsidRPr="001126AB">
              <w:rPr>
                <w:sz w:val="20"/>
                <w:szCs w:val="20"/>
                <w:lang w:val="fr-CA"/>
              </w:rPr>
              <w:t>lai de signification et de d</w:t>
            </w:r>
            <w:r w:rsidRPr="001126AB">
              <w:rPr>
                <w:rFonts w:cs="Times New Roman"/>
                <w:sz w:val="20"/>
                <w:szCs w:val="20"/>
                <w:lang w:val="fr-CA"/>
              </w:rPr>
              <w:t>é</w:t>
            </w:r>
            <w:r w:rsidRPr="001126AB">
              <w:rPr>
                <w:sz w:val="20"/>
                <w:szCs w:val="20"/>
                <w:lang w:val="fr-CA"/>
              </w:rPr>
              <w:t>p</w:t>
            </w:r>
            <w:r w:rsidRPr="001126AB">
              <w:rPr>
                <w:rFonts w:cs="Times New Roman"/>
                <w:sz w:val="20"/>
                <w:szCs w:val="20"/>
                <w:lang w:val="fr-CA"/>
              </w:rPr>
              <w:t>ô</w:t>
            </w:r>
            <w:r w:rsidRPr="001126AB">
              <w:rPr>
                <w:sz w:val="20"/>
                <w:szCs w:val="20"/>
                <w:lang w:val="fr-CA"/>
              </w:rPr>
              <w:t>t de la demande d’autorisation d’appel est accueillie. La demande d’autorisation d’appel de l’arrêt de la Cour d’appel du Québec (Québec), numéro 200-10-003497-182, 2020 QCCA 431, daté du 16 mars 2020, est rejet</w:t>
            </w:r>
            <w:r w:rsidRPr="001126AB">
              <w:rPr>
                <w:rFonts w:cs="Times New Roman"/>
                <w:sz w:val="20"/>
                <w:szCs w:val="20"/>
                <w:lang w:val="fr-CA"/>
              </w:rPr>
              <w:t>é</w:t>
            </w:r>
            <w:r w:rsidRPr="001126AB">
              <w:rPr>
                <w:sz w:val="20"/>
                <w:szCs w:val="20"/>
                <w:lang w:val="fr-CA"/>
              </w:rPr>
              <w:t>e.</w:t>
            </w:r>
          </w:p>
          <w:p w:rsidR="00785D14" w:rsidRPr="001126AB" w:rsidRDefault="00785D14" w:rsidP="000B0824">
            <w:pPr>
              <w:tabs>
                <w:tab w:val="left" w:pos="1249"/>
              </w:tabs>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Droit criminel — Preuve — La Cour d’appel a</w:t>
            </w:r>
            <w:r w:rsidRPr="001126AB">
              <w:rPr>
                <w:sz w:val="20"/>
                <w:lang w:val="fr-CA"/>
              </w:rPr>
              <w:noBreakHyphen/>
              <w:t>t</w:t>
            </w:r>
            <w:r w:rsidRPr="001126AB">
              <w:rPr>
                <w:sz w:val="20"/>
                <w:lang w:val="fr-CA"/>
              </w:rPr>
              <w:noBreakHyphen/>
              <w:t>elle erré en avalisant une déclaration de culpabilité reposant sur la seule base d’une preuve circonstancielle incomplète, alors même qu’un jugement rendu par le tribunal d’instance ordonnait la divulgation d’éléments de preuve par le ministère public, mettant ainsi à mal des principes fondamentaux de notre système juridique criminel, à savoir la présomption d’innocence, le droit à une défense pleine et entière et la recherche de la vérité?</w:t>
            </w:r>
          </w:p>
        </w:tc>
      </w:tr>
      <w:tr w:rsidR="00E8665F" w:rsidRPr="001126AB" w:rsidTr="00D245D5">
        <w:tc>
          <w:tcPr>
            <w:tcW w:w="5000" w:type="pct"/>
            <w:gridSpan w:val="4"/>
          </w:tcPr>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La demanderesse Mme Bélanger a subi son procès sous des accusations de fraude et de vol d’une somme d’argent dépassant 5000$.</w:t>
            </w:r>
          </w:p>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 xml:space="preserve">La Cour du Québec estime que la preuve circonstancielle présentée par la poursuite exclut toute autre possibilité logique que celle de la culpabilité de Mme Bélanger. Le tribunal déclare Mme Bélanger coupable des accusations de fraude. La Cour d’appel rejette l’appel de façon unanime. Elle est d’avis que le juge de première instance n’a pas omis de tenir compte d’éléments de preuve pertinents et favorables à Mme Bélanger, et que l’analyse du juge de la preuve circonstancielle ne comporte aucune erreur révisable. </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Le 16 février 2018</w:t>
            </w:r>
          </w:p>
          <w:p w:rsidR="00E8665F" w:rsidRPr="001126AB" w:rsidRDefault="00E8665F" w:rsidP="00D245D5">
            <w:pPr>
              <w:jc w:val="both"/>
              <w:rPr>
                <w:sz w:val="20"/>
                <w:lang w:val="fr-CA"/>
              </w:rPr>
            </w:pPr>
            <w:r w:rsidRPr="001126AB">
              <w:rPr>
                <w:sz w:val="20"/>
                <w:lang w:val="fr-CA"/>
              </w:rPr>
              <w:t>Cour du Québec</w:t>
            </w:r>
          </w:p>
          <w:p w:rsidR="00E8665F" w:rsidRPr="001126AB" w:rsidRDefault="00E8665F" w:rsidP="00D245D5">
            <w:pPr>
              <w:jc w:val="both"/>
              <w:rPr>
                <w:sz w:val="20"/>
                <w:lang w:val="fr-CA"/>
              </w:rPr>
            </w:pPr>
            <w:r w:rsidRPr="001126AB">
              <w:rPr>
                <w:sz w:val="20"/>
                <w:lang w:val="fr-CA"/>
              </w:rPr>
              <w:t>(le juge St-Cyr)</w:t>
            </w:r>
          </w:p>
          <w:p w:rsidR="00E8665F" w:rsidRPr="001126AB" w:rsidRDefault="00E8665F" w:rsidP="00D245D5">
            <w:pPr>
              <w:jc w:val="both"/>
              <w:rPr>
                <w:sz w:val="20"/>
              </w:rPr>
            </w:pPr>
            <w:r w:rsidRPr="001126AB">
              <w:rPr>
                <w:sz w:val="20"/>
              </w:rPr>
              <w:t>300</w:t>
            </w:r>
            <w:r w:rsidRPr="001126AB">
              <w:rPr>
                <w:sz w:val="20"/>
              </w:rPr>
              <w:noBreakHyphen/>
              <w:t>01</w:t>
            </w:r>
            <w:r w:rsidRPr="001126AB">
              <w:rPr>
                <w:sz w:val="20"/>
              </w:rPr>
              <w:noBreakHyphen/>
              <w:t>013895</w:t>
            </w:r>
            <w:r w:rsidRPr="001126AB">
              <w:rPr>
                <w:sz w:val="20"/>
              </w:rPr>
              <w:noBreakHyphen/>
              <w:t>133</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 xml:space="preserve">Demanderesse </w:t>
            </w:r>
            <w:proofErr w:type="spellStart"/>
            <w:r w:rsidRPr="001126AB">
              <w:rPr>
                <w:sz w:val="20"/>
              </w:rPr>
              <w:t>déclarée</w:t>
            </w:r>
            <w:proofErr w:type="spellEnd"/>
            <w:r w:rsidRPr="001126AB">
              <w:rPr>
                <w:sz w:val="20"/>
              </w:rPr>
              <w:t xml:space="preserve"> </w:t>
            </w:r>
            <w:proofErr w:type="spellStart"/>
            <w:r w:rsidRPr="001126AB">
              <w:rPr>
                <w:sz w:val="20"/>
              </w:rPr>
              <w:t>coupable</w:t>
            </w:r>
            <w:proofErr w:type="spellEnd"/>
            <w:r w:rsidRPr="001126AB">
              <w:rPr>
                <w:sz w:val="20"/>
              </w:rPr>
              <w:t xml:space="preserve"> de </w:t>
            </w:r>
            <w:proofErr w:type="spellStart"/>
            <w:r w:rsidRPr="001126AB">
              <w:rPr>
                <w:sz w:val="20"/>
              </w:rPr>
              <w:t>fraude</w:t>
            </w:r>
            <w:proofErr w:type="spellEnd"/>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Le 16 mars 2020</w:t>
            </w:r>
          </w:p>
          <w:p w:rsidR="00E8665F" w:rsidRPr="001126AB" w:rsidRDefault="00E8665F" w:rsidP="00D245D5">
            <w:pPr>
              <w:jc w:val="both"/>
              <w:rPr>
                <w:sz w:val="20"/>
                <w:lang w:val="fr-CA"/>
              </w:rPr>
            </w:pPr>
            <w:r w:rsidRPr="001126AB">
              <w:rPr>
                <w:sz w:val="20"/>
                <w:lang w:val="fr-CA"/>
              </w:rPr>
              <w:t>Cour d’appel du Québec (Québec)</w:t>
            </w:r>
          </w:p>
          <w:p w:rsidR="00E8665F" w:rsidRPr="001126AB" w:rsidRDefault="00E8665F" w:rsidP="00D245D5">
            <w:pPr>
              <w:jc w:val="both"/>
              <w:rPr>
                <w:sz w:val="20"/>
                <w:lang w:val="fr-CA"/>
              </w:rPr>
            </w:pPr>
            <w:r w:rsidRPr="001126AB">
              <w:rPr>
                <w:sz w:val="20"/>
                <w:lang w:val="fr-CA"/>
              </w:rPr>
              <w:t>(les juges Rancourt, Beaupré et Moore)</w:t>
            </w:r>
          </w:p>
          <w:p w:rsidR="00E8665F" w:rsidRPr="001126AB" w:rsidRDefault="008F207C" w:rsidP="00D245D5">
            <w:pPr>
              <w:jc w:val="both"/>
              <w:rPr>
                <w:sz w:val="20"/>
              </w:rPr>
            </w:pPr>
            <w:hyperlink r:id="rId20" w:history="1">
              <w:r w:rsidR="00E8665F" w:rsidRPr="001126AB">
                <w:rPr>
                  <w:rStyle w:val="Hyperlink"/>
                  <w:sz w:val="20"/>
                </w:rPr>
                <w:t>2020 QCCA 431</w:t>
              </w:r>
            </w:hyperlink>
            <w:r w:rsidR="00E8665F" w:rsidRPr="001126AB">
              <w:rPr>
                <w:sz w:val="20"/>
              </w:rPr>
              <w:t xml:space="preserve"> </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Appel rejeté</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Le 13 juillet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rPr>
            </w:pPr>
            <w:r w:rsidRPr="001126AB">
              <w:rPr>
                <w:sz w:val="20"/>
              </w:rPr>
              <w:t>Demande d'autorisation d'appel déposée</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37" style="width:2in;height:1pt" o:hrpct="0" o:hralign="center" o:hrstd="t" o:hrnoshade="t" o:hr="t" fillcolor="black [3213]" stroked="f"/>
        </w:pict>
      </w:r>
    </w:p>
    <w:p w:rsidR="00E8665F" w:rsidRPr="001126AB" w:rsidRDefault="00E8665F" w:rsidP="00E8665F">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4"/>
        <w:gridCol w:w="3592"/>
        <w:gridCol w:w="442"/>
        <w:gridCol w:w="4459"/>
        <w:gridCol w:w="92"/>
      </w:tblGrid>
      <w:tr w:rsidR="00E8665F" w:rsidRPr="001126AB" w:rsidTr="00D245D5">
        <w:trPr>
          <w:gridAfter w:val="1"/>
          <w:wAfter w:w="48" w:type="pct"/>
        </w:trPr>
        <w:tc>
          <w:tcPr>
            <w:tcW w:w="537" w:type="pct"/>
          </w:tcPr>
          <w:p w:rsidR="00E8665F" w:rsidRPr="001126AB" w:rsidRDefault="00E8665F" w:rsidP="00D245D5">
            <w:pPr>
              <w:jc w:val="both"/>
              <w:rPr>
                <w:sz w:val="20"/>
              </w:rPr>
            </w:pPr>
            <w:r w:rsidRPr="001126AB">
              <w:rPr>
                <w:rStyle w:val="SCCFileNumberChar"/>
                <w:sz w:val="20"/>
                <w:szCs w:val="20"/>
              </w:rPr>
              <w:t>39210</w:t>
            </w:r>
          </w:p>
        </w:tc>
        <w:tc>
          <w:tcPr>
            <w:tcW w:w="4415" w:type="pct"/>
            <w:gridSpan w:val="3"/>
          </w:tcPr>
          <w:p w:rsidR="00E8665F" w:rsidRPr="001126AB" w:rsidRDefault="00E8665F" w:rsidP="00D245D5">
            <w:pPr>
              <w:pStyle w:val="SCCLsocParty"/>
              <w:jc w:val="both"/>
              <w:rPr>
                <w:b/>
                <w:sz w:val="20"/>
                <w:szCs w:val="20"/>
                <w:lang w:val="en-CA"/>
              </w:rPr>
            </w:pPr>
            <w:r w:rsidRPr="001126AB">
              <w:rPr>
                <w:b/>
                <w:sz w:val="20"/>
                <w:szCs w:val="20"/>
                <w:lang w:val="en-CA"/>
              </w:rPr>
              <w:t>Attorney General of Quebec v. Sylvain Picard</w:t>
            </w:r>
            <w:r w:rsidR="000B0824" w:rsidRPr="001126AB">
              <w:rPr>
                <w:b/>
                <w:sz w:val="20"/>
                <w:szCs w:val="20"/>
                <w:lang w:val="en-CA"/>
              </w:rPr>
              <w:t xml:space="preserve"> and</w:t>
            </w:r>
            <w:r w:rsidRPr="001126AB">
              <w:rPr>
                <w:b/>
                <w:sz w:val="20"/>
                <w:szCs w:val="20"/>
                <w:lang w:val="en-CA"/>
              </w:rPr>
              <w:t xml:space="preserve"> RBA</w:t>
            </w:r>
            <w:r w:rsidR="000B0824" w:rsidRPr="001126AB">
              <w:rPr>
                <w:b/>
                <w:sz w:val="20"/>
                <w:szCs w:val="20"/>
                <w:lang w:val="en-CA"/>
              </w:rPr>
              <w:t>,</w:t>
            </w:r>
            <w:r w:rsidRPr="001126AB">
              <w:rPr>
                <w:b/>
                <w:sz w:val="20"/>
                <w:szCs w:val="20"/>
                <w:lang w:val="en-CA"/>
              </w:rPr>
              <w:t xml:space="preserve"> Financial Group</w:t>
            </w:r>
          </w:p>
          <w:p w:rsidR="00E8665F" w:rsidRPr="001126AB" w:rsidRDefault="00E8665F" w:rsidP="00D245D5">
            <w:pPr>
              <w:pStyle w:val="SCCLsocOtherPartySeparator"/>
              <w:rPr>
                <w:sz w:val="20"/>
                <w:szCs w:val="20"/>
                <w:lang w:val="en-CA"/>
              </w:rPr>
            </w:pPr>
            <w:r w:rsidRPr="001126AB">
              <w:rPr>
                <w:sz w:val="20"/>
                <w:szCs w:val="20"/>
                <w:lang w:val="en-CA"/>
              </w:rPr>
              <w:t>- and -</w:t>
            </w:r>
          </w:p>
          <w:p w:rsidR="00E8665F" w:rsidRPr="001126AB" w:rsidRDefault="00E8665F" w:rsidP="00D245D5">
            <w:pPr>
              <w:pStyle w:val="SCCLsocParty"/>
              <w:jc w:val="both"/>
              <w:rPr>
                <w:b/>
                <w:sz w:val="20"/>
                <w:szCs w:val="20"/>
                <w:lang w:val="en-CA"/>
              </w:rPr>
            </w:pPr>
            <w:r w:rsidRPr="001126AB">
              <w:rPr>
                <w:b/>
                <w:sz w:val="20"/>
                <w:szCs w:val="20"/>
                <w:lang w:val="en-CA"/>
              </w:rPr>
              <w:t>Attorney General of Canada, Assembly of First Nations</w:t>
            </w:r>
            <w:r w:rsidR="000B0824" w:rsidRPr="001126AB">
              <w:rPr>
                <w:b/>
                <w:sz w:val="20"/>
                <w:szCs w:val="20"/>
                <w:lang w:val="en-CA"/>
              </w:rPr>
              <w:t xml:space="preserve"> and</w:t>
            </w:r>
            <w:r w:rsidRPr="001126AB">
              <w:rPr>
                <w:b/>
                <w:sz w:val="20"/>
                <w:szCs w:val="20"/>
                <w:lang w:val="en-CA"/>
              </w:rPr>
              <w:t xml:space="preserve"> Assembly of First Nations Quebec-Labrador</w:t>
            </w:r>
          </w:p>
          <w:p w:rsidR="00E8665F" w:rsidRPr="001126AB" w:rsidRDefault="00E8665F" w:rsidP="00D245D5">
            <w:pPr>
              <w:jc w:val="both"/>
              <w:rPr>
                <w:sz w:val="20"/>
              </w:rPr>
            </w:pPr>
            <w:r w:rsidRPr="001126AB">
              <w:rPr>
                <w:sz w:val="20"/>
              </w:rPr>
              <w:t>(F.C.) (Civil) (By Leave)</w:t>
            </w:r>
          </w:p>
        </w:tc>
      </w:tr>
      <w:tr w:rsidR="00785D14" w:rsidRPr="001126AB" w:rsidTr="00D245D5">
        <w:trPr>
          <w:gridAfter w:val="1"/>
          <w:wAfter w:w="48" w:type="pct"/>
        </w:trPr>
        <w:tc>
          <w:tcPr>
            <w:tcW w:w="4952" w:type="pct"/>
            <w:gridSpan w:val="4"/>
          </w:tcPr>
          <w:p w:rsidR="000B0824" w:rsidRPr="001126AB" w:rsidRDefault="000B0824" w:rsidP="000B0824">
            <w:pPr>
              <w:jc w:val="both"/>
              <w:rPr>
                <w:sz w:val="20"/>
                <w:szCs w:val="20"/>
              </w:rPr>
            </w:pPr>
            <w:r w:rsidRPr="001126AB">
              <w:rPr>
                <w:sz w:val="20"/>
                <w:szCs w:val="20"/>
              </w:rPr>
              <w:t xml:space="preserve">The application for leave to appeal from the judgment of the </w:t>
            </w:r>
            <w:r w:rsidRPr="001126AB">
              <w:rPr>
                <w:sz w:val="20"/>
                <w:szCs w:val="20"/>
                <w:lang w:val="en-US"/>
              </w:rPr>
              <w:t>Federal Court of Appeal</w:t>
            </w:r>
            <w:r w:rsidRPr="001126AB">
              <w:rPr>
                <w:sz w:val="20"/>
                <w:szCs w:val="20"/>
              </w:rPr>
              <w:t xml:space="preserve">, Number </w:t>
            </w:r>
            <w:r w:rsidRPr="001126AB">
              <w:rPr>
                <w:sz w:val="20"/>
                <w:szCs w:val="20"/>
                <w:lang w:val="en-US"/>
              </w:rPr>
              <w:t>A-293-18</w:t>
            </w:r>
            <w:r w:rsidRPr="001126AB">
              <w:rPr>
                <w:sz w:val="20"/>
                <w:szCs w:val="20"/>
              </w:rPr>
              <w:t xml:space="preserve">, </w:t>
            </w:r>
            <w:r w:rsidRPr="001126AB">
              <w:rPr>
                <w:sz w:val="20"/>
                <w:szCs w:val="20"/>
                <w:lang w:val="en-US"/>
              </w:rPr>
              <w:t xml:space="preserve">2020 FCA 74, </w:t>
            </w:r>
            <w:r w:rsidRPr="001126AB">
              <w:rPr>
                <w:sz w:val="20"/>
                <w:szCs w:val="20"/>
              </w:rPr>
              <w:t xml:space="preserve">dated </w:t>
            </w:r>
            <w:r w:rsidRPr="001126AB">
              <w:rPr>
                <w:sz w:val="20"/>
                <w:szCs w:val="20"/>
                <w:lang w:val="en-US"/>
              </w:rPr>
              <w:t>April 15, 2020,</w:t>
            </w:r>
            <w:r w:rsidRPr="001126AB">
              <w:rPr>
                <w:sz w:val="20"/>
                <w:szCs w:val="20"/>
              </w:rPr>
              <w:t xml:space="preserve"> is dismissed with costs.</w:t>
            </w:r>
          </w:p>
          <w:p w:rsidR="00785D14" w:rsidRPr="001126AB" w:rsidRDefault="00785D14" w:rsidP="000B0824">
            <w:pPr>
              <w:tabs>
                <w:tab w:val="left" w:pos="1874"/>
              </w:tabs>
              <w:jc w:val="both"/>
              <w:rPr>
                <w:sz w:val="20"/>
              </w:rPr>
            </w:pPr>
          </w:p>
        </w:tc>
      </w:tr>
      <w:tr w:rsidR="00E8665F" w:rsidRPr="001126AB" w:rsidTr="00D245D5">
        <w:trPr>
          <w:gridAfter w:val="1"/>
          <w:wAfter w:w="48" w:type="pct"/>
        </w:trPr>
        <w:tc>
          <w:tcPr>
            <w:tcW w:w="4952" w:type="pct"/>
            <w:gridSpan w:val="4"/>
          </w:tcPr>
          <w:p w:rsidR="00E8665F" w:rsidRPr="001126AB" w:rsidRDefault="00E8665F" w:rsidP="00D245D5">
            <w:pPr>
              <w:jc w:val="both"/>
              <w:rPr>
                <w:sz w:val="20"/>
              </w:rPr>
            </w:pPr>
            <w:r w:rsidRPr="001126AB">
              <w:rPr>
                <w:sz w:val="20"/>
              </w:rPr>
              <w:lastRenderedPageBreak/>
              <w:t xml:space="preserve">Constitutional law — Division of powers — Labour relations — Aboriginal peoples — Functional test — Tripartite agreement on provision of police services — Regulation and oversight of First Nations Public Security Pension Plan — Police officers and special constables hired and remunerated by band councils that are members of plan — Whether Federal Court of Appeal erred in law in concluding that police officers, who are employed by band councils that are members of plan, are </w:t>
            </w:r>
            <w:r w:rsidRPr="001126AB">
              <w:rPr>
                <w:color w:val="000000"/>
                <w:sz w:val="20"/>
              </w:rPr>
              <w:t xml:space="preserve">employed in connection with operation of work, undertaking or business that is within federal legislative authority within meaning of </w:t>
            </w:r>
            <w:r w:rsidRPr="001126AB">
              <w:rPr>
                <w:i/>
                <w:color w:val="000000"/>
                <w:sz w:val="20"/>
              </w:rPr>
              <w:t xml:space="preserve">Pension Benefits Standards Act, 1985 </w:t>
            </w:r>
            <w:r w:rsidRPr="001126AB">
              <w:rPr>
                <w:color w:val="000000"/>
                <w:sz w:val="20"/>
              </w:rPr>
              <w:t xml:space="preserve">— </w:t>
            </w:r>
            <w:r w:rsidRPr="001126AB">
              <w:rPr>
                <w:i/>
                <w:color w:val="000000"/>
                <w:sz w:val="20"/>
              </w:rPr>
              <w:t>Constitution Act, 1867</w:t>
            </w:r>
            <w:r w:rsidRPr="001126AB">
              <w:rPr>
                <w:color w:val="000000"/>
                <w:sz w:val="20"/>
              </w:rPr>
              <w:t xml:space="preserve">, ss. 91(24), 92(13) and 92(16) — </w:t>
            </w:r>
            <w:r w:rsidRPr="001126AB">
              <w:rPr>
                <w:i/>
                <w:color w:val="000000"/>
                <w:sz w:val="20"/>
              </w:rPr>
              <w:t>Pension Benefits Standards Act, 1985</w:t>
            </w:r>
            <w:r w:rsidRPr="001126AB">
              <w:rPr>
                <w:color w:val="000000"/>
                <w:sz w:val="20"/>
              </w:rPr>
              <w:t xml:space="preserve">, R.S.C. 1985, c. 32 (2nd Supp.), s. 4, “included employment” — </w:t>
            </w:r>
            <w:r w:rsidRPr="001126AB">
              <w:rPr>
                <w:i/>
                <w:color w:val="000000"/>
                <w:sz w:val="20"/>
              </w:rPr>
              <w:t>Police Act</w:t>
            </w:r>
            <w:r w:rsidRPr="001126AB">
              <w:rPr>
                <w:color w:val="000000"/>
                <w:sz w:val="20"/>
              </w:rPr>
              <w:t>, CQLR, c. P</w:t>
            </w:r>
            <w:r w:rsidRPr="001126AB">
              <w:rPr>
                <w:color w:val="000000"/>
                <w:sz w:val="20"/>
              </w:rPr>
              <w:noBreakHyphen/>
              <w:t>13.1, ss. 90</w:t>
            </w:r>
            <w:r w:rsidRPr="001126AB">
              <w:rPr>
                <w:color w:val="000000"/>
                <w:sz w:val="20"/>
              </w:rPr>
              <w:noBreakHyphen/>
              <w:t>93.</w:t>
            </w:r>
          </w:p>
        </w:tc>
      </w:tr>
      <w:tr w:rsidR="00E8665F" w:rsidRPr="001126AB" w:rsidTr="00D245D5">
        <w:trPr>
          <w:gridAfter w:val="1"/>
          <w:wAfter w:w="48" w:type="pct"/>
        </w:trPr>
        <w:tc>
          <w:tcPr>
            <w:tcW w:w="4952"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In July 2016, the Office of the Superintendent of Financial Institutions (“OSFI”) ruled that the First Nations Public Security Pension Plan (“Plan”), which was originally registered under the federal pension benefits standards legislation, had to instead be subject to Quebec legislation and therefore had to be transferred to the competent authority, Retraite Québec. The OSFI’s decision was based on </w:t>
            </w:r>
            <w:r w:rsidRPr="001126AB">
              <w:rPr>
                <w:i/>
                <w:sz w:val="20"/>
              </w:rPr>
              <w:t>Nishnawbe</w:t>
            </w:r>
            <w:r w:rsidRPr="001126AB">
              <w:rPr>
                <w:i/>
                <w:sz w:val="20"/>
              </w:rPr>
              <w:noBreakHyphen/>
              <w:t>Aski Police Services Board v. Public Service Alliance of Canada</w:t>
            </w:r>
            <w:r w:rsidRPr="001126AB">
              <w:rPr>
                <w:sz w:val="20"/>
              </w:rPr>
              <w:t xml:space="preserve">, 2015 FCA 211, in which the Federal Court of Appeal had held, applying the functional test to determine whether the regulation of labour relations was a matter for the federal government, that the </w:t>
            </w:r>
            <w:r w:rsidRPr="001126AB">
              <w:rPr>
                <w:color w:val="000000"/>
                <w:sz w:val="20"/>
                <w:shd w:val="clear" w:color="auto" w:fill="FFFFFF"/>
              </w:rPr>
              <w:t>Nishnawbe</w:t>
            </w:r>
            <w:r w:rsidRPr="001126AB">
              <w:rPr>
                <w:color w:val="000000"/>
                <w:sz w:val="20"/>
                <w:shd w:val="clear" w:color="auto" w:fill="FFFFFF"/>
              </w:rPr>
              <w:noBreakHyphen/>
              <w:t xml:space="preserve">Aski police force’s </w:t>
            </w:r>
            <w:r w:rsidRPr="001126AB">
              <w:rPr>
                <w:sz w:val="20"/>
              </w:rPr>
              <w:t xml:space="preserve">labour relations </w:t>
            </w:r>
            <w:r w:rsidRPr="001126AB">
              <w:rPr>
                <w:color w:val="000000"/>
                <w:sz w:val="20"/>
                <w:shd w:val="clear" w:color="auto" w:fill="FFFFFF"/>
              </w:rPr>
              <w:t xml:space="preserve">fell under provincial jurisdiction. The court had reached that conclusion in </w:t>
            </w:r>
            <w:r w:rsidRPr="001126AB">
              <w:rPr>
                <w:i/>
                <w:color w:val="000000"/>
                <w:sz w:val="20"/>
                <w:shd w:val="clear" w:color="auto" w:fill="FFFFFF"/>
              </w:rPr>
              <w:t>Nishnawbe</w:t>
            </w:r>
            <w:r w:rsidRPr="001126AB">
              <w:rPr>
                <w:i/>
                <w:color w:val="000000"/>
                <w:sz w:val="20"/>
                <w:shd w:val="clear" w:color="auto" w:fill="FFFFFF"/>
              </w:rPr>
              <w:noBreakHyphen/>
              <w:t>Aski</w:t>
            </w:r>
            <w:r w:rsidRPr="001126AB">
              <w:rPr>
                <w:color w:val="000000"/>
                <w:sz w:val="20"/>
                <w:shd w:val="clear" w:color="auto" w:fill="FFFFFF"/>
              </w:rPr>
              <w:t xml:space="preserve"> because the essential nature and functions of the community’s police force involved the provision of services in the same way as other provincial and municipal police forces. The respondent Sylvain Picard was the Plan’s administrator under the federal legislation, and the respondent RBA Financial Group was its manager. They applied for judicial review of the OSFI’s decision in order to have the Plan remain under that body’s supervision. The Federal Court allowed the respondents’ application for judicial review, concluding that police officers and special constables hired and remunerated by band councils that are members of the Plan are employed in a work, undertaking or business that is within federal legislative authority, and that the federal legislation therefore applied to the Plan. The Federal Court of Appeal dismissed the appeal of the applicant, the Attorney General of Quebec, who had joined the proceedings as an intervener in the Federal Court. The Court of Appeal held that the fact that the employer of the police officers and special constables was a band council and not an independent entity sufficed to distinguish this case from </w:t>
            </w:r>
            <w:r w:rsidRPr="001126AB">
              <w:rPr>
                <w:i/>
                <w:sz w:val="20"/>
              </w:rPr>
              <w:t>Nishnawbe</w:t>
            </w:r>
            <w:r w:rsidRPr="001126AB">
              <w:rPr>
                <w:i/>
                <w:sz w:val="20"/>
              </w:rPr>
              <w:noBreakHyphen/>
              <w:t xml:space="preserve">Aski </w:t>
            </w:r>
            <w:r w:rsidRPr="001126AB">
              <w:rPr>
                <w:sz w:val="20"/>
              </w:rPr>
              <w:t>and thus for it to conclude that the federal government had legislative authority</w:t>
            </w:r>
            <w:r w:rsidRPr="001126AB">
              <w:rPr>
                <w:color w:val="000000"/>
                <w:sz w:val="20"/>
                <w:shd w:val="clear" w:color="auto" w:fill="FFFFFF"/>
              </w:rPr>
              <w:t>.</w:t>
            </w:r>
          </w:p>
        </w:tc>
      </w:tr>
      <w:tr w:rsidR="00E8665F" w:rsidRPr="001126AB" w:rsidTr="00D245D5">
        <w:trPr>
          <w:gridAfter w:val="1"/>
          <w:wAfter w:w="48" w:type="pct"/>
        </w:trPr>
        <w:tc>
          <w:tcPr>
            <w:tcW w:w="4952" w:type="pct"/>
            <w:gridSpan w:val="4"/>
          </w:tcPr>
          <w:p w:rsidR="00E8665F" w:rsidRPr="001126AB" w:rsidRDefault="00E8665F" w:rsidP="00D245D5">
            <w:pPr>
              <w:jc w:val="both"/>
              <w:rPr>
                <w:sz w:val="20"/>
              </w:rPr>
            </w:pPr>
          </w:p>
        </w:tc>
      </w:tr>
      <w:tr w:rsidR="00E8665F" w:rsidRPr="001126AB" w:rsidTr="00D245D5">
        <w:tblPrEx>
          <w:tblCellMar>
            <w:bottom w:w="0" w:type="dxa"/>
          </w:tblCellMar>
        </w:tblPrEx>
        <w:tc>
          <w:tcPr>
            <w:tcW w:w="2404" w:type="pct"/>
            <w:gridSpan w:val="2"/>
          </w:tcPr>
          <w:p w:rsidR="00E8665F" w:rsidRPr="001126AB" w:rsidRDefault="00E8665F" w:rsidP="00D245D5">
            <w:pPr>
              <w:jc w:val="both"/>
              <w:rPr>
                <w:sz w:val="20"/>
              </w:rPr>
            </w:pPr>
            <w:r w:rsidRPr="001126AB">
              <w:rPr>
                <w:sz w:val="20"/>
              </w:rPr>
              <w:t>July 21, 2016</w:t>
            </w:r>
          </w:p>
          <w:p w:rsidR="00E8665F" w:rsidRPr="001126AB" w:rsidRDefault="00E8665F" w:rsidP="00D245D5">
            <w:pPr>
              <w:jc w:val="both"/>
              <w:rPr>
                <w:sz w:val="20"/>
              </w:rPr>
            </w:pPr>
            <w:r w:rsidRPr="001126AB">
              <w:rPr>
                <w:sz w:val="20"/>
              </w:rPr>
              <w:t xml:space="preserve">Office of the Superintendent of Financial Institutions, Private Pension Plans Division </w:t>
            </w:r>
          </w:p>
          <w:p w:rsidR="00E8665F" w:rsidRPr="001126AB" w:rsidRDefault="00E8665F" w:rsidP="00D245D5">
            <w:pPr>
              <w:jc w:val="both"/>
              <w:rPr>
                <w:sz w:val="20"/>
              </w:rPr>
            </w:pPr>
            <w:r w:rsidRPr="001126AB">
              <w:rPr>
                <w:sz w:val="20"/>
              </w:rPr>
              <w:t>(Senior Supervisor Nancy Desormeaux)</w:t>
            </w:r>
          </w:p>
        </w:tc>
        <w:tc>
          <w:tcPr>
            <w:tcW w:w="230" w:type="pct"/>
          </w:tcPr>
          <w:p w:rsidR="00E8665F" w:rsidRPr="001126AB" w:rsidRDefault="00E8665F" w:rsidP="00D245D5">
            <w:pPr>
              <w:jc w:val="both"/>
              <w:rPr>
                <w:sz w:val="20"/>
              </w:rPr>
            </w:pPr>
          </w:p>
        </w:tc>
        <w:tc>
          <w:tcPr>
            <w:tcW w:w="2366" w:type="pct"/>
            <w:gridSpan w:val="2"/>
          </w:tcPr>
          <w:p w:rsidR="00E8665F" w:rsidRPr="001126AB" w:rsidRDefault="00E8665F" w:rsidP="00D245D5">
            <w:pPr>
              <w:jc w:val="both"/>
              <w:rPr>
                <w:sz w:val="20"/>
              </w:rPr>
            </w:pPr>
            <w:r w:rsidRPr="001126AB">
              <w:rPr>
                <w:sz w:val="20"/>
              </w:rPr>
              <w:t>First Nations Public Security Pension Plan transferred to Retraite Québec; employment of Plan’s members found not to be employment in work, undertaking or business within federal legislative authority</w:t>
            </w:r>
          </w:p>
          <w:p w:rsidR="00E8665F" w:rsidRPr="001126AB" w:rsidRDefault="00E8665F" w:rsidP="00D245D5">
            <w:pPr>
              <w:jc w:val="both"/>
              <w:rPr>
                <w:sz w:val="20"/>
              </w:rPr>
            </w:pPr>
          </w:p>
        </w:tc>
      </w:tr>
      <w:tr w:rsidR="00E8665F" w:rsidRPr="001126AB" w:rsidTr="00D245D5">
        <w:tblPrEx>
          <w:tblCellMar>
            <w:bottom w:w="0" w:type="dxa"/>
          </w:tblCellMar>
        </w:tblPrEx>
        <w:tc>
          <w:tcPr>
            <w:tcW w:w="2404" w:type="pct"/>
            <w:gridSpan w:val="2"/>
          </w:tcPr>
          <w:p w:rsidR="00E8665F" w:rsidRPr="001126AB" w:rsidRDefault="00E8665F" w:rsidP="00D245D5">
            <w:pPr>
              <w:jc w:val="both"/>
              <w:rPr>
                <w:sz w:val="20"/>
              </w:rPr>
            </w:pPr>
            <w:r w:rsidRPr="001126AB">
              <w:rPr>
                <w:sz w:val="20"/>
              </w:rPr>
              <w:t>July 18, 2018</w:t>
            </w:r>
          </w:p>
          <w:p w:rsidR="00E8665F" w:rsidRPr="001126AB" w:rsidRDefault="00E8665F" w:rsidP="00D245D5">
            <w:pPr>
              <w:jc w:val="both"/>
              <w:rPr>
                <w:sz w:val="20"/>
              </w:rPr>
            </w:pPr>
            <w:r w:rsidRPr="001126AB">
              <w:rPr>
                <w:sz w:val="20"/>
              </w:rPr>
              <w:t>Federal Court</w:t>
            </w:r>
          </w:p>
          <w:p w:rsidR="00E8665F" w:rsidRPr="001126AB" w:rsidRDefault="00E8665F" w:rsidP="00D245D5">
            <w:pPr>
              <w:jc w:val="both"/>
              <w:rPr>
                <w:sz w:val="20"/>
              </w:rPr>
            </w:pPr>
            <w:r w:rsidRPr="001126AB">
              <w:rPr>
                <w:sz w:val="20"/>
              </w:rPr>
              <w:t>(Martineau J.)</w:t>
            </w:r>
          </w:p>
          <w:p w:rsidR="00E8665F" w:rsidRPr="001126AB" w:rsidRDefault="008F207C" w:rsidP="00D245D5">
            <w:pPr>
              <w:jc w:val="both"/>
              <w:rPr>
                <w:sz w:val="20"/>
              </w:rPr>
            </w:pPr>
            <w:hyperlink r:id="rId21" w:history="1">
              <w:r w:rsidR="00E8665F" w:rsidRPr="001126AB">
                <w:rPr>
                  <w:rStyle w:val="Hyperlink"/>
                  <w:sz w:val="20"/>
                </w:rPr>
                <w:t>2018 FC 747</w:t>
              </w:r>
            </w:hyperlink>
          </w:p>
          <w:p w:rsidR="00E8665F" w:rsidRPr="001126AB" w:rsidRDefault="00E8665F" w:rsidP="00D245D5">
            <w:pPr>
              <w:jc w:val="both"/>
              <w:rPr>
                <w:sz w:val="20"/>
              </w:rPr>
            </w:pPr>
          </w:p>
        </w:tc>
        <w:tc>
          <w:tcPr>
            <w:tcW w:w="230" w:type="pct"/>
          </w:tcPr>
          <w:p w:rsidR="00E8665F" w:rsidRPr="001126AB" w:rsidRDefault="00E8665F" w:rsidP="00D245D5">
            <w:pPr>
              <w:jc w:val="both"/>
              <w:rPr>
                <w:sz w:val="20"/>
              </w:rPr>
            </w:pPr>
          </w:p>
        </w:tc>
        <w:tc>
          <w:tcPr>
            <w:tcW w:w="2366" w:type="pct"/>
            <w:gridSpan w:val="2"/>
          </w:tcPr>
          <w:p w:rsidR="00E8665F" w:rsidRPr="001126AB" w:rsidRDefault="00E8665F" w:rsidP="00D245D5">
            <w:pPr>
              <w:jc w:val="both"/>
              <w:rPr>
                <w:sz w:val="20"/>
              </w:rPr>
            </w:pPr>
            <w:r w:rsidRPr="001126AB">
              <w:rPr>
                <w:sz w:val="20"/>
              </w:rPr>
              <w:t xml:space="preserve">Application for judicial review allowed; decision of Office of Superintendent of Financial Institutions of Canada set aside; police officers and special constables hired and remunerated by band councils that are members of First Nations Public Security Pension Plan declared to be employed in work, undertaking or business that is within federal legislative authority; </w:t>
            </w:r>
            <w:r w:rsidRPr="001126AB">
              <w:rPr>
                <w:i/>
                <w:sz w:val="20"/>
              </w:rPr>
              <w:t>Pension Benefits Standards Act, 1985</w:t>
            </w:r>
            <w:r w:rsidRPr="001126AB">
              <w:rPr>
                <w:sz w:val="20"/>
              </w:rPr>
              <w:t xml:space="preserve">, R.S.C. 1985, c. 32 (2nd Supp.), and its regulations declared to be applicable to Plan, and employee members therefore hold “included employment” within meaning of that Act </w:t>
            </w:r>
          </w:p>
          <w:p w:rsidR="00E8665F" w:rsidRPr="001126AB" w:rsidRDefault="00E8665F" w:rsidP="00D245D5">
            <w:pPr>
              <w:jc w:val="both"/>
              <w:rPr>
                <w:sz w:val="20"/>
              </w:rPr>
            </w:pPr>
          </w:p>
        </w:tc>
      </w:tr>
      <w:tr w:rsidR="00E8665F" w:rsidRPr="001126AB" w:rsidTr="00D245D5">
        <w:tblPrEx>
          <w:tblCellMar>
            <w:bottom w:w="0" w:type="dxa"/>
          </w:tblCellMar>
        </w:tblPrEx>
        <w:tc>
          <w:tcPr>
            <w:tcW w:w="2404" w:type="pct"/>
            <w:gridSpan w:val="2"/>
          </w:tcPr>
          <w:p w:rsidR="00E8665F" w:rsidRPr="001126AB" w:rsidRDefault="00E8665F" w:rsidP="00D245D5">
            <w:pPr>
              <w:jc w:val="both"/>
              <w:rPr>
                <w:sz w:val="20"/>
              </w:rPr>
            </w:pPr>
            <w:r w:rsidRPr="001126AB">
              <w:rPr>
                <w:sz w:val="20"/>
              </w:rPr>
              <w:t>April 15, 2020</w:t>
            </w:r>
          </w:p>
          <w:p w:rsidR="00E8665F" w:rsidRPr="001126AB" w:rsidRDefault="00E8665F" w:rsidP="00D245D5">
            <w:pPr>
              <w:jc w:val="both"/>
              <w:rPr>
                <w:sz w:val="20"/>
              </w:rPr>
            </w:pPr>
            <w:r w:rsidRPr="001126AB">
              <w:rPr>
                <w:sz w:val="20"/>
              </w:rPr>
              <w:t>Federal Court of Appeal</w:t>
            </w:r>
          </w:p>
          <w:p w:rsidR="00E8665F" w:rsidRPr="001126AB" w:rsidRDefault="00E8665F" w:rsidP="00D245D5">
            <w:pPr>
              <w:jc w:val="both"/>
              <w:rPr>
                <w:sz w:val="20"/>
              </w:rPr>
            </w:pPr>
            <w:r w:rsidRPr="001126AB">
              <w:rPr>
                <w:sz w:val="20"/>
              </w:rPr>
              <w:t>(</w:t>
            </w:r>
            <w:proofErr w:type="spellStart"/>
            <w:r w:rsidRPr="001126AB">
              <w:rPr>
                <w:sz w:val="20"/>
              </w:rPr>
              <w:t>Nadon</w:t>
            </w:r>
            <w:proofErr w:type="spellEnd"/>
            <w:r w:rsidRPr="001126AB">
              <w:rPr>
                <w:sz w:val="20"/>
              </w:rPr>
              <w:t>, Locke and de Montigny JJ.A.)</w:t>
            </w:r>
          </w:p>
          <w:p w:rsidR="00E8665F" w:rsidRPr="001126AB" w:rsidRDefault="00E8665F" w:rsidP="00D245D5">
            <w:pPr>
              <w:jc w:val="both"/>
              <w:rPr>
                <w:sz w:val="20"/>
              </w:rPr>
            </w:pPr>
            <w:r w:rsidRPr="001126AB">
              <w:rPr>
                <w:sz w:val="20"/>
              </w:rPr>
              <w:t>File No. A</w:t>
            </w:r>
            <w:r w:rsidRPr="001126AB">
              <w:rPr>
                <w:sz w:val="20"/>
              </w:rPr>
              <w:noBreakHyphen/>
              <w:t>293</w:t>
            </w:r>
            <w:r w:rsidRPr="001126AB">
              <w:rPr>
                <w:sz w:val="20"/>
              </w:rPr>
              <w:noBreakHyphen/>
              <w:t>18</w:t>
            </w:r>
          </w:p>
          <w:p w:rsidR="00E8665F" w:rsidRPr="001126AB" w:rsidRDefault="008F207C" w:rsidP="00D245D5">
            <w:pPr>
              <w:jc w:val="both"/>
              <w:rPr>
                <w:sz w:val="20"/>
              </w:rPr>
            </w:pPr>
            <w:hyperlink r:id="rId22" w:history="1">
              <w:r w:rsidR="00E8665F" w:rsidRPr="001126AB">
                <w:rPr>
                  <w:rStyle w:val="Hyperlink"/>
                  <w:sz w:val="20"/>
                </w:rPr>
                <w:t>2020 FCA 74</w:t>
              </w:r>
            </w:hyperlink>
          </w:p>
          <w:p w:rsidR="00E8665F" w:rsidRPr="001126AB" w:rsidRDefault="00E8665F" w:rsidP="00D245D5">
            <w:pPr>
              <w:jc w:val="both"/>
              <w:rPr>
                <w:sz w:val="20"/>
              </w:rPr>
            </w:pPr>
          </w:p>
        </w:tc>
        <w:tc>
          <w:tcPr>
            <w:tcW w:w="230" w:type="pct"/>
          </w:tcPr>
          <w:p w:rsidR="00E8665F" w:rsidRPr="001126AB" w:rsidRDefault="00E8665F" w:rsidP="00D245D5">
            <w:pPr>
              <w:jc w:val="both"/>
              <w:rPr>
                <w:sz w:val="20"/>
              </w:rPr>
            </w:pPr>
          </w:p>
        </w:tc>
        <w:tc>
          <w:tcPr>
            <w:tcW w:w="2366" w:type="pct"/>
            <w:gridSpan w:val="2"/>
          </w:tcPr>
          <w:p w:rsidR="00E8665F" w:rsidRPr="001126AB" w:rsidRDefault="00E8665F" w:rsidP="00D245D5">
            <w:pPr>
              <w:jc w:val="both"/>
              <w:rPr>
                <w:sz w:val="20"/>
              </w:rPr>
            </w:pPr>
            <w:r w:rsidRPr="001126AB">
              <w:rPr>
                <w:sz w:val="20"/>
              </w:rPr>
              <w:t>Appeal dismissed</w:t>
            </w:r>
          </w:p>
          <w:p w:rsidR="00E8665F" w:rsidRPr="001126AB" w:rsidRDefault="00E8665F" w:rsidP="00D245D5">
            <w:pPr>
              <w:jc w:val="both"/>
              <w:rPr>
                <w:sz w:val="20"/>
              </w:rPr>
            </w:pPr>
          </w:p>
        </w:tc>
      </w:tr>
      <w:tr w:rsidR="00E8665F" w:rsidRPr="001126AB" w:rsidTr="00D245D5">
        <w:tblPrEx>
          <w:tblCellMar>
            <w:bottom w:w="0" w:type="dxa"/>
          </w:tblCellMar>
        </w:tblPrEx>
        <w:tc>
          <w:tcPr>
            <w:tcW w:w="2404" w:type="pct"/>
            <w:gridSpan w:val="2"/>
          </w:tcPr>
          <w:p w:rsidR="00E8665F" w:rsidRPr="001126AB" w:rsidRDefault="00E8665F" w:rsidP="00D245D5">
            <w:pPr>
              <w:jc w:val="both"/>
              <w:rPr>
                <w:sz w:val="20"/>
              </w:rPr>
            </w:pPr>
            <w:r w:rsidRPr="001126AB">
              <w:rPr>
                <w:sz w:val="20"/>
              </w:rPr>
              <w:t>June 12, 2020</w:t>
            </w:r>
          </w:p>
          <w:p w:rsidR="00E8665F" w:rsidRPr="001126AB" w:rsidRDefault="00E8665F" w:rsidP="00D245D5">
            <w:pPr>
              <w:jc w:val="both"/>
              <w:rPr>
                <w:sz w:val="20"/>
              </w:rPr>
            </w:pPr>
            <w:r w:rsidRPr="001126AB">
              <w:rPr>
                <w:sz w:val="20"/>
              </w:rPr>
              <w:t>Supreme Court of Canada</w:t>
            </w:r>
          </w:p>
        </w:tc>
        <w:tc>
          <w:tcPr>
            <w:tcW w:w="230" w:type="pct"/>
          </w:tcPr>
          <w:p w:rsidR="00E8665F" w:rsidRPr="001126AB" w:rsidRDefault="00E8665F" w:rsidP="00D245D5">
            <w:pPr>
              <w:jc w:val="both"/>
              <w:rPr>
                <w:sz w:val="20"/>
              </w:rPr>
            </w:pPr>
          </w:p>
        </w:tc>
        <w:tc>
          <w:tcPr>
            <w:tcW w:w="2366" w:type="pct"/>
            <w:gridSpan w:val="2"/>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lastRenderedPageBreak/>
        <w:pict>
          <v:rect id="_x0000_i1038" style="width:2in;height:1pt" o:hrpct="0" o:hralign="center" o:hrstd="t" o:hrnoshade="t" o:hr="t" fillcolor="black [3213]" stroked="f"/>
        </w:pict>
      </w:r>
    </w:p>
    <w:p w:rsidR="00E8665F" w:rsidRPr="001126AB" w:rsidRDefault="00E8665F" w:rsidP="00E8665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4"/>
        <w:gridCol w:w="3594"/>
        <w:gridCol w:w="442"/>
        <w:gridCol w:w="4457"/>
        <w:gridCol w:w="92"/>
      </w:tblGrid>
      <w:tr w:rsidR="00E8665F" w:rsidRPr="001126AB" w:rsidTr="00D245D5">
        <w:trPr>
          <w:gridAfter w:val="1"/>
          <w:wAfter w:w="48" w:type="pct"/>
        </w:trPr>
        <w:tc>
          <w:tcPr>
            <w:tcW w:w="537" w:type="pct"/>
          </w:tcPr>
          <w:p w:rsidR="00E8665F" w:rsidRPr="001126AB" w:rsidRDefault="00E8665F" w:rsidP="00D245D5">
            <w:pPr>
              <w:jc w:val="both"/>
              <w:rPr>
                <w:sz w:val="20"/>
              </w:rPr>
            </w:pPr>
            <w:r w:rsidRPr="001126AB">
              <w:rPr>
                <w:rStyle w:val="SCCFileNumberChar"/>
                <w:sz w:val="20"/>
                <w:szCs w:val="20"/>
              </w:rPr>
              <w:t>39210</w:t>
            </w:r>
          </w:p>
        </w:tc>
        <w:tc>
          <w:tcPr>
            <w:tcW w:w="4415" w:type="pct"/>
            <w:gridSpan w:val="3"/>
          </w:tcPr>
          <w:p w:rsidR="00E8665F" w:rsidRPr="001126AB" w:rsidRDefault="00E8665F" w:rsidP="00D245D5">
            <w:pPr>
              <w:pStyle w:val="SCCLsocParty"/>
              <w:jc w:val="both"/>
              <w:rPr>
                <w:b/>
                <w:sz w:val="20"/>
                <w:szCs w:val="20"/>
              </w:rPr>
            </w:pPr>
            <w:r w:rsidRPr="001126AB">
              <w:rPr>
                <w:b/>
                <w:sz w:val="20"/>
                <w:szCs w:val="20"/>
              </w:rPr>
              <w:t>Procureur général du Québec c. Sylvain Picard</w:t>
            </w:r>
            <w:r w:rsidR="000B0824" w:rsidRPr="001126AB">
              <w:rPr>
                <w:b/>
                <w:sz w:val="20"/>
                <w:szCs w:val="20"/>
              </w:rPr>
              <w:t xml:space="preserve"> et</w:t>
            </w:r>
            <w:r w:rsidRPr="001126AB">
              <w:rPr>
                <w:b/>
                <w:sz w:val="20"/>
                <w:szCs w:val="20"/>
              </w:rPr>
              <w:t xml:space="preserve"> RBA, Groupe </w:t>
            </w:r>
            <w:r w:rsidR="000B0824" w:rsidRPr="001126AB">
              <w:rPr>
                <w:b/>
                <w:sz w:val="20"/>
                <w:szCs w:val="20"/>
              </w:rPr>
              <w:t>f</w:t>
            </w:r>
            <w:r w:rsidRPr="001126AB">
              <w:rPr>
                <w:b/>
                <w:sz w:val="20"/>
                <w:szCs w:val="20"/>
              </w:rPr>
              <w:t>inancier</w:t>
            </w:r>
          </w:p>
          <w:p w:rsidR="00E8665F" w:rsidRPr="001126AB" w:rsidRDefault="00E8665F" w:rsidP="00D245D5">
            <w:pPr>
              <w:pStyle w:val="SCCLsocOtherPartySeparator"/>
              <w:rPr>
                <w:sz w:val="20"/>
                <w:szCs w:val="20"/>
                <w:lang w:val="fr-CA"/>
              </w:rPr>
            </w:pPr>
            <w:r w:rsidRPr="001126AB">
              <w:rPr>
                <w:sz w:val="20"/>
                <w:szCs w:val="20"/>
                <w:lang w:val="fr-CA"/>
              </w:rPr>
              <w:t>- et -</w:t>
            </w:r>
          </w:p>
          <w:p w:rsidR="00E8665F" w:rsidRPr="001126AB" w:rsidRDefault="00E8665F" w:rsidP="00D245D5">
            <w:pPr>
              <w:pStyle w:val="SCCLsocParty"/>
              <w:jc w:val="both"/>
              <w:rPr>
                <w:b/>
                <w:sz w:val="20"/>
                <w:szCs w:val="20"/>
              </w:rPr>
            </w:pPr>
            <w:r w:rsidRPr="001126AB">
              <w:rPr>
                <w:b/>
                <w:sz w:val="20"/>
                <w:szCs w:val="20"/>
              </w:rPr>
              <w:t>Procureur général du Canada, Assemblée des Premières Nations</w:t>
            </w:r>
            <w:r w:rsidR="000B0824" w:rsidRPr="001126AB">
              <w:rPr>
                <w:b/>
                <w:sz w:val="20"/>
                <w:szCs w:val="20"/>
              </w:rPr>
              <w:t xml:space="preserve"> et</w:t>
            </w:r>
            <w:r w:rsidRPr="001126AB">
              <w:rPr>
                <w:b/>
                <w:sz w:val="20"/>
                <w:szCs w:val="20"/>
              </w:rPr>
              <w:t xml:space="preserve"> Assemblée des Premières Nations Québec-Labrador</w:t>
            </w:r>
          </w:p>
          <w:p w:rsidR="00E8665F" w:rsidRPr="001126AB" w:rsidRDefault="00E8665F" w:rsidP="00D245D5">
            <w:pPr>
              <w:jc w:val="both"/>
              <w:rPr>
                <w:sz w:val="20"/>
                <w:lang w:val="fr-CA"/>
              </w:rPr>
            </w:pPr>
            <w:r w:rsidRPr="001126AB">
              <w:rPr>
                <w:sz w:val="20"/>
                <w:lang w:val="fr-CA"/>
              </w:rPr>
              <w:t>(C.F.) (Civile) (Autorisation)</w:t>
            </w:r>
          </w:p>
        </w:tc>
      </w:tr>
      <w:tr w:rsidR="00785D14" w:rsidRPr="001126AB" w:rsidTr="00D245D5">
        <w:trPr>
          <w:gridAfter w:val="1"/>
          <w:wAfter w:w="48" w:type="pct"/>
        </w:trPr>
        <w:tc>
          <w:tcPr>
            <w:tcW w:w="4952" w:type="pct"/>
            <w:gridSpan w:val="4"/>
          </w:tcPr>
          <w:p w:rsidR="000B0824" w:rsidRPr="001126AB" w:rsidRDefault="000B0824" w:rsidP="000B0824">
            <w:pPr>
              <w:jc w:val="both"/>
              <w:rPr>
                <w:sz w:val="20"/>
                <w:szCs w:val="20"/>
                <w:lang w:val="fr-CA"/>
              </w:rPr>
            </w:pPr>
            <w:r w:rsidRPr="001126AB">
              <w:rPr>
                <w:sz w:val="20"/>
                <w:szCs w:val="20"/>
                <w:lang w:val="fr-CA"/>
              </w:rPr>
              <w:t>La demande d’autorisation d’appel de l’arrêt de la Cour d’appel fédérale, numéro A-293-18, 2020 CAF 74, daté du 15 avril 2020, est rejet</w:t>
            </w:r>
            <w:r w:rsidRPr="001126AB">
              <w:rPr>
                <w:rFonts w:cs="Times New Roman"/>
                <w:sz w:val="20"/>
                <w:szCs w:val="20"/>
                <w:lang w:val="fr-CA"/>
              </w:rPr>
              <w:t>é</w:t>
            </w:r>
            <w:r w:rsidRPr="001126AB">
              <w:rPr>
                <w:sz w:val="20"/>
                <w:szCs w:val="20"/>
                <w:lang w:val="fr-CA"/>
              </w:rPr>
              <w:t>e avec d</w:t>
            </w:r>
            <w:r w:rsidRPr="001126AB">
              <w:rPr>
                <w:rFonts w:cs="Times New Roman"/>
                <w:sz w:val="20"/>
                <w:szCs w:val="20"/>
                <w:lang w:val="fr-CA"/>
              </w:rPr>
              <w:t>é</w:t>
            </w:r>
            <w:r w:rsidRPr="001126AB">
              <w:rPr>
                <w:sz w:val="20"/>
                <w:szCs w:val="20"/>
                <w:lang w:val="fr-CA"/>
              </w:rPr>
              <w:t>pens.</w:t>
            </w:r>
          </w:p>
          <w:p w:rsidR="00785D14" w:rsidRPr="001126AB" w:rsidRDefault="00785D14" w:rsidP="00D245D5">
            <w:pPr>
              <w:jc w:val="both"/>
              <w:rPr>
                <w:sz w:val="20"/>
                <w:lang w:val="fr-CA"/>
              </w:rPr>
            </w:pPr>
          </w:p>
        </w:tc>
      </w:tr>
      <w:tr w:rsidR="00E8665F" w:rsidRPr="001126AB" w:rsidTr="00D245D5">
        <w:trPr>
          <w:gridAfter w:val="1"/>
          <w:wAfter w:w="48" w:type="pct"/>
        </w:trPr>
        <w:tc>
          <w:tcPr>
            <w:tcW w:w="4952" w:type="pct"/>
            <w:gridSpan w:val="4"/>
          </w:tcPr>
          <w:p w:rsidR="00E8665F" w:rsidRPr="001126AB" w:rsidRDefault="00E8665F" w:rsidP="00D245D5">
            <w:pPr>
              <w:jc w:val="both"/>
              <w:rPr>
                <w:sz w:val="20"/>
              </w:rPr>
            </w:pPr>
            <w:r w:rsidRPr="001126AB">
              <w:rPr>
                <w:sz w:val="20"/>
                <w:lang w:val="fr-CA"/>
              </w:rPr>
              <w:t xml:space="preserve">Droit constitutionnel — Partage des compétences — Relations de travail — Autochtones — Critère fonctionnel — Entente tripartite sur la prestation des services policiers — Réglementation et surveillance du Régime des rentes de la sécurité publique des Premières Nations — Policiers et constables spéciaux embauchés et rémunérés par les conseils de bande membres du régime — </w:t>
            </w:r>
            <w:r w:rsidRPr="001126AB">
              <w:rPr>
                <w:color w:val="000000"/>
                <w:sz w:val="20"/>
                <w:lang w:val="fr-CA"/>
              </w:rPr>
              <w:t>La Cour d’appel fédérale a</w:t>
            </w:r>
            <w:r w:rsidRPr="001126AB">
              <w:rPr>
                <w:color w:val="000000"/>
                <w:sz w:val="20"/>
                <w:lang w:val="fr-CA"/>
              </w:rPr>
              <w:noBreakHyphen/>
              <w:t>t</w:t>
            </w:r>
            <w:r w:rsidRPr="001126AB">
              <w:rPr>
                <w:color w:val="000000"/>
                <w:sz w:val="20"/>
                <w:lang w:val="fr-CA"/>
              </w:rPr>
              <w:noBreakHyphen/>
              <w:t xml:space="preserve">elle erré en droit en concluant que les policiers, à l’emploi des conseils de bande membres du régime, occupent un emploi rattaché à la mise en service d’un ouvrage, d’une entreprise ou d’une activité fédérale au sens de la </w:t>
            </w:r>
            <w:r w:rsidRPr="001126AB">
              <w:rPr>
                <w:i/>
                <w:color w:val="000000"/>
                <w:sz w:val="20"/>
                <w:lang w:val="fr-CA"/>
              </w:rPr>
              <w:t>Loi de 1985 sur les normes de prestation de pension</w:t>
            </w:r>
            <w:r w:rsidRPr="001126AB">
              <w:rPr>
                <w:color w:val="000000"/>
                <w:sz w:val="20"/>
                <w:lang w:val="fr-CA"/>
              </w:rPr>
              <w:t xml:space="preserve">? — </w:t>
            </w:r>
            <w:r w:rsidRPr="001126AB">
              <w:rPr>
                <w:i/>
                <w:color w:val="000000"/>
                <w:sz w:val="20"/>
                <w:lang w:val="fr-CA"/>
              </w:rPr>
              <w:t>Loi constitutionnelle de 1867</w:t>
            </w:r>
            <w:r w:rsidRPr="001126AB">
              <w:rPr>
                <w:color w:val="000000"/>
                <w:sz w:val="20"/>
                <w:lang w:val="fr-CA"/>
              </w:rPr>
              <w:t xml:space="preserve">, arts. 91(24), 92(13) et 92(16) — </w:t>
            </w:r>
            <w:r w:rsidRPr="001126AB">
              <w:rPr>
                <w:i/>
                <w:color w:val="000000"/>
                <w:sz w:val="20"/>
                <w:lang w:val="fr-CA"/>
              </w:rPr>
              <w:t>Loi de 1985 sur les normes de prestation de pension</w:t>
            </w:r>
            <w:r w:rsidRPr="001126AB">
              <w:rPr>
                <w:color w:val="000000"/>
                <w:sz w:val="20"/>
                <w:lang w:val="fr-CA"/>
              </w:rPr>
              <w:t xml:space="preserve">, L.R.C. 1985, c. 32 (2e suppl.), art. 4, « emploi inclus » — </w:t>
            </w:r>
            <w:r w:rsidRPr="001126AB">
              <w:rPr>
                <w:i/>
                <w:color w:val="000000"/>
                <w:sz w:val="20"/>
                <w:lang w:val="fr-CA"/>
              </w:rPr>
              <w:t>Loi sur la police</w:t>
            </w:r>
            <w:r w:rsidRPr="001126AB">
              <w:rPr>
                <w:color w:val="000000"/>
                <w:sz w:val="20"/>
                <w:lang w:val="fr-CA"/>
              </w:rPr>
              <w:t>, R.L.R.Q. c. P</w:t>
            </w:r>
            <w:r w:rsidRPr="001126AB">
              <w:rPr>
                <w:color w:val="000000"/>
                <w:sz w:val="20"/>
                <w:lang w:val="fr-CA"/>
              </w:rPr>
              <w:noBreakHyphen/>
              <w:t>13.1, arts. </w:t>
            </w:r>
            <w:r w:rsidRPr="001126AB">
              <w:rPr>
                <w:color w:val="000000"/>
                <w:sz w:val="20"/>
              </w:rPr>
              <w:t>90</w:t>
            </w:r>
            <w:r w:rsidRPr="001126AB">
              <w:rPr>
                <w:color w:val="000000"/>
                <w:sz w:val="20"/>
              </w:rPr>
              <w:noBreakHyphen/>
              <w:t>93.</w:t>
            </w:r>
          </w:p>
        </w:tc>
      </w:tr>
      <w:tr w:rsidR="00E8665F" w:rsidRPr="001126AB" w:rsidTr="00D245D5">
        <w:trPr>
          <w:gridAfter w:val="1"/>
          <w:wAfter w:w="48" w:type="pct"/>
        </w:trPr>
        <w:tc>
          <w:tcPr>
            <w:tcW w:w="4952" w:type="pct"/>
            <w:gridSpan w:val="4"/>
          </w:tcPr>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 xml:space="preserve">En juillet 2016, le Bureau du surintendant des institutions financières (« BSIF ») a statué que le Régime des rentes de la sécurité publique des Premières Nations (« Régime »), à l’origine agréé en vertu de la loi fédérale sur les normes de prestation de pension, devait plutôt être assujetti à la législation québécoise et que conséquemment, il devait être transféré à l’autorité compétente, soit Retraite Québec. La décision du BSIF a été motivée par l’arrêt </w:t>
            </w:r>
            <w:r w:rsidRPr="001126AB">
              <w:rPr>
                <w:i/>
                <w:sz w:val="20"/>
                <w:lang w:val="fr-CA"/>
              </w:rPr>
              <w:t>Commission des services policiers de Nishnawbe</w:t>
            </w:r>
            <w:r w:rsidRPr="001126AB">
              <w:rPr>
                <w:i/>
                <w:sz w:val="20"/>
                <w:lang w:val="fr-CA"/>
              </w:rPr>
              <w:noBreakHyphen/>
              <w:t>Aski c. Alliance de la fonction publique du Canada</w:t>
            </w:r>
            <w:r w:rsidRPr="001126AB">
              <w:rPr>
                <w:sz w:val="20"/>
                <w:lang w:val="fr-CA"/>
              </w:rPr>
              <w:t xml:space="preserve">, 2015 CAF 211, de la Cour d’appel fédérale. Dans cette dernière affaire, il a été jugé, en application du critère fonctionnel </w:t>
            </w:r>
            <w:r w:rsidRPr="001126AB">
              <w:rPr>
                <w:color w:val="000000"/>
                <w:sz w:val="20"/>
                <w:shd w:val="clear" w:color="auto" w:fill="FFFFFF"/>
                <w:lang w:val="fr-CA"/>
              </w:rPr>
              <w:t>pour déterminer si la réglementation des relations de travail relève du gouvernement fédéral</w:t>
            </w:r>
            <w:r w:rsidRPr="001126AB">
              <w:rPr>
                <w:color w:val="000000"/>
                <w:sz w:val="20"/>
                <w:lang w:val="fr-CA"/>
              </w:rPr>
              <w:t xml:space="preserve">, </w:t>
            </w:r>
            <w:r w:rsidRPr="001126AB">
              <w:rPr>
                <w:sz w:val="20"/>
                <w:lang w:val="fr-CA"/>
              </w:rPr>
              <w:t xml:space="preserve">que </w:t>
            </w:r>
            <w:r w:rsidRPr="001126AB">
              <w:rPr>
                <w:color w:val="000000"/>
                <w:sz w:val="20"/>
                <w:shd w:val="clear" w:color="auto" w:fill="FFFFFF"/>
                <w:lang w:val="fr-CA"/>
              </w:rPr>
              <w:t>les relations de travail des services policiers de Nishnawbe</w:t>
            </w:r>
            <w:r w:rsidRPr="001126AB">
              <w:rPr>
                <w:color w:val="000000"/>
                <w:sz w:val="20"/>
                <w:shd w:val="clear" w:color="auto" w:fill="FFFFFF"/>
                <w:lang w:val="fr-CA"/>
              </w:rPr>
              <w:noBreakHyphen/>
              <w:t xml:space="preserve">Aski tombent sous la juridiction provinciale. La cour en est arrivée à cette conclusion dans </w:t>
            </w:r>
            <w:r w:rsidRPr="001126AB">
              <w:rPr>
                <w:i/>
                <w:color w:val="000000"/>
                <w:sz w:val="20"/>
                <w:shd w:val="clear" w:color="auto" w:fill="FFFFFF"/>
                <w:lang w:val="fr-CA"/>
              </w:rPr>
              <w:t>Nishnawbe</w:t>
            </w:r>
            <w:r w:rsidRPr="001126AB">
              <w:rPr>
                <w:i/>
                <w:color w:val="000000"/>
                <w:sz w:val="20"/>
                <w:shd w:val="clear" w:color="auto" w:fill="FFFFFF"/>
                <w:lang w:val="fr-CA"/>
              </w:rPr>
              <w:noBreakHyphen/>
              <w:t>Aski</w:t>
            </w:r>
            <w:r w:rsidRPr="001126AB">
              <w:rPr>
                <w:color w:val="000000"/>
                <w:sz w:val="20"/>
                <w:shd w:val="clear" w:color="auto" w:fill="FFFFFF"/>
                <w:lang w:val="fr-CA"/>
              </w:rPr>
              <w:t xml:space="preserve"> puisque la nature et les fonctions essentielles des forces policières de la communauté consistaient à fournir des services au même titre que les autres forces policières provinciales et municipales. L’intimé Sylvain Picard est administrateur du Régime aux termes de la loi fédérale et l’intimé RBA, Groupe financier, en est le gestionnaire. Ceux</w:t>
            </w:r>
            <w:r w:rsidRPr="001126AB">
              <w:rPr>
                <w:color w:val="000000"/>
                <w:sz w:val="20"/>
                <w:shd w:val="clear" w:color="auto" w:fill="FFFFFF"/>
                <w:lang w:val="fr-CA"/>
              </w:rPr>
              <w:noBreakHyphen/>
              <w:t xml:space="preserve">ci ont présenté une demande de contrôle judiciaire de la décision du BSIF afin que le Régime demeure sous la supervision de ce dernier. La Cour fédérale a accueilli la demande de contrôle judiciaire des intimés et a conclu que les policiers et constables spéciaux embauchés et rémunérés par les conseils de bande membres du Régime occupent un emploi dans un ouvrage, une entreprise ou une activité de compétence fédérale de telle sorte que la loi fédérale s’applique au Régime. La Cour d’appel fédérale a rejeté l’appel du demandeur, le Procureur général du Québec, qui s’est joint aux procédures à titre d’intervenant devant la Cour fédérale. Pour la Cour d’appel, le fait que l’employeur des policiers et constables spéciaux est un conseil de bande, et non pas une entité indépendante, suffisait pour distinguer cette affaire de l’arrêt </w:t>
            </w:r>
            <w:r w:rsidRPr="001126AB">
              <w:rPr>
                <w:i/>
                <w:sz w:val="20"/>
                <w:lang w:val="fr-CA"/>
              </w:rPr>
              <w:t>Nishnawbe</w:t>
            </w:r>
            <w:r w:rsidRPr="001126AB">
              <w:rPr>
                <w:i/>
                <w:sz w:val="20"/>
                <w:lang w:val="fr-CA"/>
              </w:rPr>
              <w:noBreakHyphen/>
              <w:t xml:space="preserve">Aski </w:t>
            </w:r>
            <w:r w:rsidRPr="001126AB">
              <w:rPr>
                <w:sz w:val="20"/>
                <w:lang w:val="fr-CA"/>
              </w:rPr>
              <w:t>et ainsi en venir à une conclusion de compétence législative fédérale</w:t>
            </w:r>
            <w:r w:rsidRPr="001126AB">
              <w:rPr>
                <w:color w:val="000000"/>
                <w:sz w:val="20"/>
                <w:shd w:val="clear" w:color="auto" w:fill="FFFFFF"/>
                <w:lang w:val="fr-CA"/>
              </w:rPr>
              <w:t>.</w:t>
            </w:r>
          </w:p>
        </w:tc>
      </w:tr>
      <w:tr w:rsidR="00E8665F" w:rsidRPr="001126AB" w:rsidTr="00D245D5">
        <w:trPr>
          <w:gridAfter w:val="1"/>
          <w:wAfter w:w="48" w:type="pct"/>
        </w:trPr>
        <w:tc>
          <w:tcPr>
            <w:tcW w:w="4952" w:type="pct"/>
            <w:gridSpan w:val="4"/>
          </w:tcPr>
          <w:p w:rsidR="00E8665F" w:rsidRPr="001126AB" w:rsidRDefault="00E8665F" w:rsidP="00D245D5">
            <w:pPr>
              <w:jc w:val="both"/>
              <w:rPr>
                <w:sz w:val="20"/>
                <w:lang w:val="fr-CA"/>
              </w:rPr>
            </w:pPr>
          </w:p>
        </w:tc>
      </w:tr>
      <w:tr w:rsidR="00E8665F" w:rsidRPr="001126AB" w:rsidTr="004E709B">
        <w:tblPrEx>
          <w:tblCellMar>
            <w:bottom w:w="0" w:type="dxa"/>
          </w:tblCellMar>
        </w:tblPrEx>
        <w:tc>
          <w:tcPr>
            <w:tcW w:w="2405" w:type="pct"/>
            <w:gridSpan w:val="2"/>
          </w:tcPr>
          <w:p w:rsidR="00E8665F" w:rsidRPr="001126AB" w:rsidRDefault="00E8665F" w:rsidP="00D245D5">
            <w:pPr>
              <w:jc w:val="both"/>
              <w:rPr>
                <w:sz w:val="20"/>
                <w:lang w:val="fr-CA"/>
              </w:rPr>
            </w:pPr>
            <w:r w:rsidRPr="001126AB">
              <w:rPr>
                <w:sz w:val="20"/>
                <w:lang w:val="fr-CA"/>
              </w:rPr>
              <w:t>Le 21 juillet 2016</w:t>
            </w:r>
          </w:p>
          <w:p w:rsidR="00E8665F" w:rsidRPr="001126AB" w:rsidRDefault="00E8665F" w:rsidP="00D245D5">
            <w:pPr>
              <w:jc w:val="both"/>
              <w:rPr>
                <w:sz w:val="20"/>
                <w:lang w:val="fr-CA"/>
              </w:rPr>
            </w:pPr>
            <w:r w:rsidRPr="001126AB">
              <w:rPr>
                <w:sz w:val="20"/>
                <w:lang w:val="fr-CA"/>
              </w:rPr>
              <w:t xml:space="preserve">Bureau du surintendant des institutions </w:t>
            </w:r>
          </w:p>
          <w:p w:rsidR="00E8665F" w:rsidRPr="001126AB" w:rsidRDefault="00E8665F" w:rsidP="00D245D5">
            <w:pPr>
              <w:jc w:val="both"/>
              <w:rPr>
                <w:sz w:val="20"/>
                <w:lang w:val="fr-CA"/>
              </w:rPr>
            </w:pPr>
            <w:r w:rsidRPr="001126AB">
              <w:rPr>
                <w:sz w:val="20"/>
                <w:lang w:val="fr-CA"/>
              </w:rPr>
              <w:t xml:space="preserve">financières, Division des régimes de retraite </w:t>
            </w:r>
          </w:p>
          <w:p w:rsidR="00E8665F" w:rsidRPr="001126AB" w:rsidRDefault="00E8665F" w:rsidP="00D245D5">
            <w:pPr>
              <w:jc w:val="both"/>
              <w:rPr>
                <w:sz w:val="20"/>
                <w:lang w:val="fr-CA"/>
              </w:rPr>
            </w:pPr>
            <w:r w:rsidRPr="001126AB">
              <w:rPr>
                <w:sz w:val="20"/>
                <w:lang w:val="fr-CA"/>
              </w:rPr>
              <w:t>privés</w:t>
            </w:r>
          </w:p>
          <w:p w:rsidR="00E8665F" w:rsidRPr="001126AB" w:rsidRDefault="00E8665F" w:rsidP="00D245D5">
            <w:pPr>
              <w:jc w:val="both"/>
              <w:rPr>
                <w:sz w:val="20"/>
                <w:lang w:val="fr-CA"/>
              </w:rPr>
            </w:pPr>
            <w:r w:rsidRPr="001126AB">
              <w:rPr>
                <w:sz w:val="20"/>
                <w:lang w:val="fr-CA"/>
              </w:rPr>
              <w:t>(la surveillante principale Nancy Desormeaux)</w:t>
            </w:r>
          </w:p>
        </w:tc>
        <w:tc>
          <w:tcPr>
            <w:tcW w:w="230" w:type="pct"/>
          </w:tcPr>
          <w:p w:rsidR="00E8665F" w:rsidRPr="001126AB" w:rsidRDefault="00E8665F" w:rsidP="00D245D5">
            <w:pPr>
              <w:jc w:val="both"/>
              <w:rPr>
                <w:sz w:val="20"/>
                <w:lang w:val="fr-CA"/>
              </w:rPr>
            </w:pPr>
          </w:p>
        </w:tc>
        <w:tc>
          <w:tcPr>
            <w:tcW w:w="2366" w:type="pct"/>
            <w:gridSpan w:val="2"/>
          </w:tcPr>
          <w:p w:rsidR="00E8665F" w:rsidRPr="001126AB" w:rsidRDefault="00E8665F" w:rsidP="00D245D5">
            <w:pPr>
              <w:jc w:val="both"/>
              <w:rPr>
                <w:sz w:val="20"/>
                <w:lang w:val="fr-CA"/>
              </w:rPr>
            </w:pPr>
            <w:r w:rsidRPr="001126AB">
              <w:rPr>
                <w:sz w:val="20"/>
                <w:lang w:val="fr-CA"/>
              </w:rPr>
              <w:t>Régime des rentes de la sécurité publique des Premières Nations transféré à Retraite Québec; emploi effectué par participants au Régime considéré ne pas viser un emploi dans un ouvrage, une entreprise ou une activité de compétence législative fédérale</w:t>
            </w:r>
          </w:p>
          <w:p w:rsidR="00E8665F" w:rsidRPr="001126AB" w:rsidRDefault="00E8665F" w:rsidP="00D245D5">
            <w:pPr>
              <w:jc w:val="both"/>
              <w:rPr>
                <w:sz w:val="20"/>
                <w:lang w:val="fr-CA"/>
              </w:rPr>
            </w:pPr>
          </w:p>
        </w:tc>
      </w:tr>
    </w:tbl>
    <w:p w:rsidR="004E709B" w:rsidRPr="001126AB" w:rsidRDefault="004E709B">
      <w:pPr>
        <w:rPr>
          <w:lang w:val="fr-CA"/>
        </w:rPr>
      </w:pPr>
      <w:r w:rsidRPr="001126AB">
        <w:rPr>
          <w:lang w:val="fr-CA"/>
        </w:rPr>
        <w:br w:type="page"/>
      </w:r>
    </w:p>
    <w:tbl>
      <w:tblPr>
        <w:tblW w:w="5000" w:type="pct"/>
        <w:tblLayout w:type="fixed"/>
        <w:tblCellMar>
          <w:left w:w="0" w:type="dxa"/>
          <w:right w:w="0" w:type="dxa"/>
        </w:tblCellMar>
        <w:tblLook w:val="04A0" w:firstRow="1" w:lastRow="0" w:firstColumn="1" w:lastColumn="0" w:noHBand="0" w:noVBand="1"/>
      </w:tblPr>
      <w:tblGrid>
        <w:gridCol w:w="4627"/>
        <w:gridCol w:w="442"/>
        <w:gridCol w:w="4550"/>
      </w:tblGrid>
      <w:tr w:rsidR="00E8665F" w:rsidRPr="001126AB" w:rsidTr="004E709B">
        <w:tc>
          <w:tcPr>
            <w:tcW w:w="2405" w:type="pct"/>
          </w:tcPr>
          <w:p w:rsidR="00E8665F" w:rsidRPr="001126AB" w:rsidRDefault="00E8665F" w:rsidP="00D245D5">
            <w:pPr>
              <w:jc w:val="both"/>
              <w:rPr>
                <w:sz w:val="20"/>
                <w:lang w:val="fr-CA"/>
              </w:rPr>
            </w:pPr>
            <w:r w:rsidRPr="001126AB">
              <w:rPr>
                <w:sz w:val="20"/>
                <w:lang w:val="fr-CA"/>
              </w:rPr>
              <w:lastRenderedPageBreak/>
              <w:t>Le 18 juillet 2018</w:t>
            </w:r>
          </w:p>
          <w:p w:rsidR="00E8665F" w:rsidRPr="001126AB" w:rsidRDefault="00E8665F" w:rsidP="00D245D5">
            <w:pPr>
              <w:jc w:val="both"/>
              <w:rPr>
                <w:sz w:val="20"/>
                <w:lang w:val="fr-CA"/>
              </w:rPr>
            </w:pPr>
            <w:r w:rsidRPr="001126AB">
              <w:rPr>
                <w:sz w:val="20"/>
                <w:lang w:val="fr-CA"/>
              </w:rPr>
              <w:t>Cour fédérale</w:t>
            </w:r>
          </w:p>
          <w:p w:rsidR="00E8665F" w:rsidRPr="001126AB" w:rsidRDefault="00E8665F" w:rsidP="00D245D5">
            <w:pPr>
              <w:jc w:val="both"/>
              <w:rPr>
                <w:sz w:val="20"/>
                <w:lang w:val="fr-CA"/>
              </w:rPr>
            </w:pPr>
            <w:r w:rsidRPr="001126AB">
              <w:rPr>
                <w:sz w:val="20"/>
                <w:lang w:val="fr-CA"/>
              </w:rPr>
              <w:t>(le juge Martineau)</w:t>
            </w:r>
          </w:p>
          <w:p w:rsidR="00E8665F" w:rsidRPr="001126AB" w:rsidRDefault="008F207C" w:rsidP="00D245D5">
            <w:pPr>
              <w:jc w:val="both"/>
              <w:rPr>
                <w:sz w:val="20"/>
              </w:rPr>
            </w:pPr>
            <w:hyperlink r:id="rId23" w:history="1">
              <w:r w:rsidR="00E8665F" w:rsidRPr="001126AB">
                <w:rPr>
                  <w:rStyle w:val="Hyperlink"/>
                  <w:sz w:val="20"/>
                </w:rPr>
                <w:t>2018 CF 747</w:t>
              </w:r>
            </w:hyperlink>
          </w:p>
          <w:p w:rsidR="00E8665F" w:rsidRPr="001126AB" w:rsidRDefault="00E8665F" w:rsidP="00D245D5">
            <w:pPr>
              <w:jc w:val="both"/>
              <w:rPr>
                <w:sz w:val="20"/>
              </w:rPr>
            </w:pPr>
          </w:p>
        </w:tc>
        <w:tc>
          <w:tcPr>
            <w:tcW w:w="230" w:type="pct"/>
          </w:tcPr>
          <w:p w:rsidR="00E8665F" w:rsidRPr="001126AB" w:rsidRDefault="00E8665F" w:rsidP="00D245D5">
            <w:pPr>
              <w:jc w:val="both"/>
              <w:rPr>
                <w:sz w:val="20"/>
              </w:rPr>
            </w:pPr>
          </w:p>
        </w:tc>
        <w:tc>
          <w:tcPr>
            <w:tcW w:w="2366" w:type="pct"/>
          </w:tcPr>
          <w:p w:rsidR="00E8665F" w:rsidRPr="001126AB" w:rsidRDefault="00E8665F" w:rsidP="00D245D5">
            <w:pPr>
              <w:jc w:val="both"/>
              <w:rPr>
                <w:sz w:val="20"/>
                <w:lang w:val="fr-CA"/>
              </w:rPr>
            </w:pPr>
            <w:r w:rsidRPr="001126AB">
              <w:rPr>
                <w:sz w:val="20"/>
                <w:lang w:val="fr-CA"/>
              </w:rPr>
              <w:t xml:space="preserve">Demande de contrôle judiciaire accueillie; décision rendue par le Bureau des institutions financières du Canada annulée; policiers et constables spéciaux embauchés et rémunérés par les conseils de bande membres du Régime des rentes de la sécurité publique des Premières Nations déclarés occuper un emploi dans un ouvrage, une entreprise ou une activité de compétence fédérale; </w:t>
            </w:r>
            <w:r w:rsidRPr="001126AB">
              <w:rPr>
                <w:i/>
                <w:sz w:val="20"/>
                <w:lang w:val="fr-CA"/>
              </w:rPr>
              <w:t>Loi de 1985 sur les normes de prestation de pension</w:t>
            </w:r>
            <w:r w:rsidRPr="001126AB">
              <w:rPr>
                <w:sz w:val="20"/>
                <w:lang w:val="fr-CA"/>
              </w:rPr>
              <w:t xml:space="preserve">, L.R.C. 1985, c. 32 (2e </w:t>
            </w:r>
            <w:proofErr w:type="spellStart"/>
            <w:r w:rsidRPr="001126AB">
              <w:rPr>
                <w:sz w:val="20"/>
                <w:lang w:val="fr-CA"/>
              </w:rPr>
              <w:t>supp</w:t>
            </w:r>
            <w:proofErr w:type="spellEnd"/>
            <w:r w:rsidRPr="001126AB">
              <w:rPr>
                <w:sz w:val="20"/>
                <w:lang w:val="fr-CA"/>
              </w:rPr>
              <w:t>.), et son règlement d’application, déclarés applicables au Régime, les salariés participants occupant donc un « emploi inclus » au sens de cette même loi</w:t>
            </w:r>
          </w:p>
          <w:p w:rsidR="00E8665F" w:rsidRPr="001126AB" w:rsidRDefault="00E8665F" w:rsidP="00D245D5">
            <w:pPr>
              <w:jc w:val="both"/>
              <w:rPr>
                <w:sz w:val="20"/>
                <w:lang w:val="fr-CA"/>
              </w:rPr>
            </w:pPr>
          </w:p>
        </w:tc>
      </w:tr>
      <w:tr w:rsidR="00E8665F" w:rsidRPr="001126AB" w:rsidTr="004E709B">
        <w:tc>
          <w:tcPr>
            <w:tcW w:w="2405" w:type="pct"/>
          </w:tcPr>
          <w:p w:rsidR="00E8665F" w:rsidRPr="001126AB" w:rsidRDefault="00E8665F" w:rsidP="00D245D5">
            <w:pPr>
              <w:jc w:val="both"/>
              <w:rPr>
                <w:sz w:val="20"/>
                <w:lang w:val="fr-CA"/>
              </w:rPr>
            </w:pPr>
            <w:r w:rsidRPr="001126AB">
              <w:rPr>
                <w:sz w:val="20"/>
                <w:lang w:val="fr-CA"/>
              </w:rPr>
              <w:t>Le 15 avril 2020</w:t>
            </w:r>
          </w:p>
          <w:p w:rsidR="00E8665F" w:rsidRPr="001126AB" w:rsidRDefault="00E8665F" w:rsidP="00D245D5">
            <w:pPr>
              <w:jc w:val="both"/>
              <w:rPr>
                <w:sz w:val="20"/>
                <w:lang w:val="fr-CA"/>
              </w:rPr>
            </w:pPr>
            <w:r w:rsidRPr="001126AB">
              <w:rPr>
                <w:sz w:val="20"/>
                <w:lang w:val="fr-CA"/>
              </w:rPr>
              <w:t>Cour d’appel fédérale</w:t>
            </w:r>
          </w:p>
          <w:p w:rsidR="00E8665F" w:rsidRPr="001126AB" w:rsidRDefault="00E8665F" w:rsidP="00D245D5">
            <w:pPr>
              <w:jc w:val="both"/>
              <w:rPr>
                <w:sz w:val="20"/>
                <w:lang w:val="fr-CA"/>
              </w:rPr>
            </w:pPr>
            <w:r w:rsidRPr="001126AB">
              <w:rPr>
                <w:sz w:val="20"/>
                <w:lang w:val="fr-CA"/>
              </w:rPr>
              <w:t>(les juges Nadon, Locke et de Montigny)</w:t>
            </w:r>
          </w:p>
          <w:p w:rsidR="00E8665F" w:rsidRPr="001126AB" w:rsidRDefault="00E8665F" w:rsidP="00D245D5">
            <w:pPr>
              <w:jc w:val="both"/>
              <w:rPr>
                <w:sz w:val="20"/>
              </w:rPr>
            </w:pPr>
            <w:r w:rsidRPr="001126AB">
              <w:rPr>
                <w:sz w:val="20"/>
              </w:rPr>
              <w:t>No. dossier A</w:t>
            </w:r>
            <w:r w:rsidRPr="001126AB">
              <w:rPr>
                <w:sz w:val="20"/>
              </w:rPr>
              <w:noBreakHyphen/>
              <w:t>293</w:t>
            </w:r>
            <w:r w:rsidRPr="001126AB">
              <w:rPr>
                <w:sz w:val="20"/>
              </w:rPr>
              <w:noBreakHyphen/>
              <w:t>18</w:t>
            </w:r>
          </w:p>
          <w:p w:rsidR="00E8665F" w:rsidRPr="001126AB" w:rsidRDefault="008F207C" w:rsidP="00D245D5">
            <w:pPr>
              <w:jc w:val="both"/>
              <w:rPr>
                <w:sz w:val="20"/>
              </w:rPr>
            </w:pPr>
            <w:hyperlink r:id="rId24" w:history="1">
              <w:r w:rsidR="00E8665F" w:rsidRPr="001126AB">
                <w:rPr>
                  <w:rStyle w:val="Hyperlink"/>
                  <w:sz w:val="20"/>
                </w:rPr>
                <w:t>2020 CAF 74</w:t>
              </w:r>
            </w:hyperlink>
          </w:p>
          <w:p w:rsidR="00E8665F" w:rsidRPr="001126AB" w:rsidRDefault="00E8665F" w:rsidP="00D245D5">
            <w:pPr>
              <w:jc w:val="both"/>
              <w:rPr>
                <w:sz w:val="20"/>
              </w:rPr>
            </w:pPr>
          </w:p>
        </w:tc>
        <w:tc>
          <w:tcPr>
            <w:tcW w:w="230" w:type="pct"/>
          </w:tcPr>
          <w:p w:rsidR="00E8665F" w:rsidRPr="001126AB" w:rsidRDefault="00E8665F" w:rsidP="00D245D5">
            <w:pPr>
              <w:jc w:val="both"/>
              <w:rPr>
                <w:sz w:val="20"/>
              </w:rPr>
            </w:pPr>
          </w:p>
        </w:tc>
        <w:tc>
          <w:tcPr>
            <w:tcW w:w="2366" w:type="pct"/>
          </w:tcPr>
          <w:p w:rsidR="00E8665F" w:rsidRPr="001126AB" w:rsidRDefault="00E8665F" w:rsidP="00D245D5">
            <w:pPr>
              <w:jc w:val="both"/>
              <w:rPr>
                <w:sz w:val="20"/>
              </w:rPr>
            </w:pPr>
            <w:r w:rsidRPr="001126AB">
              <w:rPr>
                <w:sz w:val="20"/>
              </w:rPr>
              <w:t>Appel rejeté</w:t>
            </w:r>
          </w:p>
          <w:p w:rsidR="00E8665F" w:rsidRPr="001126AB" w:rsidRDefault="00E8665F" w:rsidP="00D245D5">
            <w:pPr>
              <w:jc w:val="both"/>
              <w:rPr>
                <w:sz w:val="20"/>
              </w:rPr>
            </w:pPr>
          </w:p>
        </w:tc>
      </w:tr>
      <w:tr w:rsidR="00E8665F" w:rsidRPr="001126AB" w:rsidTr="004E709B">
        <w:tc>
          <w:tcPr>
            <w:tcW w:w="2405" w:type="pct"/>
          </w:tcPr>
          <w:p w:rsidR="00E8665F" w:rsidRPr="001126AB" w:rsidRDefault="00E8665F" w:rsidP="00D245D5">
            <w:pPr>
              <w:jc w:val="both"/>
              <w:rPr>
                <w:sz w:val="20"/>
                <w:lang w:val="fr-CA"/>
              </w:rPr>
            </w:pPr>
            <w:r w:rsidRPr="001126AB">
              <w:rPr>
                <w:sz w:val="20"/>
                <w:lang w:val="fr-CA"/>
              </w:rPr>
              <w:t>Le 12 juin 2020</w:t>
            </w:r>
          </w:p>
          <w:p w:rsidR="00E8665F" w:rsidRPr="001126AB" w:rsidRDefault="00E8665F" w:rsidP="00D245D5">
            <w:pPr>
              <w:jc w:val="both"/>
              <w:rPr>
                <w:sz w:val="20"/>
                <w:lang w:val="fr-CA"/>
              </w:rPr>
            </w:pPr>
            <w:r w:rsidRPr="001126AB">
              <w:rPr>
                <w:sz w:val="20"/>
                <w:lang w:val="fr-CA"/>
              </w:rPr>
              <w:t>Cour suprême du Canada</w:t>
            </w:r>
          </w:p>
        </w:tc>
        <w:tc>
          <w:tcPr>
            <w:tcW w:w="230" w:type="pct"/>
          </w:tcPr>
          <w:p w:rsidR="00E8665F" w:rsidRPr="001126AB" w:rsidRDefault="00E8665F" w:rsidP="00D245D5">
            <w:pPr>
              <w:jc w:val="both"/>
              <w:rPr>
                <w:sz w:val="20"/>
                <w:lang w:val="fr-CA"/>
              </w:rPr>
            </w:pPr>
          </w:p>
        </w:tc>
        <w:tc>
          <w:tcPr>
            <w:tcW w:w="2366" w:type="pct"/>
          </w:tcPr>
          <w:p w:rsidR="00E8665F" w:rsidRPr="001126AB" w:rsidRDefault="00E8665F" w:rsidP="00D245D5">
            <w:pPr>
              <w:jc w:val="both"/>
              <w:rPr>
                <w:sz w:val="20"/>
              </w:rPr>
            </w:pPr>
            <w:r w:rsidRPr="001126AB">
              <w:rPr>
                <w:sz w:val="20"/>
              </w:rPr>
              <w:t>Demande d’autorisation d’appel déposée</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widowControl w:val="0"/>
        <w:jc w:val="both"/>
        <w:rPr>
          <w:sz w:val="20"/>
        </w:rPr>
      </w:pPr>
      <w:r w:rsidRPr="001126AB">
        <w:rPr>
          <w:sz w:val="20"/>
        </w:rPr>
        <w:pict>
          <v:rect id="_x0000_i1039" style="width:2in;height:1pt" o:hrpct="0" o:hralign="center" o:hrstd="t" o:hrnoshade="t" o:hr="t" fillcolor="black [3213]" stroked="f"/>
        </w:pict>
      </w:r>
    </w:p>
    <w:p w:rsidR="00E8665F" w:rsidRPr="001126AB" w:rsidRDefault="00E8665F" w:rsidP="00E8665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39268</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Karen Stirrett v. Bradley Strauss</w:t>
            </w:r>
          </w:p>
          <w:p w:rsidR="00E8665F" w:rsidRPr="001126AB" w:rsidRDefault="00E8665F" w:rsidP="00D245D5">
            <w:pPr>
              <w:jc w:val="both"/>
              <w:rPr>
                <w:sz w:val="20"/>
              </w:rPr>
            </w:pPr>
            <w:r w:rsidRPr="001126AB">
              <w:rPr>
                <w:sz w:val="20"/>
              </w:rPr>
              <w:t>(Ont.) (Civil) (By Leave)</w:t>
            </w:r>
          </w:p>
        </w:tc>
      </w:tr>
      <w:tr w:rsidR="00785D14" w:rsidRPr="001126AB" w:rsidTr="00D245D5">
        <w:tc>
          <w:tcPr>
            <w:tcW w:w="5000" w:type="pct"/>
            <w:gridSpan w:val="4"/>
          </w:tcPr>
          <w:p w:rsidR="00D245D5" w:rsidRPr="001126AB" w:rsidRDefault="00D245D5" w:rsidP="00D245D5">
            <w:pPr>
              <w:jc w:val="both"/>
              <w:rPr>
                <w:sz w:val="20"/>
                <w:szCs w:val="20"/>
              </w:rPr>
            </w:pPr>
            <w:r w:rsidRPr="001126AB">
              <w:rPr>
                <w:sz w:val="20"/>
                <w:szCs w:val="20"/>
              </w:rPr>
              <w:t>The application for leave to appeal from the judgment of the Court of Appeal for Ontario, Number C65848, 2020 ONCA 288, dated May 6, 2020, is dismissed.</w:t>
            </w:r>
          </w:p>
          <w:p w:rsidR="00785D14" w:rsidRPr="001126AB" w:rsidRDefault="00785D14" w:rsidP="00D245D5">
            <w:pPr>
              <w:ind w:firstLine="720"/>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 xml:space="preserve">Fiduciary duty — Causation — Patient dying while participating in clinical research trial — Claim for breach of fiduciary duty and damages set aside by Court of Appeal — To what extent should common law concepts limit the right to equitable remedies in Canada — What is role of causation in claim for breach of fiduciary duty — Whether “but for” test should apply to analysis in equitable cause of action — Following  Court of Appeal’s inclusion of “but for” causation as part of proof of fiduciary relationship, have tests established in </w:t>
            </w:r>
            <w:r w:rsidRPr="001126AB">
              <w:rPr>
                <w:i/>
                <w:sz w:val="20"/>
              </w:rPr>
              <w:t>Galambos v. Perez</w:t>
            </w:r>
            <w:r w:rsidRPr="001126AB">
              <w:rPr>
                <w:sz w:val="20"/>
              </w:rPr>
              <w:t xml:space="preserve">, 2009 SCC 48, [2009] 3 S.C.R. 247and </w:t>
            </w:r>
            <w:r w:rsidRPr="001126AB">
              <w:rPr>
                <w:i/>
                <w:iCs/>
                <w:sz w:val="20"/>
                <w:lang w:val="en"/>
              </w:rPr>
              <w:t>Alberta v. Elder Advocates of Alberta Society</w:t>
            </w:r>
            <w:r w:rsidRPr="001126AB">
              <w:rPr>
                <w:sz w:val="20"/>
                <w:lang w:val="en"/>
              </w:rPr>
              <w:t xml:space="preserve">, 2011 SCC 24, [2011] 2 S.C.R. 261 </w:t>
            </w:r>
            <w:r w:rsidRPr="001126AB">
              <w:rPr>
                <w:sz w:val="20"/>
              </w:rPr>
              <w:t>been changed.</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lang w:val="en"/>
              </w:rPr>
            </w:pPr>
            <w:r w:rsidRPr="001126AB">
              <w:rPr>
                <w:sz w:val="20"/>
                <w:lang w:val="en"/>
              </w:rPr>
              <w:t>David Stirrett died as a result of complications that arose during an angiogram he underwent as part of his participation in a clinical research trial.  His wife, the applicant Karen Stirrett, sued the two doctors who performed the follow-up angiogram on her husband. She also sued the respondent, Dr. Bradley Strauss, the medical researcher who headed up the clinical research trial at the hospital where the angiogram was performed.</w:t>
            </w:r>
            <w:bookmarkStart w:id="4" w:name="_ftnref1"/>
            <w:bookmarkEnd w:id="4"/>
            <w:r w:rsidRPr="001126AB">
              <w:rPr>
                <w:sz w:val="20"/>
                <w:lang w:val="en"/>
              </w:rPr>
              <w:t xml:space="preserve"> She brought claims both in negligence and for breach of fiduciary duty. </w:t>
            </w:r>
          </w:p>
          <w:p w:rsidR="00E8665F" w:rsidRPr="001126AB" w:rsidRDefault="00E8665F" w:rsidP="00D245D5">
            <w:pPr>
              <w:jc w:val="both"/>
              <w:rPr>
                <w:sz w:val="20"/>
                <w:lang w:val="en"/>
              </w:rPr>
            </w:pPr>
          </w:p>
          <w:p w:rsidR="00E8665F" w:rsidRPr="001126AB" w:rsidRDefault="00E8665F" w:rsidP="00D245D5">
            <w:pPr>
              <w:jc w:val="both"/>
              <w:rPr>
                <w:sz w:val="20"/>
                <w:lang w:val="en"/>
              </w:rPr>
            </w:pPr>
            <w:r w:rsidRPr="001126AB">
              <w:rPr>
                <w:sz w:val="20"/>
                <w:lang w:val="en"/>
              </w:rPr>
              <w:t>The negligence claims proceeded to trial before a jury and were dismissed. The findings of the jury were not appealed. The trial judge dismissed the fiduciary claims against the other doctors but found Dr. Strauss had breached his fiduciary duty and granted judgment against him in the agreed amount of damages. At the Court of Appeal, the appeal was granted and the case against Dr. Strauss was dismissed.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August 9, 2019</w:t>
            </w:r>
          </w:p>
          <w:p w:rsidR="00E8665F" w:rsidRPr="001126AB" w:rsidRDefault="00E8665F" w:rsidP="00D245D5">
            <w:pPr>
              <w:jc w:val="both"/>
              <w:rPr>
                <w:sz w:val="20"/>
              </w:rPr>
            </w:pPr>
            <w:r w:rsidRPr="001126AB">
              <w:rPr>
                <w:sz w:val="20"/>
              </w:rPr>
              <w:t>Ontario Superior Court of Justice</w:t>
            </w:r>
          </w:p>
          <w:p w:rsidR="00E8665F" w:rsidRPr="001126AB" w:rsidRDefault="00E8665F" w:rsidP="00D245D5">
            <w:pPr>
              <w:jc w:val="both"/>
              <w:rPr>
                <w:sz w:val="20"/>
              </w:rPr>
            </w:pPr>
            <w:r w:rsidRPr="001126AB">
              <w:rPr>
                <w:sz w:val="20"/>
              </w:rPr>
              <w:t>(Dow J.)</w:t>
            </w:r>
          </w:p>
          <w:p w:rsidR="00E8665F" w:rsidRPr="001126AB" w:rsidRDefault="008F207C" w:rsidP="00D245D5">
            <w:pPr>
              <w:jc w:val="both"/>
              <w:rPr>
                <w:sz w:val="20"/>
              </w:rPr>
            </w:pPr>
            <w:hyperlink r:id="rId25" w:history="1">
              <w:r w:rsidR="00E8665F" w:rsidRPr="001126AB">
                <w:rPr>
                  <w:rStyle w:val="Hyperlink"/>
                  <w:sz w:val="20"/>
                </w:rPr>
                <w:t>2018 ONSC 2595</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Claims in negligence dismissed in accordance with jury’s verdict; claims for breach of fiduciary duty dismissed except against Dr. Strauss. Judgment against Dr. Strauss in the amount of $387, 000.</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lastRenderedPageBreak/>
              <w:t>May 6, 2020</w:t>
            </w:r>
          </w:p>
          <w:p w:rsidR="00E8665F" w:rsidRPr="001126AB" w:rsidRDefault="00E8665F" w:rsidP="00D245D5">
            <w:pPr>
              <w:jc w:val="both"/>
              <w:rPr>
                <w:sz w:val="20"/>
              </w:rPr>
            </w:pPr>
            <w:r w:rsidRPr="001126AB">
              <w:rPr>
                <w:sz w:val="20"/>
              </w:rPr>
              <w:t>Court of Appeal for Ontario</w:t>
            </w:r>
          </w:p>
          <w:p w:rsidR="00E8665F" w:rsidRPr="001126AB" w:rsidRDefault="00E8665F" w:rsidP="00D245D5">
            <w:pPr>
              <w:jc w:val="both"/>
              <w:rPr>
                <w:sz w:val="20"/>
              </w:rPr>
            </w:pPr>
            <w:r w:rsidRPr="001126AB">
              <w:rPr>
                <w:sz w:val="20"/>
              </w:rPr>
              <w:t xml:space="preserve">(Hoy A.C.J.O. and van </w:t>
            </w:r>
            <w:proofErr w:type="spellStart"/>
            <w:r w:rsidRPr="001126AB">
              <w:rPr>
                <w:sz w:val="20"/>
              </w:rPr>
              <w:t>Rensburg</w:t>
            </w:r>
            <w:proofErr w:type="spellEnd"/>
            <w:r w:rsidRPr="001126AB">
              <w:rPr>
                <w:sz w:val="20"/>
              </w:rPr>
              <w:t xml:space="preserve"> and Roberts JJ.)</w:t>
            </w:r>
          </w:p>
          <w:p w:rsidR="00E8665F" w:rsidRPr="001126AB" w:rsidRDefault="008F207C" w:rsidP="00D245D5">
            <w:pPr>
              <w:jc w:val="both"/>
              <w:rPr>
                <w:sz w:val="20"/>
              </w:rPr>
            </w:pPr>
            <w:hyperlink r:id="rId26" w:history="1">
              <w:r w:rsidR="00E8665F" w:rsidRPr="001126AB">
                <w:rPr>
                  <w:rStyle w:val="Hyperlink"/>
                  <w:sz w:val="20"/>
                </w:rPr>
                <w:t>2020 ONCA 288</w:t>
              </w:r>
            </w:hyperlink>
          </w:p>
          <w:p w:rsidR="00E8665F" w:rsidRPr="001126AB" w:rsidRDefault="00E8665F" w:rsidP="00D245D5">
            <w:pPr>
              <w:jc w:val="both"/>
              <w:rPr>
                <w:sz w:val="20"/>
              </w:rPr>
            </w:pPr>
            <w:r w:rsidRPr="001126AB">
              <w:rPr>
                <w:sz w:val="20"/>
              </w:rPr>
              <w:t>File No.: C65848</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granted and case against Dr. Strauss dismissed.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August 4,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40"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39268</w:t>
            </w:r>
          </w:p>
        </w:tc>
        <w:tc>
          <w:tcPr>
            <w:tcW w:w="4457" w:type="pct"/>
            <w:gridSpan w:val="3"/>
          </w:tcPr>
          <w:p w:rsidR="00E8665F" w:rsidRPr="001126AB" w:rsidRDefault="00E8665F" w:rsidP="00D245D5">
            <w:pPr>
              <w:pStyle w:val="SCCLsocParty"/>
              <w:jc w:val="both"/>
              <w:rPr>
                <w:b/>
                <w:sz w:val="20"/>
                <w:szCs w:val="20"/>
              </w:rPr>
            </w:pPr>
            <w:r w:rsidRPr="001126AB">
              <w:rPr>
                <w:b/>
                <w:sz w:val="20"/>
                <w:szCs w:val="20"/>
              </w:rPr>
              <w:t>Karen Stirrett c. Bradley Strauss</w:t>
            </w:r>
          </w:p>
          <w:p w:rsidR="00E8665F" w:rsidRPr="001126AB" w:rsidRDefault="00E8665F" w:rsidP="00D245D5">
            <w:pPr>
              <w:jc w:val="both"/>
              <w:rPr>
                <w:sz w:val="20"/>
              </w:rPr>
            </w:pPr>
            <w:r w:rsidRPr="001126AB">
              <w:rPr>
                <w:sz w:val="20"/>
              </w:rPr>
              <w:t>(Ont.) (Civile) (Autorisation)</w:t>
            </w:r>
          </w:p>
        </w:tc>
      </w:tr>
      <w:tr w:rsidR="00785D14" w:rsidRPr="001126AB" w:rsidTr="00D245D5">
        <w:tc>
          <w:tcPr>
            <w:tcW w:w="5000" w:type="pct"/>
            <w:gridSpan w:val="4"/>
          </w:tcPr>
          <w:p w:rsidR="00785D14" w:rsidRPr="001126AB" w:rsidRDefault="00D245D5" w:rsidP="00D245D5">
            <w:pPr>
              <w:jc w:val="both"/>
              <w:rPr>
                <w:sz w:val="20"/>
                <w:szCs w:val="20"/>
                <w:lang w:val="fr-CA"/>
              </w:rPr>
            </w:pPr>
            <w:r w:rsidRPr="001126AB">
              <w:rPr>
                <w:sz w:val="20"/>
                <w:szCs w:val="20"/>
                <w:lang w:val="fr-CA"/>
              </w:rPr>
              <w:t>La demande d’autorisation d’appel de l’arrêt de la Cour d’appel de l’Ontario, numéro C65848, 2020 ONCA 288, daté du 6 mai 2020, est rejetée.</w:t>
            </w:r>
          </w:p>
          <w:p w:rsidR="00D245D5" w:rsidRPr="001126AB" w:rsidRDefault="00D245D5"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Obligation fiduciaire — Causalité — Patient décédé pendant qu’il participait à un essai clinique — Réclamations pour manquement à une obligation fiduciaire et dommages</w:t>
            </w:r>
            <w:r w:rsidRPr="001126AB">
              <w:rPr>
                <w:sz w:val="20"/>
                <w:lang w:val="fr-CA"/>
              </w:rPr>
              <w:noBreakHyphen/>
              <w:t>intérêts annulées par la Cour d’appel — À quel point les principes de common law devraient</w:t>
            </w:r>
            <w:r w:rsidRPr="001126AB">
              <w:rPr>
                <w:sz w:val="20"/>
                <w:lang w:val="fr-CA"/>
              </w:rPr>
              <w:noBreakHyphen/>
              <w:t>ils limiter le droit à réparation reconnu en equity au Canada? — Quel est le rôle du lien de causalité dans une réclamation pour manquement à une obligation fiduciaire? — Le critère du lien de causalité « n’eut été » devrait</w:t>
            </w:r>
            <w:r w:rsidRPr="001126AB">
              <w:rPr>
                <w:sz w:val="20"/>
                <w:lang w:val="fr-CA"/>
              </w:rPr>
              <w:noBreakHyphen/>
              <w:t xml:space="preserve">il s’appliquer à l’analyse d’une cause d’action en equity? — La Cour d’appel ayant inclus le lien de causalité « n’eut été » comme partie de la preuve du lien fiduciaire, les critères établis dans les arrêts </w:t>
            </w:r>
            <w:r w:rsidRPr="001126AB">
              <w:rPr>
                <w:i/>
                <w:sz w:val="20"/>
                <w:lang w:val="fr-CA"/>
              </w:rPr>
              <w:t>Galambos v. Perez</w:t>
            </w:r>
            <w:r w:rsidRPr="001126AB">
              <w:rPr>
                <w:sz w:val="20"/>
                <w:lang w:val="fr-CA"/>
              </w:rPr>
              <w:t xml:space="preserve">, 2009 CSC 48, [2009] 3 R.C.S. 247 et </w:t>
            </w:r>
            <w:r w:rsidRPr="001126AB">
              <w:rPr>
                <w:i/>
                <w:iCs/>
                <w:sz w:val="20"/>
                <w:lang w:val="fr-CA"/>
              </w:rPr>
              <w:t>Alberta c. Elder Advocates of Alberta Society</w:t>
            </w:r>
            <w:r w:rsidRPr="001126AB">
              <w:rPr>
                <w:sz w:val="20"/>
                <w:lang w:val="fr-CA"/>
              </w:rPr>
              <w:t>, 2011 CSC 24, [2011] 2 R.C.S. 261 ont</w:t>
            </w:r>
            <w:r w:rsidRPr="001126AB">
              <w:rPr>
                <w:sz w:val="20"/>
                <w:lang w:val="fr-CA"/>
              </w:rPr>
              <w:noBreakHyphen/>
              <w:t>ils été modifiés?</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David Stirrett est décédé des suites de complications survenues pendant un angiogramme qu’il a subi dans le cadre de sa participation à un essai clinique. Son épouse, Karen Stirrett, la demanderesse, a poursuivi les deux docteurs qui ont effectué l’angiogramme de suivi sur son époux. Elle a aussi poursuivi le défendeur, D</w:t>
            </w:r>
            <w:r w:rsidRPr="001126AB">
              <w:rPr>
                <w:sz w:val="20"/>
                <w:vertAlign w:val="superscript"/>
                <w:lang w:val="fr-CA"/>
              </w:rPr>
              <w:t>r</w:t>
            </w:r>
            <w:r w:rsidRPr="001126AB">
              <w:rPr>
                <w:sz w:val="20"/>
                <w:lang w:val="fr-CA"/>
              </w:rPr>
              <w:t> Bradley Strauss, le chercheur médical qui dirigeait l’essai clinique à l’hôpital où l’angiogramme a été effectué. Elle a présenté des réclamations à la fois pour négligence et pour manquement à une obligation fiduciaire.</w:t>
            </w:r>
          </w:p>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Les demandes pour négligence ont été instruites devant un jury et ont été rejetées. Les conclusions du jury n’ont pas fait l’objet d’appel. Le juge du procès a rejeté les demandes fiduciaires présentées à l’encontre des autres docteurs, mais a conclu que le D</w:t>
            </w:r>
            <w:r w:rsidRPr="001126AB">
              <w:rPr>
                <w:sz w:val="20"/>
                <w:vertAlign w:val="superscript"/>
                <w:lang w:val="fr-CA"/>
              </w:rPr>
              <w:t>r</w:t>
            </w:r>
            <w:r w:rsidRPr="001126AB">
              <w:rPr>
                <w:sz w:val="20"/>
                <w:lang w:val="fr-CA"/>
              </w:rPr>
              <w:t> Strauss avait manqué à son obligation fiduciaire et a rendu un jugement contre ce dernier pour le montant convenu de dommages</w:t>
            </w:r>
            <w:r w:rsidRPr="001126AB">
              <w:rPr>
                <w:sz w:val="20"/>
                <w:lang w:val="fr-CA"/>
              </w:rPr>
              <w:noBreakHyphen/>
              <w:t>intérêts. La Cour d’appel a accueilli l’appel, et la cause contre le D</w:t>
            </w:r>
            <w:r w:rsidRPr="001126AB">
              <w:rPr>
                <w:sz w:val="20"/>
                <w:vertAlign w:val="superscript"/>
                <w:lang w:val="fr-CA"/>
              </w:rPr>
              <w:t>r</w:t>
            </w:r>
            <w:r w:rsidRPr="001126AB">
              <w:rPr>
                <w:sz w:val="20"/>
                <w:lang w:val="fr-CA"/>
              </w:rPr>
              <w:t> Strauss a été rejetée.</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9 août 2019</w:t>
            </w:r>
          </w:p>
          <w:p w:rsidR="00E8665F" w:rsidRPr="001126AB" w:rsidRDefault="00E8665F" w:rsidP="00D245D5">
            <w:pPr>
              <w:jc w:val="both"/>
              <w:rPr>
                <w:sz w:val="20"/>
                <w:lang w:val="fr-CA"/>
              </w:rPr>
            </w:pPr>
            <w:r w:rsidRPr="001126AB">
              <w:rPr>
                <w:sz w:val="20"/>
                <w:lang w:val="fr-CA"/>
              </w:rPr>
              <w:t>Cour supérieure de justice de l’Ontario</w:t>
            </w:r>
          </w:p>
          <w:p w:rsidR="00E8665F" w:rsidRPr="001126AB" w:rsidRDefault="00E8665F" w:rsidP="00D245D5">
            <w:pPr>
              <w:jc w:val="both"/>
              <w:rPr>
                <w:sz w:val="20"/>
              </w:rPr>
            </w:pPr>
            <w:r w:rsidRPr="001126AB">
              <w:rPr>
                <w:sz w:val="20"/>
              </w:rPr>
              <w:t>(juge Dow)</w:t>
            </w:r>
          </w:p>
          <w:p w:rsidR="00E8665F" w:rsidRPr="001126AB" w:rsidRDefault="008F207C" w:rsidP="00D245D5">
            <w:pPr>
              <w:jc w:val="both"/>
              <w:rPr>
                <w:sz w:val="20"/>
              </w:rPr>
            </w:pPr>
            <w:hyperlink r:id="rId27" w:history="1">
              <w:r w:rsidR="00E8665F" w:rsidRPr="001126AB">
                <w:rPr>
                  <w:rStyle w:val="Hyperlink"/>
                  <w:sz w:val="20"/>
                </w:rPr>
                <w:t>2018 ONSC 2595</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Réclamations pour négligence rejetées, conformément au verdict du jury; réclamations pour manquement à l’obligation fiduciaire rejetées, à l’exception de celle contre le D</w:t>
            </w:r>
            <w:r w:rsidRPr="001126AB">
              <w:rPr>
                <w:sz w:val="20"/>
                <w:vertAlign w:val="superscript"/>
                <w:lang w:val="fr-CA"/>
              </w:rPr>
              <w:t>r</w:t>
            </w:r>
            <w:r w:rsidRPr="001126AB">
              <w:rPr>
                <w:sz w:val="20"/>
                <w:lang w:val="fr-CA"/>
              </w:rPr>
              <w:t> Strauss. Décision rendue contre le D</w:t>
            </w:r>
            <w:r w:rsidRPr="001126AB">
              <w:rPr>
                <w:sz w:val="20"/>
                <w:vertAlign w:val="superscript"/>
                <w:lang w:val="fr-CA"/>
              </w:rPr>
              <w:t>r</w:t>
            </w:r>
            <w:r w:rsidRPr="001126AB">
              <w:rPr>
                <w:sz w:val="20"/>
                <w:lang w:val="fr-CA"/>
              </w:rPr>
              <w:t> Strauss pour un montant de 387 000 $.</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6 mai 2020</w:t>
            </w:r>
          </w:p>
          <w:p w:rsidR="00E8665F" w:rsidRPr="001126AB" w:rsidRDefault="00E8665F" w:rsidP="00D245D5">
            <w:pPr>
              <w:jc w:val="both"/>
              <w:rPr>
                <w:sz w:val="20"/>
                <w:lang w:val="fr-CA"/>
              </w:rPr>
            </w:pPr>
            <w:r w:rsidRPr="001126AB">
              <w:rPr>
                <w:sz w:val="20"/>
                <w:lang w:val="fr-CA"/>
              </w:rPr>
              <w:t>Cour d’appel de l’Ontario</w:t>
            </w:r>
          </w:p>
          <w:p w:rsidR="00E8665F" w:rsidRPr="001126AB" w:rsidRDefault="00E8665F" w:rsidP="00D245D5">
            <w:pPr>
              <w:jc w:val="both"/>
              <w:rPr>
                <w:sz w:val="20"/>
                <w:lang w:val="fr-CA"/>
              </w:rPr>
            </w:pPr>
            <w:r w:rsidRPr="001126AB">
              <w:rPr>
                <w:sz w:val="20"/>
                <w:lang w:val="fr-CA"/>
              </w:rPr>
              <w:t xml:space="preserve">(juge en chef adjoint Hoy, juges van </w:t>
            </w:r>
            <w:proofErr w:type="spellStart"/>
            <w:r w:rsidRPr="001126AB">
              <w:rPr>
                <w:sz w:val="20"/>
                <w:lang w:val="fr-CA"/>
              </w:rPr>
              <w:t>Rensburg</w:t>
            </w:r>
            <w:proofErr w:type="spellEnd"/>
            <w:r w:rsidRPr="001126AB">
              <w:rPr>
                <w:sz w:val="20"/>
                <w:lang w:val="fr-CA"/>
              </w:rPr>
              <w:t xml:space="preserve"> et Roberts)</w:t>
            </w:r>
          </w:p>
          <w:p w:rsidR="00E8665F" w:rsidRPr="001126AB" w:rsidRDefault="008F207C" w:rsidP="00D245D5">
            <w:pPr>
              <w:jc w:val="both"/>
              <w:rPr>
                <w:sz w:val="20"/>
                <w:lang w:val="fr-CA"/>
              </w:rPr>
            </w:pPr>
            <w:hyperlink r:id="rId28" w:history="1">
              <w:r w:rsidR="00E8665F" w:rsidRPr="001126AB">
                <w:rPr>
                  <w:rStyle w:val="Hyperlink"/>
                  <w:sz w:val="20"/>
                  <w:lang w:val="fr-CA"/>
                </w:rPr>
                <w:t>2020 ONCA 288</w:t>
              </w:r>
            </w:hyperlink>
          </w:p>
          <w:p w:rsidR="00E8665F" w:rsidRPr="001126AB" w:rsidRDefault="00E8665F" w:rsidP="00D245D5">
            <w:pPr>
              <w:jc w:val="both"/>
              <w:rPr>
                <w:sz w:val="20"/>
                <w:lang w:val="fr-CA"/>
              </w:rPr>
            </w:pPr>
            <w:r w:rsidRPr="001126AB">
              <w:rPr>
                <w:sz w:val="20"/>
                <w:lang w:val="fr-CA"/>
              </w:rPr>
              <w:t>N° de dossier : C65848</w:t>
            </w:r>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Accueil de l’appel et rejet de la cause contre le D</w:t>
            </w:r>
            <w:r w:rsidRPr="001126AB">
              <w:rPr>
                <w:sz w:val="20"/>
                <w:vertAlign w:val="superscript"/>
                <w:lang w:val="fr-CA"/>
              </w:rPr>
              <w:t>r</w:t>
            </w:r>
            <w:r w:rsidRPr="001126AB">
              <w:rPr>
                <w:sz w:val="20"/>
                <w:lang w:val="fr-CA"/>
              </w:rPr>
              <w:t> Strauss.</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4 août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Dépôt de la demande d’autorisation d’appel.</w:t>
            </w:r>
          </w:p>
          <w:p w:rsidR="00E8665F" w:rsidRPr="001126AB" w:rsidRDefault="00E8665F" w:rsidP="00D245D5">
            <w:pPr>
              <w:jc w:val="both"/>
              <w:rPr>
                <w:sz w:val="20"/>
                <w:lang w:val="fr-CA"/>
              </w:rPr>
            </w:pPr>
          </w:p>
        </w:tc>
      </w:tr>
    </w:tbl>
    <w:p w:rsidR="00E8665F" w:rsidRPr="001126AB" w:rsidRDefault="00E8665F" w:rsidP="00E8665F">
      <w:pPr>
        <w:jc w:val="both"/>
        <w:rPr>
          <w:sz w:val="20"/>
          <w:lang w:val="fr-CA"/>
        </w:rPr>
      </w:pPr>
    </w:p>
    <w:p w:rsidR="00E8665F" w:rsidRPr="001126AB" w:rsidRDefault="008F207C" w:rsidP="00E8665F">
      <w:pPr>
        <w:widowControl w:val="0"/>
        <w:jc w:val="both"/>
        <w:rPr>
          <w:sz w:val="20"/>
          <w:lang w:val="fr-CA"/>
        </w:rPr>
      </w:pPr>
      <w:r w:rsidRPr="001126AB">
        <w:rPr>
          <w:sz w:val="20"/>
        </w:rPr>
        <w:lastRenderedPageBreak/>
        <w:pict>
          <v:rect id="_x0000_i1041" style="width:2in;height:1pt" o:hrpct="0" o:hralign="center" o:hrstd="t" o:hrnoshade="t" o:hr="t" fillcolor="black [3213]" stroked="f"/>
        </w:pict>
      </w:r>
    </w:p>
    <w:p w:rsidR="00E8665F" w:rsidRPr="001126AB" w:rsidRDefault="00E8665F" w:rsidP="00E866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39262</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Johnny Wilfred Troy Awasis v. Her Majesty the Queen</w:t>
            </w:r>
          </w:p>
          <w:p w:rsidR="00E8665F" w:rsidRPr="001126AB" w:rsidRDefault="00E8665F" w:rsidP="00D245D5">
            <w:pPr>
              <w:jc w:val="both"/>
              <w:rPr>
                <w:sz w:val="20"/>
              </w:rPr>
            </w:pPr>
            <w:r w:rsidRPr="001126AB">
              <w:rPr>
                <w:sz w:val="20"/>
              </w:rPr>
              <w:t>(B.C.) (Criminal) (By Leave)</w:t>
            </w:r>
          </w:p>
        </w:tc>
      </w:tr>
      <w:tr w:rsidR="00785D14" w:rsidRPr="001126AB" w:rsidTr="00D245D5">
        <w:tc>
          <w:tcPr>
            <w:tcW w:w="5000" w:type="pct"/>
            <w:gridSpan w:val="4"/>
          </w:tcPr>
          <w:p w:rsidR="00D245D5" w:rsidRPr="001126AB" w:rsidRDefault="00D245D5" w:rsidP="00D245D5">
            <w:pPr>
              <w:jc w:val="both"/>
              <w:rPr>
                <w:sz w:val="20"/>
                <w:szCs w:val="20"/>
              </w:rPr>
            </w:pPr>
            <w:r w:rsidRPr="001126AB">
              <w:rPr>
                <w:sz w:val="20"/>
                <w:szCs w:val="20"/>
              </w:rPr>
              <w:t>The motion for an extension of time to serve and file the application for leave to appeal is granted. The application for leave to appeal from the judgment of the Court of Appeal for British Columbia (Vancouver), Number CA44011, 2020 BCCA 23, dated January 24, 2020, is dismissed.</w:t>
            </w:r>
          </w:p>
          <w:p w:rsidR="00785D14" w:rsidRPr="001126AB" w:rsidRDefault="00785D1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i/>
                <w:sz w:val="20"/>
              </w:rPr>
              <w:t>Charter of Rights and Freedoms</w:t>
            </w:r>
            <w:r w:rsidRPr="001126AB">
              <w:rPr>
                <w:sz w:val="20"/>
              </w:rPr>
              <w:t xml:space="preserve"> — Right to equality — Criminal law — Sentencing — Dangerous offenders </w:t>
            </w:r>
            <w:r w:rsidRPr="001126AB">
              <w:rPr>
                <w:bCs/>
                <w:color w:val="373739"/>
                <w:sz w:val="20"/>
              </w:rPr>
              <w:t>and long</w:t>
            </w:r>
            <w:r w:rsidRPr="001126AB">
              <w:rPr>
                <w:bCs/>
                <w:color w:val="373739"/>
                <w:sz w:val="20"/>
              </w:rPr>
              <w:noBreakHyphen/>
              <w:t xml:space="preserve">term offenders — Protection of the public </w:t>
            </w:r>
            <w:r w:rsidRPr="001126AB">
              <w:rPr>
                <w:sz w:val="20"/>
              </w:rPr>
              <w:t>— Have Canadian courts created a two</w:t>
            </w:r>
            <w:r w:rsidRPr="001126AB">
              <w:rPr>
                <w:sz w:val="20"/>
              </w:rPr>
              <w:noBreakHyphen/>
              <w:t xml:space="preserve">tiered sentencing regime for indigenous offenders whereby </w:t>
            </w:r>
            <w:r w:rsidRPr="001126AB">
              <w:rPr>
                <w:i/>
                <w:sz w:val="20"/>
              </w:rPr>
              <w:t xml:space="preserve">Gladue </w:t>
            </w:r>
            <w:r w:rsidRPr="001126AB">
              <w:rPr>
                <w:sz w:val="20"/>
              </w:rPr>
              <w:t xml:space="preserve">principles and s. 718.2(e) of the </w:t>
            </w:r>
            <w:r w:rsidRPr="001126AB">
              <w:rPr>
                <w:i/>
                <w:sz w:val="20"/>
              </w:rPr>
              <w:t>Criminal Code</w:t>
            </w:r>
            <w:r w:rsidRPr="001126AB">
              <w:rPr>
                <w:sz w:val="20"/>
              </w:rPr>
              <w:t xml:space="preserve"> will be applied to reduce or eliminate the use of incarceration for nonviolent or less serious offences, whereas they will be disregarded and have no impact on the use or length of incarceration for violent or serious offences — How do the courts resolve the tension between the need to emphasize protection of the public and the requirement to apply and give effect to </w:t>
            </w:r>
            <w:r w:rsidRPr="001126AB">
              <w:rPr>
                <w:i/>
                <w:sz w:val="20"/>
              </w:rPr>
              <w:t xml:space="preserve">Gladue </w:t>
            </w:r>
            <w:r w:rsidRPr="001126AB">
              <w:rPr>
                <w:sz w:val="20"/>
              </w:rPr>
              <w:t xml:space="preserve">principles and s. 718.2(e) of the </w:t>
            </w:r>
            <w:r w:rsidRPr="001126AB">
              <w:rPr>
                <w:i/>
                <w:sz w:val="20"/>
              </w:rPr>
              <w:t>Criminal Code</w:t>
            </w:r>
            <w:r w:rsidRPr="001126AB">
              <w:rPr>
                <w:sz w:val="20"/>
              </w:rPr>
              <w:t xml:space="preserve"> in dangerous offender proceedings?</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widowControl w:val="0"/>
              <w:jc w:val="both"/>
              <w:rPr>
                <w:sz w:val="20"/>
              </w:rPr>
            </w:pPr>
            <w:r w:rsidRPr="001126AB">
              <w:rPr>
                <w:sz w:val="20"/>
              </w:rPr>
              <w:t xml:space="preserve">Mr. Awasis, an Indigenous man, was convicted of sexual assault and sexual assault with a weapon. </w:t>
            </w:r>
            <w:r w:rsidRPr="001126AB">
              <w:rPr>
                <w:color w:val="000000"/>
                <w:spacing w:val="-3"/>
                <w:sz w:val="20"/>
              </w:rPr>
              <w:t xml:space="preserve">The Crown applied for a dangerous offender designation. </w:t>
            </w:r>
            <w:r w:rsidRPr="001126AB">
              <w:rPr>
                <w:sz w:val="20"/>
              </w:rPr>
              <w:t xml:space="preserve">The sentencing judge granted the application and ordered an indeterminate sentence. The Court of Appeal dismissed a motion to adduce fresh evidence and an appeal.  </w:t>
            </w:r>
          </w:p>
        </w:tc>
      </w:tr>
      <w:tr w:rsidR="00E8665F" w:rsidRPr="001126AB" w:rsidTr="00D245D5">
        <w:tc>
          <w:tcPr>
            <w:tcW w:w="5000" w:type="pct"/>
            <w:gridSpan w:val="4"/>
          </w:tcPr>
          <w:p w:rsidR="00E8665F" w:rsidRPr="001126AB" w:rsidRDefault="00E8665F" w:rsidP="00D245D5">
            <w:pPr>
              <w:widowControl w:val="0"/>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June 30, 2016</w:t>
            </w:r>
          </w:p>
          <w:p w:rsidR="00E8665F" w:rsidRPr="001126AB" w:rsidRDefault="00E8665F" w:rsidP="00D245D5">
            <w:pPr>
              <w:jc w:val="both"/>
              <w:rPr>
                <w:sz w:val="20"/>
              </w:rPr>
            </w:pPr>
            <w:r w:rsidRPr="001126AB">
              <w:rPr>
                <w:sz w:val="20"/>
              </w:rPr>
              <w:t>Provincial Court of British Columbia</w:t>
            </w:r>
          </w:p>
          <w:p w:rsidR="00E8665F" w:rsidRPr="001126AB" w:rsidRDefault="00E8665F" w:rsidP="00D245D5">
            <w:pPr>
              <w:jc w:val="both"/>
              <w:rPr>
                <w:sz w:val="20"/>
              </w:rPr>
            </w:pPr>
            <w:r w:rsidRPr="001126AB">
              <w:rPr>
                <w:sz w:val="20"/>
              </w:rPr>
              <w:t>(Bagnall J.)</w:t>
            </w:r>
          </w:p>
          <w:p w:rsidR="00E8665F" w:rsidRPr="001126AB" w:rsidRDefault="008F207C" w:rsidP="00D245D5">
            <w:pPr>
              <w:jc w:val="both"/>
              <w:rPr>
                <w:sz w:val="20"/>
              </w:rPr>
            </w:pPr>
            <w:hyperlink r:id="rId29" w:history="1">
              <w:r w:rsidR="00E8665F" w:rsidRPr="001126AB">
                <w:rPr>
                  <w:rStyle w:val="Hyperlink"/>
                  <w:sz w:val="20"/>
                </w:rPr>
                <w:t>2016 BCPC 219</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dangerous offender designation granted and indeterminate sentence ordered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January 24, 2020</w:t>
            </w:r>
          </w:p>
          <w:p w:rsidR="00E8665F" w:rsidRPr="001126AB" w:rsidRDefault="00E8665F" w:rsidP="00D245D5">
            <w:pPr>
              <w:jc w:val="both"/>
              <w:rPr>
                <w:sz w:val="20"/>
              </w:rPr>
            </w:pPr>
            <w:r w:rsidRPr="001126AB">
              <w:rPr>
                <w:sz w:val="20"/>
              </w:rPr>
              <w:t xml:space="preserve">Court of Appeal for British Columbia </w:t>
            </w:r>
          </w:p>
          <w:p w:rsidR="00E8665F" w:rsidRPr="001126AB" w:rsidRDefault="00E8665F" w:rsidP="00D245D5">
            <w:pPr>
              <w:jc w:val="both"/>
              <w:rPr>
                <w:sz w:val="20"/>
              </w:rPr>
            </w:pPr>
            <w:r w:rsidRPr="001126AB">
              <w:rPr>
                <w:sz w:val="20"/>
              </w:rPr>
              <w:t>(Vancouver)</w:t>
            </w:r>
          </w:p>
          <w:p w:rsidR="00E8665F" w:rsidRPr="001126AB" w:rsidRDefault="00E8665F" w:rsidP="00D245D5">
            <w:pPr>
              <w:jc w:val="both"/>
              <w:rPr>
                <w:sz w:val="20"/>
              </w:rPr>
            </w:pPr>
            <w:r w:rsidRPr="001126AB">
              <w:rPr>
                <w:sz w:val="20"/>
              </w:rPr>
              <w:t>(</w:t>
            </w:r>
            <w:proofErr w:type="spellStart"/>
            <w:r w:rsidRPr="001126AB">
              <w:rPr>
                <w:sz w:val="20"/>
              </w:rPr>
              <w:t>Groberman</w:t>
            </w:r>
            <w:proofErr w:type="spellEnd"/>
            <w:r w:rsidRPr="001126AB">
              <w:rPr>
                <w:sz w:val="20"/>
              </w:rPr>
              <w:t xml:space="preserve"> Harvey, Fisher, </w:t>
            </w:r>
            <w:proofErr w:type="spellStart"/>
            <w:r w:rsidRPr="001126AB">
              <w:rPr>
                <w:sz w:val="20"/>
              </w:rPr>
              <w:t>Abrioux</w:t>
            </w:r>
            <w:proofErr w:type="spellEnd"/>
            <w:r w:rsidRPr="001126AB">
              <w:rPr>
                <w:sz w:val="20"/>
              </w:rPr>
              <w:t>)</w:t>
            </w:r>
          </w:p>
          <w:p w:rsidR="00E8665F" w:rsidRPr="001126AB" w:rsidRDefault="008F207C" w:rsidP="00D245D5">
            <w:pPr>
              <w:jc w:val="both"/>
              <w:rPr>
                <w:sz w:val="20"/>
              </w:rPr>
            </w:pPr>
            <w:hyperlink r:id="rId30" w:history="1">
              <w:r w:rsidR="00E8665F" w:rsidRPr="001126AB">
                <w:rPr>
                  <w:rStyle w:val="Hyperlink"/>
                  <w:sz w:val="20"/>
                </w:rPr>
                <w:t>2020 BCCA 23</w:t>
              </w:r>
            </w:hyperlink>
            <w:r w:rsidR="00E8665F" w:rsidRPr="001126AB">
              <w:rPr>
                <w:sz w:val="20"/>
              </w:rPr>
              <w:t>; CA44011</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dismissed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July 24,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Motion to extend time to file and serve application for leave to appeal and Application for leave to appeal filed</w:t>
            </w: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42"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39262</w:t>
            </w:r>
          </w:p>
        </w:tc>
        <w:tc>
          <w:tcPr>
            <w:tcW w:w="4457" w:type="pct"/>
            <w:gridSpan w:val="3"/>
          </w:tcPr>
          <w:p w:rsidR="00E8665F" w:rsidRPr="001126AB" w:rsidRDefault="00E8665F" w:rsidP="00D245D5">
            <w:pPr>
              <w:pStyle w:val="SCCLsocParty"/>
              <w:jc w:val="both"/>
              <w:rPr>
                <w:b/>
                <w:sz w:val="20"/>
                <w:szCs w:val="20"/>
              </w:rPr>
            </w:pPr>
            <w:r w:rsidRPr="001126AB">
              <w:rPr>
                <w:b/>
                <w:sz w:val="20"/>
                <w:szCs w:val="20"/>
              </w:rPr>
              <w:t>Johnny Wilfred Troy Awasis c. Sa Majesté la Reine</w:t>
            </w:r>
          </w:p>
          <w:p w:rsidR="00E8665F" w:rsidRPr="001126AB" w:rsidRDefault="00E8665F" w:rsidP="00D245D5">
            <w:pPr>
              <w:jc w:val="both"/>
              <w:rPr>
                <w:sz w:val="20"/>
                <w:lang w:val="fr-CA"/>
              </w:rPr>
            </w:pPr>
            <w:r w:rsidRPr="001126AB">
              <w:rPr>
                <w:sz w:val="20"/>
                <w:lang w:val="fr-CA"/>
              </w:rPr>
              <w:t>(C.</w:t>
            </w:r>
            <w:r w:rsidRPr="001126AB">
              <w:rPr>
                <w:sz w:val="20"/>
                <w:lang w:val="fr-CA"/>
              </w:rPr>
              <w:noBreakHyphen/>
              <w:t>B.) (Criminelle) (Autorisation)</w:t>
            </w:r>
          </w:p>
        </w:tc>
      </w:tr>
      <w:tr w:rsidR="00785D14" w:rsidRPr="001126AB" w:rsidTr="00D245D5">
        <w:tc>
          <w:tcPr>
            <w:tcW w:w="5000" w:type="pct"/>
            <w:gridSpan w:val="4"/>
          </w:tcPr>
          <w:p w:rsidR="00785D14" w:rsidRPr="001126AB" w:rsidRDefault="00D245D5" w:rsidP="00D245D5">
            <w:pPr>
              <w:jc w:val="both"/>
              <w:rPr>
                <w:sz w:val="20"/>
                <w:szCs w:val="20"/>
                <w:lang w:val="fr-CA"/>
              </w:rPr>
            </w:pPr>
            <w:r w:rsidRPr="001126AB">
              <w:rPr>
                <w:sz w:val="20"/>
                <w:szCs w:val="20"/>
                <w:lang w:val="fr-CA"/>
              </w:rPr>
              <w:t>La requête en prorogation du délai de signification et de dépôt de la demande d’autorisation d’appel est accueillie. La demande d’autorisation d’appel de l’arrêt de la Cour d’appel de la Colombie-Britannique (Vancouver), numéro CA44011, 2020 BCCA 23, daté du 24 janvier 2020, est rejetée.</w:t>
            </w:r>
          </w:p>
          <w:p w:rsidR="00D245D5" w:rsidRPr="001126AB" w:rsidRDefault="00D245D5"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i/>
                <w:sz w:val="20"/>
                <w:lang w:val="fr-CA"/>
              </w:rPr>
              <w:t xml:space="preserve">Chartres des droits et libertés </w:t>
            </w:r>
            <w:r w:rsidRPr="001126AB">
              <w:rPr>
                <w:sz w:val="20"/>
                <w:lang w:val="fr-CA"/>
              </w:rPr>
              <w:t xml:space="preserve">— Droit à l’égalité — Droit criminel — Détermination de la peine — Délinquants dangereux et délinquants à contrôler </w:t>
            </w:r>
            <w:r w:rsidRPr="001126AB">
              <w:rPr>
                <w:bCs/>
                <w:color w:val="373739"/>
                <w:sz w:val="20"/>
                <w:lang w:val="fr-CA"/>
              </w:rPr>
              <w:t xml:space="preserve">— Protection du public </w:t>
            </w:r>
            <w:r w:rsidRPr="001126AB">
              <w:rPr>
                <w:sz w:val="20"/>
                <w:lang w:val="fr-CA"/>
              </w:rPr>
              <w:t>— Les tribunaux canadiens ont</w:t>
            </w:r>
            <w:r w:rsidRPr="001126AB">
              <w:rPr>
                <w:sz w:val="20"/>
                <w:lang w:val="fr-CA"/>
              </w:rPr>
              <w:noBreakHyphen/>
              <w:t>ils créé un régime de détermination de la peine à deux niveaux dans lequel les principes de l’arrêt</w:t>
            </w:r>
            <w:r w:rsidRPr="001126AB">
              <w:rPr>
                <w:i/>
                <w:sz w:val="20"/>
                <w:lang w:val="fr-CA"/>
              </w:rPr>
              <w:t xml:space="preserve"> Gladue</w:t>
            </w:r>
            <w:r w:rsidRPr="001126AB">
              <w:rPr>
                <w:sz w:val="20"/>
                <w:lang w:val="fr-CA"/>
              </w:rPr>
              <w:t xml:space="preserve"> et ceux de l’al. 718.2e) du </w:t>
            </w:r>
            <w:r w:rsidRPr="001126AB">
              <w:rPr>
                <w:i/>
                <w:sz w:val="20"/>
                <w:lang w:val="fr-CA"/>
              </w:rPr>
              <w:t>Code criminel</w:t>
            </w:r>
            <w:r w:rsidRPr="001126AB">
              <w:rPr>
                <w:sz w:val="20"/>
                <w:lang w:val="fr-CA"/>
              </w:rPr>
              <w:t xml:space="preserve"> seraient appliqués afin de réduire la durée de la détention ou d’éliminer cette dernière pour les infractions sans violence ou de moindre gravité, tandis que ces principes seraient méconnus et n’auraient aucune incidence sur la durée de la détention pour les infractions graves ou violentes? </w:t>
            </w:r>
            <w:r w:rsidRPr="001126AB">
              <w:rPr>
                <w:bCs/>
                <w:color w:val="373739"/>
                <w:sz w:val="20"/>
                <w:lang w:val="fr-CA"/>
              </w:rPr>
              <w:t>— Comment les tribunaux allient</w:t>
            </w:r>
            <w:r w:rsidRPr="001126AB">
              <w:rPr>
                <w:bCs/>
                <w:color w:val="373739"/>
                <w:sz w:val="20"/>
                <w:lang w:val="fr-CA"/>
              </w:rPr>
              <w:noBreakHyphen/>
              <w:t xml:space="preserve">ils la tension entre la nécessité d’accroître la protection du public et l’exigence d’appliquer et de donner effet aux principes de l’arrêt </w:t>
            </w:r>
            <w:r w:rsidRPr="001126AB">
              <w:rPr>
                <w:bCs/>
                <w:i/>
                <w:color w:val="373739"/>
                <w:sz w:val="20"/>
                <w:lang w:val="fr-CA"/>
              </w:rPr>
              <w:t>Gladue</w:t>
            </w:r>
            <w:r w:rsidRPr="001126AB">
              <w:rPr>
                <w:bCs/>
                <w:color w:val="373739"/>
                <w:sz w:val="20"/>
                <w:lang w:val="fr-CA"/>
              </w:rPr>
              <w:t xml:space="preserve"> et à ceux de l’al. 718.2e) du </w:t>
            </w:r>
            <w:r w:rsidRPr="001126AB">
              <w:rPr>
                <w:bCs/>
                <w:i/>
                <w:color w:val="373739"/>
                <w:sz w:val="20"/>
                <w:lang w:val="fr-CA"/>
              </w:rPr>
              <w:t xml:space="preserve">Code criminel </w:t>
            </w:r>
            <w:r w:rsidRPr="001126AB">
              <w:rPr>
                <w:bCs/>
                <w:color w:val="373739"/>
                <w:sz w:val="20"/>
                <w:lang w:val="fr-CA"/>
              </w:rPr>
              <w:t>dans les procédures concernant les délinquants dangereux?</w:t>
            </w:r>
          </w:p>
        </w:tc>
      </w:tr>
      <w:tr w:rsidR="00E8665F" w:rsidRPr="001126AB" w:rsidTr="00D245D5">
        <w:tc>
          <w:tcPr>
            <w:tcW w:w="5000" w:type="pct"/>
            <w:gridSpan w:val="4"/>
          </w:tcPr>
          <w:p w:rsidR="00E8665F" w:rsidRPr="001126AB" w:rsidRDefault="00E8665F" w:rsidP="00D245D5">
            <w:pPr>
              <w:jc w:val="both"/>
              <w:rPr>
                <w:sz w:val="20"/>
                <w:lang w:val="fr-CA"/>
              </w:rPr>
            </w:pPr>
          </w:p>
          <w:p w:rsidR="00E8665F" w:rsidRPr="001126AB" w:rsidRDefault="00E8665F" w:rsidP="00D245D5">
            <w:pPr>
              <w:widowControl w:val="0"/>
              <w:jc w:val="both"/>
              <w:rPr>
                <w:sz w:val="20"/>
                <w:lang w:val="fr-CA"/>
              </w:rPr>
            </w:pPr>
            <w:r w:rsidRPr="001126AB">
              <w:rPr>
                <w:sz w:val="20"/>
                <w:lang w:val="fr-CA"/>
              </w:rPr>
              <w:t>M. Awasis, un Autochtone, a été déclaré coupable d’agression sexuelle et d’agression sexuelle armée. La Couronne a présenté une demande afin qu’il soit déclaré délinquant dangereux. Le juge de la peine a fait droit à la demande et ordonné une peine de détention pour une durée indéterminée. La Cour d’appel a rejeté une requête en vue de la production de nouveaux éléments de preuve et d’un appel.</w:t>
            </w:r>
          </w:p>
        </w:tc>
      </w:tr>
      <w:tr w:rsidR="00E8665F" w:rsidRPr="001126AB" w:rsidTr="00D245D5">
        <w:tc>
          <w:tcPr>
            <w:tcW w:w="5000" w:type="pct"/>
            <w:gridSpan w:val="4"/>
          </w:tcPr>
          <w:p w:rsidR="00E8665F" w:rsidRPr="001126AB" w:rsidRDefault="00E8665F" w:rsidP="00D245D5">
            <w:pPr>
              <w:widowControl w:val="0"/>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30 juin 2016</w:t>
            </w:r>
          </w:p>
          <w:p w:rsidR="00E8665F" w:rsidRPr="001126AB" w:rsidRDefault="00E8665F" w:rsidP="00D245D5">
            <w:pPr>
              <w:jc w:val="both"/>
              <w:rPr>
                <w:sz w:val="20"/>
                <w:lang w:val="fr-CA"/>
              </w:rPr>
            </w:pPr>
            <w:r w:rsidRPr="001126AB">
              <w:rPr>
                <w:sz w:val="20"/>
                <w:lang w:val="fr-CA"/>
              </w:rPr>
              <w:t>Cour provinciale de la Colombie</w:t>
            </w:r>
            <w:r w:rsidRPr="001126AB">
              <w:rPr>
                <w:sz w:val="20"/>
                <w:lang w:val="fr-CA"/>
              </w:rPr>
              <w:noBreakHyphen/>
              <w:t>Britannique</w:t>
            </w:r>
          </w:p>
          <w:p w:rsidR="00E8665F" w:rsidRPr="001126AB" w:rsidRDefault="00E8665F" w:rsidP="00D245D5">
            <w:pPr>
              <w:jc w:val="both"/>
              <w:rPr>
                <w:sz w:val="20"/>
              </w:rPr>
            </w:pPr>
            <w:r w:rsidRPr="001126AB">
              <w:rPr>
                <w:sz w:val="20"/>
              </w:rPr>
              <w:t>(Juge Bagnall)</w:t>
            </w:r>
          </w:p>
          <w:p w:rsidR="00E8665F" w:rsidRPr="001126AB" w:rsidRDefault="008F207C" w:rsidP="00D245D5">
            <w:pPr>
              <w:jc w:val="both"/>
              <w:rPr>
                <w:sz w:val="20"/>
              </w:rPr>
            </w:pPr>
            <w:hyperlink r:id="rId31" w:history="1">
              <w:r w:rsidR="00E8665F" w:rsidRPr="001126AB">
                <w:rPr>
                  <w:rStyle w:val="Hyperlink"/>
                  <w:sz w:val="20"/>
                </w:rPr>
                <w:t>2016 BCPC 219</w:t>
              </w:r>
            </w:hyperlink>
          </w:p>
          <w:p w:rsidR="00E8665F" w:rsidRPr="001126AB" w:rsidRDefault="00E8665F" w:rsidP="00D245D5">
            <w:pPr>
              <w:jc w:val="both"/>
              <w:rPr>
                <w:sz w:val="20"/>
              </w:rPr>
            </w:pPr>
          </w:p>
        </w:tc>
        <w:tc>
          <w:tcPr>
            <w:tcW w:w="243" w:type="pct"/>
          </w:tcPr>
          <w:p w:rsidR="00E8665F" w:rsidRPr="001126AB" w:rsidRDefault="00E8665F" w:rsidP="00D245D5">
            <w:pPr>
              <w:tabs>
                <w:tab w:val="left" w:pos="409"/>
              </w:tabs>
              <w:jc w:val="both"/>
              <w:rPr>
                <w:sz w:val="20"/>
              </w:rPr>
            </w:pPr>
            <w:r w:rsidRPr="001126AB">
              <w:rPr>
                <w:sz w:val="20"/>
              </w:rPr>
              <w:tab/>
            </w:r>
          </w:p>
        </w:tc>
        <w:tc>
          <w:tcPr>
            <w:tcW w:w="2330" w:type="pct"/>
          </w:tcPr>
          <w:p w:rsidR="00E8665F" w:rsidRPr="001126AB" w:rsidRDefault="00E8665F" w:rsidP="00D245D5">
            <w:pPr>
              <w:jc w:val="both"/>
              <w:rPr>
                <w:sz w:val="20"/>
                <w:lang w:val="fr-CA"/>
              </w:rPr>
            </w:pPr>
            <w:r w:rsidRPr="001126AB">
              <w:rPr>
                <w:sz w:val="20"/>
                <w:lang w:val="fr-CA"/>
              </w:rPr>
              <w:t xml:space="preserve">Accueil de la demande en vue de la déclaration de délinquant dangereux et ordonnance de la peine de détention pour une durée indéterminée. </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24 janvier 2020</w:t>
            </w:r>
          </w:p>
          <w:p w:rsidR="00E8665F" w:rsidRPr="001126AB" w:rsidRDefault="00E8665F" w:rsidP="00D245D5">
            <w:pPr>
              <w:jc w:val="both"/>
              <w:rPr>
                <w:sz w:val="20"/>
                <w:lang w:val="fr-CA"/>
              </w:rPr>
            </w:pPr>
            <w:r w:rsidRPr="001126AB">
              <w:rPr>
                <w:sz w:val="20"/>
                <w:lang w:val="fr-CA"/>
              </w:rPr>
              <w:t>Cour d’appel de la Colombie</w:t>
            </w:r>
            <w:r w:rsidRPr="001126AB">
              <w:rPr>
                <w:sz w:val="20"/>
                <w:lang w:val="fr-CA"/>
              </w:rPr>
              <w:noBreakHyphen/>
              <w:t>Britannique</w:t>
            </w:r>
          </w:p>
          <w:p w:rsidR="00E8665F" w:rsidRPr="001126AB" w:rsidRDefault="00E8665F" w:rsidP="00D245D5">
            <w:pPr>
              <w:jc w:val="both"/>
              <w:rPr>
                <w:sz w:val="20"/>
              </w:rPr>
            </w:pPr>
            <w:r w:rsidRPr="001126AB">
              <w:rPr>
                <w:sz w:val="20"/>
              </w:rPr>
              <w:t>(Vancouver)</w:t>
            </w:r>
          </w:p>
          <w:p w:rsidR="00E8665F" w:rsidRPr="001126AB" w:rsidRDefault="00E8665F" w:rsidP="00D245D5">
            <w:pPr>
              <w:jc w:val="both"/>
              <w:rPr>
                <w:sz w:val="20"/>
              </w:rPr>
            </w:pPr>
            <w:r w:rsidRPr="001126AB">
              <w:rPr>
                <w:sz w:val="20"/>
              </w:rPr>
              <w:t>(</w:t>
            </w:r>
            <w:proofErr w:type="spellStart"/>
            <w:r w:rsidRPr="001126AB">
              <w:rPr>
                <w:sz w:val="20"/>
              </w:rPr>
              <w:t>Groberman</w:t>
            </w:r>
            <w:proofErr w:type="spellEnd"/>
            <w:r w:rsidRPr="001126AB">
              <w:rPr>
                <w:sz w:val="20"/>
              </w:rPr>
              <w:t xml:space="preserve"> Harvey, Fisher, </w:t>
            </w:r>
            <w:proofErr w:type="spellStart"/>
            <w:r w:rsidRPr="001126AB">
              <w:rPr>
                <w:sz w:val="20"/>
              </w:rPr>
              <w:t>Abrioux</w:t>
            </w:r>
            <w:proofErr w:type="spellEnd"/>
            <w:r w:rsidRPr="001126AB">
              <w:rPr>
                <w:sz w:val="20"/>
              </w:rPr>
              <w:t>)</w:t>
            </w:r>
          </w:p>
          <w:p w:rsidR="00E8665F" w:rsidRPr="001126AB" w:rsidRDefault="008F207C" w:rsidP="00D245D5">
            <w:pPr>
              <w:jc w:val="both"/>
              <w:rPr>
                <w:sz w:val="20"/>
              </w:rPr>
            </w:pPr>
            <w:hyperlink r:id="rId32" w:history="1">
              <w:r w:rsidR="00E8665F" w:rsidRPr="001126AB">
                <w:rPr>
                  <w:rStyle w:val="Hyperlink"/>
                  <w:sz w:val="20"/>
                </w:rPr>
                <w:t>2020 BCCA 23</w:t>
              </w:r>
            </w:hyperlink>
            <w:r w:rsidR="00E8665F" w:rsidRPr="001126AB">
              <w:rPr>
                <w:sz w:val="20"/>
              </w:rPr>
              <w:t>; CA44011</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Appel rejeté.</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24 juillet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Dépôt de la requête en vue de la prorogation du délai pour déposer et signifier une demande d’autorisation d’appel et demande d’autorisation d’appel.</w:t>
            </w:r>
          </w:p>
        </w:tc>
      </w:tr>
    </w:tbl>
    <w:p w:rsidR="00E8665F" w:rsidRPr="001126AB" w:rsidRDefault="00E8665F" w:rsidP="00E8665F">
      <w:pPr>
        <w:jc w:val="both"/>
        <w:rPr>
          <w:sz w:val="20"/>
          <w:lang w:val="fr-CA"/>
        </w:rPr>
      </w:pPr>
    </w:p>
    <w:p w:rsidR="00E8665F" w:rsidRPr="001126AB" w:rsidRDefault="008F207C" w:rsidP="00E8665F">
      <w:pPr>
        <w:widowControl w:val="0"/>
        <w:jc w:val="both"/>
        <w:rPr>
          <w:sz w:val="20"/>
          <w:lang w:val="fr-CA"/>
        </w:rPr>
      </w:pPr>
      <w:r w:rsidRPr="001126AB">
        <w:rPr>
          <w:sz w:val="20"/>
        </w:rPr>
        <w:pict>
          <v:rect id="_x0000_i1043" style="width:2in;height:1pt" o:hrpct="0" o:hralign="center" o:hrstd="t" o:hrnoshade="t" o:hr="t" fillcolor="black [3213]" stroked="f"/>
        </w:pict>
      </w:r>
    </w:p>
    <w:p w:rsidR="00E8665F" w:rsidRPr="001126AB" w:rsidRDefault="00E8665F" w:rsidP="00E866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39230</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Dustin Blue Moir v. Her Majesty the Queen</w:t>
            </w:r>
          </w:p>
          <w:p w:rsidR="00E8665F" w:rsidRPr="001126AB" w:rsidRDefault="00E8665F" w:rsidP="00D245D5">
            <w:pPr>
              <w:jc w:val="both"/>
              <w:rPr>
                <w:sz w:val="20"/>
              </w:rPr>
            </w:pPr>
            <w:r w:rsidRPr="001126AB">
              <w:rPr>
                <w:sz w:val="20"/>
              </w:rPr>
              <w:t>(B.C.) (Criminal) (By Leave)</w:t>
            </w:r>
          </w:p>
        </w:tc>
      </w:tr>
      <w:tr w:rsidR="00785D14" w:rsidRPr="001126AB" w:rsidTr="00D245D5">
        <w:tc>
          <w:tcPr>
            <w:tcW w:w="5000" w:type="pct"/>
            <w:gridSpan w:val="4"/>
          </w:tcPr>
          <w:p w:rsidR="00ED406E" w:rsidRPr="001126AB" w:rsidRDefault="00ED406E" w:rsidP="00ED406E">
            <w:pPr>
              <w:jc w:val="both"/>
              <w:rPr>
                <w:sz w:val="20"/>
                <w:szCs w:val="20"/>
              </w:rPr>
            </w:pPr>
            <w:r w:rsidRPr="001126AB">
              <w:rPr>
                <w:sz w:val="20"/>
                <w:szCs w:val="20"/>
              </w:rPr>
              <w:t>The application for leave to appeal from the judgment of the Court of Appeal for British Columbia (Vancouver), Number CA44328, 2020 BCCA 116, dated April 23, 2020, is dismissed.</w:t>
            </w:r>
          </w:p>
          <w:p w:rsidR="00785D14" w:rsidRPr="001126AB" w:rsidRDefault="00785D1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 xml:space="preserve">Criminal law — Evidence — Admissibility — Undercover officers elicited confession from accused in Mr. Big operation — Does approach to confirmatory evidence articulated in </w:t>
            </w:r>
            <w:r w:rsidRPr="001126AB">
              <w:rPr>
                <w:i/>
                <w:sz w:val="20"/>
              </w:rPr>
              <w:t>R</w:t>
            </w:r>
            <w:r w:rsidRPr="001126AB">
              <w:rPr>
                <w:sz w:val="20"/>
              </w:rPr>
              <w:t xml:space="preserve">. </w:t>
            </w:r>
            <w:r w:rsidRPr="001126AB">
              <w:rPr>
                <w:i/>
                <w:sz w:val="20"/>
              </w:rPr>
              <w:t>v</w:t>
            </w:r>
            <w:r w:rsidRPr="001126AB">
              <w:rPr>
                <w:sz w:val="20"/>
              </w:rPr>
              <w:t>.</w:t>
            </w:r>
            <w:r w:rsidRPr="001126AB">
              <w:rPr>
                <w:i/>
                <w:sz w:val="20"/>
              </w:rPr>
              <w:t xml:space="preserve"> Bradshaw</w:t>
            </w:r>
            <w:r w:rsidRPr="001126AB">
              <w:rPr>
                <w:sz w:val="20"/>
              </w:rPr>
              <w:t>, 2017 SCC 35, apply to the assessment of the admissibility of a Mr. Big confession?</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The body of a murdered 14</w:t>
            </w:r>
            <w:r w:rsidRPr="001126AB">
              <w:rPr>
                <w:sz w:val="20"/>
              </w:rPr>
              <w:noBreakHyphen/>
              <w:t xml:space="preserve">year old girl was found in a shallow grave. The police mounted a Mr. Big undercover operation against Mr. Moir. They elicited confessions from Mr. Moir that reveal Mr. Moir’s knowledge of the murder and the crime scene. Mr. Moir testified that he exaggerated his involvement to Mr. Big in order to stay in the fictitious criminal organization. He testified that he was present when his father committed the murder and he only assisted in carrying the deceased to the grave, burying the body and disposing of her personal belongings. The trial judge applied </w:t>
            </w:r>
            <w:r w:rsidRPr="001126AB">
              <w:rPr>
                <w:i/>
                <w:sz w:val="20"/>
              </w:rPr>
              <w:t>R. v. Hart</w:t>
            </w:r>
            <w:r w:rsidRPr="001126AB">
              <w:rPr>
                <w:sz w:val="20"/>
              </w:rPr>
              <w:t xml:space="preserve">, </w:t>
            </w:r>
            <w:hyperlink r:id="rId33" w:history="1">
              <w:r w:rsidRPr="001126AB">
                <w:rPr>
                  <w:sz w:val="20"/>
                </w:rPr>
                <w:t>2014 SCC 52</w:t>
              </w:r>
            </w:hyperlink>
            <w:r w:rsidRPr="001126AB">
              <w:rPr>
                <w:sz w:val="20"/>
              </w:rPr>
              <w:t xml:space="preserve">, and admitted the Mr. Big evidence. A jury convicted Mr. Moir of first degree murder. The Court of Appeal dismissed an appeal. </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March 3, 2016</w:t>
            </w:r>
          </w:p>
          <w:p w:rsidR="00E8665F" w:rsidRPr="001126AB" w:rsidRDefault="00E8665F" w:rsidP="00D245D5">
            <w:pPr>
              <w:jc w:val="both"/>
              <w:rPr>
                <w:sz w:val="20"/>
              </w:rPr>
            </w:pPr>
            <w:r w:rsidRPr="001126AB">
              <w:rPr>
                <w:sz w:val="20"/>
              </w:rPr>
              <w:t>Supreme Court of British Columbia</w:t>
            </w:r>
          </w:p>
          <w:p w:rsidR="00E8665F" w:rsidRPr="001126AB" w:rsidRDefault="00E8665F" w:rsidP="00D245D5">
            <w:pPr>
              <w:jc w:val="both"/>
              <w:rPr>
                <w:sz w:val="20"/>
              </w:rPr>
            </w:pPr>
            <w:r w:rsidRPr="001126AB">
              <w:rPr>
                <w:sz w:val="20"/>
              </w:rPr>
              <w:t>(Griffin J.) (Unreported)</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Evidence ruled admissible</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March 6, 2017</w:t>
            </w:r>
          </w:p>
          <w:p w:rsidR="00E8665F" w:rsidRPr="001126AB" w:rsidRDefault="00E8665F" w:rsidP="00D245D5">
            <w:pPr>
              <w:jc w:val="both"/>
              <w:rPr>
                <w:sz w:val="20"/>
              </w:rPr>
            </w:pPr>
            <w:r w:rsidRPr="001126AB">
              <w:rPr>
                <w:sz w:val="20"/>
              </w:rPr>
              <w:t>Supreme Court of British Columbia</w:t>
            </w:r>
          </w:p>
          <w:p w:rsidR="00E8665F" w:rsidRPr="001126AB" w:rsidRDefault="00E8665F" w:rsidP="00D245D5">
            <w:pPr>
              <w:jc w:val="both"/>
              <w:rPr>
                <w:sz w:val="20"/>
              </w:rPr>
            </w:pPr>
            <w:r w:rsidRPr="001126AB">
              <w:rPr>
                <w:sz w:val="20"/>
              </w:rPr>
              <w:t>(Griffin J.) (Unreported)</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Conviction by jury for first degree murder</w:t>
            </w:r>
          </w:p>
          <w:p w:rsidR="00E8665F" w:rsidRPr="001126AB" w:rsidRDefault="00E8665F" w:rsidP="00D245D5">
            <w:pPr>
              <w:jc w:val="both"/>
              <w:rPr>
                <w:sz w:val="20"/>
              </w:rPr>
            </w:pPr>
          </w:p>
        </w:tc>
      </w:tr>
    </w:tbl>
    <w:p w:rsidR="004E709B" w:rsidRPr="001126AB" w:rsidRDefault="004E709B">
      <w:r w:rsidRPr="001126A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8665F" w:rsidRPr="001126AB" w:rsidTr="00D245D5">
        <w:tc>
          <w:tcPr>
            <w:tcW w:w="2427" w:type="pct"/>
          </w:tcPr>
          <w:p w:rsidR="00E8665F" w:rsidRPr="001126AB" w:rsidRDefault="00E8665F" w:rsidP="00D245D5">
            <w:pPr>
              <w:jc w:val="both"/>
              <w:rPr>
                <w:sz w:val="20"/>
              </w:rPr>
            </w:pPr>
            <w:r w:rsidRPr="001126AB">
              <w:rPr>
                <w:sz w:val="20"/>
              </w:rPr>
              <w:lastRenderedPageBreak/>
              <w:t>April 23, 2020</w:t>
            </w:r>
          </w:p>
          <w:p w:rsidR="00E8665F" w:rsidRPr="001126AB" w:rsidRDefault="00E8665F" w:rsidP="00D245D5">
            <w:pPr>
              <w:jc w:val="both"/>
              <w:rPr>
                <w:sz w:val="20"/>
              </w:rPr>
            </w:pPr>
            <w:r w:rsidRPr="001126AB">
              <w:rPr>
                <w:sz w:val="20"/>
              </w:rPr>
              <w:t>Court of Appeal for British Columbia (Vancouver)</w:t>
            </w:r>
          </w:p>
          <w:p w:rsidR="00E8665F" w:rsidRPr="001126AB" w:rsidRDefault="00E8665F" w:rsidP="00D245D5">
            <w:pPr>
              <w:jc w:val="both"/>
              <w:rPr>
                <w:sz w:val="20"/>
              </w:rPr>
            </w:pPr>
            <w:r w:rsidRPr="001126AB">
              <w:rPr>
                <w:sz w:val="20"/>
              </w:rPr>
              <w:t xml:space="preserve">(Newbury, </w:t>
            </w:r>
            <w:proofErr w:type="spellStart"/>
            <w:r w:rsidRPr="001126AB">
              <w:rPr>
                <w:sz w:val="20"/>
              </w:rPr>
              <w:t>Goepel</w:t>
            </w:r>
            <w:proofErr w:type="spellEnd"/>
            <w:r w:rsidRPr="001126AB">
              <w:rPr>
                <w:sz w:val="20"/>
              </w:rPr>
              <w:t>, Butler JJ.A.)</w:t>
            </w:r>
          </w:p>
          <w:p w:rsidR="00E8665F" w:rsidRPr="001126AB" w:rsidRDefault="008F207C" w:rsidP="00D245D5">
            <w:pPr>
              <w:jc w:val="both"/>
              <w:rPr>
                <w:color w:val="000000"/>
                <w:sz w:val="20"/>
              </w:rPr>
            </w:pPr>
            <w:hyperlink r:id="rId34" w:history="1">
              <w:r w:rsidR="00E8665F" w:rsidRPr="001126AB">
                <w:rPr>
                  <w:rStyle w:val="Hyperlink"/>
                  <w:sz w:val="20"/>
                </w:rPr>
                <w:t>2020 BCCA 116</w:t>
              </w:r>
            </w:hyperlink>
            <w:r w:rsidR="00E8665F" w:rsidRPr="001126AB">
              <w:rPr>
                <w:color w:val="000000"/>
                <w:sz w:val="20"/>
              </w:rPr>
              <w:t>; CA44328</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dismissed</w:t>
            </w:r>
          </w:p>
          <w:p w:rsidR="00E8665F" w:rsidRPr="001126AB" w:rsidRDefault="00E8665F" w:rsidP="00D245D5">
            <w:pPr>
              <w:jc w:val="both"/>
              <w:rPr>
                <w:sz w:val="20"/>
              </w:rPr>
            </w:pPr>
          </w:p>
        </w:tc>
      </w:tr>
      <w:tr w:rsidR="00E8665F" w:rsidRPr="001126AB" w:rsidTr="00D245D5">
        <w:tc>
          <w:tcPr>
            <w:tcW w:w="2427" w:type="pct"/>
          </w:tcPr>
          <w:p w:rsidR="00E8665F" w:rsidRPr="001126AB" w:rsidRDefault="00E8665F" w:rsidP="00D245D5">
            <w:pPr>
              <w:jc w:val="both"/>
              <w:rPr>
                <w:sz w:val="20"/>
              </w:rPr>
            </w:pPr>
            <w:r w:rsidRPr="001126AB">
              <w:rPr>
                <w:sz w:val="20"/>
              </w:rPr>
              <w:t>June 22,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44"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39230</w:t>
            </w:r>
          </w:p>
        </w:tc>
        <w:tc>
          <w:tcPr>
            <w:tcW w:w="4457" w:type="pct"/>
            <w:gridSpan w:val="3"/>
          </w:tcPr>
          <w:p w:rsidR="00E8665F" w:rsidRPr="001126AB" w:rsidRDefault="00E8665F" w:rsidP="00D245D5">
            <w:pPr>
              <w:pStyle w:val="SCCLsocParty"/>
              <w:jc w:val="both"/>
              <w:rPr>
                <w:b/>
                <w:sz w:val="20"/>
                <w:szCs w:val="20"/>
              </w:rPr>
            </w:pPr>
            <w:r w:rsidRPr="001126AB">
              <w:rPr>
                <w:b/>
                <w:sz w:val="20"/>
                <w:szCs w:val="20"/>
              </w:rPr>
              <w:t>Dustin Blue Moir c. Sa Majesté la Reine</w:t>
            </w:r>
          </w:p>
          <w:p w:rsidR="00E8665F" w:rsidRPr="001126AB" w:rsidRDefault="00E8665F" w:rsidP="00D245D5">
            <w:pPr>
              <w:jc w:val="both"/>
              <w:rPr>
                <w:sz w:val="20"/>
                <w:lang w:val="fr-CA"/>
              </w:rPr>
            </w:pPr>
            <w:r w:rsidRPr="001126AB">
              <w:rPr>
                <w:sz w:val="20"/>
                <w:lang w:val="fr-CA"/>
              </w:rPr>
              <w:t>(C.</w:t>
            </w:r>
            <w:r w:rsidRPr="001126AB">
              <w:rPr>
                <w:sz w:val="20"/>
                <w:lang w:val="fr-CA"/>
              </w:rPr>
              <w:noBreakHyphen/>
              <w:t>B.) (Criminelle) (Sur autorisation)</w:t>
            </w:r>
          </w:p>
        </w:tc>
      </w:tr>
      <w:tr w:rsidR="00785D14" w:rsidRPr="001126AB" w:rsidTr="00D245D5">
        <w:tc>
          <w:tcPr>
            <w:tcW w:w="5000" w:type="pct"/>
            <w:gridSpan w:val="4"/>
          </w:tcPr>
          <w:p w:rsidR="00785D14" w:rsidRPr="001126AB" w:rsidRDefault="00ED406E" w:rsidP="00D245D5">
            <w:pPr>
              <w:jc w:val="both"/>
              <w:rPr>
                <w:sz w:val="20"/>
                <w:szCs w:val="20"/>
                <w:lang w:val="fr-CA"/>
              </w:rPr>
            </w:pPr>
            <w:r w:rsidRPr="001126AB">
              <w:rPr>
                <w:sz w:val="20"/>
                <w:szCs w:val="20"/>
                <w:lang w:val="fr-CA"/>
              </w:rPr>
              <w:t>La demande d’autorisation d’appel de l’arrêt de la Cour d’appel de la Colombie-Britannique (Vancouver), numéro CA44328, 2020 BCCA 116, daté du 23 avril 2020, est rejetée.</w:t>
            </w:r>
          </w:p>
          <w:p w:rsidR="00ED406E" w:rsidRPr="001126AB" w:rsidRDefault="00ED406E"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Droit criminel — Preuve — Admissibilité — Aveux soutirés à l’accusé par des agents banalisés lors d’une opération Monsieur Big — Faut</w:t>
            </w:r>
            <w:r w:rsidRPr="001126AB">
              <w:rPr>
                <w:sz w:val="20"/>
                <w:lang w:val="fr-CA"/>
              </w:rPr>
              <w:noBreakHyphen/>
              <w:t xml:space="preserve">il utiliser la méthode d’analyse de la preuve corroborante énoncée dans l’arrêt </w:t>
            </w:r>
            <w:r w:rsidRPr="001126AB">
              <w:rPr>
                <w:i/>
                <w:sz w:val="20"/>
                <w:lang w:val="fr-CA"/>
              </w:rPr>
              <w:t>R</w:t>
            </w:r>
            <w:r w:rsidRPr="001126AB">
              <w:rPr>
                <w:sz w:val="20"/>
                <w:lang w:val="fr-CA"/>
              </w:rPr>
              <w:t xml:space="preserve">. </w:t>
            </w:r>
            <w:r w:rsidRPr="001126AB">
              <w:rPr>
                <w:i/>
                <w:sz w:val="20"/>
                <w:lang w:val="fr-CA"/>
              </w:rPr>
              <w:t>c</w:t>
            </w:r>
            <w:r w:rsidRPr="001126AB">
              <w:rPr>
                <w:sz w:val="20"/>
                <w:lang w:val="fr-CA"/>
              </w:rPr>
              <w:t>.</w:t>
            </w:r>
            <w:r w:rsidRPr="001126AB">
              <w:rPr>
                <w:i/>
                <w:sz w:val="20"/>
                <w:lang w:val="fr-CA"/>
              </w:rPr>
              <w:t xml:space="preserve"> Bradshaw</w:t>
            </w:r>
            <w:r w:rsidRPr="001126AB">
              <w:rPr>
                <w:sz w:val="20"/>
                <w:lang w:val="fr-CA"/>
              </w:rPr>
              <w:t>, 2017 CSC 35, pour évaluer l’admissibilité d’aveux issus d’une opération Monsieur Big?</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 xml:space="preserve">Le corps d’une fille tuée de 14 ans a été retrouvé dans une fosse peu profonde. Les policiers ont  entrepris une opération d’infiltration Monsieur Big à l’encontre de M. Moir. Ils lui ont soutiré des aveux révélant qu’il avait connaissance du meurtre et du lieu du crime. M. Moir a dit avoir exagéré sa participation en parlant avec Monsieur Big afin de rester au sein de l’organisation criminelle fictive. Selon son témoignage, il était sur les lieux quand son père a commis le meurtre et il l’a seulement aidé à déposer la défunte dans la fosse, à enterrer le corps et à se débarrasser de ses effets personnels. Le juge du procès a appliqué l’arrêt </w:t>
            </w:r>
            <w:r w:rsidRPr="001126AB">
              <w:rPr>
                <w:i/>
                <w:sz w:val="20"/>
                <w:lang w:val="fr-CA"/>
              </w:rPr>
              <w:t>R. c. Hart</w:t>
            </w:r>
            <w:r w:rsidRPr="001126AB">
              <w:rPr>
                <w:sz w:val="20"/>
                <w:lang w:val="fr-CA"/>
              </w:rPr>
              <w:t xml:space="preserve">, </w:t>
            </w:r>
            <w:hyperlink r:id="rId35" w:history="1">
              <w:r w:rsidRPr="001126AB">
                <w:rPr>
                  <w:sz w:val="20"/>
                  <w:lang w:val="fr-CA"/>
                </w:rPr>
                <w:t>2014 CSC 52</w:t>
              </w:r>
            </w:hyperlink>
            <w:r w:rsidRPr="001126AB">
              <w:rPr>
                <w:sz w:val="20"/>
                <w:lang w:val="fr-CA"/>
              </w:rPr>
              <w:t>, et admis la preuve recueillie durant l’opération Monsieur Big. Un jury a reconnu M. Moir coupable de meurtre au premier degré. La Cour d’appel a rejeté un appel.</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3 mars 2016</w:t>
            </w:r>
          </w:p>
          <w:p w:rsidR="00E8665F" w:rsidRPr="001126AB" w:rsidRDefault="00E8665F" w:rsidP="00D245D5">
            <w:pPr>
              <w:jc w:val="both"/>
              <w:rPr>
                <w:sz w:val="20"/>
                <w:lang w:val="fr-CA"/>
              </w:rPr>
            </w:pPr>
            <w:r w:rsidRPr="001126AB">
              <w:rPr>
                <w:sz w:val="20"/>
                <w:lang w:val="fr-CA"/>
              </w:rPr>
              <w:t>Cour suprême de la Colombie</w:t>
            </w:r>
            <w:r w:rsidRPr="001126AB">
              <w:rPr>
                <w:sz w:val="20"/>
                <w:lang w:val="fr-CA"/>
              </w:rPr>
              <w:noBreakHyphen/>
              <w:t xml:space="preserve">Britannique </w:t>
            </w:r>
          </w:p>
          <w:p w:rsidR="00E8665F" w:rsidRPr="001126AB" w:rsidRDefault="00E8665F" w:rsidP="00D245D5">
            <w:pPr>
              <w:jc w:val="both"/>
              <w:rPr>
                <w:sz w:val="20"/>
                <w:lang w:val="fr-CA"/>
              </w:rPr>
            </w:pPr>
            <w:r w:rsidRPr="001126AB">
              <w:rPr>
                <w:sz w:val="20"/>
                <w:lang w:val="fr-CA"/>
              </w:rPr>
              <w:t>(Juge Griffin) (Non publiée)</w:t>
            </w:r>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rPr>
            </w:pPr>
            <w:r w:rsidRPr="001126AB">
              <w:rPr>
                <w:sz w:val="20"/>
                <w:lang w:val="fr-CA"/>
              </w:rPr>
              <w:t>Preuve jugée admissibl</w:t>
            </w:r>
            <w:r w:rsidRPr="001126AB">
              <w:rPr>
                <w:sz w:val="20"/>
              </w:rPr>
              <w:t>e</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6 mars 2017</w:t>
            </w:r>
          </w:p>
          <w:p w:rsidR="00E8665F" w:rsidRPr="001126AB" w:rsidRDefault="00E8665F" w:rsidP="00D245D5">
            <w:pPr>
              <w:jc w:val="both"/>
              <w:rPr>
                <w:sz w:val="20"/>
                <w:lang w:val="fr-CA"/>
              </w:rPr>
            </w:pPr>
            <w:r w:rsidRPr="001126AB">
              <w:rPr>
                <w:sz w:val="20"/>
                <w:lang w:val="fr-CA"/>
              </w:rPr>
              <w:t>Cour suprême de la Colombie</w:t>
            </w:r>
            <w:r w:rsidRPr="001126AB">
              <w:rPr>
                <w:sz w:val="20"/>
                <w:lang w:val="fr-CA"/>
              </w:rPr>
              <w:noBreakHyphen/>
              <w:t>Britannique</w:t>
            </w:r>
          </w:p>
          <w:p w:rsidR="00E8665F" w:rsidRPr="001126AB" w:rsidRDefault="00E8665F" w:rsidP="00D245D5">
            <w:pPr>
              <w:jc w:val="both"/>
              <w:rPr>
                <w:sz w:val="20"/>
              </w:rPr>
            </w:pPr>
            <w:r w:rsidRPr="001126AB">
              <w:rPr>
                <w:sz w:val="20"/>
              </w:rPr>
              <w:t xml:space="preserve">(Juge Griffin) (Non </w:t>
            </w:r>
            <w:proofErr w:type="spellStart"/>
            <w:r w:rsidRPr="001126AB">
              <w:rPr>
                <w:sz w:val="20"/>
              </w:rPr>
              <w:t>publiée</w:t>
            </w:r>
            <w:proofErr w:type="spellEnd"/>
            <w:r w:rsidRPr="001126AB">
              <w:rPr>
                <w:sz w:val="20"/>
              </w:rPr>
              <w:t>)</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 xml:space="preserve">Déclaration de culpabilité pour meurtre au premier degré prononcée par le jury </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23 avril 2020</w:t>
            </w:r>
          </w:p>
          <w:p w:rsidR="00E8665F" w:rsidRPr="001126AB" w:rsidRDefault="00E8665F" w:rsidP="00D245D5">
            <w:pPr>
              <w:jc w:val="both"/>
              <w:rPr>
                <w:sz w:val="20"/>
                <w:lang w:val="fr-CA"/>
              </w:rPr>
            </w:pPr>
            <w:r w:rsidRPr="001126AB">
              <w:rPr>
                <w:sz w:val="20"/>
                <w:lang w:val="fr-CA"/>
              </w:rPr>
              <w:t>Cour d’appel de la Colombie</w:t>
            </w:r>
            <w:r w:rsidRPr="001126AB">
              <w:rPr>
                <w:sz w:val="20"/>
                <w:lang w:val="fr-CA"/>
              </w:rPr>
              <w:noBreakHyphen/>
              <w:t>Britannique (Vancouver)</w:t>
            </w:r>
          </w:p>
          <w:p w:rsidR="00E8665F" w:rsidRPr="001126AB" w:rsidRDefault="00E8665F" w:rsidP="00D245D5">
            <w:pPr>
              <w:jc w:val="both"/>
              <w:rPr>
                <w:sz w:val="20"/>
                <w:lang w:val="fr-CA"/>
              </w:rPr>
            </w:pPr>
            <w:r w:rsidRPr="001126AB">
              <w:rPr>
                <w:sz w:val="20"/>
                <w:lang w:val="fr-CA"/>
              </w:rPr>
              <w:t xml:space="preserve">(Juges Newbury, </w:t>
            </w:r>
            <w:proofErr w:type="spellStart"/>
            <w:r w:rsidRPr="001126AB">
              <w:rPr>
                <w:sz w:val="20"/>
                <w:lang w:val="fr-CA"/>
              </w:rPr>
              <w:t>Goepel</w:t>
            </w:r>
            <w:proofErr w:type="spellEnd"/>
            <w:r w:rsidRPr="001126AB">
              <w:rPr>
                <w:sz w:val="20"/>
                <w:lang w:val="fr-CA"/>
              </w:rPr>
              <w:t xml:space="preserve"> et Butler)</w:t>
            </w:r>
          </w:p>
          <w:p w:rsidR="00E8665F" w:rsidRPr="001126AB" w:rsidRDefault="008F207C" w:rsidP="00D245D5">
            <w:pPr>
              <w:jc w:val="both"/>
              <w:rPr>
                <w:color w:val="000000"/>
                <w:sz w:val="20"/>
              </w:rPr>
            </w:pPr>
            <w:hyperlink r:id="rId36" w:history="1">
              <w:r w:rsidR="00E8665F" w:rsidRPr="001126AB">
                <w:rPr>
                  <w:rStyle w:val="Hyperlink"/>
                  <w:sz w:val="20"/>
                </w:rPr>
                <w:t>2020 BCCA 116</w:t>
              </w:r>
            </w:hyperlink>
            <w:r w:rsidR="00E8665F" w:rsidRPr="001126AB">
              <w:rPr>
                <w:color w:val="000000"/>
                <w:sz w:val="20"/>
              </w:rPr>
              <w:t>; CA44328</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proofErr w:type="spellStart"/>
            <w:r w:rsidRPr="001126AB">
              <w:rPr>
                <w:sz w:val="20"/>
              </w:rPr>
              <w:t>Rejet</w:t>
            </w:r>
            <w:proofErr w:type="spellEnd"/>
            <w:r w:rsidRPr="001126AB">
              <w:rPr>
                <w:sz w:val="20"/>
              </w:rPr>
              <w:t xml:space="preserve"> de l’appel</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22 juin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 xml:space="preserve">Dépôt de la demande d’autorisation d’appel </w:t>
            </w:r>
          </w:p>
          <w:p w:rsidR="00E8665F" w:rsidRPr="001126AB" w:rsidRDefault="00E8665F" w:rsidP="00D245D5">
            <w:pPr>
              <w:jc w:val="both"/>
              <w:rPr>
                <w:sz w:val="20"/>
                <w:lang w:val="fr-CA"/>
              </w:rPr>
            </w:pPr>
          </w:p>
        </w:tc>
      </w:tr>
    </w:tbl>
    <w:p w:rsidR="00E8665F" w:rsidRPr="001126AB" w:rsidRDefault="00E8665F" w:rsidP="00E8665F">
      <w:pPr>
        <w:jc w:val="both"/>
        <w:rPr>
          <w:sz w:val="20"/>
          <w:lang w:val="fr-CA"/>
        </w:rPr>
      </w:pPr>
    </w:p>
    <w:p w:rsidR="00E8665F" w:rsidRPr="001126AB" w:rsidRDefault="008F207C" w:rsidP="00E8665F">
      <w:pPr>
        <w:widowControl w:val="0"/>
        <w:jc w:val="both"/>
        <w:rPr>
          <w:sz w:val="20"/>
          <w:lang w:val="fr-CA"/>
        </w:rPr>
      </w:pPr>
      <w:r w:rsidRPr="001126AB">
        <w:rPr>
          <w:sz w:val="20"/>
        </w:rPr>
        <w:pict>
          <v:rect id="_x0000_i1045" style="width:2in;height:1pt" o:hrpct="0" o:hralign="center" o:hrstd="t" o:hrnoshade="t" o:hr="t" fillcolor="black [3213]" stroked="f"/>
        </w:pict>
      </w:r>
    </w:p>
    <w:p w:rsidR="00E8665F" w:rsidRPr="001126AB" w:rsidRDefault="00E8665F" w:rsidP="00E8665F">
      <w:pPr>
        <w:widowControl w:val="0"/>
        <w:jc w:val="both"/>
        <w:rPr>
          <w:sz w:val="20"/>
          <w:lang w:val="fr-CA"/>
        </w:rPr>
      </w:pPr>
    </w:p>
    <w:p w:rsidR="004E709B" w:rsidRPr="001126AB" w:rsidRDefault="004E709B">
      <w:r w:rsidRPr="001126A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lastRenderedPageBreak/>
              <w:t>39237</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Michael Yar Zuk v. Alberta Dental Association and College</w:t>
            </w:r>
            <w:r w:rsidR="006620E9" w:rsidRPr="001126AB">
              <w:rPr>
                <w:b/>
                <w:sz w:val="20"/>
                <w:szCs w:val="20"/>
                <w:lang w:val="en-US"/>
              </w:rPr>
              <w:t xml:space="preserve"> and</w:t>
            </w:r>
            <w:r w:rsidRPr="001126AB">
              <w:rPr>
                <w:b/>
                <w:sz w:val="20"/>
                <w:szCs w:val="20"/>
                <w:lang w:val="en-US"/>
              </w:rPr>
              <w:t xml:space="preserve"> Appeal Panel of the Council of the Alberta Dental Association and College</w:t>
            </w:r>
          </w:p>
          <w:p w:rsidR="00E8665F" w:rsidRPr="001126AB" w:rsidRDefault="00E8665F" w:rsidP="00D245D5">
            <w:pPr>
              <w:jc w:val="both"/>
              <w:rPr>
                <w:sz w:val="20"/>
              </w:rPr>
            </w:pPr>
            <w:r w:rsidRPr="001126AB">
              <w:rPr>
                <w:sz w:val="20"/>
              </w:rPr>
              <w:t>(Alta.) (Civil) (By Leave)</w:t>
            </w:r>
          </w:p>
        </w:tc>
      </w:tr>
      <w:tr w:rsidR="00785D14" w:rsidRPr="001126AB" w:rsidTr="00D245D5">
        <w:tc>
          <w:tcPr>
            <w:tcW w:w="5000" w:type="pct"/>
            <w:gridSpan w:val="4"/>
          </w:tcPr>
          <w:p w:rsidR="006620E9" w:rsidRPr="001126AB" w:rsidRDefault="006620E9" w:rsidP="006620E9">
            <w:pPr>
              <w:jc w:val="both"/>
              <w:rPr>
                <w:sz w:val="20"/>
                <w:szCs w:val="20"/>
              </w:rPr>
            </w:pPr>
            <w:r w:rsidRPr="001126AB">
              <w:rPr>
                <w:sz w:val="20"/>
                <w:szCs w:val="20"/>
              </w:rPr>
              <w:t>The application for leave to appeal from the judgment of the Court of Appeal of Alberta (Edmonton), Number 1903-0079-AC, 2020 ABCA 162, dated April 29, 2020, is dismissed with costs to the respondent, Alberta Dental Association and College.</w:t>
            </w:r>
          </w:p>
          <w:p w:rsidR="00785D14" w:rsidRPr="001126AB" w:rsidRDefault="00785D1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Administrative law — Boards and tribunals — Regulatory boards — Alberta Dental Association and College — Standard of review — Procedural fairness — Reasonable apprehension of bias —Whether the appeal panel erred when it failed to disqualify itself from reconsidering the sanctions and costs imposed — Whether the reconsidered sanction and costs were unreasonable, based on an error in principle?</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Dr. Michael Yar Zuk is a dentist who has been involved in protracted disciplinary proceedings with the Alberta Dental Association &amp; College. An appeal panel of the Dental Association upheld a hearing tribunal’s findings against Dr. Zuk with respect to 21 counts of unprofessional conduct under the </w:t>
            </w:r>
            <w:r w:rsidRPr="001126AB">
              <w:rPr>
                <w:i/>
                <w:sz w:val="20"/>
              </w:rPr>
              <w:t>Health Professions Act</w:t>
            </w:r>
            <w:r w:rsidRPr="001126AB">
              <w:rPr>
                <w:sz w:val="20"/>
              </w:rPr>
              <w:t>, RSA 2000, c. H</w:t>
            </w:r>
            <w:r w:rsidRPr="001126AB">
              <w:rPr>
                <w:sz w:val="20"/>
              </w:rPr>
              <w:noBreakHyphen/>
              <w:t>7, imposing both sanctions and costs. On further appeal to the Court of Appeal for Alberta, 2 of the 21 counts were overturned. The Court of Appeal directed the Dental Association reconsider both sanction and costs. The same appeal panel reduced Dr. Zuk’s period of suspension and also reduced the costs awarded against him. Dr. Zuk’s second appeal to the Court of Appeal for Alberta was unanimously dismissed.</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February 14, 2017</w:t>
            </w:r>
          </w:p>
          <w:p w:rsidR="00E8665F" w:rsidRPr="001126AB" w:rsidRDefault="00E8665F" w:rsidP="00D245D5">
            <w:pPr>
              <w:jc w:val="both"/>
              <w:rPr>
                <w:sz w:val="20"/>
              </w:rPr>
            </w:pPr>
            <w:r w:rsidRPr="001126AB">
              <w:rPr>
                <w:sz w:val="20"/>
              </w:rPr>
              <w:t xml:space="preserve">Appeal Panel of the Council of the Alberta </w:t>
            </w:r>
          </w:p>
          <w:p w:rsidR="00E8665F" w:rsidRPr="001126AB" w:rsidRDefault="00E8665F" w:rsidP="00D245D5">
            <w:pPr>
              <w:jc w:val="both"/>
              <w:rPr>
                <w:sz w:val="20"/>
              </w:rPr>
            </w:pPr>
            <w:r w:rsidRPr="001126AB">
              <w:rPr>
                <w:sz w:val="20"/>
              </w:rPr>
              <w:t>Dental Association and College</w:t>
            </w:r>
          </w:p>
          <w:p w:rsidR="00E8665F" w:rsidRPr="001126AB" w:rsidRDefault="00E8665F" w:rsidP="00D245D5">
            <w:pPr>
              <w:jc w:val="both"/>
              <w:rPr>
                <w:sz w:val="20"/>
              </w:rPr>
            </w:pPr>
            <w:r w:rsidRPr="001126AB">
              <w:rPr>
                <w:sz w:val="20"/>
              </w:rPr>
              <w:t>Unreported</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Dr. Michael Yar Zuk’s appeal of numerous professional misconduct findings dismissed with costs.</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August 21, 2018</w:t>
            </w:r>
          </w:p>
          <w:p w:rsidR="00E8665F" w:rsidRPr="001126AB" w:rsidRDefault="00E8665F" w:rsidP="00D245D5">
            <w:pPr>
              <w:jc w:val="both"/>
              <w:rPr>
                <w:sz w:val="20"/>
              </w:rPr>
            </w:pPr>
            <w:r w:rsidRPr="001126AB">
              <w:rPr>
                <w:sz w:val="20"/>
              </w:rPr>
              <w:t>Court of Appeal of Alberta (Edmonton)</w:t>
            </w:r>
          </w:p>
          <w:p w:rsidR="00E8665F" w:rsidRPr="001126AB" w:rsidRDefault="00E8665F" w:rsidP="00D245D5">
            <w:pPr>
              <w:jc w:val="both"/>
              <w:rPr>
                <w:sz w:val="20"/>
              </w:rPr>
            </w:pPr>
            <w:r w:rsidRPr="001126AB">
              <w:rPr>
                <w:sz w:val="20"/>
              </w:rPr>
              <w:t xml:space="preserve">(Veldhuis, Wakeling, and </w:t>
            </w:r>
            <w:proofErr w:type="spellStart"/>
            <w:r w:rsidRPr="001126AB">
              <w:rPr>
                <w:sz w:val="20"/>
              </w:rPr>
              <w:t>Greckol</w:t>
            </w:r>
            <w:proofErr w:type="spellEnd"/>
            <w:r w:rsidRPr="001126AB">
              <w:rPr>
                <w:sz w:val="20"/>
              </w:rPr>
              <w:t xml:space="preserve"> JJ.A.)</w:t>
            </w:r>
          </w:p>
          <w:p w:rsidR="00E8665F" w:rsidRPr="001126AB" w:rsidRDefault="008F207C" w:rsidP="00D245D5">
            <w:pPr>
              <w:jc w:val="both"/>
              <w:rPr>
                <w:sz w:val="20"/>
              </w:rPr>
            </w:pPr>
            <w:hyperlink r:id="rId37" w:history="1">
              <w:r w:rsidR="00E8665F" w:rsidRPr="001126AB">
                <w:rPr>
                  <w:rStyle w:val="Hyperlink"/>
                  <w:sz w:val="20"/>
                </w:rPr>
                <w:t>2018 ABCA 270</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allowed; 2 of 21 findings of professional misconduct overturned; costs and sanction remitted back for reconsideration.</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March 5, 2019</w:t>
            </w:r>
          </w:p>
          <w:p w:rsidR="00E8665F" w:rsidRPr="001126AB" w:rsidRDefault="00E8665F" w:rsidP="00D245D5">
            <w:pPr>
              <w:jc w:val="both"/>
              <w:rPr>
                <w:sz w:val="20"/>
              </w:rPr>
            </w:pPr>
            <w:r w:rsidRPr="001126AB">
              <w:rPr>
                <w:sz w:val="20"/>
              </w:rPr>
              <w:t xml:space="preserve">Appeal Panel of the Council of the Alberta </w:t>
            </w:r>
          </w:p>
          <w:p w:rsidR="00E8665F" w:rsidRPr="001126AB" w:rsidRDefault="00E8665F" w:rsidP="00D245D5">
            <w:pPr>
              <w:jc w:val="both"/>
              <w:rPr>
                <w:sz w:val="20"/>
              </w:rPr>
            </w:pPr>
            <w:r w:rsidRPr="001126AB">
              <w:rPr>
                <w:sz w:val="20"/>
              </w:rPr>
              <w:t>Dental Association and College</w:t>
            </w:r>
          </w:p>
          <w:p w:rsidR="00E8665F" w:rsidRPr="001126AB" w:rsidRDefault="00E8665F" w:rsidP="00D245D5">
            <w:pPr>
              <w:jc w:val="both"/>
              <w:rPr>
                <w:sz w:val="20"/>
              </w:rPr>
            </w:pPr>
            <w:r w:rsidRPr="001126AB">
              <w:rPr>
                <w:sz w:val="20"/>
              </w:rPr>
              <w:t>Unreported</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Sanction reduced to 6</w:t>
            </w:r>
            <w:r w:rsidRPr="001126AB">
              <w:rPr>
                <w:sz w:val="20"/>
              </w:rPr>
              <w:noBreakHyphen/>
              <w:t xml:space="preserve">month suspension and costs reduced by $50,000. </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April 29, 2020</w:t>
            </w:r>
          </w:p>
          <w:p w:rsidR="00E8665F" w:rsidRPr="001126AB" w:rsidRDefault="00E8665F" w:rsidP="00D245D5">
            <w:pPr>
              <w:jc w:val="both"/>
              <w:rPr>
                <w:sz w:val="20"/>
              </w:rPr>
            </w:pPr>
            <w:r w:rsidRPr="001126AB">
              <w:rPr>
                <w:sz w:val="20"/>
              </w:rPr>
              <w:t>Court of Appeal of Alberta (Edmonton)</w:t>
            </w:r>
          </w:p>
          <w:p w:rsidR="00E8665F" w:rsidRPr="001126AB" w:rsidRDefault="00E8665F" w:rsidP="00D245D5">
            <w:pPr>
              <w:jc w:val="both"/>
              <w:rPr>
                <w:sz w:val="20"/>
              </w:rPr>
            </w:pPr>
            <w:r w:rsidRPr="001126AB">
              <w:rPr>
                <w:sz w:val="20"/>
              </w:rPr>
              <w:t xml:space="preserve">(O'Ferrall, Schutz, and </w:t>
            </w:r>
            <w:proofErr w:type="spellStart"/>
            <w:r w:rsidRPr="001126AB">
              <w:rPr>
                <w:sz w:val="20"/>
              </w:rPr>
              <w:t>Pentelechuck</w:t>
            </w:r>
            <w:proofErr w:type="spellEnd"/>
            <w:r w:rsidRPr="001126AB">
              <w:rPr>
                <w:sz w:val="20"/>
              </w:rPr>
              <w:t xml:space="preserve"> JJ.A.)</w:t>
            </w:r>
          </w:p>
          <w:p w:rsidR="00E8665F" w:rsidRPr="001126AB" w:rsidRDefault="008F207C" w:rsidP="00D245D5">
            <w:pPr>
              <w:jc w:val="both"/>
              <w:rPr>
                <w:sz w:val="20"/>
              </w:rPr>
            </w:pPr>
            <w:hyperlink r:id="rId38" w:history="1">
              <w:r w:rsidR="00E8665F" w:rsidRPr="001126AB">
                <w:rPr>
                  <w:rStyle w:val="Hyperlink"/>
                  <w:sz w:val="20"/>
                </w:rPr>
                <w:t>2020 ABCA 162</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dismissed.</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June 24,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46" style="width:2in;height:1pt" o:hrpct="0" o:hralign="center" o:hrstd="t" o:hrnoshade="t" o:hr="t" fillcolor="black [3213]" stroked="f"/>
        </w:pict>
      </w:r>
    </w:p>
    <w:p w:rsidR="00E8665F" w:rsidRPr="001126AB" w:rsidRDefault="00E8665F" w:rsidP="00E8665F">
      <w:pPr>
        <w:jc w:val="both"/>
        <w:rPr>
          <w:sz w:val="20"/>
        </w:rPr>
      </w:pPr>
    </w:p>
    <w:p w:rsidR="004E709B" w:rsidRPr="001126AB" w:rsidRDefault="004E709B">
      <w:r w:rsidRPr="001126A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lastRenderedPageBreak/>
              <w:t>39237</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Michael Yar Zuk c. Alberta Dental Association and College</w:t>
            </w:r>
            <w:r w:rsidR="006620E9" w:rsidRPr="001126AB">
              <w:rPr>
                <w:b/>
                <w:sz w:val="20"/>
                <w:szCs w:val="20"/>
                <w:lang w:val="en-US"/>
              </w:rPr>
              <w:t xml:space="preserve"> et</w:t>
            </w:r>
            <w:r w:rsidRPr="001126AB">
              <w:rPr>
                <w:b/>
                <w:sz w:val="20"/>
                <w:szCs w:val="20"/>
                <w:lang w:val="en-US"/>
              </w:rPr>
              <w:t xml:space="preserve"> </w:t>
            </w:r>
            <w:r w:rsidR="006620E9" w:rsidRPr="001126AB">
              <w:rPr>
                <w:b/>
                <w:sz w:val="20"/>
                <w:szCs w:val="20"/>
                <w:lang w:val="en-US"/>
              </w:rPr>
              <w:t>f</w:t>
            </w:r>
            <w:r w:rsidRPr="001126AB">
              <w:rPr>
                <w:b/>
                <w:sz w:val="20"/>
                <w:szCs w:val="20"/>
                <w:lang w:val="en-US"/>
              </w:rPr>
              <w:t>ormation d’appel du Council of the Alberta Dental Association and College</w:t>
            </w:r>
          </w:p>
          <w:p w:rsidR="00E8665F" w:rsidRPr="001126AB" w:rsidRDefault="00E8665F" w:rsidP="00D245D5">
            <w:pPr>
              <w:jc w:val="both"/>
              <w:rPr>
                <w:sz w:val="20"/>
              </w:rPr>
            </w:pPr>
            <w:r w:rsidRPr="001126AB">
              <w:rPr>
                <w:sz w:val="20"/>
              </w:rPr>
              <w:t>(Alb.) (Civile) (Autorisation)</w:t>
            </w:r>
          </w:p>
        </w:tc>
      </w:tr>
      <w:tr w:rsidR="00785D14" w:rsidRPr="001126AB" w:rsidTr="00D245D5">
        <w:tc>
          <w:tcPr>
            <w:tcW w:w="5000" w:type="pct"/>
            <w:gridSpan w:val="4"/>
          </w:tcPr>
          <w:p w:rsidR="00785D14" w:rsidRPr="001126AB" w:rsidRDefault="006620E9" w:rsidP="006620E9">
            <w:pPr>
              <w:tabs>
                <w:tab w:val="left" w:pos="2488"/>
              </w:tabs>
              <w:jc w:val="both"/>
              <w:rPr>
                <w:sz w:val="20"/>
                <w:szCs w:val="20"/>
                <w:lang w:val="fr-CA"/>
              </w:rPr>
            </w:pPr>
            <w:r w:rsidRPr="001126AB">
              <w:rPr>
                <w:sz w:val="20"/>
                <w:szCs w:val="20"/>
                <w:lang w:val="fr-CA"/>
              </w:rPr>
              <w:t>La demande d’autorisation d’appel de l’arrêt de la Cour d’appel de l’Alberta (Edmonton), numéro 1903-0079-AC, 2020 ABCA 162, daté du 29 avril 2020, est rejetée avec dépens en faveur de l’intimé, Alberta Dental Association and College.</w:t>
            </w:r>
          </w:p>
          <w:p w:rsidR="006620E9" w:rsidRPr="001126AB" w:rsidRDefault="006620E9" w:rsidP="006620E9">
            <w:pPr>
              <w:tabs>
                <w:tab w:val="left" w:pos="2488"/>
              </w:tabs>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Droit administratif — Organismes et tribunaux administratifs — Organismes de réglementation — Alberta Dental Association and College — Norme de contrôle — Équité procédurale — Crainte raisonnable de partialité — La formation d’appel a</w:t>
            </w:r>
            <w:r w:rsidRPr="001126AB">
              <w:rPr>
                <w:sz w:val="20"/>
                <w:lang w:val="fr-CA"/>
              </w:rPr>
              <w:noBreakHyphen/>
              <w:t>t</w:t>
            </w:r>
            <w:r w:rsidRPr="001126AB">
              <w:rPr>
                <w:sz w:val="20"/>
                <w:lang w:val="fr-CA"/>
              </w:rPr>
              <w:noBreakHyphen/>
              <w:t>elle commis une erreur en s’abstenant de se désister du réexamen de la sanction et des frais infligés? — Le réexamen de la sanction et des frais était</w:t>
            </w:r>
            <w:r w:rsidRPr="001126AB">
              <w:rPr>
                <w:sz w:val="20"/>
                <w:lang w:val="fr-CA"/>
              </w:rPr>
              <w:noBreakHyphen/>
              <w:t>il raisonnable compte tenu d’une erreur de principe?</w:t>
            </w:r>
          </w:p>
          <w:p w:rsidR="00E8665F" w:rsidRPr="001126AB" w:rsidRDefault="00E8665F"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t>Le Dr. Michael Yar Zuk est un dentiste visé par des procédures disciplinaires prolongées auprès de l’Alberta Dental Association &amp; College (l’association dentaire). Une formation d’appel de l’association dentaire a maintenu les conclusions tirées par le tribunal lors d’une audience tenue avec le Dr. Zuk, relativement à 21 chefs d’inconduite professionnelle, au titre du</w:t>
            </w:r>
            <w:r w:rsidRPr="001126AB">
              <w:rPr>
                <w:i/>
                <w:sz w:val="20"/>
                <w:lang w:val="fr-CA"/>
              </w:rPr>
              <w:t xml:space="preserve"> Health Professions Act</w:t>
            </w:r>
            <w:r w:rsidRPr="001126AB">
              <w:rPr>
                <w:sz w:val="20"/>
                <w:lang w:val="fr-CA"/>
              </w:rPr>
              <w:t>, RSA 2000, c. H</w:t>
            </w:r>
            <w:r w:rsidRPr="001126AB">
              <w:rPr>
                <w:sz w:val="20"/>
                <w:lang w:val="fr-CA"/>
              </w:rPr>
              <w:noBreakHyphen/>
              <w:t>7, et lui a infligé tant une sanction que des frais. Lors d’un appel interjeté à la Cour d’appel de l’Alberta, deux des 21 chefs ont été infirmés. La Cour d’appel a donné à l’association dentaire la directive de réexaminer à la fois la sanction et les frais infligés. La même formation d’appel a réduit la période de suspension du Dr. Zuk, et a aussi diminué le montant des frais qui lui avaient été infligés. Le second appel que le Dr. Zuk a interjeté à la Cour d’appel de l’Alberta a été rejeté à l’unanimité.</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14 février 2017</w:t>
            </w:r>
          </w:p>
          <w:p w:rsidR="00E8665F" w:rsidRPr="001126AB" w:rsidRDefault="00E8665F" w:rsidP="00D245D5">
            <w:pPr>
              <w:jc w:val="both"/>
              <w:rPr>
                <w:sz w:val="20"/>
              </w:rPr>
            </w:pPr>
            <w:r w:rsidRPr="001126AB">
              <w:rPr>
                <w:sz w:val="20"/>
              </w:rPr>
              <w:t xml:space="preserve">Formation d’appel du Council of the Alberta </w:t>
            </w:r>
          </w:p>
          <w:p w:rsidR="00E8665F" w:rsidRPr="001126AB" w:rsidRDefault="00E8665F" w:rsidP="00D245D5">
            <w:pPr>
              <w:jc w:val="both"/>
              <w:rPr>
                <w:sz w:val="20"/>
              </w:rPr>
            </w:pPr>
            <w:r w:rsidRPr="001126AB">
              <w:rPr>
                <w:sz w:val="20"/>
              </w:rPr>
              <w:t>Dental Association and College</w:t>
            </w:r>
          </w:p>
          <w:p w:rsidR="00E8665F" w:rsidRPr="001126AB" w:rsidRDefault="00E8665F" w:rsidP="00D245D5">
            <w:pPr>
              <w:jc w:val="both"/>
              <w:rPr>
                <w:sz w:val="20"/>
              </w:rPr>
            </w:pPr>
            <w:r w:rsidRPr="001126AB">
              <w:rPr>
                <w:sz w:val="20"/>
              </w:rPr>
              <w:t>Non </w:t>
            </w:r>
            <w:proofErr w:type="spellStart"/>
            <w:r w:rsidRPr="001126AB">
              <w:rPr>
                <w:sz w:val="20"/>
              </w:rPr>
              <w:t>publiée</w:t>
            </w:r>
            <w:proofErr w:type="spellEnd"/>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Rejet avec frais de l’appel du Dr. Michael Yar Zuk interjeté contre de nombreuses conclusions d’inconduite professionnelle.</w:t>
            </w: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21 août 2018</w:t>
            </w:r>
          </w:p>
          <w:p w:rsidR="00E8665F" w:rsidRPr="001126AB" w:rsidRDefault="00E8665F" w:rsidP="00D245D5">
            <w:pPr>
              <w:jc w:val="both"/>
              <w:rPr>
                <w:sz w:val="20"/>
                <w:lang w:val="fr-CA"/>
              </w:rPr>
            </w:pPr>
            <w:r w:rsidRPr="001126AB">
              <w:rPr>
                <w:sz w:val="20"/>
                <w:lang w:val="fr-CA"/>
              </w:rPr>
              <w:t>Cour d’appel de l’Alberta (Edmonton)</w:t>
            </w:r>
          </w:p>
          <w:p w:rsidR="00E8665F" w:rsidRPr="001126AB" w:rsidRDefault="00E8665F" w:rsidP="00D245D5">
            <w:pPr>
              <w:jc w:val="both"/>
              <w:rPr>
                <w:sz w:val="20"/>
                <w:lang w:val="fr-CA"/>
              </w:rPr>
            </w:pPr>
            <w:r w:rsidRPr="001126AB">
              <w:rPr>
                <w:sz w:val="20"/>
                <w:lang w:val="fr-CA"/>
              </w:rPr>
              <w:t xml:space="preserve">(Juges Veldhuis, Wakeling, et </w:t>
            </w:r>
            <w:proofErr w:type="spellStart"/>
            <w:r w:rsidRPr="001126AB">
              <w:rPr>
                <w:sz w:val="20"/>
                <w:lang w:val="fr-CA"/>
              </w:rPr>
              <w:t>Greckol</w:t>
            </w:r>
            <w:proofErr w:type="spellEnd"/>
            <w:r w:rsidRPr="001126AB">
              <w:rPr>
                <w:sz w:val="20"/>
                <w:lang w:val="fr-CA"/>
              </w:rPr>
              <w:t>)</w:t>
            </w:r>
          </w:p>
          <w:p w:rsidR="00E8665F" w:rsidRPr="001126AB" w:rsidRDefault="008F207C" w:rsidP="00D245D5">
            <w:pPr>
              <w:jc w:val="both"/>
              <w:rPr>
                <w:sz w:val="20"/>
              </w:rPr>
            </w:pPr>
            <w:hyperlink r:id="rId39" w:history="1">
              <w:r w:rsidR="00E8665F" w:rsidRPr="001126AB">
                <w:rPr>
                  <w:rStyle w:val="Hyperlink"/>
                  <w:sz w:val="20"/>
                </w:rPr>
                <w:t>2018 ABCA 270</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Accueil de l’appel; infirmation de deux des 21 conclusions d’inconduite professionnelle; renvoi des frais et de la sanction pour nouvel examen.</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5 mars 2019</w:t>
            </w:r>
          </w:p>
          <w:p w:rsidR="00E8665F" w:rsidRPr="001126AB" w:rsidRDefault="00E8665F" w:rsidP="00D245D5">
            <w:pPr>
              <w:jc w:val="both"/>
              <w:rPr>
                <w:sz w:val="20"/>
              </w:rPr>
            </w:pPr>
            <w:r w:rsidRPr="001126AB">
              <w:rPr>
                <w:sz w:val="20"/>
              </w:rPr>
              <w:t xml:space="preserve">Formation d’appel du Council of the Alberta </w:t>
            </w:r>
          </w:p>
          <w:p w:rsidR="00E8665F" w:rsidRPr="001126AB" w:rsidRDefault="00E8665F" w:rsidP="00D245D5">
            <w:pPr>
              <w:jc w:val="both"/>
              <w:rPr>
                <w:sz w:val="20"/>
              </w:rPr>
            </w:pPr>
            <w:r w:rsidRPr="001126AB">
              <w:rPr>
                <w:sz w:val="20"/>
              </w:rPr>
              <w:t>Dental Association and College</w:t>
            </w:r>
          </w:p>
          <w:p w:rsidR="00E8665F" w:rsidRPr="001126AB" w:rsidRDefault="00E8665F" w:rsidP="00D245D5">
            <w:pPr>
              <w:jc w:val="both"/>
              <w:rPr>
                <w:sz w:val="20"/>
              </w:rPr>
            </w:pPr>
            <w:r w:rsidRPr="001126AB">
              <w:rPr>
                <w:sz w:val="20"/>
              </w:rPr>
              <w:t>Non </w:t>
            </w:r>
            <w:proofErr w:type="spellStart"/>
            <w:r w:rsidRPr="001126AB">
              <w:rPr>
                <w:sz w:val="20"/>
              </w:rPr>
              <w:t>publiée</w:t>
            </w:r>
            <w:proofErr w:type="spellEnd"/>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 xml:space="preserve">Réduction à six mois de la sanction de suspension et diminution de 50 000 $ des frais. </w:t>
            </w: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29 avril 2020</w:t>
            </w:r>
          </w:p>
          <w:p w:rsidR="00E8665F" w:rsidRPr="001126AB" w:rsidRDefault="00E8665F" w:rsidP="00D245D5">
            <w:pPr>
              <w:jc w:val="both"/>
              <w:rPr>
                <w:sz w:val="20"/>
                <w:lang w:val="fr-CA"/>
              </w:rPr>
            </w:pPr>
            <w:r w:rsidRPr="001126AB">
              <w:rPr>
                <w:sz w:val="20"/>
                <w:lang w:val="fr-CA"/>
              </w:rPr>
              <w:t>Cour d’appel de l’Alberta (Edmonton)</w:t>
            </w:r>
          </w:p>
          <w:p w:rsidR="00E8665F" w:rsidRPr="001126AB" w:rsidRDefault="00E8665F" w:rsidP="00D245D5">
            <w:pPr>
              <w:jc w:val="both"/>
              <w:rPr>
                <w:sz w:val="20"/>
              </w:rPr>
            </w:pPr>
            <w:r w:rsidRPr="001126AB">
              <w:rPr>
                <w:sz w:val="20"/>
              </w:rPr>
              <w:t xml:space="preserve">(Juges O'Ferrall, Schutz, et </w:t>
            </w:r>
            <w:proofErr w:type="spellStart"/>
            <w:r w:rsidRPr="001126AB">
              <w:rPr>
                <w:sz w:val="20"/>
              </w:rPr>
              <w:t>Pentelechuck</w:t>
            </w:r>
            <w:proofErr w:type="spellEnd"/>
            <w:r w:rsidRPr="001126AB">
              <w:rPr>
                <w:sz w:val="20"/>
              </w:rPr>
              <w:t>)</w:t>
            </w:r>
          </w:p>
          <w:p w:rsidR="00E8665F" w:rsidRPr="001126AB" w:rsidRDefault="008F207C" w:rsidP="00D245D5">
            <w:pPr>
              <w:jc w:val="both"/>
              <w:rPr>
                <w:sz w:val="20"/>
              </w:rPr>
            </w:pPr>
            <w:hyperlink r:id="rId40" w:history="1">
              <w:r w:rsidR="00E8665F" w:rsidRPr="001126AB">
                <w:rPr>
                  <w:rStyle w:val="Hyperlink"/>
                  <w:sz w:val="20"/>
                </w:rPr>
                <w:t>2020 ABCA 162</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Rejet de l’appel.</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24 juin 2020</w:t>
            </w:r>
          </w:p>
          <w:p w:rsidR="00E8665F" w:rsidRPr="001126AB" w:rsidRDefault="00E8665F" w:rsidP="00D245D5">
            <w:pPr>
              <w:jc w:val="both"/>
              <w:rPr>
                <w:sz w:val="20"/>
              </w:rPr>
            </w:pPr>
            <w:r w:rsidRPr="001126AB">
              <w:rPr>
                <w:sz w:val="20"/>
              </w:rPr>
              <w:t>Cour suprême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lang w:val="fr-CA"/>
              </w:rPr>
            </w:pPr>
            <w:r w:rsidRPr="001126AB">
              <w:rPr>
                <w:sz w:val="20"/>
                <w:lang w:val="fr-CA"/>
              </w:rPr>
              <w:t>Dépôt de la demande d’autorisation d’appel.</w:t>
            </w:r>
          </w:p>
          <w:p w:rsidR="00E8665F" w:rsidRPr="001126AB" w:rsidRDefault="00E8665F" w:rsidP="00D245D5">
            <w:pPr>
              <w:jc w:val="both"/>
              <w:rPr>
                <w:sz w:val="20"/>
                <w:lang w:val="fr-CA"/>
              </w:rPr>
            </w:pPr>
          </w:p>
        </w:tc>
      </w:tr>
    </w:tbl>
    <w:p w:rsidR="00E8665F" w:rsidRPr="001126AB" w:rsidRDefault="00E8665F" w:rsidP="00E8665F">
      <w:pPr>
        <w:jc w:val="both"/>
        <w:rPr>
          <w:sz w:val="20"/>
          <w:lang w:val="fr-CA"/>
        </w:rPr>
      </w:pPr>
    </w:p>
    <w:p w:rsidR="00E8665F" w:rsidRPr="001126AB" w:rsidRDefault="008F207C" w:rsidP="00E8665F">
      <w:pPr>
        <w:jc w:val="both"/>
        <w:rPr>
          <w:sz w:val="20"/>
          <w:lang w:val="fr-CA"/>
        </w:rPr>
      </w:pPr>
      <w:r w:rsidRPr="001126AB">
        <w:rPr>
          <w:sz w:val="20"/>
        </w:rPr>
        <w:pict>
          <v:rect id="_x0000_i1047" style="width:2in;height:1pt" o:hrpct="0" o:hralign="center" o:hrstd="t" o:hrnoshade="t" o:hr="t" fillcolor="black [3213]" stroked="f"/>
        </w:pict>
      </w:r>
    </w:p>
    <w:p w:rsidR="00E8665F" w:rsidRPr="001126AB" w:rsidRDefault="00E8665F" w:rsidP="00E8665F">
      <w:pPr>
        <w:widowControl w:val="0"/>
        <w:jc w:val="both"/>
        <w:rPr>
          <w:sz w:val="20"/>
          <w:lang w:val="fr-CA"/>
        </w:rPr>
      </w:pPr>
    </w:p>
    <w:p w:rsidR="004E709B" w:rsidRPr="001126AB" w:rsidRDefault="004E709B">
      <w:r w:rsidRPr="001126A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lastRenderedPageBreak/>
              <w:t>39265</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 xml:space="preserve">Wayfinder Corp. v. </w:t>
            </w:r>
            <w:r w:rsidR="000D3ED6" w:rsidRPr="001126AB">
              <w:rPr>
                <w:b/>
                <w:sz w:val="20"/>
                <w:szCs w:val="20"/>
                <w:lang w:val="en-US"/>
              </w:rPr>
              <w:t xml:space="preserve">Armin Alexis, Her Majesty the Queen in Right of the Province of Alberta as represented by the Director (Alberta Environment and Parks) appointed pursuant to the </w:t>
            </w:r>
            <w:r w:rsidR="000D3ED6" w:rsidRPr="001126AB">
              <w:rPr>
                <w:b/>
                <w:i/>
                <w:sz w:val="20"/>
                <w:szCs w:val="20"/>
                <w:lang w:val="en-US"/>
              </w:rPr>
              <w:t>Environmental Protection and Enhancement Act</w:t>
            </w:r>
            <w:r w:rsidR="000D3ED6" w:rsidRPr="001126AB">
              <w:rPr>
                <w:b/>
                <w:sz w:val="20"/>
                <w:szCs w:val="20"/>
                <w:lang w:val="en-US"/>
              </w:rPr>
              <w:t xml:space="preserve"> and Alberta Environment and Parks</w:t>
            </w:r>
          </w:p>
          <w:p w:rsidR="00E8665F" w:rsidRPr="001126AB" w:rsidRDefault="00E8665F" w:rsidP="00D245D5">
            <w:pPr>
              <w:jc w:val="both"/>
              <w:rPr>
                <w:sz w:val="20"/>
              </w:rPr>
            </w:pPr>
            <w:r w:rsidRPr="001126AB">
              <w:rPr>
                <w:sz w:val="20"/>
              </w:rPr>
              <w:t>(Alta.) (Civil) (By Leave)</w:t>
            </w:r>
          </w:p>
        </w:tc>
      </w:tr>
      <w:tr w:rsidR="00785D14" w:rsidRPr="001126AB" w:rsidTr="00D245D5">
        <w:tc>
          <w:tcPr>
            <w:tcW w:w="5000" w:type="pct"/>
            <w:gridSpan w:val="4"/>
          </w:tcPr>
          <w:p w:rsidR="0091050E" w:rsidRPr="001126AB" w:rsidRDefault="0091050E" w:rsidP="0091050E">
            <w:pPr>
              <w:jc w:val="both"/>
              <w:rPr>
                <w:sz w:val="20"/>
                <w:szCs w:val="20"/>
                <w:lang w:val="en-US"/>
              </w:rPr>
            </w:pPr>
            <w:r w:rsidRPr="001126AB">
              <w:rPr>
                <w:sz w:val="20"/>
                <w:szCs w:val="20"/>
              </w:rPr>
              <w:t xml:space="preserve">The application for leave to appeal from the judgment of the Court of Appeal of Alberta (Calgary), Number 1801-0379-AC, 2020 ABCA 188, dated May 6, 2020, is dismissed with costs to the respondent, </w:t>
            </w:r>
            <w:r w:rsidRPr="001126AB">
              <w:rPr>
                <w:sz w:val="20"/>
                <w:szCs w:val="20"/>
                <w:lang w:val="en-US"/>
              </w:rPr>
              <w:t>Armin Alexis.</w:t>
            </w:r>
          </w:p>
          <w:p w:rsidR="00785D14" w:rsidRPr="001126AB" w:rsidRDefault="00785D14" w:rsidP="00D245D5">
            <w:pPr>
              <w:jc w:val="both"/>
              <w:rPr>
                <w:sz w:val="20"/>
                <w:lang w:val="en-US"/>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Environmental law — Environmental assessment — Administrative law — Standard of review — Remedy — Where no reasons for decision are provided by the statutory decision maker, and a reviewing court must engage in statutory interpretation, to what extent should the reviewing court engage in a de novo analysis on judicial review — Where a decision is found to be unreasonable, and no reasons were provided by a statutory decision maker, should a reviewing court remit a decision to the statutory decision maker for reconsideration?</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Wayfinder Corp. applied under section 44 of the </w:t>
            </w:r>
            <w:r w:rsidRPr="001126AB">
              <w:rPr>
                <w:i/>
                <w:sz w:val="20"/>
              </w:rPr>
              <w:t>Environmental Protection and Enhancement Act</w:t>
            </w:r>
            <w:r w:rsidRPr="001126AB">
              <w:rPr>
                <w:sz w:val="20"/>
              </w:rPr>
              <w:t>, RSA 2000, c E</w:t>
            </w:r>
            <w:r w:rsidRPr="001126AB">
              <w:rPr>
                <w:sz w:val="20"/>
              </w:rPr>
              <w:noBreakHyphen/>
              <w:t>12 (</w:t>
            </w:r>
            <w:r w:rsidRPr="001126AB">
              <w:rPr>
                <w:i/>
                <w:sz w:val="20"/>
              </w:rPr>
              <w:t>EPEA</w:t>
            </w:r>
            <w:r w:rsidRPr="001126AB">
              <w:rPr>
                <w:sz w:val="20"/>
              </w:rPr>
              <w:t>), for a decision on whether its proposed “Big Molly” silica sand extraction project required an environmental impact assessment (EIA). The Director of Environmental Assessments, Alberta Environment and Parks, upon receiving advice from her staff, decided that an EIA was not required, but provided no reasons for her decision. Alexis Armin is a member of the Alexis Nakota Sioux Nation, whose lands are near the proposed Big Molly project, and whose traditional activities may be adversely impacted. Mr. Armin sought judicial review of the Director’s decision. The Court of Queen’s Bench for Alberta dismissed the judicial review application on the basis that the Director’s decision was reasonable. Mr. Armin appealed the decision to the Court of Appeal for Alberta, a majority of whom found the Director’s decision was unreasonable, quashed her decision, and ordered an EIA be conducted.</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November 22, 2017</w:t>
            </w:r>
          </w:p>
          <w:p w:rsidR="00E8665F" w:rsidRPr="001126AB" w:rsidRDefault="00E8665F" w:rsidP="00D245D5">
            <w:pPr>
              <w:jc w:val="both"/>
              <w:rPr>
                <w:sz w:val="20"/>
              </w:rPr>
            </w:pPr>
            <w:r w:rsidRPr="001126AB">
              <w:rPr>
                <w:sz w:val="20"/>
              </w:rPr>
              <w:t>Alberta Environment and Parks,</w:t>
            </w:r>
          </w:p>
          <w:p w:rsidR="00E8665F" w:rsidRPr="001126AB" w:rsidRDefault="00E8665F" w:rsidP="00D245D5">
            <w:pPr>
              <w:jc w:val="both"/>
              <w:rPr>
                <w:sz w:val="20"/>
              </w:rPr>
            </w:pPr>
            <w:r w:rsidRPr="001126AB">
              <w:rPr>
                <w:sz w:val="20"/>
              </w:rPr>
              <w:t>Director of Environmental Assessments</w:t>
            </w:r>
          </w:p>
          <w:p w:rsidR="00E8665F" w:rsidRPr="001126AB" w:rsidRDefault="00E8665F" w:rsidP="00D245D5">
            <w:pPr>
              <w:jc w:val="both"/>
              <w:rPr>
                <w:sz w:val="20"/>
              </w:rPr>
            </w:pPr>
            <w:r w:rsidRPr="001126AB">
              <w:rPr>
                <w:sz w:val="20"/>
              </w:rPr>
              <w:t>Unreported</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No environmental impact assessment required for Big Molly project.</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November 14, 2018</w:t>
            </w:r>
          </w:p>
          <w:p w:rsidR="00E8665F" w:rsidRPr="001126AB" w:rsidRDefault="00E8665F" w:rsidP="00D245D5">
            <w:pPr>
              <w:jc w:val="both"/>
              <w:rPr>
                <w:sz w:val="20"/>
              </w:rPr>
            </w:pPr>
            <w:r w:rsidRPr="001126AB">
              <w:rPr>
                <w:sz w:val="20"/>
              </w:rPr>
              <w:t>Court of Queen’s Bench of Alberta</w:t>
            </w:r>
          </w:p>
          <w:p w:rsidR="00E8665F" w:rsidRPr="001126AB" w:rsidRDefault="00E8665F" w:rsidP="00D245D5">
            <w:pPr>
              <w:jc w:val="both"/>
              <w:rPr>
                <w:sz w:val="20"/>
              </w:rPr>
            </w:pPr>
            <w:r w:rsidRPr="001126AB">
              <w:rPr>
                <w:sz w:val="20"/>
              </w:rPr>
              <w:t>(Jeffrey J.)</w:t>
            </w:r>
          </w:p>
          <w:p w:rsidR="00E8665F" w:rsidRPr="001126AB" w:rsidRDefault="00E8665F" w:rsidP="00D245D5">
            <w:pPr>
              <w:jc w:val="both"/>
              <w:rPr>
                <w:sz w:val="20"/>
              </w:rPr>
            </w:pPr>
            <w:r w:rsidRPr="001126AB">
              <w:rPr>
                <w:sz w:val="20"/>
              </w:rPr>
              <w:t>Unreported Oral Decision</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Judicial review of Director’s decision dismissed.</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May 6, 2020</w:t>
            </w:r>
          </w:p>
          <w:p w:rsidR="00E8665F" w:rsidRPr="001126AB" w:rsidRDefault="00E8665F" w:rsidP="00D245D5">
            <w:pPr>
              <w:jc w:val="both"/>
              <w:rPr>
                <w:sz w:val="20"/>
              </w:rPr>
            </w:pPr>
            <w:r w:rsidRPr="001126AB">
              <w:rPr>
                <w:sz w:val="20"/>
              </w:rPr>
              <w:t>Court of Appeal of Alberta (Calgary)</w:t>
            </w:r>
          </w:p>
          <w:p w:rsidR="00E8665F" w:rsidRPr="001126AB" w:rsidRDefault="00E8665F" w:rsidP="00D245D5">
            <w:pPr>
              <w:jc w:val="both"/>
              <w:rPr>
                <w:sz w:val="20"/>
              </w:rPr>
            </w:pPr>
            <w:r w:rsidRPr="001126AB">
              <w:rPr>
                <w:sz w:val="20"/>
              </w:rPr>
              <w:t xml:space="preserve">(Wakeling and </w:t>
            </w:r>
            <w:proofErr w:type="spellStart"/>
            <w:r w:rsidRPr="001126AB">
              <w:rPr>
                <w:sz w:val="20"/>
              </w:rPr>
              <w:t>Greckol</w:t>
            </w:r>
            <w:proofErr w:type="spellEnd"/>
            <w:r w:rsidRPr="001126AB">
              <w:rPr>
                <w:sz w:val="20"/>
              </w:rPr>
              <w:t xml:space="preserve"> JJ.A; </w:t>
            </w:r>
            <w:proofErr w:type="spellStart"/>
            <w:r w:rsidRPr="001126AB">
              <w:rPr>
                <w:sz w:val="20"/>
              </w:rPr>
              <w:t>Pentelechuk</w:t>
            </w:r>
            <w:proofErr w:type="spellEnd"/>
            <w:r w:rsidRPr="001126AB">
              <w:rPr>
                <w:sz w:val="20"/>
              </w:rPr>
              <w:t xml:space="preserve"> J.A. dissenting in part)</w:t>
            </w:r>
          </w:p>
          <w:p w:rsidR="00E8665F" w:rsidRPr="001126AB" w:rsidRDefault="008F207C" w:rsidP="00D245D5">
            <w:pPr>
              <w:jc w:val="both"/>
              <w:rPr>
                <w:sz w:val="20"/>
              </w:rPr>
            </w:pPr>
            <w:hyperlink r:id="rId41" w:history="1">
              <w:r w:rsidR="00E8665F" w:rsidRPr="001126AB">
                <w:rPr>
                  <w:rStyle w:val="Hyperlink"/>
                  <w:sz w:val="20"/>
                </w:rPr>
                <w:t>2020 ABCA 188</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granted, Director’s decision quashed, and environmental impact assessment ordered.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July 31,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p w:rsidR="00E8665F" w:rsidRPr="001126AB" w:rsidRDefault="00E8665F" w:rsidP="00D245D5">
            <w:pPr>
              <w:jc w:val="both"/>
              <w:rPr>
                <w:sz w:val="20"/>
              </w:rPr>
            </w:pP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48"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lang w:val="fr-CA"/>
              </w:rPr>
            </w:pPr>
            <w:r w:rsidRPr="001126AB">
              <w:rPr>
                <w:rStyle w:val="SCCFileNumberChar"/>
                <w:sz w:val="20"/>
                <w:szCs w:val="20"/>
                <w:lang w:val="fr-CA"/>
              </w:rPr>
              <w:t>39265</w:t>
            </w:r>
          </w:p>
        </w:tc>
        <w:tc>
          <w:tcPr>
            <w:tcW w:w="4457" w:type="pct"/>
            <w:gridSpan w:val="3"/>
          </w:tcPr>
          <w:p w:rsidR="00E8665F" w:rsidRPr="001126AB" w:rsidRDefault="00E8665F" w:rsidP="00D245D5">
            <w:pPr>
              <w:pStyle w:val="SCCLsocParty"/>
              <w:jc w:val="both"/>
              <w:rPr>
                <w:b/>
                <w:sz w:val="20"/>
                <w:szCs w:val="20"/>
              </w:rPr>
            </w:pPr>
            <w:r w:rsidRPr="001126AB">
              <w:rPr>
                <w:b/>
                <w:sz w:val="20"/>
                <w:szCs w:val="20"/>
              </w:rPr>
              <w:t xml:space="preserve">Wayfinder Corp. c. </w:t>
            </w:r>
            <w:r w:rsidR="0091050E" w:rsidRPr="001126AB">
              <w:rPr>
                <w:b/>
                <w:sz w:val="20"/>
                <w:szCs w:val="20"/>
              </w:rPr>
              <w:t xml:space="preserve">Armin Alexis, Sa Majesté la Reine du chef de la province de l’Alberta représentée par le Directeur (Alberta Environment and Parks) nommé en vertu de </w:t>
            </w:r>
            <w:proofErr w:type="gramStart"/>
            <w:r w:rsidR="0091050E" w:rsidRPr="001126AB">
              <w:rPr>
                <w:b/>
                <w:sz w:val="20"/>
                <w:szCs w:val="20"/>
              </w:rPr>
              <w:t xml:space="preserve">la </w:t>
            </w:r>
            <w:r w:rsidR="0091050E" w:rsidRPr="001126AB">
              <w:rPr>
                <w:b/>
                <w:i/>
                <w:sz w:val="20"/>
                <w:szCs w:val="20"/>
              </w:rPr>
              <w:t>Environmental</w:t>
            </w:r>
            <w:proofErr w:type="gramEnd"/>
            <w:r w:rsidR="0091050E" w:rsidRPr="001126AB">
              <w:rPr>
                <w:b/>
                <w:i/>
                <w:sz w:val="20"/>
                <w:szCs w:val="20"/>
              </w:rPr>
              <w:t xml:space="preserve"> Protection and Enhancement Act</w:t>
            </w:r>
            <w:r w:rsidR="0091050E" w:rsidRPr="001126AB">
              <w:rPr>
                <w:b/>
                <w:sz w:val="20"/>
                <w:szCs w:val="20"/>
              </w:rPr>
              <w:t xml:space="preserve"> et Alberta Environment and Parks</w:t>
            </w:r>
          </w:p>
          <w:p w:rsidR="00E8665F" w:rsidRPr="001126AB" w:rsidRDefault="00E8665F" w:rsidP="00D245D5">
            <w:pPr>
              <w:jc w:val="both"/>
              <w:rPr>
                <w:sz w:val="20"/>
                <w:lang w:val="fr-CA"/>
              </w:rPr>
            </w:pPr>
            <w:r w:rsidRPr="001126AB">
              <w:rPr>
                <w:sz w:val="20"/>
                <w:lang w:val="fr-CA"/>
              </w:rPr>
              <w:t>(Alb.) (Civile (Sur autorisation)</w:t>
            </w:r>
          </w:p>
        </w:tc>
      </w:tr>
      <w:tr w:rsidR="00785D14" w:rsidRPr="001126AB" w:rsidTr="00D245D5">
        <w:tc>
          <w:tcPr>
            <w:tcW w:w="5000" w:type="pct"/>
            <w:gridSpan w:val="4"/>
          </w:tcPr>
          <w:p w:rsidR="00785D14" w:rsidRPr="001126AB" w:rsidRDefault="0091050E" w:rsidP="00D245D5">
            <w:pPr>
              <w:jc w:val="both"/>
              <w:rPr>
                <w:sz w:val="20"/>
                <w:szCs w:val="20"/>
                <w:lang w:val="fr-CA"/>
              </w:rPr>
            </w:pPr>
            <w:r w:rsidRPr="001126AB">
              <w:rPr>
                <w:sz w:val="20"/>
                <w:szCs w:val="20"/>
                <w:lang w:val="fr-CA"/>
              </w:rPr>
              <w:t>La demande d’autorisation d’appel de l’arrêt de la Cour d’appel de l’Alberta (Calgary), numéro 1801-0379-AC, 2020 ABCA 188, daté du 6 mai 2020, est rejetée avec dépens en faveur de l’intimé, Armin Alexis.</w:t>
            </w:r>
          </w:p>
          <w:p w:rsidR="0091050E" w:rsidRPr="001126AB" w:rsidRDefault="0091050E" w:rsidP="00D245D5">
            <w:pPr>
              <w:jc w:val="both"/>
              <w:rPr>
                <w:sz w:val="20"/>
                <w:lang w:val="fr-CA"/>
              </w:rPr>
            </w:pPr>
          </w:p>
        </w:tc>
      </w:tr>
      <w:tr w:rsidR="00E8665F" w:rsidRPr="001126AB" w:rsidTr="00D245D5">
        <w:tc>
          <w:tcPr>
            <w:tcW w:w="5000" w:type="pct"/>
            <w:gridSpan w:val="4"/>
          </w:tcPr>
          <w:p w:rsidR="00E8665F" w:rsidRPr="001126AB" w:rsidRDefault="00E8665F" w:rsidP="00D245D5">
            <w:pPr>
              <w:jc w:val="both"/>
              <w:rPr>
                <w:sz w:val="20"/>
                <w:lang w:val="fr-CA"/>
              </w:rPr>
            </w:pPr>
            <w:r w:rsidRPr="001126AB">
              <w:rPr>
                <w:sz w:val="20"/>
                <w:lang w:val="fr-CA"/>
              </w:rPr>
              <w:lastRenderedPageBreak/>
              <w:t>Droit de l’environnement — Évaluation environnementale — Droit administratif — Norme de contrôle — Réparation — Dans le cas où le décideur désigné par la loi ne motive pas sa décision et le tribunal saisi du contrôle judiciaire doit interpréter des textes législatifs, dans quelle mesure ce dernier devrait</w:t>
            </w:r>
            <w:r w:rsidRPr="001126AB">
              <w:rPr>
                <w:sz w:val="20"/>
                <w:lang w:val="fr-CA"/>
              </w:rPr>
              <w:noBreakHyphen/>
              <w:t xml:space="preserve">il entreprendre une analyse </w:t>
            </w:r>
            <w:r w:rsidRPr="001126AB">
              <w:rPr>
                <w:i/>
                <w:sz w:val="20"/>
                <w:lang w:val="fr-CA"/>
              </w:rPr>
              <w:t xml:space="preserve">de novo </w:t>
            </w:r>
            <w:r w:rsidRPr="001126AB">
              <w:rPr>
                <w:sz w:val="20"/>
                <w:lang w:val="fr-CA"/>
              </w:rPr>
              <w:t>dans le cadre du contrôle de la décision ? — Si la décision est jugée déraisonnable, et que le décideur désigné par la loi n’a pas motivé sa décision, le tribunal saisi du contrôle judiciaire devrait</w:t>
            </w:r>
            <w:r w:rsidRPr="001126AB">
              <w:rPr>
                <w:sz w:val="20"/>
                <w:lang w:val="fr-CA"/>
              </w:rPr>
              <w:noBreakHyphen/>
              <w:t>il renvoyer la décision devant le décideur pour qu’il en fasse le réexamen ?</w:t>
            </w:r>
          </w:p>
        </w:tc>
      </w:tr>
      <w:tr w:rsidR="00E8665F" w:rsidRPr="001126AB" w:rsidTr="00D245D5">
        <w:tc>
          <w:tcPr>
            <w:tcW w:w="5000" w:type="pct"/>
            <w:gridSpan w:val="4"/>
          </w:tcPr>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 xml:space="preserve">Wayfinder Corp. a demandé, aux termes de l’article 44 de la loi intitulée </w:t>
            </w:r>
            <w:r w:rsidRPr="001126AB">
              <w:rPr>
                <w:i/>
                <w:sz w:val="20"/>
                <w:lang w:val="fr-CA"/>
              </w:rPr>
              <w:t>Environmental Protection and Enhancement Act</w:t>
            </w:r>
            <w:r w:rsidRPr="001126AB">
              <w:rPr>
                <w:sz w:val="20"/>
                <w:lang w:val="fr-CA"/>
              </w:rPr>
              <w:t>, RSA 2000, c E</w:t>
            </w:r>
            <w:r w:rsidRPr="001126AB">
              <w:rPr>
                <w:sz w:val="20"/>
                <w:lang w:val="fr-CA"/>
              </w:rPr>
              <w:noBreakHyphen/>
              <w:t>12, qu’une décision soit prise à savoir s’il fallait que son projet d’extraction de sable siliceux nommé « Big Molly » fasse l’objet d’une évaluation de l’impact sur l’environnement (EIE). La directrice des évaluations environnementales du ministère de l’environnement et des parcs de l’Alberta (« Alberta Environment and Parks »), après avoir reçu les conseils des membres de son personnel, a décidé qu’une EIE n’était pas requise, mais n’a pas motivé sa décision. Alexis Armin est membre de la nation sioux des Nakota d’Alexis, dont les terres se situent à proximité du projet Big Molly et dont les activités traditionnelles pourraient être durement touchées par ce projet. M. Armin a demandé le contrôle judiciaire de la décision de la directrice. La Cour du Banc de la Reine de l’Alberta a rejeté la demande de contrôle au motif que la décision de la directrice était raisonnable. M. Armin a fait appel de la décision auprès de la Cour d’appel de l’Alberta; les juges majoritaires, ayant conclu qu’elle était déraisonnable, ont annulé la décision de la directrice et ordonné qu’une EIE soit menée.</w:t>
            </w:r>
          </w:p>
        </w:tc>
      </w:tr>
      <w:tr w:rsidR="00E8665F" w:rsidRPr="001126AB" w:rsidTr="00D245D5">
        <w:tc>
          <w:tcPr>
            <w:tcW w:w="5000" w:type="pct"/>
            <w:gridSpan w:val="4"/>
          </w:tcPr>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22 novembre 2017</w:t>
            </w:r>
          </w:p>
          <w:p w:rsidR="00E8665F" w:rsidRPr="001126AB" w:rsidRDefault="00E8665F" w:rsidP="00D245D5">
            <w:pPr>
              <w:jc w:val="both"/>
              <w:rPr>
                <w:sz w:val="20"/>
                <w:lang w:val="fr-CA"/>
              </w:rPr>
            </w:pPr>
            <w:r w:rsidRPr="001126AB">
              <w:rPr>
                <w:sz w:val="20"/>
                <w:lang w:val="fr-CA"/>
              </w:rPr>
              <w:t>Alberta Environment and Parks,</w:t>
            </w:r>
          </w:p>
          <w:p w:rsidR="00E8665F" w:rsidRPr="001126AB" w:rsidRDefault="00E8665F" w:rsidP="00D245D5">
            <w:pPr>
              <w:jc w:val="both"/>
              <w:rPr>
                <w:sz w:val="20"/>
                <w:lang w:val="fr-CA"/>
              </w:rPr>
            </w:pPr>
            <w:r w:rsidRPr="001126AB">
              <w:rPr>
                <w:sz w:val="20"/>
                <w:lang w:val="fr-CA"/>
              </w:rPr>
              <w:t>Directrice des évaluations environnementales</w:t>
            </w:r>
          </w:p>
          <w:p w:rsidR="00E8665F" w:rsidRPr="001126AB" w:rsidRDefault="00E8665F" w:rsidP="00D245D5">
            <w:pPr>
              <w:jc w:val="both"/>
              <w:rPr>
                <w:sz w:val="20"/>
                <w:lang w:val="fr-CA"/>
              </w:rPr>
            </w:pPr>
            <w:r w:rsidRPr="001126AB">
              <w:rPr>
                <w:sz w:val="20"/>
                <w:lang w:val="fr-CA"/>
              </w:rPr>
              <w:t>Décision non publiée</w:t>
            </w:r>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Aucune évaluation de l’impact sur l’environnement n’est requise aux fins du projet Big Molly.</w:t>
            </w: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14 novembre 2018</w:t>
            </w:r>
          </w:p>
          <w:p w:rsidR="00E8665F" w:rsidRPr="001126AB" w:rsidRDefault="00E8665F" w:rsidP="00D245D5">
            <w:pPr>
              <w:jc w:val="both"/>
              <w:rPr>
                <w:sz w:val="20"/>
                <w:lang w:val="fr-CA"/>
              </w:rPr>
            </w:pPr>
            <w:r w:rsidRPr="001126AB">
              <w:rPr>
                <w:sz w:val="20"/>
                <w:lang w:val="fr-CA"/>
              </w:rPr>
              <w:t>Cour du Banc de la Reine de l’Alberta</w:t>
            </w:r>
          </w:p>
          <w:p w:rsidR="00E8665F" w:rsidRPr="001126AB" w:rsidRDefault="00E8665F" w:rsidP="00D245D5">
            <w:pPr>
              <w:jc w:val="both"/>
              <w:rPr>
                <w:sz w:val="20"/>
                <w:lang w:val="fr-CA"/>
              </w:rPr>
            </w:pPr>
            <w:r w:rsidRPr="001126AB">
              <w:rPr>
                <w:sz w:val="20"/>
                <w:lang w:val="fr-CA"/>
              </w:rPr>
              <w:t>(Juge Jeffrey)</w:t>
            </w:r>
          </w:p>
          <w:p w:rsidR="00E8665F" w:rsidRPr="001126AB" w:rsidRDefault="00E8665F" w:rsidP="00D245D5">
            <w:pPr>
              <w:jc w:val="both"/>
              <w:rPr>
                <w:sz w:val="20"/>
                <w:lang w:val="fr-CA"/>
              </w:rPr>
            </w:pPr>
            <w:r w:rsidRPr="001126AB">
              <w:rPr>
                <w:sz w:val="20"/>
                <w:lang w:val="fr-CA"/>
              </w:rPr>
              <w:t>Décision non publiée rendue de vive voix</w:t>
            </w:r>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 xml:space="preserve">Demande de contrôle judiciaire de la décision de la directrice rejetée. </w:t>
            </w: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6 mai 2020</w:t>
            </w:r>
          </w:p>
          <w:p w:rsidR="00E8665F" w:rsidRPr="001126AB" w:rsidRDefault="00E8665F" w:rsidP="00D245D5">
            <w:pPr>
              <w:jc w:val="both"/>
              <w:rPr>
                <w:sz w:val="20"/>
                <w:lang w:val="fr-CA"/>
              </w:rPr>
            </w:pPr>
            <w:r w:rsidRPr="001126AB">
              <w:rPr>
                <w:sz w:val="20"/>
                <w:lang w:val="fr-CA"/>
              </w:rPr>
              <w:t>Cour d’appel de l’Alberta (Calgary)</w:t>
            </w:r>
          </w:p>
          <w:p w:rsidR="00E8665F" w:rsidRPr="001126AB" w:rsidRDefault="00E8665F" w:rsidP="00D245D5">
            <w:pPr>
              <w:jc w:val="both"/>
              <w:rPr>
                <w:sz w:val="20"/>
                <w:lang w:val="fr-CA"/>
              </w:rPr>
            </w:pPr>
            <w:r w:rsidRPr="001126AB">
              <w:rPr>
                <w:sz w:val="20"/>
                <w:lang w:val="fr-CA"/>
              </w:rPr>
              <w:t xml:space="preserve">(Juges Wakeling et </w:t>
            </w:r>
            <w:proofErr w:type="spellStart"/>
            <w:r w:rsidRPr="001126AB">
              <w:rPr>
                <w:sz w:val="20"/>
                <w:lang w:val="fr-CA"/>
              </w:rPr>
              <w:t>Greckol</w:t>
            </w:r>
            <w:proofErr w:type="spellEnd"/>
            <w:r w:rsidRPr="001126AB">
              <w:rPr>
                <w:sz w:val="20"/>
                <w:lang w:val="fr-CA"/>
              </w:rPr>
              <w:t xml:space="preserve">; la juge </w:t>
            </w:r>
            <w:proofErr w:type="spellStart"/>
            <w:r w:rsidRPr="001126AB">
              <w:rPr>
                <w:sz w:val="20"/>
                <w:lang w:val="fr-CA"/>
              </w:rPr>
              <w:t>Pentelechuk</w:t>
            </w:r>
            <w:proofErr w:type="spellEnd"/>
            <w:r w:rsidRPr="001126AB">
              <w:rPr>
                <w:sz w:val="20"/>
                <w:lang w:val="fr-CA"/>
              </w:rPr>
              <w:t xml:space="preserve"> est dissidente en partie)</w:t>
            </w:r>
          </w:p>
          <w:p w:rsidR="00E8665F" w:rsidRPr="001126AB" w:rsidRDefault="008F207C" w:rsidP="00D245D5">
            <w:pPr>
              <w:jc w:val="both"/>
              <w:rPr>
                <w:sz w:val="20"/>
                <w:lang w:val="fr-CA"/>
              </w:rPr>
            </w:pPr>
            <w:hyperlink r:id="rId42" w:history="1">
              <w:r w:rsidR="00E8665F" w:rsidRPr="001126AB">
                <w:rPr>
                  <w:rStyle w:val="Hyperlink"/>
                  <w:sz w:val="20"/>
                  <w:lang w:val="fr-CA"/>
                </w:rPr>
                <w:t>2020 ABCA 188</w:t>
              </w:r>
            </w:hyperlink>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Appel accueilli, décision de la directrice annulée et évaluation de l’impact sur l’environnement ordonnée.</w:t>
            </w:r>
          </w:p>
          <w:p w:rsidR="00E8665F" w:rsidRPr="001126AB" w:rsidRDefault="00E8665F" w:rsidP="00D245D5">
            <w:pPr>
              <w:jc w:val="both"/>
              <w:rPr>
                <w:sz w:val="20"/>
                <w:lang w:val="fr-CA"/>
              </w:rPr>
            </w:pPr>
          </w:p>
        </w:tc>
      </w:tr>
      <w:tr w:rsidR="00E8665F" w:rsidRPr="001126AB" w:rsidTr="00D245D5">
        <w:tc>
          <w:tcPr>
            <w:tcW w:w="2427" w:type="pct"/>
            <w:gridSpan w:val="2"/>
          </w:tcPr>
          <w:p w:rsidR="00E8665F" w:rsidRPr="001126AB" w:rsidRDefault="00E8665F" w:rsidP="00D245D5">
            <w:pPr>
              <w:jc w:val="both"/>
              <w:rPr>
                <w:sz w:val="20"/>
                <w:lang w:val="fr-CA"/>
              </w:rPr>
            </w:pPr>
            <w:r w:rsidRPr="001126AB">
              <w:rPr>
                <w:sz w:val="20"/>
                <w:lang w:val="fr-CA"/>
              </w:rPr>
              <w:t>31 juillet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 xml:space="preserve">Demande d’autorisation d’appel présentée. </w:t>
            </w:r>
          </w:p>
          <w:p w:rsidR="00E8665F" w:rsidRPr="001126AB" w:rsidRDefault="00E8665F" w:rsidP="00D245D5">
            <w:pPr>
              <w:jc w:val="both"/>
              <w:rPr>
                <w:sz w:val="20"/>
                <w:lang w:val="fr-CA"/>
              </w:rPr>
            </w:pPr>
          </w:p>
        </w:tc>
      </w:tr>
    </w:tbl>
    <w:p w:rsidR="00E8665F" w:rsidRPr="001126AB" w:rsidRDefault="00E8665F" w:rsidP="00E8665F">
      <w:pPr>
        <w:jc w:val="both"/>
        <w:rPr>
          <w:sz w:val="20"/>
          <w:lang w:val="fr-CA"/>
        </w:rPr>
      </w:pPr>
    </w:p>
    <w:p w:rsidR="00E8665F" w:rsidRPr="001126AB" w:rsidRDefault="008F207C" w:rsidP="00E8665F">
      <w:pPr>
        <w:widowControl w:val="0"/>
        <w:jc w:val="both"/>
        <w:rPr>
          <w:sz w:val="20"/>
          <w:lang w:val="fr-CA"/>
        </w:rPr>
      </w:pPr>
      <w:r w:rsidRPr="001126AB">
        <w:rPr>
          <w:sz w:val="20"/>
        </w:rPr>
        <w:pict>
          <v:rect id="_x0000_i1049" style="width:2in;height:1pt" o:hrpct="0" o:hralign="center" o:hrstd="t" o:hrnoshade="t" o:hr="t" fillcolor="black [3213]" stroked="f"/>
        </w:pict>
      </w:r>
    </w:p>
    <w:p w:rsidR="00E8665F" w:rsidRPr="001126AB" w:rsidRDefault="00E8665F" w:rsidP="00E866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665F" w:rsidRPr="001126AB" w:rsidTr="00D245D5">
        <w:tc>
          <w:tcPr>
            <w:tcW w:w="543" w:type="pct"/>
          </w:tcPr>
          <w:p w:rsidR="00E8665F" w:rsidRPr="001126AB" w:rsidRDefault="00E8665F" w:rsidP="00D245D5">
            <w:pPr>
              <w:jc w:val="both"/>
              <w:rPr>
                <w:sz w:val="20"/>
              </w:rPr>
            </w:pPr>
            <w:r w:rsidRPr="001126AB">
              <w:rPr>
                <w:rStyle w:val="SCCFileNumberChar"/>
                <w:sz w:val="20"/>
                <w:szCs w:val="20"/>
              </w:rPr>
              <w:t>39269</w:t>
            </w:r>
          </w:p>
        </w:tc>
        <w:tc>
          <w:tcPr>
            <w:tcW w:w="4457" w:type="pct"/>
            <w:gridSpan w:val="3"/>
          </w:tcPr>
          <w:p w:rsidR="00E8665F" w:rsidRPr="001126AB" w:rsidRDefault="00E8665F" w:rsidP="00D245D5">
            <w:pPr>
              <w:pStyle w:val="SCCLsocParty"/>
              <w:jc w:val="both"/>
              <w:rPr>
                <w:b/>
                <w:sz w:val="20"/>
                <w:szCs w:val="20"/>
                <w:lang w:val="en-US"/>
              </w:rPr>
            </w:pPr>
            <w:r w:rsidRPr="001126AB">
              <w:rPr>
                <w:b/>
                <w:sz w:val="20"/>
                <w:szCs w:val="20"/>
                <w:lang w:val="en-US"/>
              </w:rPr>
              <w:t>Director, St. Boniface/St. Vital v. Martin Stadler</w:t>
            </w:r>
          </w:p>
          <w:p w:rsidR="00E8665F" w:rsidRPr="001126AB" w:rsidRDefault="00E8665F" w:rsidP="00D245D5">
            <w:pPr>
              <w:pStyle w:val="SCCLsocOtherPartySeparator"/>
              <w:rPr>
                <w:sz w:val="20"/>
                <w:szCs w:val="20"/>
              </w:rPr>
            </w:pPr>
            <w:r w:rsidRPr="001126AB">
              <w:rPr>
                <w:sz w:val="20"/>
                <w:szCs w:val="20"/>
              </w:rPr>
              <w:t>- and -</w:t>
            </w:r>
          </w:p>
          <w:p w:rsidR="00E8665F" w:rsidRPr="001126AB" w:rsidRDefault="00E8665F" w:rsidP="00D245D5">
            <w:pPr>
              <w:pStyle w:val="SCCLsocParty"/>
              <w:jc w:val="both"/>
              <w:rPr>
                <w:b/>
                <w:sz w:val="20"/>
                <w:szCs w:val="20"/>
                <w:lang w:val="en-US"/>
              </w:rPr>
            </w:pPr>
            <w:r w:rsidRPr="001126AB">
              <w:rPr>
                <w:b/>
                <w:sz w:val="20"/>
                <w:szCs w:val="20"/>
                <w:lang w:val="en-US"/>
              </w:rPr>
              <w:t>Social Planning Council of Winnipeg</w:t>
            </w:r>
          </w:p>
          <w:p w:rsidR="00E8665F" w:rsidRPr="001126AB" w:rsidRDefault="00E8665F" w:rsidP="00D245D5">
            <w:pPr>
              <w:jc w:val="both"/>
              <w:rPr>
                <w:sz w:val="20"/>
              </w:rPr>
            </w:pPr>
            <w:r w:rsidRPr="001126AB">
              <w:rPr>
                <w:sz w:val="20"/>
              </w:rPr>
              <w:t>(Man.) (Civil) (By Leave)</w:t>
            </w:r>
          </w:p>
        </w:tc>
      </w:tr>
      <w:tr w:rsidR="00785D14" w:rsidRPr="001126AB" w:rsidTr="00D245D5">
        <w:tc>
          <w:tcPr>
            <w:tcW w:w="5000" w:type="pct"/>
            <w:gridSpan w:val="4"/>
          </w:tcPr>
          <w:p w:rsidR="00AD053C" w:rsidRPr="001126AB" w:rsidRDefault="00AD053C" w:rsidP="00AD053C">
            <w:pPr>
              <w:jc w:val="both"/>
              <w:rPr>
                <w:sz w:val="20"/>
                <w:szCs w:val="20"/>
              </w:rPr>
            </w:pPr>
            <w:r w:rsidRPr="001126AB">
              <w:rPr>
                <w:sz w:val="20"/>
                <w:szCs w:val="20"/>
              </w:rPr>
              <w:t>The application for leave to appeal from the judgment of the Court of Appeal of Manitoba, Number AI 18-30-09081, 2020 MBCA 46, dated May 5, 2020, is dismissed with costs.</w:t>
            </w:r>
          </w:p>
          <w:p w:rsidR="00785D14" w:rsidRPr="001126AB" w:rsidRDefault="00785D14" w:rsidP="00D245D5">
            <w:pPr>
              <w:jc w:val="both"/>
              <w:rPr>
                <w:sz w:val="20"/>
              </w:rPr>
            </w:pPr>
          </w:p>
        </w:tc>
      </w:tr>
      <w:tr w:rsidR="00E8665F" w:rsidRPr="001126AB" w:rsidTr="00D245D5">
        <w:tc>
          <w:tcPr>
            <w:tcW w:w="5000" w:type="pct"/>
            <w:gridSpan w:val="4"/>
          </w:tcPr>
          <w:p w:rsidR="00E8665F" w:rsidRPr="001126AB" w:rsidRDefault="00E8665F" w:rsidP="00D245D5">
            <w:pPr>
              <w:jc w:val="both"/>
              <w:rPr>
                <w:sz w:val="20"/>
              </w:rPr>
            </w:pPr>
            <w:r w:rsidRPr="001126AB">
              <w:rPr>
                <w:sz w:val="20"/>
              </w:rPr>
              <w:t xml:space="preserve">Constitutional law — </w:t>
            </w:r>
            <w:r w:rsidRPr="001126AB">
              <w:rPr>
                <w:i/>
                <w:sz w:val="20"/>
              </w:rPr>
              <w:t>Charter of rights</w:t>
            </w:r>
            <w:r w:rsidRPr="001126AB">
              <w:rPr>
                <w:sz w:val="20"/>
              </w:rPr>
              <w:t xml:space="preserve"> — Right to equality — Discrimination based on mental or physical disability — Remedy — Whether the Court of Appeal erred in its approach to s. 15 of the Charter — Whether the Court of Appeal erred in its approach to s. 1 of the Charter — Whether the Court of Appeal erred in choosing a remedy.</w:t>
            </w:r>
          </w:p>
        </w:tc>
      </w:tr>
      <w:tr w:rsidR="00E8665F" w:rsidRPr="001126AB" w:rsidTr="00D245D5">
        <w:tc>
          <w:tcPr>
            <w:tcW w:w="5000" w:type="pct"/>
            <w:gridSpan w:val="4"/>
          </w:tcPr>
          <w:p w:rsidR="00E8665F" w:rsidRPr="001126AB" w:rsidRDefault="00E8665F" w:rsidP="00D245D5">
            <w:pPr>
              <w:jc w:val="both"/>
              <w:rPr>
                <w:sz w:val="20"/>
              </w:rPr>
            </w:pPr>
          </w:p>
          <w:p w:rsidR="00E8665F" w:rsidRPr="001126AB" w:rsidRDefault="00E8665F" w:rsidP="00D245D5">
            <w:pPr>
              <w:jc w:val="both"/>
              <w:rPr>
                <w:sz w:val="20"/>
              </w:rPr>
            </w:pPr>
            <w:r w:rsidRPr="001126AB">
              <w:rPr>
                <w:sz w:val="20"/>
              </w:rPr>
              <w:lastRenderedPageBreak/>
              <w:t xml:space="preserve">The </w:t>
            </w:r>
            <w:r w:rsidRPr="001126AB">
              <w:rPr>
                <w:i/>
                <w:sz w:val="20"/>
              </w:rPr>
              <w:t>Assistance Regulation</w:t>
            </w:r>
            <w:r w:rsidRPr="001126AB">
              <w:rPr>
                <w:sz w:val="20"/>
              </w:rPr>
              <w:t xml:space="preserve">, Man. Reg. 404/88R, s. 12.1(2), made under </w:t>
            </w:r>
            <w:r w:rsidRPr="001126AB">
              <w:rPr>
                <w:i/>
                <w:sz w:val="20"/>
              </w:rPr>
              <w:t>The Manitoba Assistance Act</w:t>
            </w:r>
            <w:r w:rsidRPr="001126AB">
              <w:rPr>
                <w:sz w:val="20"/>
              </w:rPr>
              <w:t>, CCSM, c. A150, requires that applicants for income assistance “obtain the maximum amount of compensation, benefits or contribution to support and maintenance that may be available under another Act or program, including an Act of Canada or a program provided by the Government of Canada”. In practice, this meant that Mr. Stadler, who has been unable to work due to health issues, was required to apply for benefits under the Canada Pension Plan (“CPP”) once he turned 60. CPP benefits are reduced by a certain percentage for each month they are taken before the age of 65, so applying at age 60 would mean that his pension would be permanently reduced by 36 percent. When he indicated that the permanent reduction in those benefits meant that he did not want to apply until he turned 65, he was informed that his benefits would be discontinued unless he made the application. He did not make the application, and his benefits were discontinued.</w:t>
            </w:r>
          </w:p>
          <w:p w:rsidR="00E8665F" w:rsidRPr="001126AB" w:rsidRDefault="00E8665F" w:rsidP="00D245D5">
            <w:pPr>
              <w:jc w:val="both"/>
              <w:rPr>
                <w:sz w:val="20"/>
              </w:rPr>
            </w:pPr>
          </w:p>
          <w:p w:rsidR="00E8665F" w:rsidRPr="001126AB" w:rsidRDefault="00E8665F" w:rsidP="00D245D5">
            <w:pPr>
              <w:jc w:val="both"/>
              <w:rPr>
                <w:sz w:val="20"/>
              </w:rPr>
            </w:pPr>
            <w:r w:rsidRPr="001126AB">
              <w:rPr>
                <w:sz w:val="20"/>
              </w:rPr>
              <w:t xml:space="preserve">Mr. Stadler appealed the discontinuance of his benefits to the Social Services Appeal Board, arguing that the decision violated his rights as a person with a disability under s. 15 of the </w:t>
            </w:r>
            <w:r w:rsidRPr="001126AB">
              <w:rPr>
                <w:i/>
                <w:sz w:val="20"/>
              </w:rPr>
              <w:t>Charter</w:t>
            </w:r>
            <w:r w:rsidRPr="001126AB">
              <w:rPr>
                <w:sz w:val="20"/>
              </w:rPr>
              <w:t xml:space="preserve">. </w:t>
            </w:r>
          </w:p>
          <w:p w:rsidR="00E8665F" w:rsidRPr="001126AB" w:rsidRDefault="00E8665F" w:rsidP="00D245D5">
            <w:pPr>
              <w:jc w:val="both"/>
              <w:rPr>
                <w:sz w:val="20"/>
              </w:rPr>
            </w:pPr>
            <w:r w:rsidRPr="001126AB">
              <w:rPr>
                <w:sz w:val="20"/>
              </w:rPr>
              <w:t xml:space="preserve">The Board initially found, based on </w:t>
            </w:r>
            <w:r w:rsidRPr="001126AB">
              <w:rPr>
                <w:i/>
                <w:iCs/>
                <w:sz w:val="20"/>
              </w:rPr>
              <w:t>Fernandes v. Manitoba (Director of Social Services (Winnipeg Central)</w:t>
            </w:r>
            <w:r w:rsidRPr="001126AB">
              <w:rPr>
                <w:sz w:val="20"/>
              </w:rPr>
              <w:t xml:space="preserve"> (1992), 93 D.L.R. (4th) 402 (Man. C.A.), that it did not have jurisdiction to consider his </w:t>
            </w:r>
            <w:r w:rsidRPr="001126AB">
              <w:rPr>
                <w:i/>
                <w:iCs/>
                <w:sz w:val="20"/>
              </w:rPr>
              <w:t>Charter</w:t>
            </w:r>
            <w:r w:rsidRPr="001126AB">
              <w:rPr>
                <w:sz w:val="20"/>
              </w:rPr>
              <w:t xml:space="preserve"> arguments. That decision was appealed to the Court of Appeal, which overturned </w:t>
            </w:r>
            <w:r w:rsidRPr="001126AB">
              <w:rPr>
                <w:i/>
                <w:iCs/>
                <w:sz w:val="20"/>
              </w:rPr>
              <w:t>Fernandes</w:t>
            </w:r>
            <w:r w:rsidRPr="001126AB">
              <w:rPr>
                <w:sz w:val="20"/>
              </w:rPr>
              <w:t xml:space="preserve"> and referred the matter back to the Board for reconsideration. Upon considering the </w:t>
            </w:r>
            <w:r w:rsidRPr="001126AB">
              <w:rPr>
                <w:i/>
                <w:iCs/>
                <w:sz w:val="20"/>
              </w:rPr>
              <w:t>Charter</w:t>
            </w:r>
            <w:r w:rsidRPr="001126AB">
              <w:rPr>
                <w:sz w:val="20"/>
              </w:rPr>
              <w:t xml:space="preserve"> issue, the Board found no violation of s. 15 of the </w:t>
            </w:r>
            <w:r w:rsidRPr="001126AB">
              <w:rPr>
                <w:i/>
                <w:iCs/>
                <w:sz w:val="20"/>
              </w:rPr>
              <w:t>Charter</w:t>
            </w:r>
            <w:r w:rsidRPr="001126AB">
              <w:rPr>
                <w:sz w:val="20"/>
              </w:rPr>
              <w:t xml:space="preserve"> and confirmed the discontinuation of Mr. Stadler’s benefits. The Court of Appeal allowed Mr. Stadler’s appeal.</w:t>
            </w:r>
          </w:p>
        </w:tc>
      </w:tr>
      <w:tr w:rsidR="00E8665F" w:rsidRPr="001126AB" w:rsidTr="00D245D5">
        <w:tc>
          <w:tcPr>
            <w:tcW w:w="5000" w:type="pct"/>
            <w:gridSpan w:val="4"/>
          </w:tcPr>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May 16, 2018</w:t>
            </w:r>
          </w:p>
          <w:p w:rsidR="00E8665F" w:rsidRPr="001126AB" w:rsidRDefault="00E8665F" w:rsidP="00D245D5">
            <w:pPr>
              <w:jc w:val="both"/>
              <w:rPr>
                <w:sz w:val="20"/>
              </w:rPr>
            </w:pPr>
            <w:r w:rsidRPr="001126AB">
              <w:rPr>
                <w:sz w:val="20"/>
              </w:rPr>
              <w:t>Social Services Appeal Board</w:t>
            </w:r>
          </w:p>
          <w:p w:rsidR="00E8665F" w:rsidRPr="001126AB" w:rsidRDefault="00E8665F" w:rsidP="00D245D5">
            <w:pPr>
              <w:jc w:val="both"/>
              <w:rPr>
                <w:sz w:val="20"/>
              </w:rPr>
            </w:pPr>
            <w:r w:rsidRPr="001126AB">
              <w:rPr>
                <w:sz w:val="20"/>
              </w:rPr>
              <w:t>(McCrae, Berry, Ross)</w:t>
            </w:r>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Decision requiring Stadler to apply for Canada Pension Plan benefits at age 60 upheld</w:t>
            </w:r>
          </w:p>
        </w:tc>
      </w:tr>
      <w:tr w:rsidR="00E8665F" w:rsidRPr="001126AB" w:rsidTr="00D245D5">
        <w:tc>
          <w:tcPr>
            <w:tcW w:w="2427" w:type="pct"/>
            <w:gridSpan w:val="2"/>
          </w:tcPr>
          <w:p w:rsidR="00E8665F" w:rsidRPr="001126AB" w:rsidRDefault="00E8665F" w:rsidP="00D245D5">
            <w:pPr>
              <w:jc w:val="both"/>
              <w:rPr>
                <w:sz w:val="20"/>
              </w:rPr>
            </w:pPr>
            <w:r w:rsidRPr="001126AB">
              <w:rPr>
                <w:sz w:val="20"/>
              </w:rPr>
              <w:t>May 5, 2020</w:t>
            </w:r>
          </w:p>
          <w:p w:rsidR="00E8665F" w:rsidRPr="001126AB" w:rsidRDefault="00E8665F" w:rsidP="00D245D5">
            <w:pPr>
              <w:jc w:val="both"/>
              <w:rPr>
                <w:sz w:val="20"/>
              </w:rPr>
            </w:pPr>
            <w:r w:rsidRPr="001126AB">
              <w:rPr>
                <w:sz w:val="20"/>
              </w:rPr>
              <w:t>Court of Appeal of Manitoba</w:t>
            </w:r>
          </w:p>
          <w:p w:rsidR="00E8665F" w:rsidRPr="001126AB" w:rsidRDefault="00E8665F" w:rsidP="00D245D5">
            <w:pPr>
              <w:jc w:val="both"/>
              <w:rPr>
                <w:sz w:val="20"/>
              </w:rPr>
            </w:pPr>
            <w:r w:rsidRPr="001126AB">
              <w:rPr>
                <w:sz w:val="20"/>
              </w:rPr>
              <w:t>(Chartier C.J., Steel, Hamilton JJ.A.)</w:t>
            </w:r>
          </w:p>
          <w:p w:rsidR="00E8665F" w:rsidRPr="001126AB" w:rsidRDefault="008F207C" w:rsidP="00D245D5">
            <w:pPr>
              <w:jc w:val="both"/>
              <w:rPr>
                <w:sz w:val="20"/>
              </w:rPr>
            </w:pPr>
            <w:hyperlink r:id="rId43" w:history="1">
              <w:r w:rsidR="00E8665F" w:rsidRPr="001126AB">
                <w:rPr>
                  <w:rStyle w:val="Hyperlink"/>
                  <w:sz w:val="20"/>
                </w:rPr>
                <w:t>2020 MBCA 46</w:t>
              </w:r>
            </w:hyperlink>
          </w:p>
          <w:p w:rsidR="00E8665F" w:rsidRPr="001126AB" w:rsidRDefault="00E8665F" w:rsidP="00D245D5">
            <w:pPr>
              <w:jc w:val="both"/>
              <w:rPr>
                <w:sz w:val="20"/>
              </w:rPr>
            </w:pP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Appeal allowed</w:t>
            </w:r>
          </w:p>
          <w:p w:rsidR="00E8665F" w:rsidRPr="001126AB" w:rsidRDefault="00E8665F" w:rsidP="00D245D5">
            <w:pPr>
              <w:jc w:val="both"/>
              <w:rPr>
                <w:sz w:val="20"/>
              </w:rPr>
            </w:pPr>
          </w:p>
        </w:tc>
      </w:tr>
      <w:tr w:rsidR="00E8665F" w:rsidRPr="001126AB" w:rsidTr="00D245D5">
        <w:tc>
          <w:tcPr>
            <w:tcW w:w="2427" w:type="pct"/>
            <w:gridSpan w:val="2"/>
          </w:tcPr>
          <w:p w:rsidR="00E8665F" w:rsidRPr="001126AB" w:rsidRDefault="00E8665F" w:rsidP="00D245D5">
            <w:pPr>
              <w:jc w:val="both"/>
              <w:rPr>
                <w:sz w:val="20"/>
              </w:rPr>
            </w:pPr>
            <w:r w:rsidRPr="001126AB">
              <w:rPr>
                <w:sz w:val="20"/>
              </w:rPr>
              <w:t>August 4, 2020</w:t>
            </w:r>
          </w:p>
          <w:p w:rsidR="00E8665F" w:rsidRPr="001126AB" w:rsidRDefault="00E8665F" w:rsidP="00D245D5">
            <w:pPr>
              <w:jc w:val="both"/>
              <w:rPr>
                <w:sz w:val="20"/>
              </w:rPr>
            </w:pPr>
            <w:r w:rsidRPr="001126AB">
              <w:rPr>
                <w:sz w:val="20"/>
              </w:rPr>
              <w:t>Supreme Court of Canada</w:t>
            </w:r>
          </w:p>
        </w:tc>
        <w:tc>
          <w:tcPr>
            <w:tcW w:w="243" w:type="pct"/>
          </w:tcPr>
          <w:p w:rsidR="00E8665F" w:rsidRPr="001126AB" w:rsidRDefault="00E8665F" w:rsidP="00D245D5">
            <w:pPr>
              <w:jc w:val="both"/>
              <w:rPr>
                <w:sz w:val="20"/>
              </w:rPr>
            </w:pPr>
          </w:p>
        </w:tc>
        <w:tc>
          <w:tcPr>
            <w:tcW w:w="2330" w:type="pct"/>
          </w:tcPr>
          <w:p w:rsidR="00E8665F" w:rsidRPr="001126AB" w:rsidRDefault="00E8665F" w:rsidP="00D245D5">
            <w:pPr>
              <w:jc w:val="both"/>
              <w:rPr>
                <w:sz w:val="20"/>
              </w:rPr>
            </w:pPr>
            <w:r w:rsidRPr="001126AB">
              <w:rPr>
                <w:sz w:val="20"/>
              </w:rPr>
              <w:t>Application for leave to appeal filed</w:t>
            </w:r>
          </w:p>
        </w:tc>
      </w:tr>
    </w:tbl>
    <w:p w:rsidR="00E8665F" w:rsidRPr="001126AB" w:rsidRDefault="00E8665F" w:rsidP="00E8665F">
      <w:pPr>
        <w:jc w:val="both"/>
        <w:rPr>
          <w:sz w:val="20"/>
        </w:rPr>
      </w:pPr>
    </w:p>
    <w:p w:rsidR="00E8665F" w:rsidRPr="001126AB" w:rsidRDefault="008F207C" w:rsidP="00E8665F">
      <w:pPr>
        <w:jc w:val="both"/>
        <w:rPr>
          <w:sz w:val="20"/>
        </w:rPr>
      </w:pPr>
      <w:r w:rsidRPr="001126AB">
        <w:rPr>
          <w:sz w:val="20"/>
        </w:rPr>
        <w:pict>
          <v:rect id="_x0000_i1050" style="width:2in;height:1pt" o:hrpct="0" o:hralign="center" o:hrstd="t" o:hrnoshade="t" o:hr="t" fillcolor="black [3213]" stroked="f"/>
        </w:pict>
      </w:r>
    </w:p>
    <w:p w:rsidR="00E8665F" w:rsidRPr="001126AB" w:rsidRDefault="00E8665F" w:rsidP="00E866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8665F" w:rsidRPr="001126AB" w:rsidTr="00D245D5">
        <w:tc>
          <w:tcPr>
            <w:tcW w:w="543" w:type="pct"/>
          </w:tcPr>
          <w:p w:rsidR="00E8665F" w:rsidRPr="001126AB" w:rsidRDefault="00E8665F" w:rsidP="00D245D5">
            <w:pPr>
              <w:jc w:val="both"/>
              <w:rPr>
                <w:sz w:val="20"/>
                <w:lang w:val="fr-CA"/>
              </w:rPr>
            </w:pPr>
            <w:r w:rsidRPr="001126AB">
              <w:rPr>
                <w:rStyle w:val="SCCFileNumberChar"/>
                <w:sz w:val="20"/>
                <w:szCs w:val="20"/>
                <w:lang w:val="fr-CA"/>
              </w:rPr>
              <w:t>39269</w:t>
            </w:r>
          </w:p>
        </w:tc>
        <w:tc>
          <w:tcPr>
            <w:tcW w:w="4457" w:type="pct"/>
          </w:tcPr>
          <w:p w:rsidR="00E8665F" w:rsidRPr="001126AB" w:rsidRDefault="00E8665F" w:rsidP="00D245D5">
            <w:pPr>
              <w:pStyle w:val="SCCLsocParty"/>
              <w:jc w:val="both"/>
              <w:rPr>
                <w:b/>
                <w:sz w:val="20"/>
                <w:szCs w:val="20"/>
                <w:lang w:val="en-US"/>
              </w:rPr>
            </w:pPr>
            <w:r w:rsidRPr="001126AB">
              <w:rPr>
                <w:b/>
                <w:sz w:val="20"/>
                <w:szCs w:val="20"/>
                <w:lang w:val="en-US"/>
              </w:rPr>
              <w:t>Directeur, St. Boniface/St. Vital c. Martin Stadler</w:t>
            </w:r>
          </w:p>
          <w:p w:rsidR="00E8665F" w:rsidRPr="001126AB" w:rsidRDefault="00E8665F" w:rsidP="00D245D5">
            <w:pPr>
              <w:pStyle w:val="SCCLsocOtherPartySeparator"/>
              <w:rPr>
                <w:sz w:val="20"/>
                <w:szCs w:val="20"/>
              </w:rPr>
            </w:pPr>
            <w:r w:rsidRPr="001126AB">
              <w:rPr>
                <w:sz w:val="20"/>
                <w:szCs w:val="20"/>
              </w:rPr>
              <w:t>- et -</w:t>
            </w:r>
          </w:p>
          <w:p w:rsidR="00E8665F" w:rsidRPr="001126AB" w:rsidRDefault="00E8665F" w:rsidP="00D245D5">
            <w:pPr>
              <w:pStyle w:val="SCCLsocParty"/>
              <w:jc w:val="both"/>
              <w:rPr>
                <w:b/>
                <w:sz w:val="20"/>
                <w:szCs w:val="20"/>
                <w:lang w:val="en-US"/>
              </w:rPr>
            </w:pPr>
            <w:r w:rsidRPr="001126AB">
              <w:rPr>
                <w:b/>
                <w:sz w:val="20"/>
                <w:szCs w:val="20"/>
                <w:lang w:val="en-US"/>
              </w:rPr>
              <w:t>Social Planning Council of Winnipeg</w:t>
            </w:r>
          </w:p>
          <w:p w:rsidR="00E8665F" w:rsidRPr="001126AB" w:rsidRDefault="00E8665F" w:rsidP="00D245D5">
            <w:pPr>
              <w:jc w:val="both"/>
              <w:rPr>
                <w:sz w:val="20"/>
                <w:lang w:val="fr-CA"/>
              </w:rPr>
            </w:pPr>
            <w:r w:rsidRPr="001126AB">
              <w:rPr>
                <w:sz w:val="20"/>
                <w:lang w:val="fr-CA"/>
              </w:rPr>
              <w:t>(Man.) (Civile) (Sur autorisation)</w:t>
            </w:r>
          </w:p>
        </w:tc>
      </w:tr>
      <w:tr w:rsidR="00785D14" w:rsidRPr="001126AB" w:rsidTr="00D245D5">
        <w:tc>
          <w:tcPr>
            <w:tcW w:w="5000" w:type="pct"/>
            <w:gridSpan w:val="2"/>
          </w:tcPr>
          <w:p w:rsidR="00785D14" w:rsidRPr="001126AB" w:rsidRDefault="00AD053C" w:rsidP="00D245D5">
            <w:pPr>
              <w:jc w:val="both"/>
              <w:rPr>
                <w:sz w:val="20"/>
                <w:szCs w:val="20"/>
                <w:lang w:val="fr-CA"/>
              </w:rPr>
            </w:pPr>
            <w:r w:rsidRPr="001126AB">
              <w:rPr>
                <w:sz w:val="20"/>
                <w:szCs w:val="20"/>
                <w:lang w:val="fr-CA"/>
              </w:rPr>
              <w:t>La demande d’autorisation d’appel de l’arrêt de la Cour d’appel du Manitoba, numéro AI 18-30-09081, 2020 MBCA 46, daté du 5 mai 2020, est rejetée avec dépens.</w:t>
            </w:r>
          </w:p>
          <w:p w:rsidR="00AD053C" w:rsidRPr="001126AB" w:rsidRDefault="00AD053C" w:rsidP="00D245D5">
            <w:pPr>
              <w:jc w:val="both"/>
              <w:rPr>
                <w:sz w:val="20"/>
                <w:lang w:val="fr-CA"/>
              </w:rPr>
            </w:pPr>
          </w:p>
        </w:tc>
      </w:tr>
      <w:tr w:rsidR="00E8665F" w:rsidRPr="001126AB" w:rsidTr="00D245D5">
        <w:tc>
          <w:tcPr>
            <w:tcW w:w="5000" w:type="pct"/>
            <w:gridSpan w:val="2"/>
          </w:tcPr>
          <w:p w:rsidR="00E8665F" w:rsidRPr="001126AB" w:rsidRDefault="00E8665F" w:rsidP="00D245D5">
            <w:pPr>
              <w:jc w:val="both"/>
              <w:rPr>
                <w:sz w:val="20"/>
                <w:lang w:val="fr-CA"/>
              </w:rPr>
            </w:pPr>
            <w:r w:rsidRPr="001126AB">
              <w:rPr>
                <w:sz w:val="20"/>
                <w:lang w:val="fr-CA"/>
              </w:rPr>
              <w:t xml:space="preserve">Droit constitutionnel — </w:t>
            </w:r>
            <w:r w:rsidRPr="001126AB">
              <w:rPr>
                <w:i/>
                <w:sz w:val="20"/>
                <w:lang w:val="fr-CA"/>
              </w:rPr>
              <w:t>Charte des droits</w:t>
            </w:r>
            <w:r w:rsidRPr="001126AB">
              <w:rPr>
                <w:sz w:val="20"/>
                <w:lang w:val="fr-CA"/>
              </w:rPr>
              <w:t xml:space="preserve"> — Droit à l’égalité — Discrimination fondée sur une déficience mentale ou physique — Réparation — La Cour d’appel a</w:t>
            </w:r>
            <w:r w:rsidRPr="001126AB">
              <w:rPr>
                <w:sz w:val="20"/>
                <w:lang w:val="fr-CA"/>
              </w:rPr>
              <w:noBreakHyphen/>
              <w:t>t</w:t>
            </w:r>
            <w:r w:rsidRPr="001126AB">
              <w:rPr>
                <w:sz w:val="20"/>
                <w:lang w:val="fr-CA"/>
              </w:rPr>
              <w:noBreakHyphen/>
              <w:t xml:space="preserve">elle commis une erreur dans son analyse de l’art. 15 de la </w:t>
            </w:r>
            <w:r w:rsidRPr="001126AB">
              <w:rPr>
                <w:i/>
                <w:sz w:val="20"/>
                <w:lang w:val="fr-CA"/>
              </w:rPr>
              <w:t>Charte </w:t>
            </w:r>
            <w:r w:rsidRPr="001126AB">
              <w:rPr>
                <w:sz w:val="20"/>
                <w:lang w:val="fr-CA"/>
              </w:rPr>
              <w:t>? — La Cour d’appel a</w:t>
            </w:r>
            <w:r w:rsidRPr="001126AB">
              <w:rPr>
                <w:sz w:val="20"/>
                <w:lang w:val="fr-CA"/>
              </w:rPr>
              <w:noBreakHyphen/>
              <w:t>t</w:t>
            </w:r>
            <w:r w:rsidRPr="001126AB">
              <w:rPr>
                <w:sz w:val="20"/>
                <w:lang w:val="fr-CA"/>
              </w:rPr>
              <w:noBreakHyphen/>
              <w:t xml:space="preserve">elle commis une erreur dans son analyse de l’article premier de la </w:t>
            </w:r>
            <w:r w:rsidRPr="001126AB">
              <w:rPr>
                <w:i/>
                <w:sz w:val="20"/>
                <w:lang w:val="fr-CA"/>
              </w:rPr>
              <w:t>Charte </w:t>
            </w:r>
            <w:r w:rsidRPr="001126AB">
              <w:rPr>
                <w:sz w:val="20"/>
                <w:lang w:val="fr-CA"/>
              </w:rPr>
              <w:t>? — La Cour d’appel a</w:t>
            </w:r>
            <w:r w:rsidRPr="001126AB">
              <w:rPr>
                <w:sz w:val="20"/>
                <w:lang w:val="fr-CA"/>
              </w:rPr>
              <w:noBreakHyphen/>
              <w:t>t</w:t>
            </w:r>
            <w:r w:rsidRPr="001126AB">
              <w:rPr>
                <w:sz w:val="20"/>
                <w:lang w:val="fr-CA"/>
              </w:rPr>
              <w:noBreakHyphen/>
              <w:t>elle commis une erreur dans son choix de réparation accordée ?</w:t>
            </w:r>
          </w:p>
          <w:p w:rsidR="004E709B" w:rsidRPr="001126AB" w:rsidRDefault="004E709B" w:rsidP="00D245D5">
            <w:pPr>
              <w:jc w:val="both"/>
              <w:rPr>
                <w:sz w:val="20"/>
                <w:lang w:val="fr-CA"/>
              </w:rPr>
            </w:pPr>
          </w:p>
        </w:tc>
      </w:tr>
    </w:tbl>
    <w:p w:rsidR="004E709B" w:rsidRPr="001126AB" w:rsidRDefault="004E709B">
      <w:pPr>
        <w:rPr>
          <w:lang w:val="fr-CA"/>
        </w:rPr>
      </w:pPr>
      <w:r w:rsidRPr="001126A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8665F" w:rsidRPr="001126AB" w:rsidTr="00D245D5">
        <w:tc>
          <w:tcPr>
            <w:tcW w:w="5000" w:type="pct"/>
            <w:gridSpan w:val="3"/>
          </w:tcPr>
          <w:p w:rsidR="00E8665F" w:rsidRPr="001126AB" w:rsidRDefault="00E8665F" w:rsidP="00D245D5">
            <w:pPr>
              <w:jc w:val="both"/>
              <w:rPr>
                <w:sz w:val="20"/>
                <w:lang w:val="fr-CA"/>
              </w:rPr>
            </w:pPr>
            <w:r w:rsidRPr="001126AB">
              <w:rPr>
                <w:sz w:val="20"/>
                <w:lang w:val="fr-CA"/>
              </w:rPr>
              <w:lastRenderedPageBreak/>
              <w:t xml:space="preserve">Aux termes du par. 12.1(2) du </w:t>
            </w:r>
            <w:r w:rsidRPr="001126AB">
              <w:rPr>
                <w:i/>
                <w:sz w:val="20"/>
                <w:lang w:val="fr-CA"/>
              </w:rPr>
              <w:t>Règlement sur les allocations d’aide</w:t>
            </w:r>
            <w:r w:rsidRPr="001126AB">
              <w:rPr>
                <w:sz w:val="20"/>
                <w:lang w:val="fr-CA"/>
              </w:rPr>
              <w:t xml:space="preserve">, </w:t>
            </w:r>
            <w:proofErr w:type="spellStart"/>
            <w:r w:rsidRPr="001126AB">
              <w:rPr>
                <w:sz w:val="20"/>
                <w:lang w:val="fr-CA"/>
              </w:rPr>
              <w:t>Règl</w:t>
            </w:r>
            <w:proofErr w:type="spellEnd"/>
            <w:r w:rsidRPr="001126AB">
              <w:rPr>
                <w:sz w:val="20"/>
                <w:lang w:val="fr-CA"/>
              </w:rPr>
              <w:t xml:space="preserve">. du Man. 404/88R, pris en application de la </w:t>
            </w:r>
            <w:r w:rsidRPr="001126AB">
              <w:rPr>
                <w:i/>
                <w:sz w:val="20"/>
                <w:lang w:val="fr-CA"/>
              </w:rPr>
              <w:t>Loi sur les allocations d’aide du Manitoba</w:t>
            </w:r>
            <w:r w:rsidRPr="001126AB">
              <w:rPr>
                <w:sz w:val="20"/>
                <w:lang w:val="fr-CA"/>
              </w:rPr>
              <w:t xml:space="preserve">, c. A150 de la C.P.L.M., les requérants d’aide au revenu doivent « obtenir le montant maximal d’indemnités, de prestations ou de contributions au soutien et à l’entretien qui peut être offert en vertu d’une autre loi ou d’un autre programme, notamment une loi fédérale ou un programme du gouvernement fédéral ». Dans les faits, cela signifiait que M. Stadler, qui ne pouvait travailler à cause de problèmes de santé, devait demander des prestations du Régime de pensions du Canada (« RPC ») dès l’âge de 60 ans. Un certain pourcentage par mois est déduit à partir des prestations du RPC reçues avant l’âge de 65 ans, ainsi, le fait de demander des prestations à l’âge de 60 ans aurait pour effet de réduire sa pension de 36 pour cent, et ce, de manière permanente. Lorsque M. Stadler a indiqué, qu’en raison de cette réduction permanente, il ne voulait pas demander de prestations du RPC avant l’âge de 65 ans, on l’a avisé qu’à moins qu’il en fasse la demande, il serait mis fin à ses prestations d’aide au revenu. Lorsqu’il a refusé de demander les prestations du RPC, on a cessé de lui verser des prestations d’aide au revenu. </w:t>
            </w:r>
          </w:p>
          <w:p w:rsidR="00E8665F" w:rsidRPr="001126AB" w:rsidRDefault="00E8665F" w:rsidP="00D245D5">
            <w:pPr>
              <w:jc w:val="both"/>
              <w:rPr>
                <w:sz w:val="20"/>
                <w:lang w:val="fr-CA"/>
              </w:rPr>
            </w:pPr>
          </w:p>
          <w:p w:rsidR="00E8665F" w:rsidRPr="001126AB" w:rsidRDefault="00E8665F" w:rsidP="00D245D5">
            <w:pPr>
              <w:jc w:val="both"/>
              <w:rPr>
                <w:sz w:val="20"/>
                <w:lang w:val="fr-CA"/>
              </w:rPr>
            </w:pPr>
            <w:r w:rsidRPr="001126AB">
              <w:rPr>
                <w:sz w:val="20"/>
                <w:lang w:val="fr-CA"/>
              </w:rPr>
              <w:t xml:space="preserve">M. Stadler a fait appel de la décision de mettre fin au versement de ses prestations devant la Commission d’appel des services sociaux, faisant valoir que cette décision violait ses droits à titre de personne ayant une déficience, en vertu de l’art. 15 de la </w:t>
            </w:r>
            <w:r w:rsidRPr="001126AB">
              <w:rPr>
                <w:i/>
                <w:sz w:val="20"/>
                <w:lang w:val="fr-CA"/>
              </w:rPr>
              <w:t>Charte</w:t>
            </w:r>
            <w:r w:rsidRPr="001126AB">
              <w:rPr>
                <w:sz w:val="20"/>
                <w:lang w:val="fr-CA"/>
              </w:rPr>
              <w:t xml:space="preserve">. La Commission a d’abord conclu, en se fondant sur l’arrêt </w:t>
            </w:r>
            <w:r w:rsidRPr="001126AB">
              <w:rPr>
                <w:i/>
                <w:iCs/>
                <w:sz w:val="20"/>
                <w:lang w:val="fr-CA"/>
              </w:rPr>
              <w:t>Fernandes v. Manitoba (Director of Social Services (Winnipeg Central)</w:t>
            </w:r>
            <w:r w:rsidRPr="001126AB">
              <w:rPr>
                <w:sz w:val="20"/>
                <w:lang w:val="fr-CA"/>
              </w:rPr>
              <w:t xml:space="preserve"> (1992), 93 D.L.R. (4th) 402 (Man. C.A.), qu’elle n’avait pas compétence pour examiner les arguments fondés sur la </w:t>
            </w:r>
            <w:r w:rsidRPr="001126AB">
              <w:rPr>
                <w:i/>
                <w:iCs/>
                <w:sz w:val="20"/>
                <w:lang w:val="fr-CA"/>
              </w:rPr>
              <w:t>Charte</w:t>
            </w:r>
            <w:r w:rsidRPr="001126AB">
              <w:rPr>
                <w:iCs/>
                <w:sz w:val="20"/>
                <w:lang w:val="fr-CA"/>
              </w:rPr>
              <w:t xml:space="preserve"> mis de l’avant par M. Stadler</w:t>
            </w:r>
            <w:r w:rsidRPr="001126AB">
              <w:rPr>
                <w:sz w:val="20"/>
                <w:lang w:val="fr-CA"/>
              </w:rPr>
              <w:t xml:space="preserve">. Cette décision a été portée en appel devant la Cour d’appel, qui a infirmé l’arrêt </w:t>
            </w:r>
            <w:r w:rsidRPr="001126AB">
              <w:rPr>
                <w:i/>
                <w:iCs/>
                <w:sz w:val="20"/>
                <w:lang w:val="fr-CA"/>
              </w:rPr>
              <w:t>Fernandes</w:t>
            </w:r>
            <w:r w:rsidRPr="001126AB">
              <w:rPr>
                <w:sz w:val="20"/>
                <w:lang w:val="fr-CA"/>
              </w:rPr>
              <w:t xml:space="preserve"> et a renvoyé l’affaire à la Commission pour qu’elle en fasse le réexamen. Après avoir examiné la question fondée sur la </w:t>
            </w:r>
            <w:r w:rsidRPr="001126AB">
              <w:rPr>
                <w:i/>
                <w:iCs/>
                <w:sz w:val="20"/>
                <w:lang w:val="fr-CA"/>
              </w:rPr>
              <w:t>Charte</w:t>
            </w:r>
            <w:r w:rsidRPr="001126AB">
              <w:rPr>
                <w:sz w:val="20"/>
                <w:lang w:val="fr-CA"/>
              </w:rPr>
              <w:t xml:space="preserve">, la Commission a conclu qu’il n’y avait eu aucune violation de l’art. 15 de la </w:t>
            </w:r>
            <w:r w:rsidRPr="001126AB">
              <w:rPr>
                <w:i/>
                <w:iCs/>
                <w:sz w:val="20"/>
                <w:lang w:val="fr-CA"/>
              </w:rPr>
              <w:t xml:space="preserve">Charte </w:t>
            </w:r>
            <w:r w:rsidRPr="001126AB">
              <w:rPr>
                <w:iCs/>
                <w:sz w:val="20"/>
                <w:lang w:val="fr-CA"/>
              </w:rPr>
              <w:t xml:space="preserve">et a confirmé la décision de mettre fin au versement des prestations de </w:t>
            </w:r>
            <w:r w:rsidRPr="001126AB">
              <w:rPr>
                <w:sz w:val="20"/>
                <w:lang w:val="fr-CA"/>
              </w:rPr>
              <w:t>M. Stadler. La Cour d’appel a accueilli l’appel de ce dernier.</w:t>
            </w:r>
          </w:p>
        </w:tc>
      </w:tr>
      <w:tr w:rsidR="00E8665F" w:rsidRPr="001126AB" w:rsidTr="00D245D5">
        <w:tc>
          <w:tcPr>
            <w:tcW w:w="5000" w:type="pct"/>
            <w:gridSpan w:val="3"/>
          </w:tcPr>
          <w:p w:rsidR="00E8665F" w:rsidRPr="001126AB" w:rsidRDefault="00E8665F" w:rsidP="00D245D5">
            <w:pPr>
              <w:jc w:val="both"/>
              <w:rPr>
                <w:sz w:val="20"/>
                <w:lang w:val="fr-CA"/>
              </w:rPr>
            </w:pPr>
          </w:p>
        </w:tc>
      </w:tr>
      <w:tr w:rsidR="00E8665F" w:rsidRPr="001126AB" w:rsidTr="00D245D5">
        <w:tc>
          <w:tcPr>
            <w:tcW w:w="2427" w:type="pct"/>
          </w:tcPr>
          <w:p w:rsidR="00E8665F" w:rsidRPr="001126AB" w:rsidRDefault="00E8665F" w:rsidP="00D245D5">
            <w:pPr>
              <w:jc w:val="both"/>
              <w:rPr>
                <w:sz w:val="20"/>
                <w:lang w:val="fr-CA"/>
              </w:rPr>
            </w:pPr>
            <w:r w:rsidRPr="001126AB">
              <w:rPr>
                <w:sz w:val="20"/>
                <w:lang w:val="fr-CA"/>
              </w:rPr>
              <w:t>16 mai 2018</w:t>
            </w:r>
          </w:p>
          <w:p w:rsidR="00E8665F" w:rsidRPr="001126AB" w:rsidRDefault="00E8665F" w:rsidP="00D245D5">
            <w:pPr>
              <w:jc w:val="both"/>
              <w:rPr>
                <w:sz w:val="20"/>
                <w:lang w:val="fr-CA"/>
              </w:rPr>
            </w:pPr>
            <w:r w:rsidRPr="001126AB">
              <w:rPr>
                <w:sz w:val="20"/>
                <w:lang w:val="fr-CA"/>
              </w:rPr>
              <w:t>Commission d’appel des services sociaux (</w:t>
            </w:r>
            <w:proofErr w:type="spellStart"/>
            <w:r w:rsidRPr="001126AB">
              <w:rPr>
                <w:sz w:val="20"/>
                <w:lang w:val="fr-CA"/>
              </w:rPr>
              <w:t>McCrae</w:t>
            </w:r>
            <w:proofErr w:type="spellEnd"/>
            <w:r w:rsidRPr="001126AB">
              <w:rPr>
                <w:sz w:val="20"/>
                <w:lang w:val="fr-CA"/>
              </w:rPr>
              <w:t>, Berry, Ross)</w:t>
            </w:r>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La décision obligeant M. Stadler à demander des prestations du Régime de pensions du Canada à l’âge de 60 ans est confirmée.</w:t>
            </w:r>
          </w:p>
        </w:tc>
      </w:tr>
      <w:tr w:rsidR="00E8665F" w:rsidRPr="001126AB" w:rsidTr="00D245D5">
        <w:tc>
          <w:tcPr>
            <w:tcW w:w="2427" w:type="pct"/>
          </w:tcPr>
          <w:p w:rsidR="00E8665F" w:rsidRPr="001126AB" w:rsidRDefault="00E8665F" w:rsidP="00D245D5">
            <w:pPr>
              <w:jc w:val="both"/>
              <w:rPr>
                <w:sz w:val="20"/>
                <w:lang w:val="fr-CA"/>
              </w:rPr>
            </w:pPr>
            <w:r w:rsidRPr="001126AB">
              <w:rPr>
                <w:sz w:val="20"/>
                <w:lang w:val="fr-CA"/>
              </w:rPr>
              <w:t>5 mai 2020</w:t>
            </w:r>
          </w:p>
          <w:p w:rsidR="00E8665F" w:rsidRPr="001126AB" w:rsidRDefault="00E8665F" w:rsidP="00D245D5">
            <w:pPr>
              <w:jc w:val="both"/>
              <w:rPr>
                <w:sz w:val="20"/>
                <w:lang w:val="fr-CA"/>
              </w:rPr>
            </w:pPr>
            <w:r w:rsidRPr="001126AB">
              <w:rPr>
                <w:sz w:val="20"/>
                <w:lang w:val="fr-CA"/>
              </w:rPr>
              <w:t>Cour d’appel du Manitoba</w:t>
            </w:r>
          </w:p>
          <w:p w:rsidR="00E8665F" w:rsidRPr="001126AB" w:rsidRDefault="00E8665F" w:rsidP="00D245D5">
            <w:pPr>
              <w:jc w:val="both"/>
              <w:rPr>
                <w:sz w:val="20"/>
                <w:lang w:val="fr-CA"/>
              </w:rPr>
            </w:pPr>
            <w:r w:rsidRPr="001126AB">
              <w:rPr>
                <w:sz w:val="20"/>
                <w:lang w:val="fr-CA"/>
              </w:rPr>
              <w:t>(Juge en chef Chartier, juges Steel et Hamilton)</w:t>
            </w:r>
          </w:p>
          <w:p w:rsidR="00E8665F" w:rsidRPr="001126AB" w:rsidRDefault="008F207C" w:rsidP="00D245D5">
            <w:pPr>
              <w:jc w:val="both"/>
              <w:rPr>
                <w:sz w:val="20"/>
                <w:lang w:val="fr-CA"/>
              </w:rPr>
            </w:pPr>
            <w:hyperlink r:id="rId44" w:history="1">
              <w:r w:rsidR="00E8665F" w:rsidRPr="001126AB">
                <w:rPr>
                  <w:rStyle w:val="Hyperlink"/>
                  <w:sz w:val="20"/>
                  <w:lang w:val="fr-CA"/>
                </w:rPr>
                <w:t>2020 MBCA 46</w:t>
              </w:r>
            </w:hyperlink>
          </w:p>
          <w:p w:rsidR="00E8665F" w:rsidRPr="001126AB" w:rsidRDefault="00E8665F" w:rsidP="00D245D5">
            <w:pPr>
              <w:jc w:val="both"/>
              <w:rPr>
                <w:sz w:val="20"/>
                <w:lang w:val="fr-CA"/>
              </w:rPr>
            </w:pP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L’appel est accueilli.</w:t>
            </w:r>
          </w:p>
          <w:p w:rsidR="00E8665F" w:rsidRPr="001126AB" w:rsidRDefault="00E8665F" w:rsidP="00D245D5">
            <w:pPr>
              <w:jc w:val="both"/>
              <w:rPr>
                <w:sz w:val="20"/>
                <w:lang w:val="fr-CA"/>
              </w:rPr>
            </w:pPr>
          </w:p>
        </w:tc>
      </w:tr>
      <w:tr w:rsidR="00E8665F" w:rsidRPr="001126AB" w:rsidTr="00D245D5">
        <w:tc>
          <w:tcPr>
            <w:tcW w:w="2427" w:type="pct"/>
          </w:tcPr>
          <w:p w:rsidR="00E8665F" w:rsidRPr="001126AB" w:rsidRDefault="00E8665F" w:rsidP="00D245D5">
            <w:pPr>
              <w:jc w:val="both"/>
              <w:rPr>
                <w:sz w:val="20"/>
                <w:lang w:val="fr-CA"/>
              </w:rPr>
            </w:pPr>
            <w:r w:rsidRPr="001126AB">
              <w:rPr>
                <w:sz w:val="20"/>
                <w:lang w:val="fr-CA"/>
              </w:rPr>
              <w:t>4 août 2020</w:t>
            </w:r>
          </w:p>
          <w:p w:rsidR="00E8665F" w:rsidRPr="001126AB" w:rsidRDefault="00E8665F" w:rsidP="00D245D5">
            <w:pPr>
              <w:jc w:val="both"/>
              <w:rPr>
                <w:sz w:val="20"/>
                <w:lang w:val="fr-CA"/>
              </w:rPr>
            </w:pPr>
            <w:r w:rsidRPr="001126AB">
              <w:rPr>
                <w:sz w:val="20"/>
                <w:lang w:val="fr-CA"/>
              </w:rPr>
              <w:t>Cour suprême du Canada</w:t>
            </w:r>
          </w:p>
        </w:tc>
        <w:tc>
          <w:tcPr>
            <w:tcW w:w="243" w:type="pct"/>
          </w:tcPr>
          <w:p w:rsidR="00E8665F" w:rsidRPr="001126AB" w:rsidRDefault="00E8665F" w:rsidP="00D245D5">
            <w:pPr>
              <w:jc w:val="both"/>
              <w:rPr>
                <w:sz w:val="20"/>
                <w:lang w:val="fr-CA"/>
              </w:rPr>
            </w:pPr>
          </w:p>
        </w:tc>
        <w:tc>
          <w:tcPr>
            <w:tcW w:w="2330" w:type="pct"/>
          </w:tcPr>
          <w:p w:rsidR="00E8665F" w:rsidRPr="001126AB" w:rsidRDefault="00E8665F" w:rsidP="00D245D5">
            <w:pPr>
              <w:jc w:val="both"/>
              <w:rPr>
                <w:sz w:val="20"/>
                <w:lang w:val="fr-CA"/>
              </w:rPr>
            </w:pPr>
            <w:r w:rsidRPr="001126AB">
              <w:rPr>
                <w:sz w:val="20"/>
                <w:lang w:val="fr-CA"/>
              </w:rPr>
              <w:t>La demande d’autorisation d’appel est présentée.</w:t>
            </w:r>
          </w:p>
        </w:tc>
      </w:tr>
    </w:tbl>
    <w:p w:rsidR="00E8665F" w:rsidRPr="001126AB" w:rsidRDefault="00E8665F" w:rsidP="00E8665F">
      <w:pPr>
        <w:widowControl w:val="0"/>
        <w:jc w:val="both"/>
        <w:rPr>
          <w:sz w:val="20"/>
          <w:lang w:val="fr-CA"/>
        </w:rPr>
      </w:pPr>
    </w:p>
    <w:p w:rsidR="00102792" w:rsidRPr="001126AB" w:rsidRDefault="008F207C" w:rsidP="004B2E86">
      <w:pPr>
        <w:jc w:val="both"/>
        <w:rPr>
          <w:sz w:val="20"/>
          <w:szCs w:val="20"/>
          <w:lang w:val="fr-CA"/>
        </w:rPr>
      </w:pPr>
      <w:r w:rsidRPr="001126AB">
        <w:rPr>
          <w:sz w:val="20"/>
          <w:szCs w:val="20"/>
        </w:rPr>
        <w:pict>
          <v:rect id="_x0000_i1051" style="width:2in;height:1pt" o:hrpct="0" o:hralign="center" o:hrstd="t" o:hrnoshade="t" o:hr="t" fillcolor="black" stroked="f"/>
        </w:pict>
      </w:r>
    </w:p>
    <w:p w:rsidR="00E06F20" w:rsidRPr="001126AB" w:rsidRDefault="00E06F20" w:rsidP="00102792">
      <w:pPr>
        <w:jc w:val="both"/>
        <w:rPr>
          <w:sz w:val="20"/>
          <w:lang w:val="fr-CA"/>
        </w:rPr>
      </w:pPr>
    </w:p>
    <w:p w:rsidR="00890FEB" w:rsidRPr="001126AB" w:rsidRDefault="00890FEB" w:rsidP="008D292F">
      <w:pPr>
        <w:rPr>
          <w:sz w:val="20"/>
          <w:szCs w:val="20"/>
          <w:lang w:val="fr-CA"/>
        </w:rPr>
      </w:pPr>
    </w:p>
    <w:p w:rsidR="00890FEB" w:rsidRPr="001126AB" w:rsidRDefault="00890FEB" w:rsidP="008D292F">
      <w:pPr>
        <w:rPr>
          <w:b/>
          <w:sz w:val="20"/>
          <w:szCs w:val="20"/>
          <w:lang w:val="fr-CA"/>
        </w:rPr>
        <w:sectPr w:rsidR="00890FEB" w:rsidRPr="001126AB"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693C38" w:rsidRPr="001126AB" w:rsidRDefault="00DD0BDC" w:rsidP="00567602">
      <w:pPr>
        <w:pStyle w:val="Header1StyleE"/>
        <w:pBdr>
          <w:bottom w:val="single" w:sz="12" w:space="1" w:color="auto"/>
        </w:pBdr>
        <w:rPr>
          <w:lang w:val="fr-CA"/>
        </w:rPr>
      </w:pPr>
      <w:bookmarkStart w:id="5" w:name="_Toc57270711"/>
      <w:r w:rsidRPr="001126AB">
        <w:rPr>
          <w:lang w:val="fr-CA"/>
        </w:rPr>
        <w:lastRenderedPageBreak/>
        <w:t>Motions</w:t>
      </w:r>
      <w:r w:rsidR="00271E1E" w:rsidRPr="001126AB">
        <w:rPr>
          <w:lang w:val="fr-CA"/>
        </w:rPr>
        <w:t xml:space="preserve"> / </w:t>
      </w:r>
      <w:r w:rsidR="00693C38" w:rsidRPr="001126AB">
        <w:rPr>
          <w:lang w:val="fr-CA"/>
        </w:rPr>
        <w:br/>
      </w:r>
      <w:r w:rsidRPr="001126AB">
        <w:rPr>
          <w:lang w:val="fr-CA"/>
        </w:rPr>
        <w:t>Requêtes</w:t>
      </w:r>
      <w:bookmarkEnd w:id="5"/>
    </w:p>
    <w:p w:rsidR="00890FEB" w:rsidRPr="001126AB" w:rsidRDefault="00890FEB" w:rsidP="00890FEB">
      <w:pPr>
        <w:rPr>
          <w:sz w:val="20"/>
          <w:szCs w:val="20"/>
          <w:lang w:val="fr-CA"/>
        </w:rPr>
      </w:pPr>
    </w:p>
    <w:p w:rsidR="008859F1" w:rsidRPr="001126AB" w:rsidRDefault="00515A68" w:rsidP="008859F1">
      <w:pPr>
        <w:rPr>
          <w:b/>
          <w:sz w:val="20"/>
          <w:szCs w:val="20"/>
          <w:lang w:val="fr-CA"/>
        </w:rPr>
      </w:pPr>
      <w:r w:rsidRPr="001126AB">
        <w:rPr>
          <w:b/>
          <w:sz w:val="20"/>
          <w:szCs w:val="20"/>
          <w:lang w:val="fr-CA"/>
        </w:rPr>
        <w:t>NOVEMBER</w:t>
      </w:r>
      <w:r w:rsidR="008859F1" w:rsidRPr="001126AB">
        <w:rPr>
          <w:b/>
          <w:sz w:val="20"/>
          <w:szCs w:val="20"/>
          <w:lang w:val="fr-CA"/>
        </w:rPr>
        <w:t xml:space="preserve"> </w:t>
      </w:r>
      <w:r w:rsidRPr="001126AB">
        <w:rPr>
          <w:b/>
          <w:sz w:val="20"/>
          <w:szCs w:val="20"/>
          <w:lang w:val="fr-CA"/>
        </w:rPr>
        <w:t>20</w:t>
      </w:r>
      <w:r w:rsidR="008859F1" w:rsidRPr="001126AB">
        <w:rPr>
          <w:b/>
          <w:sz w:val="20"/>
          <w:szCs w:val="20"/>
          <w:lang w:val="fr-CA"/>
        </w:rPr>
        <w:t>, 20</w:t>
      </w:r>
      <w:r w:rsidR="005967EF" w:rsidRPr="001126AB">
        <w:rPr>
          <w:b/>
          <w:sz w:val="20"/>
          <w:szCs w:val="20"/>
          <w:lang w:val="fr-CA"/>
        </w:rPr>
        <w:t>20</w:t>
      </w:r>
      <w:r w:rsidR="008859F1" w:rsidRPr="001126AB">
        <w:rPr>
          <w:b/>
          <w:sz w:val="20"/>
          <w:szCs w:val="20"/>
          <w:lang w:val="fr-CA"/>
        </w:rPr>
        <w:t xml:space="preserve"> / LE </w:t>
      </w:r>
      <w:r w:rsidRPr="001126AB">
        <w:rPr>
          <w:b/>
          <w:sz w:val="20"/>
          <w:szCs w:val="20"/>
          <w:lang w:val="fr-CA"/>
        </w:rPr>
        <w:t>20</w:t>
      </w:r>
      <w:r w:rsidR="008859F1" w:rsidRPr="001126AB">
        <w:rPr>
          <w:b/>
          <w:sz w:val="20"/>
          <w:szCs w:val="20"/>
          <w:lang w:val="fr-CA"/>
        </w:rPr>
        <w:t xml:space="preserve"> </w:t>
      </w:r>
      <w:r w:rsidRPr="001126AB">
        <w:rPr>
          <w:b/>
          <w:sz w:val="20"/>
          <w:szCs w:val="20"/>
          <w:lang w:val="fr-CA"/>
        </w:rPr>
        <w:t>NOVEMBRE</w:t>
      </w:r>
      <w:r w:rsidR="008859F1" w:rsidRPr="001126AB">
        <w:rPr>
          <w:b/>
          <w:sz w:val="20"/>
          <w:szCs w:val="20"/>
          <w:lang w:val="fr-CA"/>
        </w:rPr>
        <w:t xml:space="preserve"> 20</w:t>
      </w:r>
      <w:r w:rsidR="005967EF" w:rsidRPr="001126AB">
        <w:rPr>
          <w:b/>
          <w:sz w:val="20"/>
          <w:szCs w:val="20"/>
          <w:lang w:val="fr-CA"/>
        </w:rPr>
        <w:t>20</w:t>
      </w:r>
    </w:p>
    <w:p w:rsidR="00102792" w:rsidRPr="001126A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126AB" w:rsidTr="00691D1D">
        <w:tc>
          <w:tcPr>
            <w:tcW w:w="4410" w:type="dxa"/>
            <w:tcBorders>
              <w:top w:val="nil"/>
              <w:left w:val="nil"/>
              <w:bottom w:val="nil"/>
              <w:right w:val="nil"/>
            </w:tcBorders>
          </w:tcPr>
          <w:p w:rsidR="00D93A6C" w:rsidRPr="001126AB" w:rsidRDefault="00D93A6C" w:rsidP="00515A68">
            <w:pPr>
              <w:jc w:val="both"/>
              <w:rPr>
                <w:rFonts w:cs="Times New Roman"/>
                <w:b/>
                <w:bCs/>
                <w:sz w:val="20"/>
                <w:szCs w:val="20"/>
                <w:lang w:val="en-US"/>
              </w:rPr>
            </w:pPr>
            <w:r w:rsidRPr="001126AB">
              <w:rPr>
                <w:rFonts w:eastAsia="Times New Roman" w:cs="Times New Roman"/>
                <w:b/>
                <w:sz w:val="20"/>
                <w:szCs w:val="20"/>
                <w:lang w:val="en-US" w:eastAsia="en-CA"/>
              </w:rPr>
              <w:t xml:space="preserve">Motion </w:t>
            </w:r>
            <w:r w:rsidR="00515A68" w:rsidRPr="001126AB">
              <w:rPr>
                <w:rFonts w:eastAsia="Times New Roman" w:cs="Times New Roman"/>
                <w:b/>
                <w:sz w:val="20"/>
                <w:szCs w:val="20"/>
                <w:lang w:val="en-US" w:eastAsia="en-CA"/>
              </w:rPr>
              <w:t>f</w:t>
            </w:r>
            <w:r w:rsidRPr="001126AB">
              <w:rPr>
                <w:rFonts w:eastAsia="Times New Roman" w:cs="Times New Roman"/>
                <w:b/>
                <w:sz w:val="20"/>
                <w:szCs w:val="20"/>
                <w:lang w:val="en-US" w:eastAsia="en-CA"/>
              </w:rPr>
              <w:t>o</w:t>
            </w:r>
            <w:r w:rsidR="00515A68" w:rsidRPr="001126AB">
              <w:rPr>
                <w:rFonts w:eastAsia="Times New Roman" w:cs="Times New Roman"/>
                <w:b/>
                <w:sz w:val="20"/>
                <w:szCs w:val="20"/>
                <w:lang w:val="en-US" w:eastAsia="en-CA"/>
              </w:rPr>
              <w:t>r</w:t>
            </w:r>
            <w:r w:rsidRPr="001126AB">
              <w:rPr>
                <w:rFonts w:eastAsia="Times New Roman" w:cs="Times New Roman"/>
                <w:b/>
                <w:sz w:val="20"/>
                <w:szCs w:val="20"/>
                <w:lang w:val="en-US" w:eastAsia="en-CA"/>
              </w:rPr>
              <w:t xml:space="preserve"> </w:t>
            </w:r>
            <w:r w:rsidR="00515A68" w:rsidRPr="001126AB">
              <w:rPr>
                <w:rFonts w:eastAsia="Times New Roman" w:cs="Times New Roman"/>
                <w:b/>
                <w:sz w:val="20"/>
                <w:szCs w:val="20"/>
                <w:lang w:val="en-US" w:eastAsia="en-CA"/>
              </w:rPr>
              <w:t>leave to intervene</w:t>
            </w:r>
          </w:p>
        </w:tc>
        <w:tc>
          <w:tcPr>
            <w:tcW w:w="810" w:type="dxa"/>
            <w:tcBorders>
              <w:top w:val="nil"/>
              <w:left w:val="nil"/>
              <w:bottom w:val="nil"/>
              <w:right w:val="nil"/>
            </w:tcBorders>
          </w:tcPr>
          <w:p w:rsidR="00D93A6C" w:rsidRPr="001126A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126AB" w:rsidRDefault="00D93A6C" w:rsidP="00691D1D">
            <w:pPr>
              <w:jc w:val="both"/>
              <w:rPr>
                <w:rFonts w:cs="Times New Roman"/>
                <w:b/>
                <w:bCs/>
                <w:sz w:val="20"/>
                <w:szCs w:val="20"/>
                <w:lang w:val="fr-CA"/>
              </w:rPr>
            </w:pPr>
            <w:r w:rsidRPr="001126AB">
              <w:rPr>
                <w:rFonts w:eastAsia="Times New Roman" w:cs="Times New Roman"/>
                <w:b/>
                <w:sz w:val="20"/>
                <w:szCs w:val="20"/>
                <w:lang w:val="fr-CA" w:eastAsia="en-CA"/>
              </w:rPr>
              <w:t xml:space="preserve">Requête </w:t>
            </w:r>
            <w:r w:rsidR="00515A68" w:rsidRPr="001126AB">
              <w:rPr>
                <w:b/>
                <w:bCs/>
                <w:color w:val="000000"/>
                <w:sz w:val="20"/>
                <w:szCs w:val="20"/>
              </w:rPr>
              <w:t>en autorisation d'intervention</w:t>
            </w:r>
          </w:p>
        </w:tc>
      </w:tr>
    </w:tbl>
    <w:p w:rsidR="00D93A6C" w:rsidRPr="001126AB" w:rsidRDefault="00D93A6C" w:rsidP="00102792">
      <w:pPr>
        <w:tabs>
          <w:tab w:val="left" w:pos="-1440"/>
          <w:tab w:val="left" w:pos="-720"/>
        </w:tabs>
        <w:jc w:val="both"/>
        <w:rPr>
          <w:rFonts w:eastAsia="Times New Roman" w:cs="Times New Roman"/>
          <w:sz w:val="20"/>
          <w:szCs w:val="20"/>
          <w:lang w:val="fr-CA" w:eastAsia="en-CA"/>
        </w:rPr>
      </w:pPr>
    </w:p>
    <w:p w:rsidR="00D93A6C" w:rsidRPr="001126AB" w:rsidRDefault="00D93A6C" w:rsidP="00102792">
      <w:pPr>
        <w:tabs>
          <w:tab w:val="left" w:pos="-1440"/>
          <w:tab w:val="left" w:pos="-720"/>
        </w:tabs>
        <w:jc w:val="both"/>
        <w:rPr>
          <w:rFonts w:eastAsia="Times New Roman" w:cs="Times New Roman"/>
          <w:sz w:val="20"/>
          <w:szCs w:val="20"/>
          <w:lang w:val="fr-CA" w:eastAsia="en-CA"/>
        </w:rPr>
      </w:pPr>
    </w:p>
    <w:p w:rsidR="00515A68" w:rsidRPr="001126AB" w:rsidRDefault="00515A68" w:rsidP="00515A68">
      <w:pPr>
        <w:rPr>
          <w:rFonts w:cs="Times New Roman"/>
          <w:b/>
          <w:bCs/>
          <w:sz w:val="20"/>
          <w:szCs w:val="20"/>
        </w:rPr>
      </w:pPr>
      <w:r w:rsidRPr="001126AB">
        <w:rPr>
          <w:rFonts w:cs="Times New Roman"/>
          <w:b/>
          <w:bCs/>
          <w:sz w:val="20"/>
          <w:szCs w:val="20"/>
        </w:rPr>
        <w:t>HER MAJESTY THE QUEEN v. ANGUS FREDERICK WATERMAN</w:t>
      </w:r>
    </w:p>
    <w:p w:rsidR="00515A68" w:rsidRPr="001126AB" w:rsidRDefault="00515A68" w:rsidP="00515A68">
      <w:pPr>
        <w:rPr>
          <w:rFonts w:cs="Times New Roman"/>
          <w:bCs/>
          <w:sz w:val="20"/>
          <w:szCs w:val="20"/>
        </w:rPr>
      </w:pPr>
      <w:r w:rsidRPr="001126AB">
        <w:rPr>
          <w:rFonts w:cs="Times New Roman"/>
          <w:bCs/>
          <w:sz w:val="20"/>
          <w:szCs w:val="20"/>
        </w:rPr>
        <w:t>(N.L.) (39214)</w:t>
      </w:r>
    </w:p>
    <w:p w:rsidR="00515A68" w:rsidRPr="001126AB" w:rsidRDefault="00515A68" w:rsidP="00515A68">
      <w:pPr>
        <w:rPr>
          <w:rFonts w:cs="Times New Roman"/>
          <w:bCs/>
          <w:sz w:val="20"/>
          <w:szCs w:val="20"/>
        </w:rPr>
      </w:pPr>
    </w:p>
    <w:p w:rsidR="00515A68" w:rsidRPr="001126AB" w:rsidRDefault="00515A68" w:rsidP="00515A68">
      <w:pPr>
        <w:rPr>
          <w:rFonts w:cs="Times New Roman"/>
          <w:sz w:val="20"/>
          <w:szCs w:val="20"/>
        </w:rPr>
      </w:pPr>
      <w:r w:rsidRPr="001126AB">
        <w:rPr>
          <w:rFonts w:cs="Times New Roman"/>
          <w:b/>
          <w:bCs/>
          <w:sz w:val="20"/>
          <w:szCs w:val="20"/>
          <w:u w:val="single"/>
        </w:rPr>
        <w:t>ROWE J.</w:t>
      </w:r>
      <w:r w:rsidRPr="001126AB">
        <w:rPr>
          <w:rFonts w:cs="Times New Roman"/>
          <w:b/>
          <w:bCs/>
          <w:sz w:val="20"/>
          <w:szCs w:val="20"/>
        </w:rPr>
        <w:t>:</w:t>
      </w:r>
    </w:p>
    <w:p w:rsidR="00515A68" w:rsidRPr="001126AB" w:rsidRDefault="00515A68" w:rsidP="00515A68">
      <w:pPr>
        <w:rPr>
          <w:rFonts w:cs="Times New Roman"/>
          <w:sz w:val="20"/>
          <w:szCs w:val="20"/>
        </w:rPr>
      </w:pPr>
    </w:p>
    <w:p w:rsidR="00515A68" w:rsidRPr="001126AB" w:rsidRDefault="00515A68" w:rsidP="00515A68">
      <w:pPr>
        <w:rPr>
          <w:rFonts w:cs="Times New Roman"/>
          <w:sz w:val="20"/>
          <w:szCs w:val="20"/>
        </w:rPr>
      </w:pPr>
      <w:r w:rsidRPr="001126AB">
        <w:rPr>
          <w:rFonts w:cs="Times New Roman"/>
          <w:b/>
          <w:sz w:val="20"/>
          <w:szCs w:val="20"/>
        </w:rPr>
        <w:t xml:space="preserve">UPON APPLICATION </w:t>
      </w:r>
      <w:r w:rsidRPr="001126AB">
        <w:rPr>
          <w:rFonts w:cs="Times New Roman"/>
          <w:sz w:val="20"/>
          <w:szCs w:val="20"/>
        </w:rPr>
        <w:t xml:space="preserve">by the Criminal Lawyers’ Association (Ontario) </w:t>
      </w:r>
      <w:r w:rsidRPr="001126AB">
        <w:rPr>
          <w:rFonts w:cs="Times New Roman"/>
          <w:bCs/>
          <w:sz w:val="20"/>
          <w:szCs w:val="20"/>
        </w:rPr>
        <w:t>for leave to intervene in the above appeal and for an order extending the time to serve and file its motion for leave to intervene;</w:t>
      </w:r>
    </w:p>
    <w:p w:rsidR="00515A68" w:rsidRPr="001126AB" w:rsidRDefault="00515A68" w:rsidP="00515A68">
      <w:pPr>
        <w:rPr>
          <w:rFonts w:cs="Times New Roman"/>
          <w:sz w:val="20"/>
          <w:szCs w:val="20"/>
        </w:rPr>
      </w:pPr>
    </w:p>
    <w:p w:rsidR="00515A68" w:rsidRPr="001126AB" w:rsidRDefault="00515A68" w:rsidP="00515A68">
      <w:pPr>
        <w:rPr>
          <w:rFonts w:cs="Times New Roman"/>
          <w:sz w:val="20"/>
          <w:szCs w:val="20"/>
        </w:rPr>
      </w:pPr>
      <w:r w:rsidRPr="001126AB">
        <w:rPr>
          <w:rFonts w:cs="Times New Roman"/>
          <w:b/>
          <w:sz w:val="20"/>
          <w:szCs w:val="20"/>
        </w:rPr>
        <w:t>AND THE MATERIAL FILED</w:t>
      </w:r>
      <w:r w:rsidRPr="001126AB">
        <w:rPr>
          <w:rFonts w:cs="Times New Roman"/>
          <w:sz w:val="20"/>
          <w:szCs w:val="20"/>
        </w:rPr>
        <w:t xml:space="preserve"> having been read;</w:t>
      </w:r>
    </w:p>
    <w:p w:rsidR="00515A68" w:rsidRPr="001126AB" w:rsidRDefault="00515A68" w:rsidP="00515A68">
      <w:pPr>
        <w:rPr>
          <w:rFonts w:cs="Times New Roman"/>
          <w:sz w:val="20"/>
          <w:szCs w:val="20"/>
        </w:rPr>
      </w:pPr>
    </w:p>
    <w:p w:rsidR="00515A68" w:rsidRPr="001126AB" w:rsidRDefault="00515A68" w:rsidP="00515A68">
      <w:pPr>
        <w:rPr>
          <w:rFonts w:cs="Times New Roman"/>
          <w:b/>
          <w:sz w:val="20"/>
          <w:szCs w:val="20"/>
        </w:rPr>
      </w:pPr>
      <w:r w:rsidRPr="001126AB">
        <w:rPr>
          <w:rFonts w:cs="Times New Roman"/>
          <w:b/>
          <w:sz w:val="20"/>
          <w:szCs w:val="20"/>
        </w:rPr>
        <w:t>IT IS HEREBY ORDERED THAT:</w:t>
      </w:r>
    </w:p>
    <w:p w:rsidR="00515A68" w:rsidRPr="001126AB" w:rsidRDefault="00515A68" w:rsidP="00515A68">
      <w:pPr>
        <w:rPr>
          <w:rFonts w:cs="Times New Roman"/>
          <w:sz w:val="20"/>
          <w:szCs w:val="20"/>
        </w:rPr>
      </w:pPr>
    </w:p>
    <w:p w:rsidR="00515A68" w:rsidRPr="001126AB" w:rsidRDefault="00515A68" w:rsidP="00515A68">
      <w:pPr>
        <w:rPr>
          <w:rFonts w:cs="Times New Roman"/>
          <w:sz w:val="20"/>
          <w:szCs w:val="20"/>
        </w:rPr>
      </w:pPr>
      <w:r w:rsidRPr="001126AB">
        <w:rPr>
          <w:rFonts w:cs="Times New Roman"/>
          <w:sz w:val="20"/>
          <w:szCs w:val="20"/>
        </w:rPr>
        <w:t>The motion for an extension of time to serve and file the motion for leave to intervene is granted.</w:t>
      </w:r>
    </w:p>
    <w:p w:rsidR="00515A68" w:rsidRPr="001126AB" w:rsidRDefault="00515A68" w:rsidP="00515A68">
      <w:pPr>
        <w:rPr>
          <w:rFonts w:cs="Times New Roman"/>
          <w:sz w:val="20"/>
          <w:szCs w:val="20"/>
        </w:rPr>
      </w:pPr>
    </w:p>
    <w:p w:rsidR="00515A68" w:rsidRPr="001126AB" w:rsidRDefault="00515A68" w:rsidP="00515A68">
      <w:pPr>
        <w:rPr>
          <w:rFonts w:cs="Times New Roman"/>
          <w:sz w:val="20"/>
          <w:szCs w:val="20"/>
        </w:rPr>
      </w:pPr>
      <w:r w:rsidRPr="001126AB">
        <w:rPr>
          <w:rFonts w:cs="Times New Roman"/>
          <w:sz w:val="20"/>
          <w:szCs w:val="20"/>
        </w:rPr>
        <w:t>The motion for leave to intervene is granted and the said intervener</w:t>
      </w:r>
      <w:r w:rsidRPr="001126AB">
        <w:rPr>
          <w:rFonts w:cs="Times New Roman"/>
          <w:sz w:val="20"/>
          <w:szCs w:val="20"/>
          <w:lang w:eastAsia="fr-FR"/>
        </w:rPr>
        <w:t xml:space="preserve"> </w:t>
      </w:r>
      <w:r w:rsidRPr="001126AB">
        <w:rPr>
          <w:rFonts w:cs="Times New Roman"/>
          <w:sz w:val="20"/>
          <w:szCs w:val="20"/>
        </w:rPr>
        <w:t xml:space="preserve">shall be entitled to serve and file a factum not to exceed ten (10) pages in length on or before January 8, 2021. </w:t>
      </w:r>
    </w:p>
    <w:p w:rsidR="00515A68" w:rsidRPr="001126AB" w:rsidRDefault="00515A68" w:rsidP="00515A68">
      <w:pPr>
        <w:rPr>
          <w:rFonts w:cs="Times New Roman"/>
          <w:sz w:val="20"/>
          <w:szCs w:val="20"/>
        </w:rPr>
      </w:pPr>
    </w:p>
    <w:p w:rsidR="00515A68" w:rsidRPr="001126AB" w:rsidRDefault="00515A68" w:rsidP="00515A68">
      <w:pPr>
        <w:spacing w:line="228" w:lineRule="auto"/>
        <w:rPr>
          <w:rFonts w:cs="Times New Roman"/>
          <w:sz w:val="20"/>
          <w:szCs w:val="20"/>
        </w:rPr>
      </w:pPr>
      <w:r w:rsidRPr="001126AB">
        <w:rPr>
          <w:rFonts w:cs="Times New Roman"/>
          <w:sz w:val="20"/>
          <w:szCs w:val="20"/>
        </w:rPr>
        <w:t>The said intervener is granted permission to present oral argument not exceeding five (5) minutes at the hearing of the appeal.</w:t>
      </w:r>
    </w:p>
    <w:p w:rsidR="00515A68" w:rsidRPr="001126AB" w:rsidRDefault="00515A68" w:rsidP="00515A68">
      <w:pPr>
        <w:spacing w:line="228" w:lineRule="auto"/>
        <w:rPr>
          <w:rFonts w:cs="Times New Roman"/>
          <w:sz w:val="20"/>
          <w:szCs w:val="20"/>
        </w:rPr>
      </w:pPr>
    </w:p>
    <w:p w:rsidR="00515A68" w:rsidRPr="001126AB" w:rsidRDefault="00515A68" w:rsidP="00515A68">
      <w:pPr>
        <w:rPr>
          <w:rFonts w:cs="Times New Roman"/>
          <w:b/>
          <w:sz w:val="20"/>
          <w:szCs w:val="20"/>
        </w:rPr>
      </w:pPr>
      <w:r w:rsidRPr="001126AB">
        <w:rPr>
          <w:rFonts w:cs="Times New Roman"/>
          <w:b/>
          <w:sz w:val="20"/>
          <w:szCs w:val="20"/>
          <w:lang w:val="fr-CA"/>
        </w:rPr>
        <w:fldChar w:fldCharType="begin"/>
      </w:r>
      <w:r w:rsidRPr="001126AB">
        <w:rPr>
          <w:rFonts w:cs="Times New Roman"/>
          <w:b/>
          <w:sz w:val="20"/>
          <w:szCs w:val="20"/>
        </w:rPr>
        <w:instrText xml:space="preserve"> SEQ CHAPTER \h \r 1</w:instrText>
      </w:r>
      <w:r w:rsidRPr="001126AB">
        <w:rPr>
          <w:rFonts w:cs="Times New Roman"/>
          <w:b/>
          <w:sz w:val="20"/>
          <w:szCs w:val="20"/>
          <w:lang w:val="fr-CA"/>
        </w:rPr>
        <w:fldChar w:fldCharType="end"/>
      </w:r>
      <w:r w:rsidRPr="001126AB">
        <w:rPr>
          <w:rFonts w:cs="Times New Roman"/>
          <w:b/>
          <w:sz w:val="20"/>
          <w:szCs w:val="20"/>
        </w:rPr>
        <w:t xml:space="preserve">The intervener is not entitled to raise new issues or to adduce further evidence or otherwise to supplement the record of the parties. </w:t>
      </w:r>
    </w:p>
    <w:p w:rsidR="00515A68" w:rsidRPr="001126AB" w:rsidRDefault="00515A68" w:rsidP="00515A68">
      <w:pPr>
        <w:rPr>
          <w:rFonts w:cs="Times New Roman"/>
          <w:sz w:val="20"/>
          <w:szCs w:val="20"/>
        </w:rPr>
      </w:pPr>
    </w:p>
    <w:p w:rsidR="00515A68" w:rsidRPr="001126AB" w:rsidRDefault="00515A68" w:rsidP="00515A68">
      <w:pPr>
        <w:rPr>
          <w:rFonts w:cs="Times New Roman"/>
          <w:sz w:val="20"/>
          <w:szCs w:val="20"/>
        </w:rPr>
      </w:pPr>
      <w:r w:rsidRPr="001126AB">
        <w:rPr>
          <w:rFonts w:cs="Times New Roman"/>
          <w:sz w:val="20"/>
          <w:szCs w:val="20"/>
        </w:rPr>
        <w:t>Pursuant to Rule 59(1</w:t>
      </w:r>
      <w:proofErr w:type="gramStart"/>
      <w:r w:rsidRPr="001126AB">
        <w:rPr>
          <w:rFonts w:cs="Times New Roman"/>
          <w:sz w:val="20"/>
          <w:szCs w:val="20"/>
        </w:rPr>
        <w:t>)(</w:t>
      </w:r>
      <w:proofErr w:type="gramEnd"/>
      <w:r w:rsidRPr="001126AB">
        <w:rPr>
          <w:rFonts w:cs="Times New Roman"/>
          <w:i/>
          <w:iCs/>
          <w:sz w:val="20"/>
          <w:szCs w:val="20"/>
        </w:rPr>
        <w:t>a</w:t>
      </w:r>
      <w:r w:rsidRPr="001126AB">
        <w:rPr>
          <w:rFonts w:cs="Times New Roman"/>
          <w:sz w:val="20"/>
          <w:szCs w:val="20"/>
        </w:rPr>
        <w:t xml:space="preserve">) of the </w:t>
      </w:r>
      <w:r w:rsidRPr="001126AB">
        <w:rPr>
          <w:rFonts w:cs="Times New Roman"/>
          <w:i/>
          <w:iCs/>
          <w:sz w:val="20"/>
          <w:szCs w:val="20"/>
        </w:rPr>
        <w:t>Rules of the Supreme Court of Canada</w:t>
      </w:r>
      <w:r w:rsidRPr="001126AB">
        <w:rPr>
          <w:rFonts w:cs="Times New Roman"/>
          <w:sz w:val="20"/>
          <w:szCs w:val="20"/>
        </w:rPr>
        <w:t>, the intervener shall pay to the appellant and the respondent any additional disbursements resulting from its intervention.</w:t>
      </w:r>
    </w:p>
    <w:p w:rsidR="00102792" w:rsidRPr="001126AB" w:rsidRDefault="00102792" w:rsidP="00102792">
      <w:pPr>
        <w:spacing w:line="228" w:lineRule="auto"/>
        <w:rPr>
          <w:sz w:val="20"/>
        </w:rPr>
      </w:pPr>
    </w:p>
    <w:p w:rsidR="005967EF" w:rsidRPr="001126AB" w:rsidRDefault="005967EF" w:rsidP="00102792">
      <w:pPr>
        <w:spacing w:line="228" w:lineRule="auto"/>
        <w:rPr>
          <w:sz w:val="20"/>
          <w:szCs w:val="20"/>
        </w:rPr>
      </w:pPr>
    </w:p>
    <w:p w:rsidR="00AD52FC" w:rsidRPr="001126AB" w:rsidRDefault="00AD52FC" w:rsidP="00AD52FC">
      <w:pPr>
        <w:rPr>
          <w:rFonts w:cs="Times New Roman"/>
          <w:sz w:val="20"/>
          <w:szCs w:val="20"/>
          <w:lang w:val="fr-CA"/>
        </w:rPr>
      </w:pPr>
      <w:r w:rsidRPr="001126AB">
        <w:rPr>
          <w:rFonts w:cs="Times New Roman"/>
          <w:b/>
          <w:bCs/>
          <w:sz w:val="20"/>
          <w:szCs w:val="20"/>
          <w:lang w:val="fr-FR"/>
        </w:rPr>
        <w:t>À LA SUITE DE LA DEMANDE</w:t>
      </w:r>
      <w:r w:rsidRPr="001126AB">
        <w:rPr>
          <w:rFonts w:cs="Times New Roman"/>
          <w:bCs/>
          <w:sz w:val="20"/>
          <w:szCs w:val="20"/>
          <w:lang w:val="fr-FR"/>
        </w:rPr>
        <w:t xml:space="preserve"> présentée par la Criminal Lawyers’ Association (Ontario) en vue d’obtenir l’autorisation d’intervenir dans le présent appel et la prorogation</w:t>
      </w:r>
      <w:r w:rsidRPr="001126AB">
        <w:rPr>
          <w:rFonts w:cs="Times New Roman"/>
          <w:sz w:val="20"/>
          <w:szCs w:val="20"/>
          <w:lang w:val="fr-FR"/>
        </w:rPr>
        <w:t xml:space="preserve"> </w:t>
      </w:r>
      <w:r w:rsidRPr="001126AB">
        <w:rPr>
          <w:rFonts w:cs="Times New Roman"/>
          <w:bCs/>
          <w:sz w:val="20"/>
          <w:szCs w:val="20"/>
          <w:lang w:val="fr-FR"/>
        </w:rPr>
        <w:t>du délai pour signifier et déposer une requête en autorisation d’intervenir;</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b/>
          <w:sz w:val="20"/>
          <w:szCs w:val="20"/>
          <w:lang w:val="fr-FR"/>
        </w:rPr>
      </w:pPr>
      <w:r w:rsidRPr="001126AB">
        <w:rPr>
          <w:rFonts w:cs="Times New Roman"/>
          <w:b/>
          <w:bCs/>
          <w:sz w:val="20"/>
          <w:szCs w:val="20"/>
          <w:lang w:val="fr-FR"/>
        </w:rPr>
        <w:t>ET APRÈS EXAMEN</w:t>
      </w:r>
      <w:r w:rsidRPr="001126AB">
        <w:rPr>
          <w:rFonts w:cs="Times New Roman"/>
          <w:b/>
          <w:sz w:val="20"/>
          <w:szCs w:val="20"/>
          <w:lang w:val="fr-FR"/>
        </w:rPr>
        <w:t xml:space="preserve"> </w:t>
      </w:r>
      <w:r w:rsidRPr="001126AB">
        <w:rPr>
          <w:rFonts w:cs="Times New Roman"/>
          <w:sz w:val="20"/>
          <w:szCs w:val="20"/>
          <w:lang w:val="fr-FR"/>
        </w:rPr>
        <w:t>des documents déposés;</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b/>
          <w:sz w:val="20"/>
          <w:szCs w:val="20"/>
          <w:lang w:val="fr-CA"/>
        </w:rPr>
      </w:pPr>
      <w:r w:rsidRPr="001126AB">
        <w:rPr>
          <w:rFonts w:cs="Times New Roman"/>
          <w:b/>
          <w:sz w:val="20"/>
          <w:szCs w:val="20"/>
          <w:lang w:val="fr-CA"/>
        </w:rPr>
        <w:t>IL EST PAR LA PRÉSENTE ORDONNÉ CE QUI SUIT :</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sz w:val="20"/>
          <w:szCs w:val="20"/>
          <w:lang w:val="fr-FR"/>
        </w:rPr>
      </w:pPr>
      <w:r w:rsidRPr="001126AB">
        <w:rPr>
          <w:rFonts w:cs="Times New Roman"/>
          <w:sz w:val="20"/>
          <w:szCs w:val="20"/>
          <w:lang w:val="fr-FR"/>
        </w:rPr>
        <w:t>La requête en prorogation du délai pour signifier et déposer une requête en autorisation d’intervenir est accueillie.</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sz w:val="20"/>
          <w:szCs w:val="20"/>
          <w:lang w:val="fr-FR"/>
        </w:rPr>
      </w:pPr>
      <w:r w:rsidRPr="001126AB">
        <w:rPr>
          <w:rFonts w:cs="Times New Roman"/>
          <w:sz w:val="20"/>
          <w:szCs w:val="20"/>
          <w:lang w:val="fr-FR"/>
        </w:rPr>
        <w:t>La requête en autorisation d’intervenir est accueillie et cette intervenante peut signifier et déposer un mémoire d’au plus dix (10) pages au plus tard le 8 janvier 2021.</w:t>
      </w:r>
    </w:p>
    <w:p w:rsidR="00AD52FC" w:rsidRPr="001126AB" w:rsidRDefault="00AD52FC" w:rsidP="00AD52FC">
      <w:pPr>
        <w:rPr>
          <w:rFonts w:cs="Times New Roman"/>
          <w:sz w:val="20"/>
          <w:szCs w:val="20"/>
          <w:lang w:val="fr-CA"/>
        </w:rPr>
      </w:pPr>
    </w:p>
    <w:p w:rsidR="00AD52FC" w:rsidRPr="001126AB" w:rsidRDefault="00AD52FC" w:rsidP="00AD52FC">
      <w:pPr>
        <w:spacing w:line="228" w:lineRule="auto"/>
        <w:rPr>
          <w:rFonts w:cs="Times New Roman"/>
          <w:sz w:val="20"/>
          <w:szCs w:val="20"/>
          <w:lang w:val="fr-FR"/>
        </w:rPr>
      </w:pPr>
      <w:r w:rsidRPr="001126AB">
        <w:rPr>
          <w:rFonts w:cs="Times New Roman"/>
          <w:sz w:val="20"/>
          <w:szCs w:val="20"/>
          <w:lang w:val="fr-FR"/>
        </w:rPr>
        <w:t>Cette intervenante peut présenter une plaidoirie orale d’au plus cinq (5) minutes lors de l’audition de l’appel.</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b/>
          <w:bCs/>
          <w:sz w:val="20"/>
          <w:szCs w:val="20"/>
          <w:lang w:val="fr-FR"/>
        </w:rPr>
      </w:pPr>
      <w:r w:rsidRPr="001126AB">
        <w:rPr>
          <w:rFonts w:cs="Times New Roman"/>
          <w:b/>
          <w:bCs/>
          <w:sz w:val="20"/>
          <w:szCs w:val="20"/>
          <w:lang w:val="fr-FR"/>
        </w:rPr>
        <w:t>L’intervenante n’a pas le droit de soulever de nouvelles questions, de produire d’autres éléments de preuve, ni de compléter de quelque autre façon le dossier des parties.</w:t>
      </w:r>
    </w:p>
    <w:p w:rsidR="00AD52FC" w:rsidRPr="001126AB" w:rsidRDefault="00AD52FC" w:rsidP="00AD52FC">
      <w:pPr>
        <w:rPr>
          <w:rFonts w:cs="Times New Roman"/>
          <w:sz w:val="20"/>
          <w:szCs w:val="20"/>
          <w:lang w:val="fr-CA"/>
        </w:rPr>
      </w:pPr>
    </w:p>
    <w:p w:rsidR="00AD52FC" w:rsidRPr="001126AB" w:rsidRDefault="00AD52FC" w:rsidP="00AD52FC">
      <w:pPr>
        <w:rPr>
          <w:rFonts w:cs="Times New Roman"/>
          <w:sz w:val="20"/>
          <w:szCs w:val="20"/>
          <w:lang w:val="fr-FR"/>
        </w:rPr>
      </w:pPr>
      <w:r w:rsidRPr="001126AB">
        <w:rPr>
          <w:rFonts w:cs="Times New Roman"/>
          <w:sz w:val="20"/>
          <w:szCs w:val="20"/>
          <w:lang w:val="fr-FR"/>
        </w:rPr>
        <w:t>Conformément à l’alinéa 59(1)</w:t>
      </w:r>
      <w:r w:rsidRPr="001126AB">
        <w:rPr>
          <w:rFonts w:cs="Times New Roman"/>
          <w:i/>
          <w:iCs/>
          <w:sz w:val="20"/>
          <w:szCs w:val="20"/>
          <w:lang w:val="fr-FR"/>
        </w:rPr>
        <w:t>a</w:t>
      </w:r>
      <w:r w:rsidRPr="001126AB">
        <w:rPr>
          <w:rFonts w:cs="Times New Roman"/>
          <w:sz w:val="20"/>
          <w:szCs w:val="20"/>
          <w:lang w:val="fr-FR"/>
        </w:rPr>
        <w:t xml:space="preserve">) des </w:t>
      </w:r>
      <w:r w:rsidRPr="001126AB">
        <w:rPr>
          <w:rFonts w:cs="Times New Roman"/>
          <w:i/>
          <w:iCs/>
          <w:sz w:val="20"/>
          <w:szCs w:val="20"/>
          <w:lang w:val="fr-FR"/>
        </w:rPr>
        <w:t>Règles de la Cour suprême du Canada</w:t>
      </w:r>
      <w:r w:rsidRPr="001126AB">
        <w:rPr>
          <w:rFonts w:cs="Times New Roman"/>
          <w:sz w:val="20"/>
          <w:szCs w:val="20"/>
          <w:lang w:val="fr-FR"/>
        </w:rPr>
        <w:t>, l’intervenante paiera à l’appelante et à l’intimé tous débours supplémentaires résultant de son intervention.</w:t>
      </w:r>
    </w:p>
    <w:p w:rsidR="00515A68" w:rsidRPr="001126AB" w:rsidRDefault="00515A68" w:rsidP="00102792">
      <w:pPr>
        <w:spacing w:line="232" w:lineRule="auto"/>
        <w:rPr>
          <w:rFonts w:cs="Times New Roman"/>
          <w:sz w:val="20"/>
          <w:lang w:val="fr-CA"/>
        </w:rPr>
      </w:pPr>
    </w:p>
    <w:p w:rsidR="00102792" w:rsidRPr="001126AB" w:rsidRDefault="008F207C" w:rsidP="00AD52FC">
      <w:pPr>
        <w:widowControl w:val="0"/>
        <w:rPr>
          <w:rFonts w:eastAsia="Times New Roman" w:cs="Times New Roman"/>
          <w:sz w:val="20"/>
          <w:szCs w:val="20"/>
          <w:lang w:val="fr-CA" w:eastAsia="en-CA"/>
        </w:rPr>
      </w:pPr>
      <w:r w:rsidRPr="001126AB">
        <w:rPr>
          <w:rFonts w:eastAsia="Times New Roman" w:cs="Times New Roman"/>
          <w:sz w:val="20"/>
          <w:szCs w:val="20"/>
          <w:lang w:val="fr-CA" w:eastAsia="en-CA"/>
        </w:rPr>
        <w:pict>
          <v:rect id="_x0000_i1054" style="width:2in;height:1pt" o:hrpct="0" o:hralign="center" o:hrstd="t" o:hrnoshade="t" o:hr="t" fillcolor="black [3213]" stroked="f"/>
        </w:pict>
      </w:r>
    </w:p>
    <w:p w:rsidR="008859F1" w:rsidRPr="001126AB" w:rsidRDefault="00AE46A3" w:rsidP="008859F1">
      <w:pPr>
        <w:rPr>
          <w:b/>
          <w:sz w:val="20"/>
          <w:szCs w:val="20"/>
        </w:rPr>
      </w:pPr>
      <w:r w:rsidRPr="001126AB">
        <w:rPr>
          <w:b/>
          <w:sz w:val="20"/>
          <w:szCs w:val="20"/>
        </w:rPr>
        <w:lastRenderedPageBreak/>
        <w:t>NOVEMBER</w:t>
      </w:r>
      <w:r w:rsidR="008859F1" w:rsidRPr="001126AB">
        <w:rPr>
          <w:b/>
          <w:sz w:val="20"/>
          <w:szCs w:val="20"/>
        </w:rPr>
        <w:t xml:space="preserve"> </w:t>
      </w:r>
      <w:r w:rsidRPr="001126AB">
        <w:rPr>
          <w:b/>
          <w:sz w:val="20"/>
          <w:szCs w:val="20"/>
        </w:rPr>
        <w:t>23</w:t>
      </w:r>
      <w:r w:rsidR="008859F1" w:rsidRPr="001126AB">
        <w:rPr>
          <w:b/>
          <w:sz w:val="20"/>
          <w:szCs w:val="20"/>
        </w:rPr>
        <w:t>, 20</w:t>
      </w:r>
      <w:r w:rsidR="005967EF" w:rsidRPr="001126AB">
        <w:rPr>
          <w:b/>
          <w:sz w:val="20"/>
          <w:szCs w:val="20"/>
        </w:rPr>
        <w:t>20</w:t>
      </w:r>
      <w:r w:rsidR="008859F1" w:rsidRPr="001126AB">
        <w:rPr>
          <w:b/>
          <w:sz w:val="20"/>
          <w:szCs w:val="20"/>
        </w:rPr>
        <w:t xml:space="preserve"> / LE </w:t>
      </w:r>
      <w:r w:rsidRPr="001126AB">
        <w:rPr>
          <w:b/>
          <w:sz w:val="20"/>
          <w:szCs w:val="20"/>
        </w:rPr>
        <w:t>23</w:t>
      </w:r>
      <w:r w:rsidR="008859F1" w:rsidRPr="001126AB">
        <w:rPr>
          <w:b/>
          <w:sz w:val="20"/>
          <w:szCs w:val="20"/>
        </w:rPr>
        <w:t xml:space="preserve"> </w:t>
      </w:r>
      <w:r w:rsidRPr="001126AB">
        <w:rPr>
          <w:b/>
          <w:sz w:val="20"/>
          <w:szCs w:val="20"/>
        </w:rPr>
        <w:t>NOVEMBRE</w:t>
      </w:r>
      <w:r w:rsidR="008859F1" w:rsidRPr="001126AB">
        <w:rPr>
          <w:b/>
          <w:sz w:val="20"/>
          <w:szCs w:val="20"/>
        </w:rPr>
        <w:t xml:space="preserve"> 20</w:t>
      </w:r>
      <w:r w:rsidR="005967EF" w:rsidRPr="001126AB">
        <w:rPr>
          <w:b/>
          <w:sz w:val="20"/>
          <w:szCs w:val="20"/>
        </w:rPr>
        <w:t>20</w:t>
      </w:r>
    </w:p>
    <w:p w:rsidR="00102792" w:rsidRPr="001126AB"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1126AB" w:rsidTr="00691D1D">
        <w:tc>
          <w:tcPr>
            <w:tcW w:w="4410" w:type="dxa"/>
            <w:tcBorders>
              <w:top w:val="nil"/>
              <w:left w:val="nil"/>
              <w:bottom w:val="nil"/>
              <w:right w:val="nil"/>
            </w:tcBorders>
          </w:tcPr>
          <w:p w:rsidR="00D93A6C" w:rsidRPr="001126AB" w:rsidRDefault="00D93A6C" w:rsidP="00AE46A3">
            <w:pPr>
              <w:jc w:val="both"/>
              <w:rPr>
                <w:rFonts w:cs="Times New Roman"/>
                <w:b/>
                <w:bCs/>
                <w:sz w:val="20"/>
                <w:szCs w:val="20"/>
                <w:lang w:val="en-US"/>
              </w:rPr>
            </w:pPr>
            <w:r w:rsidRPr="001126AB">
              <w:rPr>
                <w:rFonts w:eastAsia="Times New Roman" w:cs="Times New Roman"/>
                <w:b/>
                <w:sz w:val="20"/>
                <w:szCs w:val="20"/>
                <w:lang w:val="en-US" w:eastAsia="en-CA"/>
              </w:rPr>
              <w:t xml:space="preserve">Motion to </w:t>
            </w:r>
            <w:r w:rsidR="00AE46A3" w:rsidRPr="001126AB">
              <w:rPr>
                <w:rFonts w:eastAsia="Times New Roman" w:cs="Times New Roman"/>
                <w:b/>
                <w:sz w:val="20"/>
                <w:szCs w:val="20"/>
                <w:lang w:val="en-US" w:eastAsia="en-CA"/>
              </w:rPr>
              <w:t>adduce new evidence</w:t>
            </w:r>
          </w:p>
        </w:tc>
        <w:tc>
          <w:tcPr>
            <w:tcW w:w="810" w:type="dxa"/>
            <w:tcBorders>
              <w:top w:val="nil"/>
              <w:left w:val="nil"/>
              <w:bottom w:val="nil"/>
              <w:right w:val="nil"/>
            </w:tcBorders>
          </w:tcPr>
          <w:p w:rsidR="00D93A6C" w:rsidRPr="001126A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126AB" w:rsidRDefault="00D93A6C" w:rsidP="00691D1D">
            <w:pPr>
              <w:jc w:val="both"/>
              <w:rPr>
                <w:rFonts w:cs="Times New Roman"/>
                <w:b/>
                <w:bCs/>
                <w:sz w:val="20"/>
                <w:szCs w:val="20"/>
                <w:lang w:val="fr-CA"/>
              </w:rPr>
            </w:pPr>
            <w:r w:rsidRPr="001126AB">
              <w:rPr>
                <w:rFonts w:eastAsia="Times New Roman" w:cs="Times New Roman"/>
                <w:b/>
                <w:sz w:val="20"/>
                <w:szCs w:val="20"/>
                <w:lang w:val="fr-CA" w:eastAsia="en-CA"/>
              </w:rPr>
              <w:t xml:space="preserve">Requête </w:t>
            </w:r>
            <w:r w:rsidR="00AE46A3" w:rsidRPr="001126AB">
              <w:rPr>
                <w:rFonts w:eastAsia="Times New Roman" w:cs="Times New Roman"/>
                <w:b/>
                <w:sz w:val="20"/>
                <w:szCs w:val="20"/>
                <w:lang w:val="fr-CA" w:eastAsia="en-CA"/>
              </w:rPr>
              <w:t>pour déposer de nouveaux éléments de preuve</w:t>
            </w:r>
          </w:p>
        </w:tc>
      </w:tr>
    </w:tbl>
    <w:p w:rsidR="00102792" w:rsidRPr="001126AB" w:rsidRDefault="00102792" w:rsidP="00102792">
      <w:pPr>
        <w:spacing w:line="232" w:lineRule="auto"/>
        <w:jc w:val="both"/>
        <w:rPr>
          <w:rFonts w:cs="Times New Roman"/>
          <w:sz w:val="20"/>
          <w:szCs w:val="24"/>
          <w:lang w:val="fr-CA"/>
        </w:rPr>
      </w:pPr>
    </w:p>
    <w:p w:rsidR="00E06F20" w:rsidRPr="001126AB" w:rsidRDefault="00E06F20" w:rsidP="00102792">
      <w:pPr>
        <w:spacing w:line="232" w:lineRule="auto"/>
        <w:jc w:val="both"/>
        <w:rPr>
          <w:rFonts w:cs="Times New Roman"/>
          <w:sz w:val="20"/>
          <w:szCs w:val="24"/>
          <w:lang w:val="fr-CA"/>
        </w:rPr>
      </w:pPr>
    </w:p>
    <w:p w:rsidR="00AE46A3" w:rsidRPr="001126AB" w:rsidRDefault="00AE46A3" w:rsidP="00AE46A3">
      <w:pPr>
        <w:rPr>
          <w:rFonts w:cs="Times New Roman"/>
          <w:b/>
          <w:bCs/>
          <w:sz w:val="20"/>
          <w:szCs w:val="20"/>
        </w:rPr>
      </w:pPr>
      <w:r w:rsidRPr="001126AB">
        <w:rPr>
          <w:rFonts w:cs="Times New Roman"/>
          <w:b/>
          <w:bCs/>
          <w:sz w:val="20"/>
          <w:szCs w:val="20"/>
        </w:rPr>
        <w:t xml:space="preserve">HER MAJESTY THE QUEEN IN RIGHT OF CANADA v. </w:t>
      </w:r>
      <w:r w:rsidRPr="001126AB">
        <w:rPr>
          <w:rFonts w:cs="Times New Roman"/>
          <w:b/>
          <w:bCs/>
          <w:caps/>
          <w:sz w:val="20"/>
          <w:szCs w:val="20"/>
        </w:rPr>
        <w:t>Canada North Group Inc., Canada North Camps Inc., Campcorp Structures Ltd., DJ Catering Ltd., 816956 Alberta Ltd., 1371047 Alberta Ltd., 1919209 Alberta Ltd., Ernst &amp; Young Inc. in its capacity as Monitor and Business Development Bank of Canada</w:t>
      </w:r>
    </w:p>
    <w:p w:rsidR="00AE46A3" w:rsidRPr="001126AB" w:rsidRDefault="00AE46A3" w:rsidP="00AE46A3">
      <w:pPr>
        <w:rPr>
          <w:rFonts w:cs="Times New Roman"/>
          <w:bCs/>
          <w:sz w:val="20"/>
          <w:szCs w:val="20"/>
        </w:rPr>
      </w:pPr>
      <w:r w:rsidRPr="001126AB">
        <w:rPr>
          <w:rFonts w:cs="Times New Roman"/>
          <w:bCs/>
          <w:sz w:val="20"/>
          <w:szCs w:val="20"/>
        </w:rPr>
        <w:t>(Alta.) (38871)</w:t>
      </w:r>
    </w:p>
    <w:p w:rsidR="00AE46A3" w:rsidRPr="001126AB" w:rsidRDefault="00AE46A3" w:rsidP="00AE46A3">
      <w:pPr>
        <w:rPr>
          <w:rFonts w:cs="Times New Roman"/>
          <w:sz w:val="20"/>
          <w:szCs w:val="20"/>
        </w:rPr>
      </w:pPr>
    </w:p>
    <w:p w:rsidR="00AE46A3" w:rsidRPr="001126AB" w:rsidRDefault="00AE46A3" w:rsidP="00AE46A3">
      <w:pPr>
        <w:rPr>
          <w:rFonts w:cs="Times New Roman"/>
          <w:sz w:val="20"/>
          <w:szCs w:val="20"/>
        </w:rPr>
      </w:pPr>
      <w:r w:rsidRPr="001126AB">
        <w:rPr>
          <w:rFonts w:cs="Times New Roman"/>
          <w:b/>
          <w:bCs/>
          <w:sz w:val="20"/>
          <w:szCs w:val="20"/>
          <w:u w:val="single"/>
        </w:rPr>
        <w:t>ROWE J.</w:t>
      </w:r>
      <w:r w:rsidRPr="001126AB">
        <w:rPr>
          <w:rFonts w:cs="Times New Roman"/>
          <w:b/>
          <w:bCs/>
          <w:sz w:val="20"/>
          <w:szCs w:val="20"/>
        </w:rPr>
        <w:t>:</w:t>
      </w:r>
    </w:p>
    <w:p w:rsidR="00AE46A3" w:rsidRPr="001126AB" w:rsidRDefault="00AE46A3" w:rsidP="00AE46A3">
      <w:pPr>
        <w:rPr>
          <w:rFonts w:cs="Times New Roman"/>
          <w:sz w:val="20"/>
          <w:szCs w:val="20"/>
        </w:rPr>
      </w:pPr>
    </w:p>
    <w:p w:rsidR="00AE46A3" w:rsidRPr="001126AB" w:rsidRDefault="00AE46A3" w:rsidP="00AE46A3">
      <w:pPr>
        <w:rPr>
          <w:rFonts w:cs="Times New Roman"/>
          <w:sz w:val="20"/>
          <w:szCs w:val="20"/>
        </w:rPr>
      </w:pPr>
      <w:r w:rsidRPr="001126AB">
        <w:rPr>
          <w:rFonts w:cs="Times New Roman"/>
          <w:b/>
          <w:bCs/>
          <w:sz w:val="20"/>
          <w:szCs w:val="20"/>
        </w:rPr>
        <w:t xml:space="preserve">UPON APPLICATION </w:t>
      </w:r>
      <w:r w:rsidRPr="001126AB">
        <w:rPr>
          <w:rFonts w:cs="Times New Roman"/>
          <w:sz w:val="20"/>
          <w:szCs w:val="20"/>
        </w:rPr>
        <w:t>by the appellant for an order to adduce new evidence;</w:t>
      </w:r>
    </w:p>
    <w:p w:rsidR="00AE46A3" w:rsidRPr="001126AB" w:rsidRDefault="00AE46A3" w:rsidP="00AE46A3">
      <w:pPr>
        <w:spacing w:line="233" w:lineRule="auto"/>
        <w:rPr>
          <w:rFonts w:cs="Times New Roman"/>
          <w:sz w:val="20"/>
          <w:szCs w:val="20"/>
        </w:rPr>
      </w:pPr>
    </w:p>
    <w:p w:rsidR="00AE46A3" w:rsidRPr="001126AB" w:rsidRDefault="00AE46A3" w:rsidP="00AE46A3">
      <w:pPr>
        <w:spacing w:line="233" w:lineRule="auto"/>
        <w:rPr>
          <w:rFonts w:cs="Times New Roman"/>
          <w:sz w:val="20"/>
          <w:szCs w:val="20"/>
        </w:rPr>
      </w:pPr>
      <w:r w:rsidRPr="001126AB">
        <w:rPr>
          <w:rFonts w:cs="Times New Roman"/>
          <w:b/>
          <w:bCs/>
          <w:sz w:val="20"/>
          <w:szCs w:val="20"/>
        </w:rPr>
        <w:t>AND THE MATERIAL FILED</w:t>
      </w:r>
      <w:r w:rsidRPr="001126AB">
        <w:rPr>
          <w:rFonts w:cs="Times New Roman"/>
          <w:sz w:val="20"/>
          <w:szCs w:val="20"/>
        </w:rPr>
        <w:t xml:space="preserve"> having been read;</w:t>
      </w:r>
    </w:p>
    <w:p w:rsidR="00AE46A3" w:rsidRPr="001126AB" w:rsidRDefault="00AE46A3" w:rsidP="00AE46A3">
      <w:pPr>
        <w:spacing w:line="233" w:lineRule="auto"/>
        <w:rPr>
          <w:rFonts w:cs="Times New Roman"/>
          <w:sz w:val="20"/>
          <w:szCs w:val="20"/>
        </w:rPr>
      </w:pPr>
    </w:p>
    <w:p w:rsidR="00AE46A3" w:rsidRPr="001126AB" w:rsidRDefault="00AE46A3" w:rsidP="00AE46A3">
      <w:pPr>
        <w:spacing w:line="233" w:lineRule="auto"/>
        <w:rPr>
          <w:rFonts w:cs="Times New Roman"/>
          <w:b/>
          <w:bCs/>
          <w:sz w:val="20"/>
          <w:szCs w:val="20"/>
        </w:rPr>
      </w:pPr>
      <w:r w:rsidRPr="001126AB">
        <w:rPr>
          <w:rFonts w:cs="Times New Roman"/>
          <w:b/>
          <w:bCs/>
          <w:sz w:val="20"/>
          <w:szCs w:val="20"/>
        </w:rPr>
        <w:t>IT IS HEREBY ORDERED THAT:</w:t>
      </w:r>
    </w:p>
    <w:p w:rsidR="00AE46A3" w:rsidRPr="001126AB" w:rsidRDefault="00AE46A3" w:rsidP="00AE46A3">
      <w:pPr>
        <w:spacing w:line="233" w:lineRule="auto"/>
        <w:rPr>
          <w:rFonts w:cs="Times New Roman"/>
          <w:sz w:val="20"/>
          <w:szCs w:val="20"/>
        </w:rPr>
      </w:pPr>
    </w:p>
    <w:p w:rsidR="00AE46A3" w:rsidRPr="001126AB" w:rsidRDefault="00AE46A3" w:rsidP="00AE46A3">
      <w:pPr>
        <w:tabs>
          <w:tab w:val="left" w:pos="540"/>
        </w:tabs>
        <w:rPr>
          <w:rFonts w:cs="Times New Roman"/>
          <w:sz w:val="20"/>
          <w:szCs w:val="20"/>
        </w:rPr>
      </w:pPr>
      <w:r w:rsidRPr="001126AB">
        <w:rPr>
          <w:rFonts w:cs="Times New Roman"/>
          <w:sz w:val="20"/>
          <w:szCs w:val="20"/>
        </w:rPr>
        <w:t xml:space="preserve">The motion is dismissed with costs to the respondents, Ernst &amp; Young Inc. in its capacity as Monitor and Business Development Bank of Canada, in accordance with the Tariff of fees and disbursements set out in Schedule B of the </w:t>
      </w:r>
      <w:r w:rsidRPr="001126AB">
        <w:rPr>
          <w:rFonts w:cs="Times New Roman"/>
          <w:i/>
          <w:sz w:val="20"/>
          <w:szCs w:val="20"/>
        </w:rPr>
        <w:t>Rules of the Supreme Court of Canada</w:t>
      </w:r>
      <w:r w:rsidRPr="001126AB">
        <w:rPr>
          <w:rFonts w:cs="Times New Roman"/>
          <w:sz w:val="20"/>
          <w:szCs w:val="20"/>
        </w:rPr>
        <w:t>.</w:t>
      </w:r>
    </w:p>
    <w:p w:rsidR="00102792" w:rsidRPr="001126AB" w:rsidRDefault="00102792" w:rsidP="00102792">
      <w:pPr>
        <w:spacing w:line="232" w:lineRule="auto"/>
        <w:rPr>
          <w:rFonts w:cs="Times New Roman"/>
          <w:sz w:val="20"/>
          <w:szCs w:val="24"/>
        </w:rPr>
      </w:pPr>
    </w:p>
    <w:p w:rsidR="005967EF" w:rsidRPr="001126AB" w:rsidRDefault="005967EF" w:rsidP="00102792">
      <w:pPr>
        <w:spacing w:line="232" w:lineRule="auto"/>
        <w:rPr>
          <w:rFonts w:cs="Times New Roman"/>
          <w:sz w:val="20"/>
          <w:szCs w:val="24"/>
          <w:lang w:val="en-US"/>
        </w:rPr>
      </w:pPr>
    </w:p>
    <w:p w:rsidR="00AD52FC" w:rsidRPr="001126AB" w:rsidRDefault="00AD52FC" w:rsidP="00AD52FC">
      <w:pPr>
        <w:rPr>
          <w:rFonts w:cs="Times New Roman"/>
          <w:sz w:val="20"/>
          <w:szCs w:val="20"/>
          <w:lang w:val="fr-CA"/>
        </w:rPr>
      </w:pPr>
      <w:r w:rsidRPr="001126AB">
        <w:rPr>
          <w:rFonts w:cs="Times New Roman"/>
          <w:b/>
          <w:bCs/>
          <w:sz w:val="20"/>
          <w:szCs w:val="20"/>
          <w:lang w:val="fr-CA"/>
        </w:rPr>
        <w:t xml:space="preserve">À LA SUITE DE LA DEMANDE </w:t>
      </w:r>
      <w:r w:rsidRPr="001126AB">
        <w:rPr>
          <w:rFonts w:cs="Times New Roman"/>
          <w:bCs/>
          <w:sz w:val="20"/>
          <w:szCs w:val="20"/>
          <w:lang w:val="fr-CA"/>
        </w:rPr>
        <w:t>présentée par</w:t>
      </w:r>
      <w:r w:rsidRPr="001126AB">
        <w:rPr>
          <w:rFonts w:cs="Times New Roman"/>
          <w:b/>
          <w:bCs/>
          <w:sz w:val="20"/>
          <w:szCs w:val="20"/>
          <w:lang w:val="fr-CA"/>
        </w:rPr>
        <w:t xml:space="preserve"> </w:t>
      </w:r>
      <w:r w:rsidRPr="001126AB">
        <w:rPr>
          <w:rFonts w:cs="Times New Roman"/>
          <w:sz w:val="20"/>
          <w:szCs w:val="20"/>
          <w:lang w:val="fr-CA"/>
        </w:rPr>
        <w:t>l’appelante en autorisation de présenter de nouveaux éléments de preuve;</w:t>
      </w:r>
    </w:p>
    <w:p w:rsidR="00AD52FC" w:rsidRPr="001126AB" w:rsidRDefault="00AD52FC" w:rsidP="00AD52FC">
      <w:pPr>
        <w:spacing w:line="233" w:lineRule="auto"/>
        <w:rPr>
          <w:rFonts w:cs="Times New Roman"/>
          <w:sz w:val="20"/>
          <w:szCs w:val="20"/>
          <w:lang w:val="fr-CA"/>
        </w:rPr>
      </w:pPr>
    </w:p>
    <w:p w:rsidR="00AD52FC" w:rsidRPr="001126AB" w:rsidRDefault="00AD52FC" w:rsidP="00AD52FC">
      <w:pPr>
        <w:spacing w:line="233" w:lineRule="auto"/>
        <w:rPr>
          <w:rFonts w:cs="Times New Roman"/>
          <w:b/>
          <w:bCs/>
          <w:sz w:val="20"/>
          <w:szCs w:val="20"/>
          <w:lang w:val="fr-CA"/>
        </w:rPr>
      </w:pPr>
      <w:r w:rsidRPr="001126AB">
        <w:rPr>
          <w:rFonts w:cs="Times New Roman"/>
          <w:b/>
          <w:bCs/>
          <w:sz w:val="20"/>
          <w:szCs w:val="20"/>
          <w:lang w:val="fr-CA"/>
        </w:rPr>
        <w:t xml:space="preserve">ET APRÈS EXAMEN </w:t>
      </w:r>
      <w:r w:rsidRPr="001126AB">
        <w:rPr>
          <w:rFonts w:cs="Times New Roman"/>
          <w:bCs/>
          <w:sz w:val="20"/>
          <w:szCs w:val="20"/>
          <w:lang w:val="fr-CA"/>
        </w:rPr>
        <w:t>des documents déposés;</w:t>
      </w:r>
    </w:p>
    <w:p w:rsidR="00AD52FC" w:rsidRPr="001126AB" w:rsidRDefault="00AD52FC" w:rsidP="00AD52FC">
      <w:pPr>
        <w:spacing w:line="233" w:lineRule="auto"/>
        <w:rPr>
          <w:rFonts w:cs="Times New Roman"/>
          <w:b/>
          <w:bCs/>
          <w:sz w:val="20"/>
          <w:szCs w:val="20"/>
          <w:lang w:val="fr-CA"/>
        </w:rPr>
      </w:pPr>
    </w:p>
    <w:p w:rsidR="00AD52FC" w:rsidRPr="001126AB" w:rsidRDefault="00AD52FC" w:rsidP="00AD52FC">
      <w:pPr>
        <w:spacing w:line="233" w:lineRule="auto"/>
        <w:rPr>
          <w:rFonts w:cs="Times New Roman"/>
          <w:b/>
          <w:bCs/>
          <w:sz w:val="20"/>
          <w:szCs w:val="20"/>
          <w:lang w:val="fr-CA"/>
        </w:rPr>
      </w:pPr>
      <w:r w:rsidRPr="001126AB">
        <w:rPr>
          <w:rFonts w:cs="Times New Roman"/>
          <w:b/>
          <w:bCs/>
          <w:sz w:val="20"/>
          <w:szCs w:val="20"/>
          <w:lang w:val="fr-CA"/>
        </w:rPr>
        <w:t>IL EST PAR LA PRÉSENTE ORDONNÉ CE QUI SUIT :</w:t>
      </w:r>
    </w:p>
    <w:p w:rsidR="00AD52FC" w:rsidRPr="001126AB" w:rsidRDefault="00AD52FC" w:rsidP="00AD52FC">
      <w:pPr>
        <w:spacing w:line="233" w:lineRule="auto"/>
        <w:rPr>
          <w:rFonts w:cs="Times New Roman"/>
          <w:sz w:val="20"/>
          <w:szCs w:val="20"/>
          <w:lang w:val="fr-CA"/>
        </w:rPr>
      </w:pPr>
    </w:p>
    <w:p w:rsidR="00AD52FC" w:rsidRPr="001126AB" w:rsidRDefault="00AD52FC" w:rsidP="00AD52FC">
      <w:pPr>
        <w:tabs>
          <w:tab w:val="left" w:pos="540"/>
        </w:tabs>
        <w:rPr>
          <w:rFonts w:cs="Times New Roman"/>
          <w:sz w:val="20"/>
          <w:szCs w:val="20"/>
          <w:lang w:val="fr-CA"/>
        </w:rPr>
      </w:pPr>
      <w:r w:rsidRPr="001126AB">
        <w:rPr>
          <w:rFonts w:cs="Times New Roman"/>
          <w:sz w:val="20"/>
          <w:szCs w:val="20"/>
          <w:lang w:val="fr-CA"/>
        </w:rPr>
        <w:t xml:space="preserve">La requête est rejetée avec dépens en faveur des intimées, Ernst &amp; Young Inc. en sa qualité de contrôleur et Banque de développement du Canada, conformément au tarif des honoraires et débours établi à l’Annexe B des </w:t>
      </w:r>
      <w:r w:rsidRPr="001126AB">
        <w:rPr>
          <w:rFonts w:cs="Times New Roman"/>
          <w:i/>
          <w:iCs/>
          <w:sz w:val="20"/>
          <w:szCs w:val="20"/>
          <w:lang w:val="fr-CA"/>
        </w:rPr>
        <w:t>Règles de la Cour suprême du Canada</w:t>
      </w:r>
      <w:r w:rsidRPr="001126AB">
        <w:rPr>
          <w:rFonts w:cs="Times New Roman"/>
          <w:sz w:val="20"/>
          <w:szCs w:val="20"/>
          <w:lang w:val="fr-CA"/>
        </w:rPr>
        <w:t>.</w:t>
      </w:r>
    </w:p>
    <w:p w:rsidR="00AE46A3" w:rsidRPr="001126AB" w:rsidRDefault="00AE46A3" w:rsidP="00102792">
      <w:pPr>
        <w:widowControl w:val="0"/>
        <w:rPr>
          <w:rFonts w:eastAsia="Times New Roman" w:cs="Times New Roman"/>
          <w:sz w:val="20"/>
          <w:szCs w:val="20"/>
          <w:lang w:val="fr-CA" w:eastAsia="en-CA"/>
        </w:rPr>
      </w:pPr>
    </w:p>
    <w:p w:rsidR="00CA2DEA" w:rsidRPr="001126AB" w:rsidRDefault="008F207C" w:rsidP="00102792">
      <w:pPr>
        <w:widowControl w:val="0"/>
        <w:rPr>
          <w:rFonts w:eastAsia="Times New Roman" w:cs="Times New Roman"/>
          <w:sz w:val="20"/>
          <w:szCs w:val="20"/>
          <w:lang w:val="en-US" w:eastAsia="en-CA"/>
        </w:rPr>
      </w:pPr>
      <w:r w:rsidRPr="001126AB">
        <w:rPr>
          <w:rFonts w:eastAsia="Times New Roman" w:cs="Times New Roman"/>
          <w:sz w:val="20"/>
          <w:szCs w:val="20"/>
          <w:lang w:val="fr-CA" w:eastAsia="en-CA"/>
        </w:rPr>
        <w:pict>
          <v:rect id="_x0000_i1055" style="width:2in;height:1pt" o:hrpct="0" o:hralign="center" o:hrstd="t" o:hrnoshade="t" o:hr="t" fillcolor="black [3213]" stroked="f"/>
        </w:pict>
      </w:r>
    </w:p>
    <w:p w:rsidR="00CA2DEA" w:rsidRPr="001126AB" w:rsidRDefault="00CA2DEA" w:rsidP="00CA2DEA">
      <w:pPr>
        <w:widowControl w:val="0"/>
        <w:rPr>
          <w:rFonts w:eastAsia="Times New Roman" w:cs="Times New Roman"/>
          <w:sz w:val="20"/>
          <w:szCs w:val="20"/>
          <w:lang w:val="en-US" w:eastAsia="en-CA"/>
        </w:rPr>
      </w:pPr>
    </w:p>
    <w:p w:rsidR="00CA2DEA" w:rsidRPr="001126AB" w:rsidRDefault="00CA2DEA" w:rsidP="0010587F">
      <w:pPr>
        <w:tabs>
          <w:tab w:val="left" w:pos="-1440"/>
          <w:tab w:val="left" w:pos="-720"/>
        </w:tabs>
        <w:jc w:val="both"/>
        <w:rPr>
          <w:sz w:val="20"/>
          <w:szCs w:val="20"/>
          <w:lang w:val="fr-CA"/>
        </w:rPr>
      </w:pPr>
    </w:p>
    <w:p w:rsidR="00890FEB" w:rsidRPr="001126AB" w:rsidRDefault="00890FEB" w:rsidP="00831CA9">
      <w:pPr>
        <w:jc w:val="both"/>
        <w:rPr>
          <w:sz w:val="20"/>
          <w:szCs w:val="20"/>
          <w:lang w:val="fr-CA"/>
        </w:rPr>
      </w:pPr>
    </w:p>
    <w:p w:rsidR="00831CA9" w:rsidRPr="001126AB" w:rsidRDefault="00831CA9" w:rsidP="00831CA9">
      <w:pPr>
        <w:jc w:val="both"/>
        <w:rPr>
          <w:sz w:val="20"/>
          <w:szCs w:val="20"/>
          <w:lang w:val="fr-CA"/>
        </w:rPr>
        <w:sectPr w:rsidR="00831CA9" w:rsidRPr="001126AB"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1126AB" w:rsidRDefault="001434B9" w:rsidP="00567602">
      <w:pPr>
        <w:pStyle w:val="Header1StyleE"/>
        <w:pBdr>
          <w:bottom w:val="single" w:sz="12" w:space="1" w:color="auto"/>
        </w:pBdr>
        <w:rPr>
          <w:sz w:val="20"/>
          <w:lang w:val="en-US"/>
        </w:rPr>
      </w:pPr>
      <w:bookmarkStart w:id="6" w:name="_Toc57270712"/>
      <w:r w:rsidRPr="001126AB">
        <w:lastRenderedPageBreak/>
        <w:t>Notices of appeal filed since the last issue</w:t>
      </w:r>
      <w:r w:rsidR="00271E1E" w:rsidRPr="001126AB">
        <w:t xml:space="preserve"> / </w:t>
      </w:r>
      <w:r w:rsidR="00567602" w:rsidRPr="001126AB">
        <w:br/>
      </w:r>
      <w:r w:rsidRPr="001126AB">
        <w:rPr>
          <w:lang w:val="fr-CA"/>
        </w:rPr>
        <w:t>Avis d’appel déposés depuis la dernière parution</w:t>
      </w:r>
      <w:bookmarkEnd w:id="6"/>
    </w:p>
    <w:p w:rsidR="00FB1DB6" w:rsidRPr="001126A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126AB" w:rsidTr="005F1ED8">
        <w:trPr>
          <w:cantSplit/>
        </w:trPr>
        <w:tc>
          <w:tcPr>
            <w:tcW w:w="2206" w:type="pct"/>
            <w:tcMar>
              <w:left w:w="0" w:type="dxa"/>
              <w:right w:w="0" w:type="dxa"/>
            </w:tcMar>
          </w:tcPr>
          <w:p w:rsidR="0086340B" w:rsidRPr="001126AB" w:rsidRDefault="00E40B04" w:rsidP="005F1ED8">
            <w:pPr>
              <w:rPr>
                <w:sz w:val="20"/>
                <w:szCs w:val="20"/>
              </w:rPr>
            </w:pPr>
            <w:r w:rsidRPr="001126AB">
              <w:rPr>
                <w:sz w:val="20"/>
                <w:szCs w:val="20"/>
              </w:rPr>
              <w:t>November 16,</w:t>
            </w:r>
            <w:r w:rsidR="008859F1" w:rsidRPr="001126AB">
              <w:rPr>
                <w:sz w:val="20"/>
                <w:szCs w:val="20"/>
              </w:rPr>
              <w:t xml:space="preserve"> 20</w:t>
            </w:r>
            <w:r w:rsidR="005967EF" w:rsidRPr="001126AB">
              <w:rPr>
                <w:sz w:val="20"/>
                <w:szCs w:val="20"/>
              </w:rPr>
              <w:t>20</w:t>
            </w:r>
          </w:p>
          <w:p w:rsidR="0034657E" w:rsidRPr="001126AB" w:rsidRDefault="0034657E" w:rsidP="005F1ED8">
            <w:pPr>
              <w:rPr>
                <w:sz w:val="20"/>
                <w:szCs w:val="20"/>
              </w:rPr>
            </w:pPr>
          </w:p>
          <w:p w:rsidR="0086340B" w:rsidRPr="001126AB" w:rsidRDefault="00E40B04" w:rsidP="005F1ED8">
            <w:pPr>
              <w:rPr>
                <w:b/>
                <w:sz w:val="20"/>
                <w:szCs w:val="20"/>
              </w:rPr>
            </w:pPr>
            <w:r w:rsidRPr="001126AB">
              <w:rPr>
                <w:b/>
                <w:sz w:val="20"/>
                <w:szCs w:val="20"/>
              </w:rPr>
              <w:t>York University, et al.</w:t>
            </w:r>
          </w:p>
          <w:p w:rsidR="0086340B" w:rsidRPr="001126AB" w:rsidRDefault="0086340B" w:rsidP="005F1ED8">
            <w:pPr>
              <w:rPr>
                <w:sz w:val="20"/>
                <w:szCs w:val="20"/>
              </w:rPr>
            </w:pPr>
          </w:p>
          <w:p w:rsidR="0086340B" w:rsidRPr="001126AB" w:rsidRDefault="0086340B" w:rsidP="005F1ED8">
            <w:pPr>
              <w:rPr>
                <w:b/>
                <w:sz w:val="20"/>
                <w:szCs w:val="20"/>
              </w:rPr>
            </w:pPr>
            <w:r w:rsidRPr="001126AB">
              <w:rPr>
                <w:b/>
                <w:sz w:val="20"/>
                <w:szCs w:val="20"/>
              </w:rPr>
              <w:tab/>
              <w:t>v. (392</w:t>
            </w:r>
            <w:r w:rsidR="00E40B04" w:rsidRPr="001126AB">
              <w:rPr>
                <w:b/>
                <w:sz w:val="20"/>
                <w:szCs w:val="20"/>
              </w:rPr>
              <w:t>22</w:t>
            </w:r>
            <w:r w:rsidRPr="001126AB">
              <w:rPr>
                <w:b/>
                <w:sz w:val="20"/>
                <w:szCs w:val="20"/>
              </w:rPr>
              <w:t>)</w:t>
            </w:r>
          </w:p>
          <w:p w:rsidR="0086340B" w:rsidRPr="001126AB" w:rsidRDefault="0086340B" w:rsidP="005F1ED8">
            <w:pPr>
              <w:rPr>
                <w:sz w:val="20"/>
                <w:szCs w:val="20"/>
              </w:rPr>
            </w:pPr>
          </w:p>
          <w:p w:rsidR="0086340B" w:rsidRPr="001126AB" w:rsidRDefault="00E40B04" w:rsidP="005F1ED8">
            <w:pPr>
              <w:rPr>
                <w:b/>
                <w:sz w:val="20"/>
                <w:szCs w:val="20"/>
              </w:rPr>
            </w:pPr>
            <w:r w:rsidRPr="001126AB">
              <w:rPr>
                <w:b/>
                <w:sz w:val="20"/>
                <w:szCs w:val="20"/>
              </w:rPr>
              <w:t xml:space="preserve">Canadian Copyright Licensing Agency ("Access Copyright"), et al. </w:t>
            </w:r>
            <w:r w:rsidR="0086340B" w:rsidRPr="001126AB">
              <w:rPr>
                <w:b/>
                <w:sz w:val="20"/>
                <w:szCs w:val="20"/>
              </w:rPr>
              <w:t>(</w:t>
            </w:r>
            <w:r w:rsidRPr="001126AB">
              <w:rPr>
                <w:b/>
                <w:sz w:val="20"/>
                <w:szCs w:val="20"/>
              </w:rPr>
              <w:t>F</w:t>
            </w:r>
            <w:r w:rsidR="0086340B" w:rsidRPr="001126AB">
              <w:rPr>
                <w:b/>
                <w:sz w:val="20"/>
                <w:szCs w:val="20"/>
              </w:rPr>
              <w:t>.</w:t>
            </w:r>
            <w:r w:rsidRPr="001126AB">
              <w:rPr>
                <w:b/>
                <w:sz w:val="20"/>
                <w:szCs w:val="20"/>
              </w:rPr>
              <w:t>C</w:t>
            </w:r>
            <w:r w:rsidR="0086340B" w:rsidRPr="001126AB">
              <w:rPr>
                <w:b/>
                <w:sz w:val="20"/>
                <w:szCs w:val="20"/>
              </w:rPr>
              <w:t>.)</w:t>
            </w:r>
          </w:p>
          <w:p w:rsidR="0086340B" w:rsidRPr="001126AB" w:rsidRDefault="0086340B" w:rsidP="005F1ED8">
            <w:pPr>
              <w:rPr>
                <w:sz w:val="20"/>
                <w:szCs w:val="20"/>
              </w:rPr>
            </w:pPr>
          </w:p>
          <w:p w:rsidR="0086340B" w:rsidRPr="001126AB" w:rsidRDefault="0086340B" w:rsidP="005F1ED8">
            <w:pPr>
              <w:rPr>
                <w:sz w:val="20"/>
                <w:szCs w:val="20"/>
              </w:rPr>
            </w:pPr>
            <w:r w:rsidRPr="001126AB">
              <w:rPr>
                <w:sz w:val="20"/>
                <w:szCs w:val="20"/>
              </w:rPr>
              <w:t>(By Leave)</w:t>
            </w:r>
          </w:p>
          <w:p w:rsidR="0086340B" w:rsidRPr="001126AB" w:rsidRDefault="0086340B" w:rsidP="005F1ED8">
            <w:pPr>
              <w:rPr>
                <w:sz w:val="20"/>
                <w:szCs w:val="20"/>
              </w:rPr>
            </w:pPr>
          </w:p>
          <w:p w:rsidR="0086340B" w:rsidRPr="001126AB" w:rsidRDefault="008F207C" w:rsidP="005F1ED8">
            <w:pPr>
              <w:rPr>
                <w:sz w:val="20"/>
                <w:szCs w:val="20"/>
                <w:lang w:val="fr-CA"/>
              </w:rPr>
            </w:pPr>
            <w:r w:rsidRPr="001126AB">
              <w:rPr>
                <w:sz w:val="20"/>
                <w:szCs w:val="20"/>
                <w:lang w:val="fr-CA"/>
              </w:rPr>
              <w:pict>
                <v:rect id="_x0000_i1058" style="width:106.1pt;height:1pt" o:hrpct="500" o:hrstd="t" o:hrnoshade="t" o:hr="t" fillcolor="black [3213]" stroked="f"/>
              </w:pict>
            </w:r>
          </w:p>
        </w:tc>
        <w:tc>
          <w:tcPr>
            <w:tcW w:w="588" w:type="pct"/>
          </w:tcPr>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p w:rsidR="0086340B" w:rsidRPr="001126AB" w:rsidRDefault="0086340B" w:rsidP="005F1ED8">
            <w:pPr>
              <w:jc w:val="center"/>
              <w:rPr>
                <w:sz w:val="20"/>
                <w:szCs w:val="20"/>
              </w:rPr>
            </w:pPr>
          </w:p>
        </w:tc>
        <w:tc>
          <w:tcPr>
            <w:tcW w:w="2206" w:type="pct"/>
          </w:tcPr>
          <w:p w:rsidR="008F207C" w:rsidRPr="001126AB" w:rsidRDefault="00E40B04" w:rsidP="008F207C">
            <w:pPr>
              <w:rPr>
                <w:sz w:val="20"/>
                <w:szCs w:val="20"/>
              </w:rPr>
            </w:pPr>
            <w:r w:rsidRPr="001126AB">
              <w:rPr>
                <w:sz w:val="20"/>
                <w:szCs w:val="20"/>
              </w:rPr>
              <w:t>November</w:t>
            </w:r>
            <w:r w:rsidR="008F207C" w:rsidRPr="001126AB">
              <w:rPr>
                <w:sz w:val="20"/>
                <w:szCs w:val="20"/>
              </w:rPr>
              <w:t xml:space="preserve"> </w:t>
            </w:r>
            <w:r w:rsidRPr="001126AB">
              <w:rPr>
                <w:sz w:val="20"/>
                <w:szCs w:val="20"/>
              </w:rPr>
              <w:t>1</w:t>
            </w:r>
            <w:r w:rsidR="008F207C" w:rsidRPr="001126AB">
              <w:rPr>
                <w:sz w:val="20"/>
                <w:szCs w:val="20"/>
              </w:rPr>
              <w:t>6, 2020</w:t>
            </w:r>
          </w:p>
          <w:p w:rsidR="008F207C" w:rsidRPr="001126AB" w:rsidRDefault="008F207C" w:rsidP="008F207C">
            <w:pPr>
              <w:rPr>
                <w:sz w:val="20"/>
                <w:szCs w:val="20"/>
              </w:rPr>
            </w:pPr>
          </w:p>
          <w:p w:rsidR="008F207C" w:rsidRPr="001126AB" w:rsidRDefault="00E40B04" w:rsidP="008F207C">
            <w:pPr>
              <w:rPr>
                <w:b/>
                <w:sz w:val="20"/>
                <w:szCs w:val="20"/>
              </w:rPr>
            </w:pPr>
            <w:r w:rsidRPr="001126AB">
              <w:rPr>
                <w:b/>
                <w:sz w:val="20"/>
                <w:szCs w:val="20"/>
              </w:rPr>
              <w:t>Canadian Copyright Licensing Agency ("Access Copyright"), et al.</w:t>
            </w:r>
          </w:p>
          <w:p w:rsidR="008F207C" w:rsidRPr="001126AB" w:rsidRDefault="008F207C" w:rsidP="008F207C">
            <w:pPr>
              <w:rPr>
                <w:sz w:val="20"/>
                <w:szCs w:val="20"/>
              </w:rPr>
            </w:pPr>
          </w:p>
          <w:p w:rsidR="008F207C" w:rsidRPr="001126AB" w:rsidRDefault="008F207C" w:rsidP="008F207C">
            <w:pPr>
              <w:rPr>
                <w:b/>
                <w:sz w:val="20"/>
                <w:szCs w:val="20"/>
              </w:rPr>
            </w:pPr>
            <w:r w:rsidRPr="001126AB">
              <w:rPr>
                <w:b/>
                <w:sz w:val="20"/>
                <w:szCs w:val="20"/>
              </w:rPr>
              <w:tab/>
              <w:t>v. (39</w:t>
            </w:r>
            <w:r w:rsidR="00E40B04" w:rsidRPr="001126AB">
              <w:rPr>
                <w:b/>
                <w:sz w:val="20"/>
                <w:szCs w:val="20"/>
              </w:rPr>
              <w:t>22</w:t>
            </w:r>
            <w:r w:rsidRPr="001126AB">
              <w:rPr>
                <w:b/>
                <w:sz w:val="20"/>
                <w:szCs w:val="20"/>
              </w:rPr>
              <w:t>2)</w:t>
            </w:r>
          </w:p>
          <w:p w:rsidR="008F207C" w:rsidRPr="001126AB" w:rsidRDefault="008F207C" w:rsidP="008F207C">
            <w:pPr>
              <w:rPr>
                <w:sz w:val="20"/>
                <w:szCs w:val="20"/>
              </w:rPr>
            </w:pPr>
          </w:p>
          <w:p w:rsidR="008F207C" w:rsidRPr="001126AB" w:rsidRDefault="00E40B04" w:rsidP="008F207C">
            <w:pPr>
              <w:rPr>
                <w:b/>
                <w:sz w:val="20"/>
                <w:szCs w:val="20"/>
              </w:rPr>
            </w:pPr>
            <w:r w:rsidRPr="001126AB">
              <w:rPr>
                <w:b/>
                <w:sz w:val="20"/>
                <w:szCs w:val="20"/>
              </w:rPr>
              <w:t>York University, et al.</w:t>
            </w:r>
            <w:r w:rsidR="008F207C" w:rsidRPr="001126AB">
              <w:rPr>
                <w:b/>
                <w:sz w:val="20"/>
                <w:szCs w:val="20"/>
              </w:rPr>
              <w:t xml:space="preserve"> (</w:t>
            </w:r>
            <w:r w:rsidRPr="001126AB">
              <w:rPr>
                <w:b/>
                <w:sz w:val="20"/>
                <w:szCs w:val="20"/>
              </w:rPr>
              <w:t>F</w:t>
            </w:r>
            <w:r w:rsidR="008F207C" w:rsidRPr="001126AB">
              <w:rPr>
                <w:b/>
                <w:sz w:val="20"/>
                <w:szCs w:val="20"/>
              </w:rPr>
              <w:t>.</w:t>
            </w:r>
            <w:r w:rsidRPr="001126AB">
              <w:rPr>
                <w:b/>
                <w:sz w:val="20"/>
                <w:szCs w:val="20"/>
              </w:rPr>
              <w:t>C</w:t>
            </w:r>
            <w:r w:rsidR="008F207C" w:rsidRPr="001126AB">
              <w:rPr>
                <w:b/>
                <w:sz w:val="20"/>
                <w:szCs w:val="20"/>
              </w:rPr>
              <w:t>.)</w:t>
            </w:r>
          </w:p>
          <w:p w:rsidR="008F207C" w:rsidRPr="001126AB" w:rsidRDefault="008F207C" w:rsidP="008F207C">
            <w:pPr>
              <w:rPr>
                <w:sz w:val="20"/>
                <w:szCs w:val="20"/>
              </w:rPr>
            </w:pPr>
          </w:p>
          <w:p w:rsidR="008F207C" w:rsidRPr="001126AB" w:rsidRDefault="008F207C" w:rsidP="008F207C">
            <w:pPr>
              <w:rPr>
                <w:sz w:val="20"/>
                <w:szCs w:val="20"/>
              </w:rPr>
            </w:pPr>
            <w:r w:rsidRPr="001126AB">
              <w:rPr>
                <w:sz w:val="20"/>
                <w:szCs w:val="20"/>
              </w:rPr>
              <w:t>(By Leave)</w:t>
            </w:r>
          </w:p>
          <w:p w:rsidR="008F207C" w:rsidRPr="001126AB" w:rsidRDefault="008F207C" w:rsidP="008F207C">
            <w:pPr>
              <w:rPr>
                <w:sz w:val="20"/>
                <w:szCs w:val="20"/>
              </w:rPr>
            </w:pPr>
          </w:p>
          <w:p w:rsidR="0086340B" w:rsidRPr="001126AB" w:rsidRDefault="008F207C" w:rsidP="008F207C">
            <w:pPr>
              <w:rPr>
                <w:sz w:val="20"/>
                <w:szCs w:val="20"/>
              </w:rPr>
            </w:pPr>
            <w:r w:rsidRPr="001126AB">
              <w:rPr>
                <w:sz w:val="20"/>
                <w:szCs w:val="20"/>
                <w:lang w:val="fr-CA"/>
              </w:rPr>
              <w:pict>
                <v:rect id="_x0000_i1061" style="width:106.1pt;height:1pt" o:hrpct="500" o:hrstd="t" o:hrnoshade="t" o:hr="t" fillcolor="black [3213]" stroked="f"/>
              </w:pict>
            </w:r>
          </w:p>
        </w:tc>
      </w:tr>
    </w:tbl>
    <w:p w:rsidR="008277C4" w:rsidRPr="001126AB" w:rsidRDefault="008277C4" w:rsidP="00F40249">
      <w:pPr>
        <w:rPr>
          <w:sz w:val="20"/>
          <w:szCs w:val="20"/>
        </w:rPr>
      </w:pPr>
    </w:p>
    <w:p w:rsidR="008277C4" w:rsidRPr="001126AB" w:rsidRDefault="008277C4" w:rsidP="00F40249">
      <w:pPr>
        <w:rPr>
          <w:sz w:val="20"/>
          <w:szCs w:val="20"/>
        </w:rPr>
      </w:pPr>
    </w:p>
    <w:p w:rsidR="0010587F" w:rsidRPr="001126AB" w:rsidRDefault="0010587F" w:rsidP="00F40249">
      <w:pPr>
        <w:rPr>
          <w:sz w:val="20"/>
          <w:szCs w:val="20"/>
        </w:rPr>
      </w:pPr>
    </w:p>
    <w:p w:rsidR="00EB2B90" w:rsidRPr="001126AB" w:rsidRDefault="00EB2B90" w:rsidP="00F40249">
      <w:pPr>
        <w:rPr>
          <w:sz w:val="20"/>
          <w:szCs w:val="20"/>
        </w:rPr>
        <w:sectPr w:rsidR="00EB2B90" w:rsidRPr="001126AB"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113336" w:rsidRPr="001126AB"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1126AB">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1126AB" w:rsidTr="00D245D5">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DECEMBER – DÉCEMBRE</w:t>
            </w:r>
          </w:p>
        </w:tc>
      </w:tr>
      <w:tr w:rsidR="00113336" w:rsidRPr="001126AB"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4"/>
                <w:szCs w:val="14"/>
                <w:lang w:val="fr-FR"/>
              </w:rPr>
            </w:pPr>
            <w:r w:rsidRPr="001126AB">
              <w:rPr>
                <w:rFonts w:ascii="Arial" w:hAnsi="Arial" w:cs="Arial"/>
                <w:b/>
                <w:sz w:val="14"/>
                <w:szCs w:val="14"/>
                <w:lang w:val="fr-FR"/>
              </w:rPr>
              <w:t>S</w:t>
            </w:r>
          </w:p>
          <w:p w:rsidR="00113336" w:rsidRPr="001126AB" w:rsidRDefault="00113336" w:rsidP="00D245D5">
            <w:pPr>
              <w:tabs>
                <w:tab w:val="center" w:pos="5220"/>
                <w:tab w:val="right" w:pos="10440"/>
              </w:tabs>
              <w:jc w:val="center"/>
              <w:rPr>
                <w:rFonts w:ascii="Arial" w:hAnsi="Arial" w:cs="Arial"/>
                <w:b/>
                <w:sz w:val="14"/>
                <w:szCs w:val="14"/>
                <w:lang w:val="fr-FR"/>
              </w:rPr>
            </w:pPr>
            <w:r w:rsidRPr="001126A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T</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W</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T</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F</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T</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W</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T</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F</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S</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M</w:t>
            </w:r>
          </w:p>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lang w:val="fr-FR"/>
              </w:rPr>
            </w:pPr>
            <w:r w:rsidRPr="001126AB">
              <w:rPr>
                <w:rFonts w:ascii="Arial" w:hAnsi="Arial" w:cs="Arial"/>
                <w:b/>
                <w:sz w:val="13"/>
                <w:szCs w:val="13"/>
                <w:lang w:val="fr-FR"/>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r>
      <w:tr w:rsidR="00113336" w:rsidRPr="001126AB"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b/>
                <w:sz w:val="13"/>
                <w:szCs w:val="13"/>
              </w:rPr>
              <w:t>CC</w:t>
            </w:r>
            <w:r w:rsidRPr="001126AB">
              <w:rPr>
                <w:rFonts w:ascii="Arial" w:hAnsi="Arial" w:cs="Arial"/>
                <w:sz w:val="13"/>
                <w:szCs w:val="13"/>
              </w:rPr>
              <w:t xml:space="preserve"> </w:t>
            </w:r>
          </w:p>
          <w:p w:rsidR="00113336" w:rsidRPr="001126AB" w:rsidRDefault="00113336" w:rsidP="00D245D5">
            <w:pPr>
              <w:jc w:val="center"/>
              <w:rPr>
                <w:rFonts w:ascii="Arial" w:hAnsi="Arial" w:cs="Arial"/>
                <w:sz w:val="13"/>
                <w:szCs w:val="13"/>
              </w:rPr>
            </w:pPr>
            <w:r w:rsidRPr="001126A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5</w:t>
            </w:r>
          </w:p>
        </w:tc>
      </w:tr>
      <w:tr w:rsidR="00113336" w:rsidRPr="001126AB"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1126AB" w:rsidRDefault="00113336"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113336" w:rsidP="00113336">
            <w:pPr>
              <w:jc w:val="center"/>
              <w:rPr>
                <w:rFonts w:ascii="Arial" w:hAnsi="Arial" w:cs="Arial"/>
                <w:sz w:val="13"/>
                <w:szCs w:val="13"/>
              </w:rPr>
            </w:pPr>
            <w:r w:rsidRPr="001126AB">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H</w:t>
            </w:r>
          </w:p>
          <w:p w:rsidR="00113336" w:rsidRPr="001126AB" w:rsidRDefault="00113336" w:rsidP="00D245D5">
            <w:pPr>
              <w:jc w:val="center"/>
              <w:rPr>
                <w:rFonts w:ascii="Arial" w:hAnsi="Arial" w:cs="Arial"/>
                <w:sz w:val="13"/>
                <w:szCs w:val="13"/>
              </w:rPr>
            </w:pPr>
            <w:r w:rsidRPr="001126AB">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113336">
            <w:pPr>
              <w:jc w:val="center"/>
              <w:rPr>
                <w:rFonts w:ascii="Arial" w:hAnsi="Arial" w:cs="Arial"/>
                <w:sz w:val="13"/>
                <w:szCs w:val="13"/>
              </w:rPr>
            </w:pPr>
            <w:r w:rsidRPr="001126A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12</w:t>
            </w:r>
          </w:p>
        </w:tc>
      </w:tr>
      <w:tr w:rsidR="00B4618C" w:rsidRPr="001126AB"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1126AB" w:rsidRDefault="00113336" w:rsidP="00D245D5">
            <w:pPr>
              <w:jc w:val="center"/>
              <w:rPr>
                <w:rFonts w:ascii="Arial" w:hAnsi="Arial" w:cs="Arial"/>
                <w:b/>
                <w:sz w:val="13"/>
                <w:szCs w:val="13"/>
              </w:rPr>
            </w:pPr>
            <w:r w:rsidRPr="001126AB">
              <w:rPr>
                <w:rFonts w:ascii="Arial" w:hAnsi="Arial" w:cs="Arial"/>
                <w:b/>
                <w:sz w:val="13"/>
                <w:szCs w:val="13"/>
              </w:rPr>
              <w:t>H</w:t>
            </w:r>
          </w:p>
          <w:p w:rsidR="00113336" w:rsidRPr="001126AB" w:rsidRDefault="00113336" w:rsidP="00113336">
            <w:pPr>
              <w:jc w:val="center"/>
              <w:rPr>
                <w:rFonts w:ascii="Arial" w:hAnsi="Arial" w:cs="Arial"/>
                <w:sz w:val="13"/>
                <w:szCs w:val="13"/>
              </w:rPr>
            </w:pPr>
            <w:r w:rsidRPr="001126AB">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19</w:t>
            </w:r>
          </w:p>
        </w:tc>
      </w:tr>
      <w:tr w:rsidR="00113336" w:rsidRPr="001126AB"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D245D5">
            <w:pPr>
              <w:jc w:val="center"/>
              <w:rPr>
                <w:rFonts w:ascii="Arial" w:hAnsi="Arial" w:cs="Arial"/>
                <w:sz w:val="13"/>
                <w:szCs w:val="13"/>
              </w:rPr>
            </w:pPr>
            <w:r w:rsidRPr="001126A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H</w:t>
            </w:r>
          </w:p>
          <w:p w:rsidR="00113336" w:rsidRPr="001126AB" w:rsidRDefault="005B2EA9" w:rsidP="00D245D5">
            <w:pPr>
              <w:jc w:val="center"/>
              <w:rPr>
                <w:rFonts w:ascii="Arial" w:hAnsi="Arial" w:cs="Arial"/>
                <w:sz w:val="13"/>
                <w:szCs w:val="13"/>
              </w:rPr>
            </w:pPr>
            <w:r w:rsidRPr="001126AB">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26</w:t>
            </w:r>
          </w:p>
        </w:tc>
      </w:tr>
      <w:tr w:rsidR="00113336" w:rsidRPr="001126AB"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126AB" w:rsidRDefault="00113336" w:rsidP="00113336">
            <w:pPr>
              <w:jc w:val="center"/>
              <w:rPr>
                <w:rFonts w:ascii="Arial" w:hAnsi="Arial" w:cs="Arial"/>
                <w:sz w:val="13"/>
                <w:szCs w:val="13"/>
              </w:rPr>
            </w:pPr>
            <w:r w:rsidRPr="001126A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r w:rsidRPr="001126A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1126AB" w:rsidRDefault="005B2EA9" w:rsidP="00D245D5">
            <w:pPr>
              <w:jc w:val="center"/>
              <w:rPr>
                <w:rFonts w:ascii="Arial" w:hAnsi="Arial" w:cs="Arial"/>
                <w:sz w:val="13"/>
                <w:szCs w:val="13"/>
              </w:rPr>
            </w:pPr>
            <w:r w:rsidRPr="001126AB">
              <w:rPr>
                <w:rFonts w:ascii="Arial" w:hAnsi="Arial" w:cs="Arial"/>
                <w:b/>
                <w:sz w:val="13"/>
                <w:szCs w:val="13"/>
              </w:rPr>
              <w:t>CC</w:t>
            </w:r>
          </w:p>
          <w:p w:rsidR="00113336" w:rsidRPr="001126AB" w:rsidRDefault="00113336" w:rsidP="00D245D5">
            <w:pPr>
              <w:jc w:val="center"/>
              <w:rPr>
                <w:rFonts w:ascii="Arial" w:hAnsi="Arial" w:cs="Arial"/>
                <w:sz w:val="13"/>
                <w:szCs w:val="13"/>
              </w:rPr>
            </w:pPr>
            <w:r w:rsidRPr="001126A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H</w:t>
            </w:r>
          </w:p>
          <w:p w:rsidR="00113336" w:rsidRPr="001126AB" w:rsidRDefault="005B2EA9" w:rsidP="00D245D5">
            <w:pPr>
              <w:jc w:val="center"/>
              <w:rPr>
                <w:rFonts w:ascii="Arial" w:hAnsi="Arial" w:cs="Arial"/>
                <w:sz w:val="13"/>
                <w:szCs w:val="13"/>
              </w:rPr>
            </w:pPr>
            <w:r w:rsidRPr="001126AB">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r>
    </w:tbl>
    <w:p w:rsidR="00113336" w:rsidRPr="001126AB" w:rsidRDefault="00113336" w:rsidP="00113336">
      <w:pPr>
        <w:tabs>
          <w:tab w:val="center" w:pos="5220"/>
          <w:tab w:val="right" w:pos="10440"/>
        </w:tabs>
        <w:jc w:val="center"/>
        <w:rPr>
          <w:rFonts w:ascii="Arial" w:hAnsi="Arial" w:cs="Arial"/>
          <w:sz w:val="22"/>
        </w:rPr>
      </w:pPr>
      <w:r w:rsidRPr="001126AB">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1126AB" w:rsidTr="00D245D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MARCH – MARS</w:t>
            </w:r>
          </w:p>
        </w:tc>
      </w:tr>
      <w:tr w:rsidR="00113336" w:rsidRPr="001126AB"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r>
      <w:tr w:rsidR="00113336" w:rsidRPr="001126AB"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H</w:t>
            </w:r>
          </w:p>
          <w:p w:rsidR="00113336" w:rsidRPr="001126AB" w:rsidRDefault="005B2EA9" w:rsidP="00D245D5">
            <w:pPr>
              <w:jc w:val="center"/>
              <w:rPr>
                <w:rFonts w:ascii="Arial" w:hAnsi="Arial" w:cs="Arial"/>
                <w:sz w:val="13"/>
                <w:szCs w:val="13"/>
              </w:rPr>
            </w:pPr>
            <w:r w:rsidRPr="001126AB">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6</w:t>
            </w:r>
          </w:p>
        </w:tc>
      </w:tr>
      <w:tr w:rsidR="00113336" w:rsidRPr="001126A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5B2EA9" w:rsidP="00D245D5">
            <w:pPr>
              <w:jc w:val="center"/>
              <w:rPr>
                <w:rFonts w:ascii="Arial" w:hAnsi="Arial" w:cs="Arial"/>
                <w:sz w:val="13"/>
                <w:szCs w:val="13"/>
              </w:rPr>
            </w:pPr>
            <w:r w:rsidRPr="001126A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13</w:t>
            </w:r>
          </w:p>
        </w:tc>
      </w:tr>
      <w:tr w:rsidR="00113336" w:rsidRPr="001126A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1126AB" w:rsidRDefault="005B2EA9"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5B2EA9" w:rsidP="00D245D5">
            <w:pPr>
              <w:jc w:val="center"/>
              <w:rPr>
                <w:rFonts w:ascii="Arial" w:hAnsi="Arial" w:cs="Arial"/>
                <w:sz w:val="13"/>
                <w:szCs w:val="13"/>
              </w:rPr>
            </w:pPr>
            <w:r w:rsidRPr="001126A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D04577" w:rsidP="00D245D5">
            <w:pPr>
              <w:jc w:val="center"/>
              <w:rPr>
                <w:rFonts w:ascii="Arial" w:hAnsi="Arial" w:cs="Arial"/>
                <w:sz w:val="13"/>
                <w:szCs w:val="13"/>
              </w:rPr>
            </w:pPr>
            <w:r w:rsidRPr="001126A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20</w:t>
            </w:r>
          </w:p>
        </w:tc>
      </w:tr>
      <w:tr w:rsidR="00113336" w:rsidRPr="001126A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27</w:t>
            </w:r>
          </w:p>
        </w:tc>
      </w:tr>
      <w:tr w:rsidR="00113336" w:rsidRPr="001126AB"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1126AB" w:rsidRDefault="005B2EA9" w:rsidP="005B2EA9">
            <w:pPr>
              <w:rPr>
                <w:rFonts w:ascii="Arial" w:hAnsi="Arial" w:cs="Arial"/>
                <w:sz w:val="13"/>
                <w:szCs w:val="13"/>
              </w:rPr>
            </w:pPr>
            <w:r w:rsidRPr="001126AB">
              <w:rPr>
                <w:rFonts w:ascii="Arial" w:hAnsi="Arial" w:cs="Arial"/>
                <w:sz w:val="13"/>
                <w:szCs w:val="13"/>
              </w:rPr>
              <w:t xml:space="preserve">24 </w:t>
            </w:r>
            <w:r w:rsidRPr="001126AB">
              <w:rPr>
                <w:rFonts w:ascii="Arial" w:hAnsi="Arial" w:cs="Arial"/>
                <w:sz w:val="13"/>
                <w:szCs w:val="13"/>
                <w:lang w:val="en-US"/>
              </w:rPr>
              <w:t>/</w:t>
            </w:r>
          </w:p>
          <w:p w:rsidR="00113336" w:rsidRPr="001126AB" w:rsidRDefault="005B2EA9" w:rsidP="005B2EA9">
            <w:pPr>
              <w:jc w:val="center"/>
              <w:rPr>
                <w:rFonts w:ascii="Arial" w:hAnsi="Arial" w:cs="Arial"/>
                <w:sz w:val="13"/>
                <w:szCs w:val="13"/>
              </w:rPr>
            </w:pPr>
            <w:r w:rsidRPr="001126AB">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126AB" w:rsidRDefault="005B2EA9" w:rsidP="00D245D5">
            <w:pPr>
              <w:jc w:val="center"/>
              <w:rPr>
                <w:rFonts w:ascii="Arial" w:hAnsi="Arial" w:cs="Arial"/>
                <w:sz w:val="13"/>
                <w:szCs w:val="13"/>
              </w:rPr>
            </w:pPr>
            <w:r w:rsidRPr="001126A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r>
      <w:tr w:rsidR="00113336" w:rsidRPr="001126AB" w:rsidTr="00D245D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JUNE – JUIN</w:t>
            </w:r>
          </w:p>
        </w:tc>
      </w:tr>
      <w:tr w:rsidR="00113336" w:rsidRPr="001126AB"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r>
      <w:tr w:rsidR="00113336" w:rsidRPr="001126A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H</w:t>
            </w:r>
          </w:p>
          <w:p w:rsidR="00113336" w:rsidRPr="001126AB" w:rsidRDefault="00D04577" w:rsidP="00D245D5">
            <w:pPr>
              <w:jc w:val="center"/>
              <w:rPr>
                <w:rFonts w:ascii="Arial" w:hAnsi="Arial" w:cs="Arial"/>
                <w:sz w:val="13"/>
                <w:szCs w:val="13"/>
              </w:rPr>
            </w:pPr>
            <w:r w:rsidRPr="001126AB">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5</w:t>
            </w:r>
          </w:p>
        </w:tc>
      </w:tr>
      <w:tr w:rsidR="00113336" w:rsidRPr="001126AB"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H</w:t>
            </w:r>
          </w:p>
          <w:p w:rsidR="00113336" w:rsidRPr="001126AB" w:rsidRDefault="00D04577" w:rsidP="00D245D5">
            <w:pPr>
              <w:jc w:val="center"/>
              <w:rPr>
                <w:rFonts w:ascii="Arial" w:hAnsi="Arial" w:cs="Arial"/>
                <w:sz w:val="13"/>
                <w:szCs w:val="13"/>
              </w:rPr>
            </w:pPr>
            <w:r w:rsidRPr="001126AB">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D04577" w:rsidP="00D245D5">
            <w:pPr>
              <w:jc w:val="center"/>
              <w:rPr>
                <w:rFonts w:ascii="Arial" w:hAnsi="Arial" w:cs="Arial"/>
                <w:sz w:val="13"/>
                <w:szCs w:val="13"/>
              </w:rPr>
            </w:pPr>
            <w:r w:rsidRPr="001126A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12</w:t>
            </w:r>
          </w:p>
        </w:tc>
      </w:tr>
      <w:tr w:rsidR="00113336" w:rsidRPr="001126A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D04577" w:rsidP="00D245D5">
            <w:pPr>
              <w:jc w:val="center"/>
              <w:rPr>
                <w:rFonts w:ascii="Arial" w:hAnsi="Arial" w:cs="Arial"/>
                <w:sz w:val="13"/>
                <w:szCs w:val="13"/>
              </w:rPr>
            </w:pPr>
            <w:r w:rsidRPr="001126AB">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1126AB" w:rsidRDefault="00D04577" w:rsidP="00D245D5">
            <w:pPr>
              <w:jc w:val="center"/>
              <w:rPr>
                <w:rFonts w:ascii="Arial" w:hAnsi="Arial" w:cs="Arial"/>
                <w:b/>
                <w:sz w:val="13"/>
                <w:szCs w:val="13"/>
              </w:rPr>
            </w:pPr>
            <w:r w:rsidRPr="001126AB">
              <w:rPr>
                <w:rFonts w:ascii="Arial" w:hAnsi="Arial" w:cs="Arial"/>
                <w:b/>
                <w:sz w:val="13"/>
                <w:szCs w:val="13"/>
              </w:rPr>
              <w:t>CC</w:t>
            </w:r>
          </w:p>
          <w:p w:rsidR="00113336" w:rsidRPr="001126AB" w:rsidRDefault="00D04577" w:rsidP="00D245D5">
            <w:pPr>
              <w:jc w:val="center"/>
              <w:rPr>
                <w:rFonts w:ascii="Arial" w:hAnsi="Arial" w:cs="Arial"/>
                <w:sz w:val="13"/>
                <w:szCs w:val="13"/>
              </w:rPr>
            </w:pPr>
            <w:r w:rsidRPr="001126A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19</w:t>
            </w:r>
          </w:p>
        </w:tc>
      </w:tr>
      <w:tr w:rsidR="00113336" w:rsidRPr="001126AB"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26</w:t>
            </w:r>
          </w:p>
        </w:tc>
      </w:tr>
      <w:tr w:rsidR="00113336" w:rsidRPr="001126AB"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b/>
                <w:sz w:val="13"/>
                <w:szCs w:val="13"/>
              </w:rPr>
            </w:pPr>
            <w:r w:rsidRPr="001126AB">
              <w:rPr>
                <w:rFonts w:ascii="Arial" w:hAnsi="Arial" w:cs="Arial"/>
                <w:b/>
                <w:sz w:val="13"/>
                <w:szCs w:val="13"/>
              </w:rPr>
              <w:t>H</w:t>
            </w:r>
          </w:p>
          <w:p w:rsidR="00113336" w:rsidRPr="001126AB" w:rsidRDefault="00D04577" w:rsidP="00D04577">
            <w:pPr>
              <w:jc w:val="center"/>
              <w:rPr>
                <w:rFonts w:ascii="Arial" w:hAnsi="Arial" w:cs="Arial"/>
                <w:sz w:val="13"/>
                <w:szCs w:val="13"/>
              </w:rPr>
            </w:pPr>
            <w:r w:rsidRPr="001126AB">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126AB" w:rsidRDefault="00D04577" w:rsidP="00D04577">
            <w:pPr>
              <w:jc w:val="center"/>
              <w:rPr>
                <w:rFonts w:ascii="Arial" w:hAnsi="Arial" w:cs="Arial"/>
                <w:sz w:val="13"/>
                <w:szCs w:val="13"/>
              </w:rPr>
            </w:pPr>
            <w:r w:rsidRPr="001126A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D04577" w:rsidP="00D245D5">
            <w:pPr>
              <w:jc w:val="center"/>
              <w:rPr>
                <w:rFonts w:ascii="Arial" w:hAnsi="Arial" w:cs="Arial"/>
                <w:sz w:val="13"/>
                <w:szCs w:val="13"/>
              </w:rPr>
            </w:pPr>
            <w:r w:rsidRPr="001126AB">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r>
      <w:tr w:rsidR="00D04577" w:rsidRPr="001126AB"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1126AB" w:rsidRDefault="00D04577" w:rsidP="00D245D5">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r w:rsidRPr="001126AB">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r w:rsidRPr="001126AB">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126AB"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1126AB" w:rsidRDefault="00D04577" w:rsidP="00D245D5">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126AB" w:rsidRDefault="00D04577" w:rsidP="00D245D5">
            <w:pPr>
              <w:jc w:val="center"/>
              <w:rPr>
                <w:rFonts w:ascii="Arial" w:hAnsi="Arial" w:cs="Arial"/>
                <w:sz w:val="13"/>
                <w:szCs w:val="13"/>
              </w:rPr>
            </w:pPr>
          </w:p>
        </w:tc>
      </w:tr>
      <w:tr w:rsidR="00113336" w:rsidRPr="001126AB" w:rsidTr="00D245D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SEPTEMBER – SEPTEMBRE</w:t>
            </w:r>
          </w:p>
        </w:tc>
      </w:tr>
      <w:tr w:rsidR="00113336" w:rsidRPr="001126AB"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6"/>
                <w:szCs w:val="16"/>
              </w:rPr>
            </w:pPr>
            <w:r w:rsidRPr="001126A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126AB" w:rsidRDefault="00113336" w:rsidP="00D245D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W</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T</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F</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p w:rsidR="00113336" w:rsidRPr="001126AB" w:rsidRDefault="00113336" w:rsidP="00D245D5">
            <w:pPr>
              <w:tabs>
                <w:tab w:val="center" w:pos="5220"/>
                <w:tab w:val="right" w:pos="10440"/>
              </w:tabs>
              <w:jc w:val="center"/>
              <w:rPr>
                <w:rFonts w:ascii="Arial" w:hAnsi="Arial" w:cs="Arial"/>
                <w:b/>
                <w:sz w:val="13"/>
                <w:szCs w:val="13"/>
              </w:rPr>
            </w:pPr>
            <w:r w:rsidRPr="001126AB">
              <w:rPr>
                <w:rFonts w:ascii="Arial" w:hAnsi="Arial" w:cs="Arial"/>
                <w:b/>
                <w:sz w:val="13"/>
                <w:szCs w:val="13"/>
              </w:rPr>
              <w:t>S</w:t>
            </w:r>
          </w:p>
        </w:tc>
      </w:tr>
      <w:tr w:rsidR="00113336" w:rsidRPr="001126A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H</w:t>
            </w:r>
          </w:p>
          <w:p w:rsidR="00113336" w:rsidRPr="001126AB" w:rsidRDefault="00A067B5" w:rsidP="00D245D5">
            <w:pPr>
              <w:jc w:val="center"/>
              <w:rPr>
                <w:rFonts w:ascii="Arial" w:hAnsi="Arial" w:cs="Arial"/>
                <w:sz w:val="13"/>
                <w:szCs w:val="13"/>
              </w:rPr>
            </w:pPr>
            <w:r w:rsidRPr="001126A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H</w:t>
            </w:r>
          </w:p>
          <w:p w:rsidR="00113336" w:rsidRPr="001126AB" w:rsidRDefault="00A067B5" w:rsidP="00D245D5">
            <w:pPr>
              <w:jc w:val="center"/>
              <w:rPr>
                <w:rFonts w:ascii="Arial" w:hAnsi="Arial" w:cs="Arial"/>
                <w:sz w:val="13"/>
                <w:szCs w:val="13"/>
              </w:rPr>
            </w:pPr>
            <w:r w:rsidRPr="001126AB">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4</w:t>
            </w:r>
          </w:p>
        </w:tc>
      </w:tr>
      <w:tr w:rsidR="00113336" w:rsidRPr="001126A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H</w:t>
            </w:r>
          </w:p>
          <w:p w:rsidR="00113336" w:rsidRPr="001126AB" w:rsidRDefault="00A067B5" w:rsidP="00D245D5">
            <w:pPr>
              <w:jc w:val="center"/>
              <w:rPr>
                <w:rFonts w:ascii="Arial" w:hAnsi="Arial" w:cs="Arial"/>
                <w:sz w:val="13"/>
                <w:szCs w:val="13"/>
              </w:rPr>
            </w:pPr>
            <w:r w:rsidRPr="001126AB">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RH</w:t>
            </w:r>
          </w:p>
          <w:p w:rsidR="00113336" w:rsidRPr="001126AB" w:rsidRDefault="00A067B5" w:rsidP="00D245D5">
            <w:pPr>
              <w:jc w:val="center"/>
              <w:rPr>
                <w:rFonts w:ascii="Arial" w:hAnsi="Arial" w:cs="Arial"/>
                <w:sz w:val="13"/>
                <w:szCs w:val="13"/>
              </w:rPr>
            </w:pPr>
            <w:r w:rsidRPr="001126AB">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RH</w:t>
            </w:r>
          </w:p>
          <w:p w:rsidR="00113336" w:rsidRPr="001126AB" w:rsidRDefault="00A067B5" w:rsidP="00D245D5">
            <w:pPr>
              <w:jc w:val="center"/>
              <w:rPr>
                <w:rFonts w:ascii="Arial" w:hAnsi="Arial" w:cs="Arial"/>
                <w:sz w:val="13"/>
                <w:szCs w:val="13"/>
              </w:rPr>
            </w:pPr>
            <w:r w:rsidRPr="001126AB">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11</w:t>
            </w:r>
          </w:p>
        </w:tc>
      </w:tr>
      <w:tr w:rsidR="00113336" w:rsidRPr="001126A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126AB" w:rsidRDefault="00A067B5" w:rsidP="00D245D5">
            <w:pPr>
              <w:jc w:val="center"/>
              <w:rPr>
                <w:rFonts w:ascii="Arial" w:hAnsi="Arial" w:cs="Arial"/>
                <w:b/>
                <w:sz w:val="13"/>
                <w:szCs w:val="13"/>
              </w:rPr>
            </w:pPr>
            <w:r w:rsidRPr="001126AB">
              <w:rPr>
                <w:rFonts w:ascii="Arial" w:hAnsi="Arial" w:cs="Arial"/>
                <w:b/>
                <w:sz w:val="13"/>
                <w:szCs w:val="13"/>
              </w:rPr>
              <w:t>YK</w:t>
            </w:r>
          </w:p>
          <w:p w:rsidR="00113336" w:rsidRPr="001126AB" w:rsidRDefault="00A067B5" w:rsidP="00D245D5">
            <w:pPr>
              <w:jc w:val="center"/>
              <w:rPr>
                <w:rFonts w:ascii="Arial" w:hAnsi="Arial" w:cs="Arial"/>
                <w:sz w:val="13"/>
                <w:szCs w:val="13"/>
              </w:rPr>
            </w:pPr>
            <w:r w:rsidRPr="001126AB">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18</w:t>
            </w:r>
          </w:p>
        </w:tc>
      </w:tr>
      <w:tr w:rsidR="00113336" w:rsidRPr="001126A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25</w:t>
            </w:r>
          </w:p>
        </w:tc>
      </w:tr>
      <w:tr w:rsidR="00113336" w:rsidRPr="001126AB"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126AB" w:rsidRDefault="00A067B5" w:rsidP="00A067B5">
            <w:pPr>
              <w:jc w:val="center"/>
              <w:rPr>
                <w:rFonts w:ascii="Arial" w:hAnsi="Arial" w:cs="Arial"/>
                <w:sz w:val="13"/>
                <w:szCs w:val="13"/>
              </w:rPr>
            </w:pPr>
            <w:r w:rsidRPr="001126A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A067B5">
            <w:pPr>
              <w:jc w:val="center"/>
              <w:rPr>
                <w:rFonts w:ascii="Arial" w:hAnsi="Arial" w:cs="Arial"/>
                <w:sz w:val="13"/>
                <w:szCs w:val="13"/>
              </w:rPr>
            </w:pPr>
            <w:r w:rsidRPr="001126A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A067B5">
            <w:pPr>
              <w:jc w:val="center"/>
              <w:rPr>
                <w:rFonts w:ascii="Arial" w:hAnsi="Arial" w:cs="Arial"/>
                <w:sz w:val="13"/>
                <w:szCs w:val="13"/>
              </w:rPr>
            </w:pPr>
            <w:r w:rsidRPr="001126A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126AB"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126AB" w:rsidRDefault="00113336" w:rsidP="00D245D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A067B5" w:rsidP="00D245D5">
            <w:pPr>
              <w:jc w:val="center"/>
              <w:rPr>
                <w:rFonts w:ascii="Arial" w:hAnsi="Arial" w:cs="Arial"/>
                <w:sz w:val="13"/>
                <w:szCs w:val="13"/>
              </w:rPr>
            </w:pPr>
            <w:r w:rsidRPr="001126A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126AB" w:rsidRDefault="00113336" w:rsidP="00D245D5">
            <w:pPr>
              <w:jc w:val="center"/>
              <w:rPr>
                <w:rFonts w:ascii="Arial" w:hAnsi="Arial" w:cs="Arial"/>
                <w:sz w:val="13"/>
                <w:szCs w:val="13"/>
              </w:rPr>
            </w:pPr>
          </w:p>
        </w:tc>
      </w:tr>
    </w:tbl>
    <w:p w:rsidR="00113336" w:rsidRPr="001126AB"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1126AB" w:rsidTr="00B4618C">
        <w:trPr>
          <w:trHeight w:val="445"/>
        </w:trPr>
        <w:tc>
          <w:tcPr>
            <w:tcW w:w="1890" w:type="dxa"/>
            <w:tcBorders>
              <w:top w:val="nil"/>
              <w:left w:val="nil"/>
              <w:bottom w:val="nil"/>
              <w:right w:val="single" w:sz="4" w:space="0" w:color="000000" w:themeColor="text1"/>
            </w:tcBorders>
            <w:vAlign w:val="center"/>
            <w:hideMark/>
          </w:tcPr>
          <w:p w:rsidR="00113336" w:rsidRPr="001126AB" w:rsidRDefault="00113336" w:rsidP="00D245D5">
            <w:pPr>
              <w:rPr>
                <w:rFonts w:ascii="Arial" w:hAnsi="Arial" w:cs="Arial"/>
                <w:b/>
                <w:sz w:val="13"/>
                <w:szCs w:val="13"/>
              </w:rPr>
            </w:pPr>
            <w:r w:rsidRPr="001126AB">
              <w:rPr>
                <w:rFonts w:ascii="Arial" w:hAnsi="Arial" w:cs="Arial"/>
                <w:b/>
                <w:sz w:val="13"/>
                <w:szCs w:val="13"/>
              </w:rPr>
              <w:t>Sitting of the Court /</w:t>
            </w:r>
          </w:p>
          <w:p w:rsidR="00113336" w:rsidRPr="001126AB" w:rsidRDefault="00113336" w:rsidP="00D245D5">
            <w:pPr>
              <w:rPr>
                <w:rFonts w:ascii="Arial" w:hAnsi="Arial" w:cs="Arial"/>
                <w:b/>
                <w:sz w:val="13"/>
                <w:szCs w:val="13"/>
              </w:rPr>
            </w:pPr>
            <w:r w:rsidRPr="001126AB">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1126AB" w:rsidRDefault="00113336" w:rsidP="00D245D5">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1126AB" w:rsidRDefault="00113336" w:rsidP="00D245D5">
            <w:pPr>
              <w:tabs>
                <w:tab w:val="left" w:pos="203"/>
              </w:tabs>
              <w:spacing w:after="120"/>
              <w:rPr>
                <w:rFonts w:ascii="Arial" w:hAnsi="Arial" w:cs="Arial"/>
                <w:b/>
                <w:sz w:val="13"/>
                <w:szCs w:val="13"/>
                <w:lang w:val="fr-CA"/>
              </w:rPr>
            </w:pPr>
            <w:r w:rsidRPr="001126AB">
              <w:rPr>
                <w:rFonts w:ascii="Arial" w:hAnsi="Arial" w:cs="Arial"/>
                <w:b/>
                <w:sz w:val="13"/>
                <w:szCs w:val="13"/>
                <w:lang w:val="fr-CA"/>
              </w:rPr>
              <w:t>18</w:t>
            </w:r>
            <w:r w:rsidRPr="001126AB">
              <w:rPr>
                <w:rFonts w:ascii="Arial" w:hAnsi="Arial" w:cs="Arial"/>
                <w:b/>
                <w:sz w:val="13"/>
                <w:szCs w:val="13"/>
                <w:lang w:val="fr-CA"/>
              </w:rPr>
              <w:tab/>
              <w:t xml:space="preserve"> sitting weeks / semaines séances de la Cour</w:t>
            </w:r>
          </w:p>
          <w:p w:rsidR="00113336" w:rsidRPr="001126AB" w:rsidRDefault="00113336" w:rsidP="00B4618C">
            <w:pPr>
              <w:tabs>
                <w:tab w:val="left" w:pos="203"/>
              </w:tabs>
              <w:rPr>
                <w:rFonts w:ascii="Arial" w:hAnsi="Arial" w:cs="Arial"/>
                <w:b/>
                <w:sz w:val="13"/>
                <w:szCs w:val="13"/>
                <w:lang w:val="fr-CA"/>
              </w:rPr>
            </w:pPr>
            <w:r w:rsidRPr="001126AB">
              <w:rPr>
                <w:rFonts w:ascii="Arial" w:hAnsi="Arial" w:cs="Arial"/>
                <w:b/>
                <w:sz w:val="13"/>
                <w:szCs w:val="13"/>
                <w:lang w:val="fr-CA"/>
              </w:rPr>
              <w:t>8</w:t>
            </w:r>
            <w:r w:rsidR="00B4618C" w:rsidRPr="001126AB">
              <w:rPr>
                <w:rFonts w:ascii="Arial" w:hAnsi="Arial" w:cs="Arial"/>
                <w:b/>
                <w:sz w:val="13"/>
                <w:szCs w:val="13"/>
                <w:lang w:val="fr-CA"/>
              </w:rPr>
              <w:t>8</w:t>
            </w:r>
            <w:r w:rsidRPr="001126AB">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1126AB" w:rsidRDefault="00113336" w:rsidP="00D245D5">
            <w:pPr>
              <w:spacing w:after="120"/>
              <w:rPr>
                <w:rFonts w:ascii="Arial" w:hAnsi="Arial" w:cs="Arial"/>
                <w:b/>
                <w:sz w:val="13"/>
                <w:szCs w:val="13"/>
                <w:lang w:val="fr-FR"/>
              </w:rPr>
            </w:pPr>
            <w:r w:rsidRPr="001126AB">
              <w:rPr>
                <w:rFonts w:ascii="Arial" w:hAnsi="Arial" w:cs="Arial"/>
                <w:b/>
                <w:sz w:val="13"/>
                <w:szCs w:val="13"/>
                <w:lang w:val="fr-FR"/>
              </w:rPr>
              <w:t>Rosh Hashanah / Nouvel An juif</w:t>
            </w:r>
          </w:p>
          <w:p w:rsidR="00113336" w:rsidRPr="001126AB" w:rsidRDefault="00113336" w:rsidP="00B4618C">
            <w:pPr>
              <w:rPr>
                <w:rFonts w:ascii="Arial" w:hAnsi="Arial" w:cs="Arial"/>
                <w:b/>
                <w:sz w:val="13"/>
                <w:szCs w:val="13"/>
                <w:lang w:val="fr-CA"/>
              </w:rPr>
            </w:pPr>
            <w:r w:rsidRPr="001126AB">
              <w:rPr>
                <w:rFonts w:ascii="Arial" w:hAnsi="Arial" w:cs="Arial"/>
                <w:b/>
                <w:sz w:val="13"/>
                <w:szCs w:val="13"/>
                <w:lang w:val="fr-FR"/>
              </w:rPr>
              <w:t xml:space="preserve">Yom </w:t>
            </w:r>
            <w:proofErr w:type="spellStart"/>
            <w:r w:rsidRPr="001126AB">
              <w:rPr>
                <w:rFonts w:ascii="Arial" w:hAnsi="Arial" w:cs="Arial"/>
                <w:b/>
                <w:sz w:val="13"/>
                <w:szCs w:val="13"/>
                <w:lang w:val="fr-FR"/>
              </w:rPr>
              <w:t>Kippur</w:t>
            </w:r>
            <w:proofErr w:type="spellEnd"/>
            <w:r w:rsidRPr="001126AB">
              <w:rPr>
                <w:rFonts w:ascii="Arial" w:hAnsi="Arial" w:cs="Arial"/>
                <w:b/>
                <w:sz w:val="13"/>
                <w:szCs w:val="13"/>
                <w:lang w:val="fr-FR"/>
              </w:rPr>
              <w:t xml:space="preserve"> / Yom Kippour</w:t>
            </w:r>
          </w:p>
        </w:tc>
        <w:tc>
          <w:tcPr>
            <w:tcW w:w="567" w:type="dxa"/>
            <w:hideMark/>
          </w:tcPr>
          <w:p w:rsidR="00113336" w:rsidRPr="001126AB" w:rsidRDefault="00113336" w:rsidP="00D245D5">
            <w:pPr>
              <w:spacing w:after="120"/>
              <w:jc w:val="center"/>
              <w:rPr>
                <w:rFonts w:ascii="Arial" w:hAnsi="Arial" w:cs="Arial"/>
                <w:b/>
                <w:sz w:val="13"/>
                <w:szCs w:val="13"/>
                <w:lang w:val="fr-CA"/>
              </w:rPr>
            </w:pPr>
            <w:r w:rsidRPr="001126AB">
              <w:rPr>
                <w:rFonts w:ascii="Arial" w:hAnsi="Arial" w:cs="Arial"/>
                <w:b/>
                <w:sz w:val="13"/>
                <w:szCs w:val="13"/>
                <w:lang w:val="fr-CA"/>
              </w:rPr>
              <w:t>RH</w:t>
            </w:r>
          </w:p>
          <w:p w:rsidR="00113336" w:rsidRPr="001126AB" w:rsidRDefault="00113336" w:rsidP="00D245D5">
            <w:pPr>
              <w:jc w:val="center"/>
              <w:rPr>
                <w:rFonts w:ascii="Arial" w:hAnsi="Arial" w:cs="Arial"/>
                <w:b/>
                <w:sz w:val="13"/>
                <w:szCs w:val="13"/>
                <w:lang w:val="fr-CA"/>
              </w:rPr>
            </w:pPr>
            <w:r w:rsidRPr="001126AB">
              <w:rPr>
                <w:rFonts w:ascii="Arial" w:hAnsi="Arial" w:cs="Arial"/>
                <w:b/>
                <w:sz w:val="13"/>
                <w:szCs w:val="13"/>
                <w:lang w:val="fr-CA"/>
              </w:rPr>
              <w:t>YK</w:t>
            </w:r>
          </w:p>
        </w:tc>
      </w:tr>
      <w:tr w:rsidR="00113336" w:rsidRPr="001126AB" w:rsidTr="00B4618C">
        <w:trPr>
          <w:trHeight w:val="390"/>
        </w:trPr>
        <w:tc>
          <w:tcPr>
            <w:tcW w:w="1890" w:type="dxa"/>
            <w:tcBorders>
              <w:top w:val="nil"/>
              <w:left w:val="nil"/>
              <w:bottom w:val="nil"/>
              <w:right w:val="double" w:sz="4" w:space="0" w:color="auto"/>
            </w:tcBorders>
            <w:vAlign w:val="center"/>
            <w:hideMark/>
          </w:tcPr>
          <w:p w:rsidR="00113336" w:rsidRPr="001126AB" w:rsidRDefault="00113336" w:rsidP="00D245D5">
            <w:pPr>
              <w:spacing w:before="60"/>
              <w:rPr>
                <w:rFonts w:ascii="Arial" w:hAnsi="Arial" w:cs="Arial"/>
                <w:b/>
                <w:sz w:val="13"/>
                <w:szCs w:val="13"/>
                <w:lang w:val="fr-CA"/>
              </w:rPr>
            </w:pPr>
            <w:r w:rsidRPr="001126AB">
              <w:rPr>
                <w:rFonts w:ascii="Arial" w:hAnsi="Arial" w:cs="Arial"/>
                <w:b/>
                <w:sz w:val="13"/>
                <w:szCs w:val="13"/>
                <w:lang w:val="fr-CA"/>
              </w:rPr>
              <w:t>Court conference /</w:t>
            </w:r>
          </w:p>
          <w:p w:rsidR="00113336" w:rsidRPr="001126AB" w:rsidRDefault="00113336" w:rsidP="00D245D5">
            <w:pPr>
              <w:rPr>
                <w:rFonts w:ascii="Arial" w:hAnsi="Arial" w:cs="Arial"/>
                <w:b/>
                <w:sz w:val="13"/>
                <w:szCs w:val="13"/>
                <w:lang w:val="fr-CA"/>
              </w:rPr>
            </w:pPr>
            <w:r w:rsidRPr="001126AB">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1126AB" w:rsidRDefault="00113336" w:rsidP="00D245D5">
            <w:pPr>
              <w:jc w:val="center"/>
              <w:rPr>
                <w:rFonts w:ascii="Arial" w:hAnsi="Arial" w:cs="Arial"/>
                <w:b/>
                <w:sz w:val="13"/>
                <w:szCs w:val="13"/>
                <w:lang w:val="fr-FR"/>
              </w:rPr>
            </w:pPr>
            <w:r w:rsidRPr="001126AB">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1126AB" w:rsidRDefault="00113336" w:rsidP="00D245D5">
            <w:pPr>
              <w:tabs>
                <w:tab w:val="left" w:pos="203"/>
              </w:tabs>
              <w:spacing w:before="120"/>
              <w:rPr>
                <w:rFonts w:ascii="Arial" w:hAnsi="Arial" w:cs="Arial"/>
                <w:b/>
                <w:sz w:val="13"/>
                <w:szCs w:val="13"/>
                <w:lang w:val="fr-CA"/>
              </w:rPr>
            </w:pPr>
            <w:r w:rsidRPr="001126AB">
              <w:rPr>
                <w:rFonts w:ascii="Arial" w:hAnsi="Arial" w:cs="Arial"/>
                <w:b/>
                <w:sz w:val="13"/>
                <w:szCs w:val="13"/>
                <w:lang w:val="fr-CA"/>
              </w:rPr>
              <w:t>9</w:t>
            </w:r>
            <w:r w:rsidRPr="001126AB">
              <w:rPr>
                <w:rFonts w:ascii="Arial" w:hAnsi="Arial" w:cs="Arial"/>
                <w:b/>
                <w:sz w:val="13"/>
                <w:szCs w:val="13"/>
                <w:lang w:val="fr-CA"/>
              </w:rPr>
              <w:tab/>
              <w:t>Court conference days /</w:t>
            </w:r>
          </w:p>
          <w:p w:rsidR="00113336" w:rsidRPr="001126AB" w:rsidRDefault="00113336" w:rsidP="00B4618C">
            <w:pPr>
              <w:tabs>
                <w:tab w:val="left" w:pos="203"/>
              </w:tabs>
              <w:rPr>
                <w:rFonts w:ascii="Arial" w:hAnsi="Arial" w:cs="Arial"/>
                <w:b/>
                <w:sz w:val="13"/>
                <w:szCs w:val="13"/>
                <w:lang w:val="fr-CA"/>
              </w:rPr>
            </w:pPr>
            <w:r w:rsidRPr="001126AB">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1126AB" w:rsidRDefault="00113336" w:rsidP="00D245D5">
            <w:pPr>
              <w:rPr>
                <w:rFonts w:ascii="Arial" w:hAnsi="Arial" w:cs="Arial"/>
                <w:b/>
                <w:sz w:val="13"/>
                <w:szCs w:val="13"/>
                <w:lang w:val="fr-CA"/>
              </w:rPr>
            </w:pPr>
          </w:p>
        </w:tc>
        <w:tc>
          <w:tcPr>
            <w:tcW w:w="567" w:type="dxa"/>
          </w:tcPr>
          <w:p w:rsidR="00113336" w:rsidRPr="001126AB" w:rsidRDefault="00113336" w:rsidP="00D245D5">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1126AB" w:rsidRDefault="00113336" w:rsidP="00D245D5">
            <w:pPr>
              <w:rPr>
                <w:rFonts w:ascii="Arial" w:hAnsi="Arial" w:cs="Arial"/>
                <w:b/>
                <w:sz w:val="13"/>
                <w:szCs w:val="13"/>
              </w:rPr>
            </w:pPr>
            <w:r w:rsidRPr="001126AB">
              <w:rPr>
                <w:rFonts w:ascii="Arial" w:hAnsi="Arial" w:cs="Arial"/>
                <w:b/>
                <w:sz w:val="13"/>
                <w:szCs w:val="13"/>
              </w:rPr>
              <w:t xml:space="preserve">Holiday / </w:t>
            </w:r>
            <w:r w:rsidRPr="001126AB">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1126AB" w:rsidRDefault="00113336" w:rsidP="00D245D5">
            <w:pPr>
              <w:jc w:val="center"/>
              <w:rPr>
                <w:rFonts w:ascii="Arial" w:hAnsi="Arial" w:cs="Arial"/>
                <w:b/>
                <w:sz w:val="13"/>
                <w:szCs w:val="13"/>
              </w:rPr>
            </w:pPr>
            <w:r w:rsidRPr="001126AB">
              <w:rPr>
                <w:rFonts w:ascii="Arial" w:hAnsi="Arial" w:cs="Arial"/>
                <w:b/>
                <w:sz w:val="13"/>
                <w:szCs w:val="13"/>
              </w:rPr>
              <w:t>H</w:t>
            </w:r>
          </w:p>
        </w:tc>
        <w:tc>
          <w:tcPr>
            <w:tcW w:w="3524" w:type="dxa"/>
            <w:tcBorders>
              <w:top w:val="nil"/>
              <w:left w:val="double" w:sz="4" w:space="0" w:color="auto"/>
              <w:bottom w:val="nil"/>
              <w:right w:val="nil"/>
            </w:tcBorders>
            <w:hideMark/>
          </w:tcPr>
          <w:p w:rsidR="00113336" w:rsidRPr="001126AB" w:rsidRDefault="00B4618C" w:rsidP="00D245D5">
            <w:pPr>
              <w:tabs>
                <w:tab w:val="left" w:pos="203"/>
              </w:tabs>
              <w:spacing w:before="120"/>
              <w:rPr>
                <w:rFonts w:ascii="Arial" w:hAnsi="Arial" w:cs="Arial"/>
                <w:b/>
                <w:sz w:val="13"/>
                <w:szCs w:val="13"/>
              </w:rPr>
            </w:pPr>
            <w:r w:rsidRPr="001126AB">
              <w:rPr>
                <w:rFonts w:ascii="Arial" w:hAnsi="Arial" w:cs="Arial"/>
                <w:b/>
                <w:sz w:val="13"/>
                <w:szCs w:val="13"/>
              </w:rPr>
              <w:t>2</w:t>
            </w:r>
            <w:r w:rsidR="00113336" w:rsidRPr="001126AB">
              <w:rPr>
                <w:rFonts w:ascii="Arial" w:hAnsi="Arial" w:cs="Arial"/>
                <w:b/>
                <w:sz w:val="13"/>
                <w:szCs w:val="13"/>
              </w:rPr>
              <w:tab/>
              <w:t xml:space="preserve">holidays during sitting days / </w:t>
            </w:r>
          </w:p>
          <w:p w:rsidR="00113336" w:rsidRPr="00B4618C" w:rsidRDefault="00113336" w:rsidP="00D245D5">
            <w:pPr>
              <w:tabs>
                <w:tab w:val="left" w:pos="203"/>
              </w:tabs>
              <w:rPr>
                <w:rFonts w:ascii="Arial" w:hAnsi="Arial" w:cs="Arial"/>
                <w:b/>
                <w:sz w:val="13"/>
                <w:szCs w:val="13"/>
                <w:lang w:val="fr-CA"/>
              </w:rPr>
            </w:pPr>
            <w:r w:rsidRPr="001126AB">
              <w:rPr>
                <w:rFonts w:ascii="Arial" w:hAnsi="Arial" w:cs="Arial"/>
                <w:b/>
                <w:sz w:val="13"/>
                <w:szCs w:val="13"/>
              </w:rPr>
              <w:tab/>
            </w:r>
            <w:r w:rsidRPr="001126AB">
              <w:rPr>
                <w:rFonts w:ascii="Arial" w:hAnsi="Arial" w:cs="Arial"/>
                <w:b/>
                <w:sz w:val="13"/>
                <w:szCs w:val="13"/>
                <w:lang w:val="fr-CA"/>
              </w:rPr>
              <w:t>jours fériés durant les séances</w:t>
            </w:r>
            <w:bookmarkStart w:id="9" w:name="_GoBack"/>
            <w:bookmarkEnd w:id="9"/>
          </w:p>
        </w:tc>
        <w:tc>
          <w:tcPr>
            <w:tcW w:w="3828" w:type="dxa"/>
            <w:tcMar>
              <w:top w:w="0" w:type="dxa"/>
              <w:left w:w="58" w:type="dxa"/>
              <w:bottom w:w="0" w:type="dxa"/>
              <w:right w:w="58" w:type="dxa"/>
            </w:tcMar>
          </w:tcPr>
          <w:p w:rsidR="00113336" w:rsidRPr="00B4618C" w:rsidRDefault="00113336" w:rsidP="00D245D5">
            <w:pPr>
              <w:rPr>
                <w:rFonts w:ascii="Arial" w:hAnsi="Arial" w:cs="Arial"/>
                <w:b/>
                <w:sz w:val="13"/>
                <w:szCs w:val="13"/>
                <w:lang w:val="fr-FR"/>
              </w:rPr>
            </w:pPr>
          </w:p>
        </w:tc>
        <w:tc>
          <w:tcPr>
            <w:tcW w:w="567" w:type="dxa"/>
          </w:tcPr>
          <w:p w:rsidR="00113336" w:rsidRPr="00B4618C" w:rsidRDefault="00113336" w:rsidP="00D245D5">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3"/>
      <w:footerReference w:type="default" r:id="rId6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7C" w:rsidRDefault="008F207C" w:rsidP="00A87207">
      <w:r>
        <w:separator/>
      </w:r>
    </w:p>
  </w:endnote>
  <w:endnote w:type="continuationSeparator" w:id="0">
    <w:p w:rsidR="008F207C" w:rsidRDefault="008F207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rsidP="00A87207">
    <w:pPr>
      <w:pStyle w:val="Footer"/>
    </w:pPr>
    <w:r>
      <w:pict>
        <v:rect id="_x0000_i1032" style="width:480.95pt;height:1pt" o:hralign="center" o:hrstd="t" o:hrnoshade="t" o:hr="t" fillcolor="black [3213]" stroked="f"/>
      </w:pict>
    </w:r>
  </w:p>
  <w:p w:rsidR="008F207C" w:rsidRPr="00B7374B" w:rsidRDefault="008F207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126AB">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8F207C" w:rsidRDefault="008F207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Footer"/>
      <w:rPr>
        <w:lang w:val="fr-CA"/>
      </w:rPr>
    </w:pPr>
    <w:r>
      <w:rPr>
        <w:lang w:val="fr-CA"/>
      </w:rPr>
      <w:pict>
        <v:rect id="_x0000_i1060" style="width:480.95pt;height:1pt" o:hralign="center" o:hrstd="t" o:hrnoshade="t" o:hr="t" fillcolor="black [3213]" stroked="f"/>
      </w:pict>
    </w:r>
  </w:p>
  <w:p w:rsidR="008F207C" w:rsidRDefault="008F207C" w:rsidP="00EB2B90">
    <w:pPr>
      <w:tabs>
        <w:tab w:val="center" w:pos="4680"/>
      </w:tabs>
    </w:pPr>
    <w:r>
      <w:tab/>
      <w:t xml:space="preserve">- </w:t>
    </w:r>
    <w:r>
      <w:fldChar w:fldCharType="begin"/>
    </w:r>
    <w:r>
      <w:instrText xml:space="preserve"> PAGE   \* MERGEFORMAT </w:instrText>
    </w:r>
    <w:r>
      <w:fldChar w:fldCharType="separate"/>
    </w:r>
    <w:r w:rsidR="001126AB">
      <w:rPr>
        <w:noProof/>
      </w:rPr>
      <w:t>21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Pr="00924065" w:rsidRDefault="008F207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rsidP="00755F22">
    <w:pPr>
      <w:tabs>
        <w:tab w:val="left" w:pos="-1440"/>
        <w:tab w:val="left" w:pos="-720"/>
      </w:tabs>
    </w:pPr>
    <w:r>
      <w:pict>
        <v:rect id="_x0000_i1033" style="width:480.95pt;height:1pt" o:hralign="center" o:hrstd="t" o:hrnoshade="t" o:hr="t" fillcolor="black [3213]" stroked="f"/>
      </w:pict>
    </w:r>
  </w:p>
  <w:p w:rsidR="008F207C" w:rsidRPr="00954D22" w:rsidRDefault="008F207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126AB">
      <w:rPr>
        <w:noProof/>
        <w:szCs w:val="24"/>
      </w:rPr>
      <w:t>1</w:t>
    </w:r>
    <w:r>
      <w:rPr>
        <w:szCs w:val="24"/>
      </w:rPr>
      <w:fldChar w:fldCharType="end"/>
    </w:r>
    <w:r w:rsidRPr="00954D22">
      <w:rPr>
        <w:szCs w:val="24"/>
      </w:rPr>
      <w:t xml:space="preserve"> -</w:t>
    </w:r>
  </w:p>
  <w:p w:rsidR="008F207C" w:rsidRDefault="008F2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207C" w:rsidRDefault="008F207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8F207C" w:rsidRPr="0009648D" w:rsidRDefault="008F207C" w:rsidP="00ED7E83">
    <w:pPr>
      <w:tabs>
        <w:tab w:val="center" w:pos="4680"/>
      </w:tabs>
    </w:pPr>
    <w:r>
      <w:tab/>
    </w:r>
    <w:r w:rsidRPr="0009648D">
      <w:t xml:space="preserve">- </w:t>
    </w:r>
    <w:r>
      <w:fldChar w:fldCharType="begin"/>
    </w:r>
    <w:r>
      <w:instrText xml:space="preserve"> PAGE   \* MERGEFORMAT </w:instrText>
    </w:r>
    <w:r>
      <w:fldChar w:fldCharType="separate"/>
    </w:r>
    <w:r w:rsidR="001126AB">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Footer"/>
      <w:rPr>
        <w:lang w:val="fr-CA"/>
      </w:rPr>
    </w:pPr>
    <w:r>
      <w:rPr>
        <w:lang w:val="fr-CA"/>
      </w:rPr>
      <w:pict>
        <v:rect id="_x0000_i1053" style="width:480.95pt;height:1pt" o:hralign="center" o:hrstd="t" o:hrnoshade="t" o:hr="t" fillcolor="black [3213]" stroked="f"/>
      </w:pict>
    </w:r>
  </w:p>
  <w:p w:rsidR="008F207C" w:rsidRDefault="008F207C" w:rsidP="00245129">
    <w:pPr>
      <w:tabs>
        <w:tab w:val="center" w:pos="4680"/>
      </w:tabs>
    </w:pPr>
    <w:r>
      <w:tab/>
    </w:r>
    <w:r w:rsidRPr="0009648D">
      <w:t xml:space="preserve">- </w:t>
    </w:r>
    <w:r>
      <w:fldChar w:fldCharType="begin"/>
    </w:r>
    <w:r>
      <w:instrText xml:space="preserve"> PAGE   \* MERGEFORMAT </w:instrText>
    </w:r>
    <w:r>
      <w:fldChar w:fldCharType="separate"/>
    </w:r>
    <w:r w:rsidR="001126AB">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207C" w:rsidRDefault="008F207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rsidP="00755F22">
    <w:pPr>
      <w:tabs>
        <w:tab w:val="left" w:pos="-1440"/>
        <w:tab w:val="left" w:pos="-720"/>
      </w:tabs>
    </w:pPr>
    <w:r>
      <w:pict>
        <v:rect id="_x0000_i1056" style="width:480.95pt;height:1pt" o:hralign="center" o:hrstd="t" o:hrnoshade="t" o:hr="t" fillcolor="black [3213]" stroked="f"/>
      </w:pict>
    </w:r>
  </w:p>
  <w:p w:rsidR="008F207C" w:rsidRDefault="008F207C" w:rsidP="00EB2B90">
    <w:pPr>
      <w:tabs>
        <w:tab w:val="center" w:pos="4680"/>
      </w:tabs>
    </w:pPr>
    <w:r>
      <w:tab/>
      <w:t xml:space="preserve">- </w:t>
    </w:r>
    <w:r>
      <w:fldChar w:fldCharType="begin"/>
    </w:r>
    <w:r>
      <w:instrText xml:space="preserve"> PAGE   \* MERGEFORMAT </w:instrText>
    </w:r>
    <w:r>
      <w:fldChar w:fldCharType="separate"/>
    </w:r>
    <w:r w:rsidR="001126AB">
      <w:rPr>
        <w:noProof/>
      </w:rPr>
      <w:t>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rsidP="00EB2B90">
    <w:pPr>
      <w:tabs>
        <w:tab w:val="center" w:pos="4680"/>
      </w:tabs>
    </w:pPr>
    <w:r>
      <w:pict>
        <v:rect id="_x0000_i1057" style="width:480.95pt;height:1pt" o:hralign="center" o:hrstd="t" o:hrnoshade="t" o:hr="t" fillcolor="black [3213]" stroked="f"/>
      </w:pict>
    </w:r>
  </w:p>
  <w:p w:rsidR="008F207C" w:rsidRPr="0031432F" w:rsidRDefault="008F207C" w:rsidP="00EB2B90">
    <w:pPr>
      <w:tabs>
        <w:tab w:val="center" w:pos="4680"/>
      </w:tabs>
    </w:pPr>
    <w:r>
      <w:tab/>
      <w:t xml:space="preserve">- </w:t>
    </w:r>
    <w:r>
      <w:fldChar w:fldCharType="begin"/>
    </w:r>
    <w:r>
      <w:instrText xml:space="preserve"> PAGE   \* MERGEFORMAT </w:instrText>
    </w:r>
    <w:r>
      <w:fldChar w:fldCharType="separate"/>
    </w:r>
    <w:r w:rsidR="001126AB">
      <w:rPr>
        <w:noProof/>
      </w:rPr>
      <w:t>19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207C" w:rsidRDefault="008F207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7C" w:rsidRDefault="008F207C" w:rsidP="00A87207">
      <w:r>
        <w:separator/>
      </w:r>
    </w:p>
  </w:footnote>
  <w:footnote w:type="continuationSeparator" w:id="0">
    <w:p w:rsidR="008F207C" w:rsidRDefault="008F207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F207C" w:rsidRPr="0044776A" w:rsidTr="00245129">
      <w:tc>
        <w:tcPr>
          <w:tcW w:w="4290" w:type="dxa"/>
          <w:tcMar>
            <w:left w:w="0" w:type="dxa"/>
            <w:right w:w="0" w:type="dxa"/>
          </w:tcMar>
        </w:tcPr>
        <w:p w:rsidR="008F207C" w:rsidRPr="00D31809" w:rsidRDefault="008F207C" w:rsidP="00D31809">
          <w:pPr>
            <w:keepNext/>
            <w:keepLines/>
            <w:rPr>
              <w:sz w:val="20"/>
              <w:szCs w:val="20"/>
              <w:lang w:val="en-US"/>
            </w:rPr>
          </w:pPr>
          <w:r w:rsidRPr="00D31809">
            <w:rPr>
              <w:sz w:val="20"/>
              <w:szCs w:val="20"/>
              <w:lang w:val="en-US"/>
            </w:rPr>
            <w:t>Applications for leave to appeal filed</w:t>
          </w:r>
        </w:p>
        <w:p w:rsidR="008F207C" w:rsidRPr="00D31809" w:rsidRDefault="008F207C" w:rsidP="00D31809">
          <w:pPr>
            <w:keepNext/>
            <w:keepLines/>
            <w:rPr>
              <w:sz w:val="20"/>
              <w:szCs w:val="20"/>
            </w:rPr>
          </w:pPr>
        </w:p>
      </w:tc>
      <w:tc>
        <w:tcPr>
          <w:tcW w:w="1200" w:type="dxa"/>
          <w:tcMar>
            <w:left w:w="0" w:type="dxa"/>
            <w:right w:w="0" w:type="dxa"/>
          </w:tcMar>
        </w:tcPr>
        <w:p w:rsidR="008F207C" w:rsidRPr="00D31809" w:rsidRDefault="008F207C" w:rsidP="002E2327">
          <w:pPr>
            <w:keepNext/>
            <w:keepLines/>
            <w:tabs>
              <w:tab w:val="left" w:pos="-1440"/>
              <w:tab w:val="left" w:pos="-720"/>
            </w:tabs>
            <w:jc w:val="center"/>
            <w:rPr>
              <w:sz w:val="20"/>
              <w:szCs w:val="20"/>
            </w:rPr>
          </w:pPr>
        </w:p>
      </w:tc>
      <w:tc>
        <w:tcPr>
          <w:tcW w:w="4320" w:type="dxa"/>
          <w:tcMar>
            <w:left w:w="0" w:type="dxa"/>
            <w:right w:w="0" w:type="dxa"/>
          </w:tcMar>
        </w:tcPr>
        <w:p w:rsidR="008F207C" w:rsidRPr="00D31809" w:rsidRDefault="008F207C" w:rsidP="002E2327">
          <w:pPr>
            <w:keepLines/>
            <w:rPr>
              <w:sz w:val="20"/>
              <w:szCs w:val="20"/>
              <w:lang w:val="fr-CA"/>
            </w:rPr>
          </w:pPr>
          <w:r w:rsidRPr="00D31809">
            <w:rPr>
              <w:sz w:val="20"/>
              <w:szCs w:val="20"/>
              <w:lang w:val="fr-CA"/>
            </w:rPr>
            <w:t>Demandes d’autorisation d’appel déposées</w:t>
          </w:r>
        </w:p>
      </w:tc>
    </w:tr>
  </w:tbl>
  <w:p w:rsidR="008F207C" w:rsidRDefault="008F20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F207C" w:rsidRPr="008F207C" w:rsidTr="00245129">
      <w:tc>
        <w:tcPr>
          <w:tcW w:w="4200" w:type="dxa"/>
          <w:tcMar>
            <w:left w:w="0" w:type="dxa"/>
            <w:right w:w="0" w:type="dxa"/>
          </w:tcMar>
        </w:tcPr>
        <w:p w:rsidR="008F207C" w:rsidRPr="00F40249" w:rsidRDefault="008F207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F207C" w:rsidRDefault="008F207C" w:rsidP="00102926">
          <w:pPr>
            <w:keepNext/>
            <w:keepLines/>
            <w:tabs>
              <w:tab w:val="left" w:pos="-1440"/>
              <w:tab w:val="left" w:pos="-720"/>
            </w:tabs>
            <w:jc w:val="center"/>
            <w:rPr>
              <w:sz w:val="20"/>
              <w:szCs w:val="20"/>
            </w:rPr>
          </w:pPr>
        </w:p>
        <w:p w:rsidR="008F207C" w:rsidRDefault="008F207C" w:rsidP="00102926">
          <w:pPr>
            <w:keepNext/>
            <w:keepLines/>
            <w:tabs>
              <w:tab w:val="left" w:pos="-1440"/>
              <w:tab w:val="left" w:pos="-720"/>
            </w:tabs>
            <w:jc w:val="center"/>
            <w:rPr>
              <w:sz w:val="20"/>
              <w:szCs w:val="20"/>
            </w:rPr>
          </w:pPr>
        </w:p>
        <w:p w:rsidR="008F207C" w:rsidRPr="00F40249" w:rsidRDefault="008F207C" w:rsidP="00102926">
          <w:pPr>
            <w:keepNext/>
            <w:keepLines/>
            <w:tabs>
              <w:tab w:val="left" w:pos="-1440"/>
              <w:tab w:val="left" w:pos="-720"/>
            </w:tabs>
            <w:jc w:val="center"/>
            <w:rPr>
              <w:sz w:val="20"/>
              <w:szCs w:val="20"/>
            </w:rPr>
          </w:pPr>
        </w:p>
      </w:tc>
      <w:tc>
        <w:tcPr>
          <w:tcW w:w="4230" w:type="dxa"/>
          <w:tcMar>
            <w:left w:w="0" w:type="dxa"/>
            <w:right w:w="0" w:type="dxa"/>
          </w:tcMar>
        </w:tcPr>
        <w:p w:rsidR="008F207C" w:rsidRPr="00F40249" w:rsidRDefault="008F207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F207C" w:rsidRPr="00B01A03" w:rsidRDefault="008F207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F207C" w:rsidRPr="008F207C">
      <w:tc>
        <w:tcPr>
          <w:tcW w:w="4200" w:type="dxa"/>
          <w:tcMar>
            <w:left w:w="0" w:type="dxa"/>
            <w:right w:w="0" w:type="dxa"/>
          </w:tcMar>
        </w:tcPr>
        <w:p w:rsidR="008F207C" w:rsidRDefault="008F2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F207C" w:rsidRDefault="008F2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F207C"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207C" w:rsidRPr="00FF6BA5"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F207C" w:rsidRPr="00FF6BA5"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F207C" w:rsidRPr="00FF6BA5"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F207C" w:rsidRPr="00FF6BA5"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F207C" w:rsidRPr="008F207C" w:rsidTr="00245129">
      <w:tc>
        <w:tcPr>
          <w:tcW w:w="4200" w:type="dxa"/>
          <w:tcMar>
            <w:left w:w="0" w:type="dxa"/>
            <w:right w:w="0" w:type="dxa"/>
          </w:tcMar>
        </w:tcPr>
        <w:p w:rsidR="008F207C" w:rsidRPr="00634F42" w:rsidRDefault="008F207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F207C" w:rsidRPr="00755F22" w:rsidRDefault="008F20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F207C" w:rsidRPr="00755F22" w:rsidRDefault="008F20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F207C" w:rsidRPr="00755F22"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F207C" w:rsidRPr="00FF6BA5" w:rsidRDefault="008F207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F207C">
      <w:tc>
        <w:tcPr>
          <w:tcW w:w="4230" w:type="dxa"/>
          <w:tcMar>
            <w:left w:w="0" w:type="dxa"/>
            <w:right w:w="0" w:type="dxa"/>
          </w:tcMar>
        </w:tcPr>
        <w:p w:rsidR="008F207C" w:rsidRDefault="008F2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F207C"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207C"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F207C">
      <w:trPr>
        <w:gridAfter w:val="2"/>
        <w:wAfter w:w="5250" w:type="dxa"/>
      </w:trPr>
      <w:tc>
        <w:tcPr>
          <w:tcW w:w="4230" w:type="dxa"/>
          <w:tcMar>
            <w:left w:w="0" w:type="dxa"/>
            <w:right w:w="0" w:type="dxa"/>
          </w:tcMar>
        </w:tcPr>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F207C"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F207C" w:rsidRPr="00755F22" w:rsidTr="00245129">
      <w:tc>
        <w:tcPr>
          <w:tcW w:w="4230" w:type="dxa"/>
          <w:tcMar>
            <w:left w:w="0" w:type="dxa"/>
            <w:right w:w="0" w:type="dxa"/>
          </w:tcMar>
        </w:tcPr>
        <w:p w:rsidR="008F207C" w:rsidRPr="00755F22" w:rsidRDefault="008F207C" w:rsidP="00831CA9">
          <w:pPr>
            <w:keepNext/>
            <w:keepLines/>
            <w:rPr>
              <w:sz w:val="20"/>
              <w:szCs w:val="20"/>
            </w:rPr>
          </w:pPr>
          <w:r w:rsidRPr="00755F22">
            <w:rPr>
              <w:sz w:val="20"/>
              <w:szCs w:val="20"/>
            </w:rPr>
            <w:t>Motions</w:t>
          </w:r>
        </w:p>
      </w:tc>
      <w:tc>
        <w:tcPr>
          <w:tcW w:w="1170" w:type="dxa"/>
          <w:tcMar>
            <w:left w:w="0" w:type="dxa"/>
            <w:right w:w="0" w:type="dxa"/>
          </w:tcMar>
        </w:tcPr>
        <w:p w:rsidR="008F207C" w:rsidRPr="00755F22" w:rsidRDefault="008F207C" w:rsidP="00831CA9">
          <w:pPr>
            <w:keepLines/>
            <w:jc w:val="center"/>
            <w:rPr>
              <w:sz w:val="20"/>
              <w:szCs w:val="20"/>
            </w:rPr>
          </w:pPr>
        </w:p>
        <w:p w:rsidR="008F207C" w:rsidRPr="00755F22" w:rsidRDefault="008F207C" w:rsidP="00831CA9">
          <w:pPr>
            <w:keepLines/>
            <w:tabs>
              <w:tab w:val="left" w:pos="-1440"/>
              <w:tab w:val="left" w:pos="-720"/>
            </w:tabs>
            <w:jc w:val="center"/>
            <w:rPr>
              <w:sz w:val="20"/>
              <w:szCs w:val="20"/>
            </w:rPr>
          </w:pPr>
        </w:p>
      </w:tc>
      <w:tc>
        <w:tcPr>
          <w:tcW w:w="4080" w:type="dxa"/>
          <w:tcMar>
            <w:left w:w="0" w:type="dxa"/>
            <w:right w:w="0" w:type="dxa"/>
          </w:tcMar>
        </w:tcPr>
        <w:p w:rsidR="008F207C" w:rsidRPr="00BA6468" w:rsidRDefault="008F207C" w:rsidP="00BA6468">
          <w:pPr>
            <w:keepLines/>
            <w:rPr>
              <w:sz w:val="20"/>
              <w:szCs w:val="20"/>
              <w:lang w:val="fr-CA"/>
            </w:rPr>
          </w:pPr>
          <w:r w:rsidRPr="00BA6468">
            <w:rPr>
              <w:sz w:val="20"/>
              <w:szCs w:val="20"/>
              <w:lang w:val="fr-CA"/>
            </w:rPr>
            <w:t>Requêtes</w:t>
          </w:r>
        </w:p>
      </w:tc>
    </w:tr>
  </w:tbl>
  <w:p w:rsidR="008F207C" w:rsidRDefault="008F207C"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7C" w:rsidRDefault="008F20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F207C" w:rsidRPr="008F207C">
      <w:tc>
        <w:tcPr>
          <w:tcW w:w="4200" w:type="dxa"/>
          <w:tcMar>
            <w:left w:w="0" w:type="dxa"/>
            <w:right w:w="0" w:type="dxa"/>
          </w:tcMar>
        </w:tcPr>
        <w:p w:rsidR="008F207C" w:rsidRDefault="008F2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F207C" w:rsidRDefault="008F2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207C" w:rsidRPr="00B01A03" w:rsidRDefault="008F2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F207C" w:rsidRPr="00B01A03"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F207C" w:rsidRPr="00B01A03" w:rsidRDefault="008F2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52"/>
    <w:rsid w:val="00002704"/>
    <w:rsid w:val="00020DC3"/>
    <w:rsid w:val="0003223B"/>
    <w:rsid w:val="000327B2"/>
    <w:rsid w:val="00033A57"/>
    <w:rsid w:val="0004528B"/>
    <w:rsid w:val="00045DE3"/>
    <w:rsid w:val="00064FBA"/>
    <w:rsid w:val="00091BA6"/>
    <w:rsid w:val="00091FA6"/>
    <w:rsid w:val="0009686C"/>
    <w:rsid w:val="00096BD9"/>
    <w:rsid w:val="000B0824"/>
    <w:rsid w:val="000B3C9A"/>
    <w:rsid w:val="000B40A2"/>
    <w:rsid w:val="000B4624"/>
    <w:rsid w:val="000C0ACD"/>
    <w:rsid w:val="000C0D2A"/>
    <w:rsid w:val="000C1D9D"/>
    <w:rsid w:val="000C5CE8"/>
    <w:rsid w:val="000D3ED6"/>
    <w:rsid w:val="000E27A5"/>
    <w:rsid w:val="000E2959"/>
    <w:rsid w:val="000F0B60"/>
    <w:rsid w:val="000F2CA3"/>
    <w:rsid w:val="00102792"/>
    <w:rsid w:val="00102926"/>
    <w:rsid w:val="0010587F"/>
    <w:rsid w:val="00111C6B"/>
    <w:rsid w:val="001126A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7A20"/>
    <w:rsid w:val="001B157C"/>
    <w:rsid w:val="001B1994"/>
    <w:rsid w:val="001B4006"/>
    <w:rsid w:val="001B5C23"/>
    <w:rsid w:val="001D0D5F"/>
    <w:rsid w:val="001D6B8C"/>
    <w:rsid w:val="001F1F83"/>
    <w:rsid w:val="001F40DF"/>
    <w:rsid w:val="001F43F8"/>
    <w:rsid w:val="001F6B2D"/>
    <w:rsid w:val="002021A9"/>
    <w:rsid w:val="00211666"/>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62A5"/>
    <w:rsid w:val="003D050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E709B"/>
    <w:rsid w:val="004F090E"/>
    <w:rsid w:val="00501F3C"/>
    <w:rsid w:val="00506BE1"/>
    <w:rsid w:val="00515A68"/>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620E9"/>
    <w:rsid w:val="00675479"/>
    <w:rsid w:val="00675552"/>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5D14"/>
    <w:rsid w:val="0079724F"/>
    <w:rsid w:val="007A3EAE"/>
    <w:rsid w:val="007B09D6"/>
    <w:rsid w:val="007B1462"/>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649B4"/>
    <w:rsid w:val="00877592"/>
    <w:rsid w:val="008859F1"/>
    <w:rsid w:val="008902B1"/>
    <w:rsid w:val="00890FEB"/>
    <w:rsid w:val="00893449"/>
    <w:rsid w:val="00895E7E"/>
    <w:rsid w:val="008961FD"/>
    <w:rsid w:val="008A5C1A"/>
    <w:rsid w:val="008B2AAC"/>
    <w:rsid w:val="008C2318"/>
    <w:rsid w:val="008D085E"/>
    <w:rsid w:val="008D292F"/>
    <w:rsid w:val="008D3D4B"/>
    <w:rsid w:val="008E03DC"/>
    <w:rsid w:val="008F207C"/>
    <w:rsid w:val="00902E51"/>
    <w:rsid w:val="009058B9"/>
    <w:rsid w:val="0091050E"/>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C4277"/>
    <w:rsid w:val="009C4E23"/>
    <w:rsid w:val="009D1F15"/>
    <w:rsid w:val="009D555E"/>
    <w:rsid w:val="009F3024"/>
    <w:rsid w:val="009F39BA"/>
    <w:rsid w:val="00A01AA0"/>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053C"/>
    <w:rsid w:val="00AD1D34"/>
    <w:rsid w:val="00AD3259"/>
    <w:rsid w:val="00AD52FC"/>
    <w:rsid w:val="00AE043C"/>
    <w:rsid w:val="00AE46A3"/>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C7942"/>
    <w:rsid w:val="00BD06DA"/>
    <w:rsid w:val="00BD264E"/>
    <w:rsid w:val="00BD4217"/>
    <w:rsid w:val="00BE318B"/>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45D5"/>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0B04"/>
    <w:rsid w:val="00E414CA"/>
    <w:rsid w:val="00E41A5A"/>
    <w:rsid w:val="00E45FE4"/>
    <w:rsid w:val="00E64FA7"/>
    <w:rsid w:val="00E65960"/>
    <w:rsid w:val="00E664DA"/>
    <w:rsid w:val="00E670F7"/>
    <w:rsid w:val="00E71254"/>
    <w:rsid w:val="00E75CFD"/>
    <w:rsid w:val="00E770CB"/>
    <w:rsid w:val="00E80D6C"/>
    <w:rsid w:val="00E8544A"/>
    <w:rsid w:val="00E8665F"/>
    <w:rsid w:val="00E903A1"/>
    <w:rsid w:val="00E92A37"/>
    <w:rsid w:val="00E940EB"/>
    <w:rsid w:val="00E942C2"/>
    <w:rsid w:val="00E9703F"/>
    <w:rsid w:val="00E97984"/>
    <w:rsid w:val="00EB0C12"/>
    <w:rsid w:val="00EB2B90"/>
    <w:rsid w:val="00ED078F"/>
    <w:rsid w:val="00ED406E"/>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0F6C"/>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0/2020onca237/2020onca237.html?resultIndex=1" TargetMode="External"/><Relationship Id="rId26" Type="http://schemas.openxmlformats.org/officeDocument/2006/relationships/hyperlink" Target="https://www.canlii.org/en/on/onca/doc/2020/2020onca288/2020onca288.html?autocompleteStr=2020%20ONCA%20288&amp;autocompletePos=1" TargetMode="External"/><Relationship Id="rId39" Type="http://schemas.openxmlformats.org/officeDocument/2006/relationships/hyperlink" Target="https://www.canlii.org/en/ab/abca/doc/2018/2018abca270/2018abca270.html" TargetMode="External"/><Relationship Id="rId21" Type="http://schemas.openxmlformats.org/officeDocument/2006/relationships/hyperlink" Target="https://www.canlii.org/en/ca/fct/doc/2018/2018fc747/2018fc747.html" TargetMode="External"/><Relationship Id="rId34" Type="http://schemas.openxmlformats.org/officeDocument/2006/relationships/hyperlink" Target="https://www.canlii.org/en/bc/bcca/doc/2020/2020bcca116/2020bcca116.html?resultIndex=1" TargetMode="External"/><Relationship Id="rId42" Type="http://schemas.openxmlformats.org/officeDocument/2006/relationships/hyperlink" Target="https://www.canlii.org/en/ab/abca/doc/2020/2020abca188/2020abca188.html?autocompleteStr=2020%20abca%20188&amp;autocompletePos=1"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onca/doc/2020/2020onca237/2020onca237.html?resultIndex=1" TargetMode="External"/><Relationship Id="rId20" Type="http://schemas.openxmlformats.org/officeDocument/2006/relationships/hyperlink" Target="https://www.canlii.org/fr/qc/qcca/doc/2020/2020qcca431/2020qcca431.html?autocompleteStr=200-10-003497-182&amp;autocompletePos=1" TargetMode="External"/><Relationship Id="rId29" Type="http://schemas.openxmlformats.org/officeDocument/2006/relationships/hyperlink" Target="https://www.canlii.org/en/bc/bcpc/doc/2016/2016bcpc219/2016bcpc219.html?resultIndex=1" TargetMode="External"/><Relationship Id="rId41" Type="http://schemas.openxmlformats.org/officeDocument/2006/relationships/hyperlink" Target="https://www.canlii.org/en/ab/abca/doc/2020/2020abca188/2020abca188.html?autocompleteStr=2020%20abca%20188&amp;autocompletePos=1" TargetMode="External"/><Relationship Id="rId54" Type="http://schemas.openxmlformats.org/officeDocument/2006/relationships/footer" Target="footer7.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ca/caf/doc/2020/2020caf74/2020caf74.html?searchUrlHash=AAAAAQAkU1lMVkFJTiBQSUNBUkQgUkJBLCBHUk9VUEUgRklOQU5DSUVSAAAAAAE&amp;resultIndex=1" TargetMode="External"/><Relationship Id="rId32" Type="http://schemas.openxmlformats.org/officeDocument/2006/relationships/hyperlink" Target="https://www.canlii.org/en/bc/bcca/doc/2020/2020bcca23/2020bcca23.html?resultIndex=1" TargetMode="External"/><Relationship Id="rId37" Type="http://schemas.openxmlformats.org/officeDocument/2006/relationships/hyperlink" Target="https://www.canlii.org/en/ab/abca/doc/2018/2018abca270/2018abca270.html" TargetMode="External"/><Relationship Id="rId40" Type="http://schemas.openxmlformats.org/officeDocument/2006/relationships/hyperlink" Target="https://www.canlii.org/en/ab/abca/doc/2020/2020abca162/2020abca162.html"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sc/doc/2019/2019onsc4055/2019onsc4055.html?autocompleteStr=2019%20ONSC%204055&amp;autocompletePos=1" TargetMode="External"/><Relationship Id="rId23" Type="http://schemas.openxmlformats.org/officeDocument/2006/relationships/hyperlink" Target="https://www.canlii.org/fr/ca/cfpi/doc/2018/2018cf747/2018cf747.html" TargetMode="External"/><Relationship Id="rId28" Type="http://schemas.openxmlformats.org/officeDocument/2006/relationships/hyperlink" Target="https://www.canlii.org/en/on/onca/doc/2020/2020onca288/2020onca288.html?autocompleteStr=2020%20ONCA%20288&amp;autocompletePos=1" TargetMode="External"/><Relationship Id="rId36" Type="http://schemas.openxmlformats.org/officeDocument/2006/relationships/hyperlink" Target="https://www.canlii.org/en/bc/bcca/doc/2020/2020bcca116/2020bcca116.html?resultIndex=1" TargetMode="External"/><Relationship Id="rId49" Type="http://schemas.openxmlformats.org/officeDocument/2006/relationships/header" Target="header5.xm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https://www.scc-csc.ca" TargetMode="External"/><Relationship Id="rId19" Type="http://schemas.openxmlformats.org/officeDocument/2006/relationships/hyperlink" Target="https://www.canlii.org/fr/qc/qcca/doc/2020/2020qcca431/2020qcca431.html?autocompleteStr=200-10-003497-182&amp;autocompletePos=1" TargetMode="External"/><Relationship Id="rId31" Type="http://schemas.openxmlformats.org/officeDocument/2006/relationships/hyperlink" Target="https://www.canlii.org/en/bc/bcpc/doc/2016/2016bcpc219/2016bcpc219.html?resultIndex=1" TargetMode="External"/><Relationship Id="rId44" Type="http://schemas.openxmlformats.org/officeDocument/2006/relationships/hyperlink" Target="https://www.canlii.org/en/mb/mbca/doc/2020/2020mbca46/2020mbca46.html?autocompleteStr=2020%20MBCA%2046&amp;autocompletePos=1" TargetMode="External"/><Relationship Id="rId52" Type="http://schemas.openxmlformats.org/officeDocument/2006/relationships/header" Target="header7.xml"/><Relationship Id="rId60" Type="http://schemas.openxmlformats.org/officeDocument/2006/relationships/footer" Target="footer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ca/fca/doc/2020/2020fca74/2020fca74.html" TargetMode="External"/><Relationship Id="rId27" Type="http://schemas.openxmlformats.org/officeDocument/2006/relationships/hyperlink" Target="https://www.canlii.org/en/on/onsc/doc/2018/2018onsc2595/2018onsc2595.html?autocompleteStr=2018%20ONSC%202595&amp;autocompletePos=1" TargetMode="External"/><Relationship Id="rId30" Type="http://schemas.openxmlformats.org/officeDocument/2006/relationships/hyperlink" Target="https://www.canlii.org/en/bc/bcca/doc/2020/2020bcca23/2020bcca23.html?resultIndex=1" TargetMode="External"/><Relationship Id="rId35" Type="http://schemas.openxmlformats.org/officeDocument/2006/relationships/hyperlink" Target="https://www.canlii.org/en/ca/scc/doc/2014/2014scc52/2014scc52.html" TargetMode="External"/><Relationship Id="rId43" Type="http://schemas.openxmlformats.org/officeDocument/2006/relationships/hyperlink" Target="https://www.canlii.org/en/mb/mbca/doc/2020/2020mbca46/2020mbca46.html?autocompleteStr=2020%20MBCA%2046&amp;autocompletePos=1"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9/2019onsc4055/2019onsc4055.html?autocompleteStr=2019%20ONSC%204055&amp;autocompletePos=1" TargetMode="External"/><Relationship Id="rId25" Type="http://schemas.openxmlformats.org/officeDocument/2006/relationships/hyperlink" Target="https://www.canlii.org/en/on/onsc/doc/2018/2018onsc2595/2018onsc2595.html?autocompleteStr=2018%20ONSC%202595&amp;autocompletePos=1" TargetMode="External"/><Relationship Id="rId33" Type="http://schemas.openxmlformats.org/officeDocument/2006/relationships/hyperlink" Target="https://www.canlii.org/en/ca/scc/doc/2014/2014scc52/2014scc52.html" TargetMode="External"/><Relationship Id="rId38" Type="http://schemas.openxmlformats.org/officeDocument/2006/relationships/hyperlink" Target="https://www.canlii.org/en/ab/abca/doc/2020/2020abca162/2020abca162.html" TargetMode="External"/><Relationship Id="rId46" Type="http://schemas.openxmlformats.org/officeDocument/2006/relationships/header" Target="header4.xml"/><Relationship Id="rId59"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D347-105E-4F44-8301-1B3DCC73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24</Pages>
  <Words>9097</Words>
  <Characters>51856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2020-11-18T18:28:00Z</dcterms:created>
  <dcterms:modified xsi:type="dcterms:W3CDTF">2020-11-26T18:41:00Z</dcterms:modified>
</cp:coreProperties>
</file>