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407E9" w:rsidTr="00F138C1">
        <w:tc>
          <w:tcPr>
            <w:tcW w:w="9648" w:type="dxa"/>
            <w:gridSpan w:val="3"/>
          </w:tcPr>
          <w:p w:rsidR="00F138C1" w:rsidRPr="00E407E9" w:rsidRDefault="00F138C1" w:rsidP="00F138C1">
            <w:pPr>
              <w:tabs>
                <w:tab w:val="left" w:pos="6075"/>
              </w:tabs>
              <w:jc w:val="center"/>
              <w:rPr>
                <w:b/>
                <w:sz w:val="32"/>
                <w:szCs w:val="32"/>
                <w:lang w:val="fr-CA"/>
              </w:rPr>
            </w:pPr>
            <w:r w:rsidRPr="00E407E9">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E407E9" w:rsidTr="00F138C1">
        <w:tc>
          <w:tcPr>
            <w:tcW w:w="4599" w:type="dxa"/>
            <w:tcMar>
              <w:top w:w="284" w:type="dxa"/>
            </w:tcMar>
          </w:tcPr>
          <w:p w:rsidR="00F138C1" w:rsidRPr="00E407E9" w:rsidRDefault="00F138C1" w:rsidP="00F138C1">
            <w:pPr>
              <w:tabs>
                <w:tab w:val="left" w:pos="6075"/>
              </w:tabs>
              <w:jc w:val="center"/>
              <w:rPr>
                <w:b/>
                <w:sz w:val="32"/>
                <w:szCs w:val="32"/>
              </w:rPr>
            </w:pPr>
            <w:r w:rsidRPr="00E407E9">
              <w:rPr>
                <w:b/>
                <w:sz w:val="32"/>
                <w:szCs w:val="32"/>
              </w:rPr>
              <w:t>SUPREME COURT OF CANADA</w:t>
            </w:r>
          </w:p>
        </w:tc>
        <w:tc>
          <w:tcPr>
            <w:tcW w:w="483" w:type="dxa"/>
          </w:tcPr>
          <w:p w:rsidR="00F138C1" w:rsidRPr="00E407E9" w:rsidRDefault="00F138C1" w:rsidP="00F138C1">
            <w:pPr>
              <w:tabs>
                <w:tab w:val="left" w:pos="6075"/>
              </w:tabs>
              <w:jc w:val="center"/>
              <w:rPr>
                <w:sz w:val="32"/>
                <w:szCs w:val="32"/>
              </w:rPr>
            </w:pPr>
          </w:p>
        </w:tc>
        <w:tc>
          <w:tcPr>
            <w:tcW w:w="4566" w:type="dxa"/>
            <w:tcMar>
              <w:top w:w="284" w:type="dxa"/>
            </w:tcMar>
          </w:tcPr>
          <w:p w:rsidR="00F138C1" w:rsidRPr="00E407E9" w:rsidRDefault="00F138C1" w:rsidP="00F138C1">
            <w:pPr>
              <w:tabs>
                <w:tab w:val="left" w:pos="6075"/>
              </w:tabs>
              <w:jc w:val="center"/>
              <w:rPr>
                <w:b/>
                <w:sz w:val="32"/>
                <w:szCs w:val="32"/>
                <w:lang w:val="fr-CA"/>
              </w:rPr>
            </w:pPr>
            <w:r w:rsidRPr="00E407E9">
              <w:rPr>
                <w:b/>
                <w:sz w:val="32"/>
                <w:szCs w:val="32"/>
                <w:lang w:val="fr-CA"/>
              </w:rPr>
              <w:t>COUR SUPRÊME DU CANADA</w:t>
            </w:r>
          </w:p>
        </w:tc>
      </w:tr>
      <w:tr w:rsidR="00F138C1" w:rsidRPr="00E407E9" w:rsidTr="00F138C1">
        <w:tc>
          <w:tcPr>
            <w:tcW w:w="4599" w:type="dxa"/>
            <w:tcMar>
              <w:top w:w="567" w:type="dxa"/>
            </w:tcMar>
          </w:tcPr>
          <w:p w:rsidR="00F138C1" w:rsidRPr="00E407E9" w:rsidRDefault="00F138C1" w:rsidP="00F138C1">
            <w:pPr>
              <w:tabs>
                <w:tab w:val="left" w:pos="6075"/>
              </w:tabs>
              <w:jc w:val="center"/>
              <w:rPr>
                <w:sz w:val="28"/>
                <w:szCs w:val="28"/>
              </w:rPr>
            </w:pPr>
            <w:r w:rsidRPr="00E407E9">
              <w:rPr>
                <w:sz w:val="28"/>
                <w:szCs w:val="28"/>
              </w:rPr>
              <w:t>BULLETIN OF</w:t>
            </w:r>
            <w:r w:rsidRPr="00E407E9">
              <w:rPr>
                <w:sz w:val="28"/>
                <w:szCs w:val="28"/>
              </w:rPr>
              <w:br/>
              <w:t xml:space="preserve"> PROCEEDINGS</w:t>
            </w:r>
          </w:p>
        </w:tc>
        <w:tc>
          <w:tcPr>
            <w:tcW w:w="483" w:type="dxa"/>
          </w:tcPr>
          <w:p w:rsidR="00F138C1" w:rsidRPr="00E407E9" w:rsidRDefault="00F138C1" w:rsidP="00F138C1">
            <w:pPr>
              <w:tabs>
                <w:tab w:val="left" w:pos="6075"/>
              </w:tabs>
            </w:pPr>
          </w:p>
        </w:tc>
        <w:tc>
          <w:tcPr>
            <w:tcW w:w="4566" w:type="dxa"/>
            <w:tcMar>
              <w:top w:w="567" w:type="dxa"/>
            </w:tcMar>
          </w:tcPr>
          <w:p w:rsidR="00F138C1" w:rsidRPr="00E407E9" w:rsidRDefault="00F138C1" w:rsidP="00F138C1">
            <w:pPr>
              <w:tabs>
                <w:tab w:val="left" w:pos="6075"/>
              </w:tabs>
              <w:jc w:val="center"/>
              <w:rPr>
                <w:sz w:val="28"/>
                <w:szCs w:val="28"/>
                <w:lang w:val="fr-CA"/>
              </w:rPr>
            </w:pPr>
            <w:r w:rsidRPr="00E407E9">
              <w:rPr>
                <w:sz w:val="28"/>
                <w:szCs w:val="28"/>
                <w:lang w:val="fr-CA"/>
              </w:rPr>
              <w:t>BULLETIN DES</w:t>
            </w:r>
            <w:r w:rsidRPr="00E407E9">
              <w:rPr>
                <w:sz w:val="28"/>
                <w:szCs w:val="28"/>
                <w:lang w:val="fr-CA"/>
              </w:rPr>
              <w:br/>
              <w:t xml:space="preserve"> PROCÉDURES</w:t>
            </w:r>
          </w:p>
        </w:tc>
      </w:tr>
      <w:tr w:rsidR="00F138C1" w:rsidRPr="001A3EBC" w:rsidTr="00F138C1">
        <w:tc>
          <w:tcPr>
            <w:tcW w:w="4599" w:type="dxa"/>
            <w:tcMar>
              <w:top w:w="567" w:type="dxa"/>
            </w:tcMar>
          </w:tcPr>
          <w:p w:rsidR="00F138C1" w:rsidRPr="00E407E9" w:rsidRDefault="00F138C1" w:rsidP="00F138C1">
            <w:pPr>
              <w:tabs>
                <w:tab w:val="left" w:pos="6075"/>
              </w:tabs>
              <w:jc w:val="both"/>
              <w:rPr>
                <w:rFonts w:ascii="Arial" w:hAnsi="Arial" w:cs="Arial"/>
                <w:i/>
                <w:sz w:val="20"/>
                <w:szCs w:val="20"/>
              </w:rPr>
            </w:pPr>
            <w:r w:rsidRPr="00E407E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407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07E9" w:rsidRDefault="00F138C1" w:rsidP="00F138C1">
            <w:pPr>
              <w:tabs>
                <w:tab w:val="left" w:pos="6075"/>
              </w:tabs>
              <w:jc w:val="both"/>
              <w:rPr>
                <w:rFonts w:ascii="Arial" w:hAnsi="Arial" w:cs="Arial"/>
                <w:i/>
                <w:sz w:val="20"/>
                <w:szCs w:val="20"/>
                <w:lang w:val="fr-CA"/>
              </w:rPr>
            </w:pPr>
            <w:r w:rsidRPr="00E407E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A3EBC" w:rsidTr="00F138C1">
        <w:tc>
          <w:tcPr>
            <w:tcW w:w="4599" w:type="dxa"/>
            <w:tcMar>
              <w:top w:w="567" w:type="dxa"/>
            </w:tcMar>
          </w:tcPr>
          <w:p w:rsidR="00F138C1" w:rsidRPr="00E407E9" w:rsidRDefault="00F138C1" w:rsidP="00F138C1">
            <w:pPr>
              <w:tabs>
                <w:tab w:val="left" w:pos="6075"/>
              </w:tabs>
              <w:jc w:val="both"/>
              <w:rPr>
                <w:rFonts w:ascii="Arial" w:hAnsi="Arial" w:cs="Arial"/>
                <w:i/>
                <w:sz w:val="20"/>
                <w:szCs w:val="20"/>
              </w:rPr>
            </w:pPr>
            <w:r w:rsidRPr="00E407E9">
              <w:rPr>
                <w:rFonts w:ascii="Arial" w:hAnsi="Arial" w:cs="Arial"/>
                <w:i/>
                <w:sz w:val="20"/>
                <w:szCs w:val="20"/>
              </w:rPr>
              <w:t>During Court sessions, the Bulletin is usually issued weekly.</w:t>
            </w:r>
          </w:p>
        </w:tc>
        <w:tc>
          <w:tcPr>
            <w:tcW w:w="483" w:type="dxa"/>
          </w:tcPr>
          <w:p w:rsidR="00F138C1" w:rsidRPr="00E407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07E9" w:rsidRDefault="00F138C1" w:rsidP="00F138C1">
            <w:pPr>
              <w:tabs>
                <w:tab w:val="left" w:pos="6075"/>
              </w:tabs>
              <w:jc w:val="both"/>
              <w:rPr>
                <w:rFonts w:ascii="Arial" w:hAnsi="Arial" w:cs="Arial"/>
                <w:i/>
                <w:sz w:val="20"/>
                <w:szCs w:val="20"/>
                <w:lang w:val="fr-CA"/>
              </w:rPr>
            </w:pPr>
            <w:r w:rsidRPr="00E407E9">
              <w:rPr>
                <w:rFonts w:ascii="Arial" w:hAnsi="Arial" w:cs="Arial"/>
                <w:i/>
                <w:sz w:val="20"/>
                <w:szCs w:val="20"/>
                <w:lang w:val="fr-CA"/>
              </w:rPr>
              <w:t>Le Bulletin paraît en principe toutes les semaines pendant les sessions de la Cour.</w:t>
            </w:r>
          </w:p>
        </w:tc>
      </w:tr>
      <w:tr w:rsidR="00F138C1" w:rsidRPr="001A3EBC" w:rsidTr="00F138C1">
        <w:tc>
          <w:tcPr>
            <w:tcW w:w="4599" w:type="dxa"/>
            <w:tcMar>
              <w:top w:w="567" w:type="dxa"/>
            </w:tcMar>
          </w:tcPr>
          <w:p w:rsidR="00F138C1" w:rsidRPr="00E407E9" w:rsidRDefault="00F138C1" w:rsidP="00F138C1">
            <w:pPr>
              <w:tabs>
                <w:tab w:val="left" w:pos="6075"/>
              </w:tabs>
              <w:jc w:val="both"/>
              <w:rPr>
                <w:rFonts w:ascii="Arial" w:hAnsi="Arial" w:cs="Arial"/>
                <w:i/>
                <w:sz w:val="20"/>
                <w:szCs w:val="20"/>
              </w:rPr>
            </w:pPr>
            <w:r w:rsidRPr="00E407E9">
              <w:rPr>
                <w:rFonts w:ascii="Arial" w:hAnsi="Arial" w:cs="Arial"/>
                <w:i/>
                <w:sz w:val="20"/>
                <w:szCs w:val="20"/>
              </w:rPr>
              <w:fldChar w:fldCharType="begin"/>
            </w:r>
            <w:r w:rsidRPr="00E407E9">
              <w:rPr>
                <w:rFonts w:ascii="Arial" w:hAnsi="Arial" w:cs="Arial"/>
                <w:i/>
                <w:sz w:val="20"/>
                <w:szCs w:val="20"/>
              </w:rPr>
              <w:instrText xml:space="preserve"> SEQ CHAPTER \h \r 1</w:instrText>
            </w:r>
            <w:r w:rsidRPr="00E407E9">
              <w:rPr>
                <w:rFonts w:ascii="Arial" w:hAnsi="Arial" w:cs="Arial"/>
                <w:i/>
                <w:sz w:val="20"/>
                <w:szCs w:val="20"/>
              </w:rPr>
              <w:fldChar w:fldCharType="end"/>
            </w:r>
            <w:r w:rsidRPr="00E407E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407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07E9" w:rsidRDefault="00F138C1" w:rsidP="00F138C1">
            <w:pPr>
              <w:tabs>
                <w:tab w:val="left" w:pos="6075"/>
              </w:tabs>
              <w:jc w:val="both"/>
              <w:rPr>
                <w:rFonts w:ascii="Arial" w:hAnsi="Arial" w:cs="Arial"/>
                <w:i/>
                <w:sz w:val="20"/>
                <w:szCs w:val="20"/>
                <w:lang w:val="fr-CA"/>
              </w:rPr>
            </w:pPr>
            <w:r w:rsidRPr="00E407E9">
              <w:rPr>
                <w:rFonts w:ascii="Arial" w:hAnsi="Arial" w:cs="Arial"/>
                <w:i/>
                <w:sz w:val="20"/>
                <w:szCs w:val="20"/>
                <w:lang w:val="fr-CA"/>
              </w:rPr>
              <w:fldChar w:fldCharType="begin"/>
            </w:r>
            <w:r w:rsidRPr="00E407E9">
              <w:rPr>
                <w:rFonts w:ascii="Arial" w:hAnsi="Arial" w:cs="Arial"/>
                <w:i/>
                <w:sz w:val="20"/>
                <w:szCs w:val="20"/>
                <w:lang w:val="fr-CA"/>
              </w:rPr>
              <w:instrText xml:space="preserve"> SEQ CHAPTER \h \r 1</w:instrText>
            </w:r>
            <w:r w:rsidRPr="00E407E9">
              <w:rPr>
                <w:rFonts w:ascii="Arial" w:hAnsi="Arial" w:cs="Arial"/>
                <w:i/>
                <w:sz w:val="20"/>
                <w:szCs w:val="20"/>
                <w:lang w:val="fr-CA"/>
              </w:rPr>
              <w:fldChar w:fldCharType="end"/>
            </w:r>
            <w:r w:rsidRPr="00E407E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A3EBC" w:rsidTr="00F138C1">
        <w:tc>
          <w:tcPr>
            <w:tcW w:w="4599" w:type="dxa"/>
            <w:tcMar>
              <w:top w:w="567" w:type="dxa"/>
            </w:tcMar>
          </w:tcPr>
          <w:p w:rsidR="00F138C1" w:rsidRPr="00E407E9" w:rsidRDefault="00F138C1" w:rsidP="00F138C1">
            <w:pPr>
              <w:tabs>
                <w:tab w:val="left" w:pos="6075"/>
              </w:tabs>
              <w:jc w:val="both"/>
              <w:rPr>
                <w:rFonts w:ascii="Arial" w:hAnsi="Arial" w:cs="Arial"/>
                <w:i/>
                <w:sz w:val="20"/>
                <w:szCs w:val="20"/>
              </w:rPr>
            </w:pPr>
            <w:r w:rsidRPr="00E407E9">
              <w:rPr>
                <w:rFonts w:ascii="Arial" w:hAnsi="Arial" w:cs="Arial"/>
                <w:i/>
                <w:sz w:val="20"/>
                <w:szCs w:val="20"/>
                <w:lang w:val="en-US"/>
              </w:rPr>
              <w:t>Please c</w:t>
            </w:r>
            <w:r w:rsidRPr="00E407E9">
              <w:rPr>
                <w:rFonts w:ascii="Arial" w:hAnsi="Arial" w:cs="Arial"/>
                <w:i/>
                <w:sz w:val="20"/>
                <w:szCs w:val="20"/>
              </w:rPr>
              <w:t xml:space="preserve">onsult the Supreme Court of Canada website at </w:t>
            </w:r>
            <w:hyperlink r:id="rId9" w:history="1">
              <w:r w:rsidRPr="00E407E9">
                <w:rPr>
                  <w:rStyle w:val="Hyperlink"/>
                  <w:rFonts w:ascii="Arial" w:hAnsi="Arial" w:cs="Arial"/>
                  <w:i/>
                  <w:sz w:val="20"/>
                  <w:szCs w:val="20"/>
                </w:rPr>
                <w:t>www.scc-csc.ca</w:t>
              </w:r>
            </w:hyperlink>
            <w:r w:rsidRPr="00E407E9">
              <w:rPr>
                <w:rFonts w:ascii="Arial" w:hAnsi="Arial" w:cs="Arial"/>
                <w:i/>
                <w:sz w:val="20"/>
                <w:szCs w:val="20"/>
              </w:rPr>
              <w:t xml:space="preserve"> for more information.</w:t>
            </w:r>
          </w:p>
        </w:tc>
        <w:tc>
          <w:tcPr>
            <w:tcW w:w="483" w:type="dxa"/>
          </w:tcPr>
          <w:p w:rsidR="00F138C1" w:rsidRPr="00E407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07E9" w:rsidRDefault="00F138C1" w:rsidP="00F138C1">
            <w:pPr>
              <w:tabs>
                <w:tab w:val="left" w:pos="6075"/>
              </w:tabs>
              <w:jc w:val="both"/>
              <w:rPr>
                <w:rFonts w:ascii="Arial" w:hAnsi="Arial" w:cs="Arial"/>
                <w:i/>
                <w:sz w:val="20"/>
                <w:szCs w:val="20"/>
                <w:lang w:val="fr-CA"/>
              </w:rPr>
            </w:pPr>
            <w:r w:rsidRPr="00E407E9">
              <w:rPr>
                <w:rFonts w:ascii="Arial" w:hAnsi="Arial" w:cs="Arial"/>
                <w:i/>
                <w:sz w:val="20"/>
                <w:szCs w:val="20"/>
                <w:lang w:val="fr-CA"/>
              </w:rPr>
              <w:t xml:space="preserve">Pour de plus amples informations, veuillez consulter le site Web de la Cour suprême du Canada à l’adresse suivante : </w:t>
            </w:r>
            <w:hyperlink r:id="rId10" w:history="1">
              <w:r w:rsidRPr="00E407E9">
                <w:rPr>
                  <w:rStyle w:val="Hyperlink"/>
                  <w:rFonts w:ascii="Arial" w:hAnsi="Arial" w:cs="Arial"/>
                  <w:i/>
                  <w:sz w:val="20"/>
                  <w:szCs w:val="20"/>
                  <w:lang w:val="fr-CA"/>
                </w:rPr>
                <w:t>www.scc-csc.ca</w:t>
              </w:r>
            </w:hyperlink>
            <w:r w:rsidRPr="00E407E9">
              <w:rPr>
                <w:rFonts w:ascii="Arial" w:hAnsi="Arial" w:cs="Arial"/>
                <w:i/>
                <w:sz w:val="20"/>
                <w:szCs w:val="20"/>
                <w:lang w:val="fr-CA"/>
              </w:rPr>
              <w:t xml:space="preserve"> </w:t>
            </w:r>
          </w:p>
        </w:tc>
      </w:tr>
    </w:tbl>
    <w:p w:rsidR="00F138C1" w:rsidRPr="00E407E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407E9" w:rsidTr="00F138C1">
        <w:tc>
          <w:tcPr>
            <w:tcW w:w="2250" w:type="pct"/>
            <w:tcBorders>
              <w:top w:val="single" w:sz="4" w:space="0" w:color="auto"/>
            </w:tcBorders>
            <w:tcMar>
              <w:top w:w="284" w:type="dxa"/>
              <w:bottom w:w="284" w:type="dxa"/>
            </w:tcMar>
          </w:tcPr>
          <w:p w:rsidR="00F138C1" w:rsidRPr="00E407E9" w:rsidRDefault="009B36BA" w:rsidP="009B36BA">
            <w:pPr>
              <w:tabs>
                <w:tab w:val="left" w:pos="6075"/>
              </w:tabs>
              <w:rPr>
                <w:rFonts w:ascii="Arial" w:hAnsi="Arial" w:cs="Arial"/>
                <w:i/>
                <w:sz w:val="20"/>
                <w:szCs w:val="20"/>
              </w:rPr>
            </w:pPr>
            <w:r w:rsidRPr="00E407E9">
              <w:rPr>
                <w:lang w:val="fr-CA"/>
              </w:rPr>
              <w:t>January</w:t>
            </w:r>
            <w:r w:rsidR="00F138C1" w:rsidRPr="00E407E9">
              <w:rPr>
                <w:lang w:val="fr-CA"/>
              </w:rPr>
              <w:t xml:space="preserve"> </w:t>
            </w:r>
            <w:r w:rsidR="00045DE3" w:rsidRPr="00E407E9">
              <w:rPr>
                <w:lang w:val="fr-CA"/>
              </w:rPr>
              <w:t>8</w:t>
            </w:r>
            <w:r w:rsidR="00F138C1" w:rsidRPr="00E407E9">
              <w:rPr>
                <w:lang w:val="fr-CA"/>
              </w:rPr>
              <w:t>, 20</w:t>
            </w:r>
            <w:r w:rsidRPr="00E407E9">
              <w:rPr>
                <w:lang w:val="fr-CA"/>
              </w:rPr>
              <w:t>21</w:t>
            </w:r>
          </w:p>
        </w:tc>
        <w:tc>
          <w:tcPr>
            <w:tcW w:w="500" w:type="pct"/>
            <w:tcBorders>
              <w:top w:val="single" w:sz="4" w:space="0" w:color="auto"/>
            </w:tcBorders>
            <w:tcMar>
              <w:top w:w="284" w:type="dxa"/>
              <w:bottom w:w="284" w:type="dxa"/>
            </w:tcMar>
          </w:tcPr>
          <w:p w:rsidR="00F138C1" w:rsidRPr="00E407E9" w:rsidRDefault="00F138C1" w:rsidP="00E407E9">
            <w:pPr>
              <w:tabs>
                <w:tab w:val="left" w:pos="6075"/>
              </w:tabs>
              <w:jc w:val="center"/>
              <w:rPr>
                <w:rFonts w:ascii="Arial" w:hAnsi="Arial" w:cs="Arial"/>
                <w:i/>
                <w:sz w:val="20"/>
                <w:szCs w:val="20"/>
              </w:rPr>
            </w:pPr>
            <w:r w:rsidRPr="00E407E9">
              <w:rPr>
                <w:lang w:val="fr-CA"/>
              </w:rPr>
              <w:t xml:space="preserve">1 - </w:t>
            </w:r>
            <w:r w:rsidR="00F37BD5" w:rsidRPr="00E407E9">
              <w:rPr>
                <w:lang w:val="fr-CA"/>
              </w:rPr>
              <w:t>3</w:t>
            </w:r>
            <w:r w:rsidR="00E407E9" w:rsidRPr="00E407E9">
              <w:rPr>
                <w:lang w:val="fr-CA"/>
              </w:rPr>
              <w:t>3</w:t>
            </w:r>
          </w:p>
        </w:tc>
        <w:tc>
          <w:tcPr>
            <w:tcW w:w="2250" w:type="pct"/>
            <w:tcBorders>
              <w:top w:val="single" w:sz="4" w:space="0" w:color="auto"/>
            </w:tcBorders>
            <w:tcMar>
              <w:top w:w="284" w:type="dxa"/>
              <w:bottom w:w="284" w:type="dxa"/>
            </w:tcMar>
          </w:tcPr>
          <w:p w:rsidR="00F138C1" w:rsidRPr="00E407E9" w:rsidRDefault="00F138C1" w:rsidP="009B36BA">
            <w:pPr>
              <w:tabs>
                <w:tab w:val="left" w:pos="6075"/>
              </w:tabs>
              <w:jc w:val="right"/>
              <w:rPr>
                <w:rFonts w:ascii="Arial" w:hAnsi="Arial" w:cs="Arial"/>
                <w:i/>
                <w:sz w:val="20"/>
                <w:szCs w:val="20"/>
                <w:lang w:val="fr-CA"/>
              </w:rPr>
            </w:pPr>
            <w:r w:rsidRPr="00E407E9">
              <w:rPr>
                <w:lang w:val="fr-CA"/>
              </w:rPr>
              <w:t xml:space="preserve">Le </w:t>
            </w:r>
            <w:r w:rsidR="00045DE3" w:rsidRPr="00E407E9">
              <w:rPr>
                <w:lang w:val="fr-CA"/>
              </w:rPr>
              <w:t>8</w:t>
            </w:r>
            <w:r w:rsidRPr="00E407E9">
              <w:rPr>
                <w:lang w:val="fr-CA"/>
              </w:rPr>
              <w:t xml:space="preserve"> </w:t>
            </w:r>
            <w:r w:rsidR="009B36BA" w:rsidRPr="00E407E9">
              <w:rPr>
                <w:lang w:val="fr-CA"/>
              </w:rPr>
              <w:t>janvier</w:t>
            </w:r>
            <w:r w:rsidRPr="00E407E9">
              <w:rPr>
                <w:lang w:val="fr-CA"/>
              </w:rPr>
              <w:t xml:space="preserve"> 202</w:t>
            </w:r>
            <w:r w:rsidR="009B36BA" w:rsidRPr="00E407E9">
              <w:rPr>
                <w:lang w:val="fr-CA"/>
              </w:rPr>
              <w:t>1</w:t>
            </w:r>
          </w:p>
        </w:tc>
      </w:tr>
      <w:tr w:rsidR="00F138C1" w:rsidRPr="001A3EBC" w:rsidTr="00F138C1">
        <w:tc>
          <w:tcPr>
            <w:tcW w:w="2250" w:type="pct"/>
            <w:tcBorders>
              <w:bottom w:val="single" w:sz="4" w:space="0" w:color="auto"/>
            </w:tcBorders>
            <w:tcMar>
              <w:top w:w="284" w:type="dxa"/>
              <w:bottom w:w="284" w:type="dxa"/>
            </w:tcMar>
          </w:tcPr>
          <w:p w:rsidR="00F138C1" w:rsidRPr="00E407E9" w:rsidRDefault="00F138C1" w:rsidP="009B36BA">
            <w:pPr>
              <w:tabs>
                <w:tab w:val="left" w:pos="6075"/>
              </w:tabs>
              <w:rPr>
                <w:rFonts w:ascii="Arial" w:hAnsi="Arial" w:cs="Arial"/>
                <w:i/>
                <w:sz w:val="20"/>
                <w:szCs w:val="20"/>
              </w:rPr>
            </w:pPr>
            <w:r w:rsidRPr="00E407E9">
              <w:rPr>
                <w:sz w:val="18"/>
                <w:szCs w:val="18"/>
                <w:lang w:val="en-US"/>
              </w:rPr>
              <w:t>© Supreme Court of Canada (202</w:t>
            </w:r>
            <w:r w:rsidR="009B36BA" w:rsidRPr="00E407E9">
              <w:rPr>
                <w:sz w:val="18"/>
                <w:szCs w:val="18"/>
                <w:lang w:val="en-US"/>
              </w:rPr>
              <w:t>1</w:t>
            </w:r>
            <w:r w:rsidRPr="00E407E9">
              <w:rPr>
                <w:sz w:val="18"/>
                <w:szCs w:val="18"/>
                <w:lang w:val="en-US"/>
              </w:rPr>
              <w:t>)</w:t>
            </w:r>
            <w:r w:rsidRPr="00E407E9">
              <w:rPr>
                <w:sz w:val="18"/>
                <w:szCs w:val="18"/>
                <w:lang w:val="en-US"/>
              </w:rPr>
              <w:br/>
              <w:t>ISSN 1918-8358 (Online)</w:t>
            </w:r>
          </w:p>
        </w:tc>
        <w:tc>
          <w:tcPr>
            <w:tcW w:w="500" w:type="pct"/>
            <w:tcBorders>
              <w:bottom w:val="single" w:sz="4" w:space="0" w:color="auto"/>
            </w:tcBorders>
            <w:tcMar>
              <w:top w:w="284" w:type="dxa"/>
              <w:bottom w:w="284" w:type="dxa"/>
            </w:tcMar>
          </w:tcPr>
          <w:p w:rsidR="00F138C1" w:rsidRPr="00E407E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407E9" w:rsidRDefault="00F138C1" w:rsidP="009B36BA">
            <w:pPr>
              <w:tabs>
                <w:tab w:val="left" w:pos="6075"/>
              </w:tabs>
              <w:jc w:val="right"/>
              <w:rPr>
                <w:rFonts w:ascii="Arial" w:hAnsi="Arial" w:cs="Arial"/>
                <w:i/>
                <w:sz w:val="20"/>
                <w:szCs w:val="20"/>
                <w:lang w:val="fr-CA"/>
              </w:rPr>
            </w:pPr>
            <w:r w:rsidRPr="00E407E9">
              <w:rPr>
                <w:sz w:val="18"/>
                <w:szCs w:val="18"/>
                <w:lang w:val="fr-CA"/>
              </w:rPr>
              <w:t>© Cour suprême du Canada (202</w:t>
            </w:r>
            <w:r w:rsidR="009B36BA" w:rsidRPr="00E407E9">
              <w:rPr>
                <w:sz w:val="18"/>
                <w:szCs w:val="18"/>
                <w:lang w:val="fr-CA"/>
              </w:rPr>
              <w:t>1</w:t>
            </w:r>
            <w:proofErr w:type="gramStart"/>
            <w:r w:rsidRPr="00E407E9">
              <w:rPr>
                <w:sz w:val="18"/>
                <w:szCs w:val="18"/>
                <w:lang w:val="fr-CA"/>
              </w:rPr>
              <w:t>)</w:t>
            </w:r>
            <w:proofErr w:type="gramEnd"/>
            <w:r w:rsidRPr="00E407E9">
              <w:rPr>
                <w:sz w:val="18"/>
                <w:szCs w:val="18"/>
                <w:lang w:val="fr-CA"/>
              </w:rPr>
              <w:br/>
              <w:t>ISSN 1918-8358 (En ligne)</w:t>
            </w:r>
          </w:p>
        </w:tc>
      </w:tr>
    </w:tbl>
    <w:p w:rsidR="0030050B" w:rsidRPr="00E407E9" w:rsidRDefault="0030050B" w:rsidP="00F138C1">
      <w:pPr>
        <w:tabs>
          <w:tab w:val="left" w:pos="6075"/>
        </w:tabs>
        <w:rPr>
          <w:lang w:val="fr-CA"/>
        </w:rPr>
      </w:pPr>
    </w:p>
    <w:p w:rsidR="00560DF1" w:rsidRPr="00E407E9" w:rsidRDefault="00560DF1" w:rsidP="0095096B">
      <w:pPr>
        <w:tabs>
          <w:tab w:val="right" w:pos="9360"/>
        </w:tabs>
        <w:rPr>
          <w:lang w:val="fr-CA"/>
        </w:rPr>
      </w:pPr>
    </w:p>
    <w:p w:rsidR="00F138C1" w:rsidRPr="00E407E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407E9" w:rsidRDefault="00DC6B2E" w:rsidP="00693C38">
          <w:pPr>
            <w:pStyle w:val="Title"/>
            <w:jc w:val="center"/>
            <w:rPr>
              <w:rFonts w:ascii="Times New Roman" w:hAnsi="Times New Roman" w:cs="Times New Roman"/>
              <w:b/>
              <w:sz w:val="24"/>
              <w:szCs w:val="28"/>
              <w:lang w:val="fr-CA"/>
            </w:rPr>
          </w:pPr>
          <w:r w:rsidRPr="00E407E9">
            <w:rPr>
              <w:rFonts w:ascii="Times New Roman" w:hAnsi="Times New Roman" w:cs="Times New Roman"/>
              <w:b/>
              <w:sz w:val="24"/>
              <w:szCs w:val="28"/>
              <w:lang w:val="fr-CA"/>
            </w:rPr>
            <w:t>Contents</w:t>
          </w:r>
        </w:p>
        <w:p w:rsidR="00693C38" w:rsidRPr="00E407E9" w:rsidRDefault="00DC6B2E" w:rsidP="00693C38">
          <w:pPr>
            <w:jc w:val="center"/>
            <w:rPr>
              <w:b/>
              <w:szCs w:val="28"/>
              <w:lang w:val="fr-CA"/>
            </w:rPr>
          </w:pPr>
          <w:r w:rsidRPr="00E407E9">
            <w:rPr>
              <w:b/>
              <w:szCs w:val="28"/>
              <w:lang w:val="fr-CA"/>
            </w:rPr>
            <w:t>Table des matières</w:t>
          </w:r>
        </w:p>
        <w:p w:rsidR="00693C38" w:rsidRPr="00E407E9" w:rsidRDefault="00693C38" w:rsidP="00693C38">
          <w:pPr>
            <w:rPr>
              <w:lang w:val="fr-CA"/>
            </w:rPr>
          </w:pPr>
        </w:p>
        <w:p w:rsidR="00E407E9" w:rsidRPr="00E407E9" w:rsidRDefault="00DC6B2E">
          <w:pPr>
            <w:pStyle w:val="TOC1"/>
            <w:tabs>
              <w:tab w:val="right" w:leader="dot" w:pos="9638"/>
            </w:tabs>
            <w:rPr>
              <w:rFonts w:asciiTheme="minorHAnsi" w:eastAsiaTheme="minorEastAsia" w:hAnsiTheme="minorHAnsi"/>
              <w:noProof/>
              <w:sz w:val="22"/>
              <w:lang w:val="en-US"/>
            </w:rPr>
          </w:pPr>
          <w:r w:rsidRPr="00E407E9">
            <w:rPr>
              <w:b/>
              <w:bCs/>
              <w:noProof/>
            </w:rPr>
            <w:fldChar w:fldCharType="begin"/>
          </w:r>
          <w:r w:rsidRPr="00E407E9">
            <w:rPr>
              <w:b/>
              <w:bCs/>
              <w:noProof/>
            </w:rPr>
            <w:instrText xml:space="preserve"> TOC \o "1-3" \h \z \u </w:instrText>
          </w:r>
          <w:r w:rsidRPr="00E407E9">
            <w:rPr>
              <w:b/>
              <w:bCs/>
              <w:noProof/>
            </w:rPr>
            <w:fldChar w:fldCharType="separate"/>
          </w:r>
          <w:hyperlink w:anchor="_Toc60985628" w:history="1">
            <w:r w:rsidR="00E407E9" w:rsidRPr="00E407E9">
              <w:rPr>
                <w:rStyle w:val="Hyperlink"/>
                <w:noProof/>
                <w:lang w:val="fr-CA"/>
              </w:rPr>
              <w:t>Applications for leave to appeal filed /  Demandes d’autorisation d’appel déposées</w:t>
            </w:r>
            <w:r w:rsidR="00E407E9" w:rsidRPr="00E407E9">
              <w:rPr>
                <w:noProof/>
                <w:webHidden/>
              </w:rPr>
              <w:tab/>
            </w:r>
            <w:r w:rsidR="00E407E9" w:rsidRPr="00E407E9">
              <w:rPr>
                <w:noProof/>
                <w:webHidden/>
              </w:rPr>
              <w:fldChar w:fldCharType="begin"/>
            </w:r>
            <w:r w:rsidR="00E407E9" w:rsidRPr="00E407E9">
              <w:rPr>
                <w:noProof/>
                <w:webHidden/>
              </w:rPr>
              <w:instrText xml:space="preserve"> PAGEREF _Toc60985628 \h </w:instrText>
            </w:r>
            <w:r w:rsidR="00E407E9" w:rsidRPr="00E407E9">
              <w:rPr>
                <w:noProof/>
                <w:webHidden/>
              </w:rPr>
            </w:r>
            <w:r w:rsidR="00E407E9" w:rsidRPr="00E407E9">
              <w:rPr>
                <w:noProof/>
                <w:webHidden/>
              </w:rPr>
              <w:fldChar w:fldCharType="separate"/>
            </w:r>
            <w:r w:rsidR="00E407E9" w:rsidRPr="00E407E9">
              <w:rPr>
                <w:noProof/>
                <w:webHidden/>
              </w:rPr>
              <w:t>1</w:t>
            </w:r>
            <w:r w:rsidR="00E407E9" w:rsidRPr="00E407E9">
              <w:rPr>
                <w:noProof/>
                <w:webHidden/>
              </w:rPr>
              <w:fldChar w:fldCharType="end"/>
            </w:r>
          </w:hyperlink>
        </w:p>
        <w:p w:rsidR="00E407E9" w:rsidRPr="00E407E9" w:rsidRDefault="00CE6E62">
          <w:pPr>
            <w:pStyle w:val="TOC1"/>
            <w:tabs>
              <w:tab w:val="right" w:leader="dot" w:pos="9638"/>
            </w:tabs>
            <w:rPr>
              <w:rFonts w:asciiTheme="minorHAnsi" w:eastAsiaTheme="minorEastAsia" w:hAnsiTheme="minorHAnsi"/>
              <w:noProof/>
              <w:sz w:val="22"/>
              <w:lang w:val="en-US"/>
            </w:rPr>
          </w:pPr>
          <w:hyperlink w:anchor="_Toc60985629" w:history="1">
            <w:r w:rsidR="00E407E9" w:rsidRPr="00E407E9">
              <w:rPr>
                <w:rStyle w:val="Hyperlink"/>
                <w:noProof/>
                <w:lang w:val="fr-CA"/>
              </w:rPr>
              <w:t>Judgments on applications for leave /  Jugements rendus sur les demandes d’autorisation</w:t>
            </w:r>
            <w:r w:rsidR="00E407E9" w:rsidRPr="00E407E9">
              <w:rPr>
                <w:noProof/>
                <w:webHidden/>
              </w:rPr>
              <w:tab/>
            </w:r>
            <w:r w:rsidR="00E407E9" w:rsidRPr="00E407E9">
              <w:rPr>
                <w:noProof/>
                <w:webHidden/>
              </w:rPr>
              <w:fldChar w:fldCharType="begin"/>
            </w:r>
            <w:r w:rsidR="00E407E9" w:rsidRPr="00E407E9">
              <w:rPr>
                <w:noProof/>
                <w:webHidden/>
              </w:rPr>
              <w:instrText xml:space="preserve"> PAGEREF _Toc60985629 \h </w:instrText>
            </w:r>
            <w:r w:rsidR="00E407E9" w:rsidRPr="00E407E9">
              <w:rPr>
                <w:noProof/>
                <w:webHidden/>
              </w:rPr>
            </w:r>
            <w:r w:rsidR="00E407E9" w:rsidRPr="00E407E9">
              <w:rPr>
                <w:noProof/>
                <w:webHidden/>
              </w:rPr>
              <w:fldChar w:fldCharType="separate"/>
            </w:r>
            <w:r w:rsidR="00E407E9" w:rsidRPr="00E407E9">
              <w:rPr>
                <w:noProof/>
                <w:webHidden/>
              </w:rPr>
              <w:t>7</w:t>
            </w:r>
            <w:r w:rsidR="00E407E9" w:rsidRPr="00E407E9">
              <w:rPr>
                <w:noProof/>
                <w:webHidden/>
              </w:rPr>
              <w:fldChar w:fldCharType="end"/>
            </w:r>
          </w:hyperlink>
        </w:p>
        <w:p w:rsidR="00E407E9" w:rsidRPr="00E407E9" w:rsidRDefault="00CE6E62">
          <w:pPr>
            <w:pStyle w:val="TOC1"/>
            <w:tabs>
              <w:tab w:val="right" w:leader="dot" w:pos="9638"/>
            </w:tabs>
            <w:rPr>
              <w:rFonts w:asciiTheme="minorHAnsi" w:eastAsiaTheme="minorEastAsia" w:hAnsiTheme="minorHAnsi"/>
              <w:noProof/>
              <w:sz w:val="22"/>
              <w:lang w:val="en-US"/>
            </w:rPr>
          </w:pPr>
          <w:hyperlink w:anchor="_Toc60985630" w:history="1">
            <w:r w:rsidR="00E407E9" w:rsidRPr="00E407E9">
              <w:rPr>
                <w:rStyle w:val="Hyperlink"/>
                <w:noProof/>
              </w:rPr>
              <w:t xml:space="preserve">Notices of appeal filed since the last issue /  </w:t>
            </w:r>
            <w:r w:rsidR="00E407E9" w:rsidRPr="00E407E9">
              <w:rPr>
                <w:rStyle w:val="Hyperlink"/>
                <w:noProof/>
                <w:lang w:val="fr-CA"/>
              </w:rPr>
              <w:t>Avis d’appel déposés depuis la dernière parution</w:t>
            </w:r>
            <w:r w:rsidR="00E407E9" w:rsidRPr="00E407E9">
              <w:rPr>
                <w:noProof/>
                <w:webHidden/>
              </w:rPr>
              <w:tab/>
            </w:r>
            <w:r w:rsidR="00E407E9" w:rsidRPr="00E407E9">
              <w:rPr>
                <w:noProof/>
                <w:webHidden/>
              </w:rPr>
              <w:fldChar w:fldCharType="begin"/>
            </w:r>
            <w:r w:rsidR="00E407E9" w:rsidRPr="00E407E9">
              <w:rPr>
                <w:noProof/>
                <w:webHidden/>
              </w:rPr>
              <w:instrText xml:space="preserve"> PAGEREF _Toc60985630 \h </w:instrText>
            </w:r>
            <w:r w:rsidR="00E407E9" w:rsidRPr="00E407E9">
              <w:rPr>
                <w:noProof/>
                <w:webHidden/>
              </w:rPr>
            </w:r>
            <w:r w:rsidR="00E407E9" w:rsidRPr="00E407E9">
              <w:rPr>
                <w:noProof/>
                <w:webHidden/>
              </w:rPr>
              <w:fldChar w:fldCharType="separate"/>
            </w:r>
            <w:r w:rsidR="00E407E9" w:rsidRPr="00E407E9">
              <w:rPr>
                <w:noProof/>
                <w:webHidden/>
              </w:rPr>
              <w:t>32</w:t>
            </w:r>
            <w:r w:rsidR="00E407E9" w:rsidRPr="00E407E9">
              <w:rPr>
                <w:noProof/>
                <w:webHidden/>
              </w:rPr>
              <w:fldChar w:fldCharType="end"/>
            </w:r>
          </w:hyperlink>
        </w:p>
        <w:p w:rsidR="00E407E9" w:rsidRPr="00E407E9" w:rsidRDefault="00CE6E62">
          <w:pPr>
            <w:pStyle w:val="TOC1"/>
            <w:tabs>
              <w:tab w:val="right" w:leader="dot" w:pos="9638"/>
            </w:tabs>
            <w:rPr>
              <w:rFonts w:asciiTheme="minorHAnsi" w:eastAsiaTheme="minorEastAsia" w:hAnsiTheme="minorHAnsi"/>
              <w:noProof/>
              <w:sz w:val="22"/>
              <w:lang w:val="en-US"/>
            </w:rPr>
          </w:pPr>
          <w:hyperlink w:anchor="_Toc60985631" w:history="1">
            <w:r w:rsidR="00E407E9" w:rsidRPr="00E407E9">
              <w:rPr>
                <w:rStyle w:val="Hyperlink"/>
                <w:noProof/>
                <w:lang w:val="fr-CA"/>
              </w:rPr>
              <w:t>Notice to the profession /  Avis à la communauté juridique</w:t>
            </w:r>
            <w:r w:rsidR="00E407E9" w:rsidRPr="00E407E9">
              <w:rPr>
                <w:noProof/>
                <w:webHidden/>
              </w:rPr>
              <w:tab/>
            </w:r>
            <w:r w:rsidR="00E407E9" w:rsidRPr="00E407E9">
              <w:rPr>
                <w:noProof/>
                <w:webHidden/>
              </w:rPr>
              <w:fldChar w:fldCharType="begin"/>
            </w:r>
            <w:r w:rsidR="00E407E9" w:rsidRPr="00E407E9">
              <w:rPr>
                <w:noProof/>
                <w:webHidden/>
              </w:rPr>
              <w:instrText xml:space="preserve"> PAGEREF _Toc60985631 \h </w:instrText>
            </w:r>
            <w:r w:rsidR="00E407E9" w:rsidRPr="00E407E9">
              <w:rPr>
                <w:noProof/>
                <w:webHidden/>
              </w:rPr>
            </w:r>
            <w:r w:rsidR="00E407E9" w:rsidRPr="00E407E9">
              <w:rPr>
                <w:noProof/>
                <w:webHidden/>
              </w:rPr>
              <w:fldChar w:fldCharType="separate"/>
            </w:r>
            <w:r w:rsidR="00E407E9" w:rsidRPr="00E407E9">
              <w:rPr>
                <w:noProof/>
                <w:webHidden/>
              </w:rPr>
              <w:t>33</w:t>
            </w:r>
            <w:r w:rsidR="00E407E9" w:rsidRPr="00E407E9">
              <w:rPr>
                <w:noProof/>
                <w:webHidden/>
              </w:rPr>
              <w:fldChar w:fldCharType="end"/>
            </w:r>
          </w:hyperlink>
        </w:p>
        <w:p w:rsidR="00560DF1" w:rsidRPr="00E407E9" w:rsidRDefault="00DC6B2E">
          <w:r w:rsidRPr="00E407E9">
            <w:rPr>
              <w:b/>
              <w:bCs/>
              <w:noProof/>
              <w:sz w:val="20"/>
            </w:rPr>
            <w:fldChar w:fldCharType="end"/>
          </w:r>
        </w:p>
      </w:sdtContent>
    </w:sdt>
    <w:p w:rsidR="00560DF1" w:rsidRPr="00E407E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A3EBC" w:rsidTr="00F138C1">
        <w:trPr>
          <w:jc w:val="center"/>
        </w:trPr>
        <w:tc>
          <w:tcPr>
            <w:tcW w:w="9638" w:type="dxa"/>
          </w:tcPr>
          <w:p w:rsidR="00F138C1" w:rsidRPr="00E407E9" w:rsidRDefault="00F138C1" w:rsidP="00F138C1">
            <w:pPr>
              <w:keepNext/>
              <w:tabs>
                <w:tab w:val="right" w:pos="9360"/>
              </w:tabs>
              <w:spacing w:after="120"/>
              <w:jc w:val="center"/>
              <w:rPr>
                <w:szCs w:val="24"/>
              </w:rPr>
            </w:pPr>
            <w:r w:rsidRPr="00E407E9">
              <w:rPr>
                <w:szCs w:val="24"/>
              </w:rPr>
              <w:t>NOTICE</w:t>
            </w:r>
          </w:p>
          <w:p w:rsidR="00F138C1" w:rsidRPr="00E407E9" w:rsidRDefault="00F138C1" w:rsidP="00F138C1">
            <w:pPr>
              <w:keepNext/>
              <w:tabs>
                <w:tab w:val="right" w:pos="9360"/>
              </w:tabs>
              <w:spacing w:after="120"/>
              <w:jc w:val="both"/>
              <w:rPr>
                <w:szCs w:val="24"/>
              </w:rPr>
            </w:pPr>
            <w:r w:rsidRPr="00E407E9">
              <w:rPr>
                <w:szCs w:val="24"/>
              </w:rPr>
              <w:t>Case summaries included in the Bulletin are prepared by the Office of the Registrar of the Supreme Court of Canada (Law Branch) for information purposes only.</w:t>
            </w:r>
          </w:p>
          <w:p w:rsidR="00F138C1" w:rsidRPr="00E407E9" w:rsidRDefault="00F138C1" w:rsidP="00F138C1">
            <w:pPr>
              <w:keepNext/>
              <w:tabs>
                <w:tab w:val="right" w:pos="9360"/>
              </w:tabs>
              <w:spacing w:after="120"/>
              <w:jc w:val="center"/>
              <w:rPr>
                <w:szCs w:val="24"/>
                <w:lang w:val="fr-CA"/>
              </w:rPr>
            </w:pPr>
            <w:r w:rsidRPr="00E407E9">
              <w:rPr>
                <w:szCs w:val="24"/>
                <w:lang w:val="fr-CA"/>
              </w:rPr>
              <w:t>AVIS</w:t>
            </w:r>
          </w:p>
          <w:p w:rsidR="00F138C1" w:rsidRPr="00E407E9" w:rsidRDefault="00F138C1" w:rsidP="00F138C1">
            <w:pPr>
              <w:keepNext/>
              <w:tabs>
                <w:tab w:val="right" w:pos="9360"/>
              </w:tabs>
              <w:spacing w:after="120"/>
              <w:jc w:val="both"/>
              <w:rPr>
                <w:sz w:val="20"/>
                <w:szCs w:val="20"/>
                <w:lang w:val="fr-CA"/>
              </w:rPr>
            </w:pPr>
            <w:r w:rsidRPr="00E407E9">
              <w:rPr>
                <w:szCs w:val="24"/>
                <w:lang w:val="fr-CA"/>
              </w:rPr>
              <w:t>Les résumés des causes publiés dans le bulletin sont préparés par le Bureau du registraire (Direction générale du droit) uniquement à titre d’information.</w:t>
            </w:r>
          </w:p>
        </w:tc>
      </w:tr>
    </w:tbl>
    <w:p w:rsidR="00F138C1" w:rsidRPr="00E407E9" w:rsidRDefault="00F138C1" w:rsidP="00F138C1">
      <w:pPr>
        <w:tabs>
          <w:tab w:val="right" w:pos="9360"/>
        </w:tabs>
        <w:rPr>
          <w:lang w:val="fr-CA"/>
        </w:rPr>
      </w:pPr>
    </w:p>
    <w:p w:rsidR="00F138C1" w:rsidRPr="00E407E9" w:rsidRDefault="00F138C1" w:rsidP="00F138C1">
      <w:pPr>
        <w:tabs>
          <w:tab w:val="right" w:pos="9360"/>
        </w:tabs>
        <w:rPr>
          <w:lang w:val="fr-CA"/>
        </w:rPr>
      </w:pPr>
    </w:p>
    <w:p w:rsidR="00C01FCB" w:rsidRPr="00E407E9" w:rsidRDefault="00C01FCB" w:rsidP="0095096B">
      <w:pPr>
        <w:tabs>
          <w:tab w:val="right" w:pos="9360"/>
        </w:tabs>
        <w:rPr>
          <w:lang w:val="fr-CA"/>
        </w:rPr>
      </w:pPr>
    </w:p>
    <w:p w:rsidR="00A87207" w:rsidRPr="00E407E9" w:rsidRDefault="00A87207" w:rsidP="0095096B">
      <w:pPr>
        <w:tabs>
          <w:tab w:val="right" w:pos="9360"/>
        </w:tabs>
        <w:rPr>
          <w:lang w:val="fr-CA"/>
        </w:rPr>
        <w:sectPr w:rsidR="00A87207" w:rsidRPr="00E407E9" w:rsidSect="0044776A">
          <w:pgSz w:w="12240" w:h="15840"/>
          <w:pgMar w:top="720" w:right="1152" w:bottom="1080" w:left="1440" w:header="706" w:footer="706" w:gutter="0"/>
          <w:cols w:space="708"/>
          <w:titlePg/>
          <w:docGrid w:linePitch="360"/>
        </w:sectPr>
      </w:pPr>
    </w:p>
    <w:p w:rsidR="00560DF1" w:rsidRPr="00E407E9" w:rsidRDefault="00DD0BDC" w:rsidP="00567602">
      <w:pPr>
        <w:pStyle w:val="Header1StyleE"/>
        <w:pBdr>
          <w:bottom w:val="single" w:sz="12" w:space="1" w:color="auto"/>
        </w:pBdr>
        <w:rPr>
          <w:lang w:val="fr-CA"/>
        </w:rPr>
      </w:pPr>
      <w:bookmarkStart w:id="0" w:name="_Toc60985628"/>
      <w:r w:rsidRPr="00E407E9">
        <w:rPr>
          <w:lang w:val="fr-CA"/>
        </w:rPr>
        <w:lastRenderedPageBreak/>
        <w:t>Applications for leave to appeal filed</w:t>
      </w:r>
      <w:r w:rsidR="00271E1E" w:rsidRPr="00E407E9">
        <w:rPr>
          <w:lang w:val="fr-CA"/>
        </w:rPr>
        <w:t xml:space="preserve"> / </w:t>
      </w:r>
      <w:r w:rsidR="00727571" w:rsidRPr="00E407E9">
        <w:rPr>
          <w:lang w:val="fr-CA"/>
        </w:rPr>
        <w:br/>
      </w:r>
      <w:r w:rsidRPr="00E407E9">
        <w:rPr>
          <w:lang w:val="fr-CA"/>
        </w:rPr>
        <w:t>Demandes d’autorisation d’appel déposées</w:t>
      </w:r>
      <w:bookmarkEnd w:id="0"/>
    </w:p>
    <w:p w:rsidR="00F138C1" w:rsidRPr="00E407E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407E9" w:rsidTr="00F138C1">
        <w:tc>
          <w:tcPr>
            <w:tcW w:w="4239" w:type="dxa"/>
            <w:shd w:val="clear" w:color="auto" w:fill="auto"/>
          </w:tcPr>
          <w:p w:rsidR="00F138C1" w:rsidRPr="00E407E9" w:rsidRDefault="004C5DD7" w:rsidP="00F138C1">
            <w:pPr>
              <w:rPr>
                <w:sz w:val="20"/>
                <w:szCs w:val="20"/>
                <w:lang w:val="en-US"/>
              </w:rPr>
            </w:pPr>
            <w:r w:rsidRPr="00E407E9">
              <w:rPr>
                <w:b/>
                <w:sz w:val="20"/>
                <w:szCs w:val="20"/>
                <w:lang w:val="en-US"/>
              </w:rPr>
              <w:t>Angelina Hannam, et al.</w:t>
            </w:r>
          </w:p>
          <w:p w:rsidR="00F138C1" w:rsidRPr="00E407E9" w:rsidRDefault="00F138C1" w:rsidP="00F138C1">
            <w:pPr>
              <w:tabs>
                <w:tab w:val="left" w:pos="-1440"/>
                <w:tab w:val="left" w:pos="-720"/>
              </w:tabs>
              <w:rPr>
                <w:sz w:val="20"/>
                <w:szCs w:val="20"/>
                <w:lang w:val="en-US"/>
              </w:rPr>
            </w:pPr>
            <w:r w:rsidRPr="00E407E9">
              <w:rPr>
                <w:sz w:val="20"/>
                <w:szCs w:val="20"/>
                <w:lang w:val="en-US"/>
              </w:rPr>
              <w:tab/>
            </w:r>
            <w:r w:rsidR="004C5DD7" w:rsidRPr="00E407E9">
              <w:rPr>
                <w:sz w:val="20"/>
                <w:szCs w:val="20"/>
                <w:lang w:val="en-US"/>
              </w:rPr>
              <w:t>Fischer, Robert K.</w:t>
            </w:r>
          </w:p>
          <w:p w:rsidR="004C5DD7" w:rsidRPr="00E407E9" w:rsidRDefault="004C5DD7" w:rsidP="004C5DD7">
            <w:pPr>
              <w:tabs>
                <w:tab w:val="left" w:pos="-1440"/>
                <w:tab w:val="left" w:pos="-720"/>
              </w:tabs>
              <w:rPr>
                <w:sz w:val="20"/>
                <w:szCs w:val="20"/>
                <w:lang w:val="en-US"/>
              </w:rPr>
            </w:pPr>
            <w:r w:rsidRPr="00E407E9">
              <w:rPr>
                <w:sz w:val="20"/>
                <w:szCs w:val="20"/>
                <w:lang w:val="en-US"/>
              </w:rPr>
              <w:tab/>
              <w:t>Leis &amp; Fischer</w:t>
            </w:r>
          </w:p>
          <w:p w:rsidR="00F138C1" w:rsidRPr="00E407E9" w:rsidRDefault="00F138C1" w:rsidP="00F138C1">
            <w:pPr>
              <w:tabs>
                <w:tab w:val="left" w:pos="-1440"/>
                <w:tab w:val="left" w:pos="-720"/>
              </w:tabs>
              <w:rPr>
                <w:sz w:val="20"/>
                <w:szCs w:val="20"/>
                <w:lang w:val="en-US"/>
              </w:rPr>
            </w:pPr>
          </w:p>
          <w:p w:rsidR="00F138C1" w:rsidRPr="00E407E9" w:rsidRDefault="00F138C1" w:rsidP="00F138C1">
            <w:pPr>
              <w:tabs>
                <w:tab w:val="left" w:pos="-1440"/>
                <w:tab w:val="left" w:pos="-720"/>
              </w:tabs>
              <w:rPr>
                <w:sz w:val="20"/>
                <w:szCs w:val="20"/>
                <w:lang w:val="en-US"/>
              </w:rPr>
            </w:pPr>
            <w:r w:rsidRPr="00E407E9">
              <w:rPr>
                <w:sz w:val="20"/>
                <w:szCs w:val="20"/>
                <w:lang w:val="en-US"/>
              </w:rPr>
              <w:tab/>
              <w:t>v. (39</w:t>
            </w:r>
            <w:r w:rsidR="004C5DD7" w:rsidRPr="00E407E9">
              <w:rPr>
                <w:sz w:val="20"/>
                <w:szCs w:val="20"/>
                <w:lang w:val="en-US"/>
              </w:rPr>
              <w:t>4</w:t>
            </w:r>
            <w:r w:rsidRPr="00E407E9">
              <w:rPr>
                <w:sz w:val="20"/>
                <w:szCs w:val="20"/>
                <w:lang w:val="en-US"/>
              </w:rPr>
              <w:t>4</w:t>
            </w:r>
            <w:r w:rsidR="004C5DD7" w:rsidRPr="00E407E9">
              <w:rPr>
                <w:sz w:val="20"/>
                <w:szCs w:val="20"/>
                <w:lang w:val="en-US"/>
              </w:rPr>
              <w:t>2</w:t>
            </w:r>
            <w:r w:rsidRPr="00E407E9">
              <w:rPr>
                <w:sz w:val="20"/>
                <w:szCs w:val="20"/>
                <w:lang w:val="en-US"/>
              </w:rPr>
              <w:t>)</w:t>
            </w:r>
          </w:p>
          <w:p w:rsidR="00F138C1" w:rsidRPr="00E407E9" w:rsidRDefault="00F138C1" w:rsidP="00F138C1">
            <w:pPr>
              <w:tabs>
                <w:tab w:val="left" w:pos="-1440"/>
                <w:tab w:val="left" w:pos="-720"/>
              </w:tabs>
              <w:rPr>
                <w:sz w:val="20"/>
                <w:szCs w:val="20"/>
                <w:lang w:val="en-US"/>
              </w:rPr>
            </w:pPr>
          </w:p>
          <w:p w:rsidR="00F138C1" w:rsidRPr="00E407E9" w:rsidRDefault="004C5DD7" w:rsidP="00F138C1">
            <w:pPr>
              <w:tabs>
                <w:tab w:val="left" w:pos="-1440"/>
                <w:tab w:val="left" w:pos="-720"/>
              </w:tabs>
              <w:rPr>
                <w:b/>
                <w:sz w:val="20"/>
                <w:szCs w:val="20"/>
                <w:lang w:val="en-US"/>
              </w:rPr>
            </w:pPr>
            <w:r w:rsidRPr="00E407E9">
              <w:rPr>
                <w:b/>
                <w:sz w:val="20"/>
                <w:szCs w:val="20"/>
                <w:lang w:val="en-US"/>
              </w:rPr>
              <w:t xml:space="preserve">Medicine Hat School District No. 76 </w:t>
            </w:r>
            <w:r w:rsidR="00F138C1" w:rsidRPr="00E407E9">
              <w:rPr>
                <w:b/>
                <w:sz w:val="20"/>
                <w:szCs w:val="20"/>
                <w:lang w:val="en-US"/>
              </w:rPr>
              <w:t>(</w:t>
            </w:r>
            <w:r w:rsidRPr="00E407E9">
              <w:rPr>
                <w:b/>
                <w:sz w:val="20"/>
                <w:szCs w:val="20"/>
                <w:lang w:val="en-US"/>
              </w:rPr>
              <w:t>Alta</w:t>
            </w:r>
            <w:r w:rsidR="00F138C1" w:rsidRPr="00E407E9">
              <w:rPr>
                <w:b/>
                <w:sz w:val="20"/>
                <w:szCs w:val="20"/>
                <w:lang w:val="en-US"/>
              </w:rPr>
              <w:t>.)</w:t>
            </w:r>
          </w:p>
          <w:p w:rsidR="00F138C1" w:rsidRPr="00E407E9" w:rsidRDefault="00F138C1" w:rsidP="00F138C1">
            <w:pPr>
              <w:tabs>
                <w:tab w:val="left" w:pos="-1440"/>
                <w:tab w:val="left" w:pos="-720"/>
              </w:tabs>
              <w:rPr>
                <w:sz w:val="20"/>
                <w:szCs w:val="20"/>
                <w:lang w:val="en-US"/>
              </w:rPr>
            </w:pPr>
            <w:r w:rsidRPr="00E407E9">
              <w:rPr>
                <w:sz w:val="20"/>
                <w:szCs w:val="20"/>
                <w:lang w:val="en-US"/>
              </w:rPr>
              <w:tab/>
            </w:r>
            <w:r w:rsidR="004C5DD7" w:rsidRPr="00E407E9">
              <w:rPr>
                <w:sz w:val="20"/>
                <w:szCs w:val="20"/>
                <w:lang w:val="en-US"/>
              </w:rPr>
              <w:t>Peermohamed, Nabeel</w:t>
            </w:r>
          </w:p>
          <w:p w:rsidR="00F138C1" w:rsidRPr="00E407E9" w:rsidRDefault="00F138C1" w:rsidP="00F138C1">
            <w:pPr>
              <w:tabs>
                <w:tab w:val="left" w:pos="-1440"/>
                <w:tab w:val="left" w:pos="-720"/>
              </w:tabs>
              <w:rPr>
                <w:sz w:val="20"/>
                <w:szCs w:val="20"/>
              </w:rPr>
            </w:pPr>
            <w:r w:rsidRPr="00E407E9">
              <w:rPr>
                <w:sz w:val="20"/>
                <w:szCs w:val="20"/>
                <w:lang w:val="en-US"/>
              </w:rPr>
              <w:tab/>
            </w:r>
            <w:r w:rsidR="004C5DD7" w:rsidRPr="00E407E9">
              <w:rPr>
                <w:sz w:val="20"/>
                <w:szCs w:val="20"/>
              </w:rPr>
              <w:t>Brownlee LLP</w:t>
            </w:r>
          </w:p>
          <w:p w:rsidR="00F138C1" w:rsidRPr="00E407E9" w:rsidRDefault="00F138C1" w:rsidP="00F138C1">
            <w:pPr>
              <w:tabs>
                <w:tab w:val="left" w:pos="-1440"/>
                <w:tab w:val="left" w:pos="-720"/>
              </w:tabs>
              <w:rPr>
                <w:sz w:val="20"/>
                <w:szCs w:val="20"/>
              </w:rPr>
            </w:pPr>
          </w:p>
          <w:p w:rsidR="00F138C1" w:rsidRPr="00E407E9" w:rsidRDefault="00F138C1" w:rsidP="00F138C1">
            <w:pPr>
              <w:rPr>
                <w:sz w:val="20"/>
                <w:szCs w:val="20"/>
              </w:rPr>
            </w:pPr>
            <w:r w:rsidRPr="00E407E9">
              <w:rPr>
                <w:sz w:val="20"/>
                <w:szCs w:val="20"/>
              </w:rPr>
              <w:t xml:space="preserve">FILING DATE: </w:t>
            </w:r>
            <w:r w:rsidR="004C5DD7" w:rsidRPr="00E407E9">
              <w:rPr>
                <w:sz w:val="20"/>
                <w:szCs w:val="20"/>
              </w:rPr>
              <w:t>December</w:t>
            </w:r>
            <w:r w:rsidRPr="00E407E9">
              <w:rPr>
                <w:sz w:val="20"/>
                <w:szCs w:val="20"/>
              </w:rPr>
              <w:t xml:space="preserve"> </w:t>
            </w:r>
            <w:r w:rsidR="004C5DD7" w:rsidRPr="00E407E9">
              <w:rPr>
                <w:sz w:val="20"/>
                <w:szCs w:val="20"/>
              </w:rPr>
              <w:t>11</w:t>
            </w:r>
            <w:r w:rsidRPr="00E407E9">
              <w:rPr>
                <w:sz w:val="20"/>
                <w:szCs w:val="20"/>
              </w:rPr>
              <w:t>, 20</w:t>
            </w:r>
            <w:r w:rsidR="00DA1D48" w:rsidRPr="00E407E9">
              <w:rPr>
                <w:sz w:val="20"/>
                <w:szCs w:val="20"/>
              </w:rPr>
              <w:t>20</w:t>
            </w:r>
          </w:p>
          <w:p w:rsidR="004B2E86" w:rsidRPr="00E407E9" w:rsidRDefault="004B2E86" w:rsidP="00F138C1">
            <w:pPr>
              <w:rPr>
                <w:sz w:val="20"/>
                <w:szCs w:val="20"/>
              </w:rPr>
            </w:pPr>
          </w:p>
          <w:p w:rsidR="00F138C1" w:rsidRPr="00E407E9" w:rsidRDefault="00CE6E62"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F138C1" w:rsidRPr="00E407E9" w:rsidRDefault="00F138C1" w:rsidP="00F138C1">
            <w:pPr>
              <w:jc w:val="center"/>
              <w:rPr>
                <w:sz w:val="20"/>
                <w:szCs w:val="20"/>
              </w:rPr>
            </w:pPr>
          </w:p>
          <w:p w:rsidR="004B2E86" w:rsidRPr="00E407E9" w:rsidRDefault="004B2E86" w:rsidP="00F138C1">
            <w:pPr>
              <w:jc w:val="center"/>
              <w:rPr>
                <w:sz w:val="20"/>
                <w:szCs w:val="20"/>
              </w:rPr>
            </w:pPr>
          </w:p>
          <w:p w:rsidR="00F138C1" w:rsidRPr="00E407E9" w:rsidRDefault="00F138C1" w:rsidP="00F138C1">
            <w:pPr>
              <w:jc w:val="center"/>
              <w:rPr>
                <w:sz w:val="20"/>
                <w:szCs w:val="20"/>
              </w:rPr>
            </w:pPr>
          </w:p>
        </w:tc>
        <w:tc>
          <w:tcPr>
            <w:tcW w:w="4239" w:type="dxa"/>
            <w:shd w:val="clear" w:color="auto" w:fill="auto"/>
          </w:tcPr>
          <w:p w:rsidR="00F138C1" w:rsidRPr="00E407E9" w:rsidRDefault="004C5DD7" w:rsidP="00F138C1">
            <w:pPr>
              <w:rPr>
                <w:b/>
                <w:sz w:val="20"/>
                <w:szCs w:val="20"/>
                <w:lang w:val="fr-CA"/>
              </w:rPr>
            </w:pPr>
            <w:r w:rsidRPr="00E407E9">
              <w:rPr>
                <w:b/>
                <w:sz w:val="20"/>
                <w:szCs w:val="20"/>
                <w:lang w:val="fr-CA"/>
              </w:rPr>
              <w:t>Terrell Lloyd Smith</w:t>
            </w:r>
          </w:p>
          <w:p w:rsidR="00F138C1" w:rsidRPr="00E407E9" w:rsidRDefault="00F138C1" w:rsidP="00F138C1">
            <w:pPr>
              <w:tabs>
                <w:tab w:val="left" w:pos="-1440"/>
                <w:tab w:val="left" w:pos="-720"/>
              </w:tabs>
              <w:rPr>
                <w:sz w:val="20"/>
                <w:szCs w:val="20"/>
                <w:lang w:val="fr-CA"/>
              </w:rPr>
            </w:pPr>
            <w:r w:rsidRPr="00E407E9">
              <w:rPr>
                <w:sz w:val="20"/>
                <w:szCs w:val="20"/>
                <w:lang w:val="fr-CA"/>
              </w:rPr>
              <w:tab/>
            </w:r>
            <w:r w:rsidR="004C5DD7" w:rsidRPr="00E407E9">
              <w:rPr>
                <w:sz w:val="20"/>
                <w:szCs w:val="20"/>
                <w:lang w:val="fr-CA"/>
              </w:rPr>
              <w:t>Beaulieu-Lussier, Mélissa</w:t>
            </w:r>
          </w:p>
          <w:p w:rsidR="00F138C1" w:rsidRPr="00E407E9" w:rsidRDefault="00F138C1" w:rsidP="00F138C1">
            <w:pPr>
              <w:tabs>
                <w:tab w:val="left" w:pos="-1440"/>
                <w:tab w:val="left" w:pos="-720"/>
              </w:tabs>
              <w:rPr>
                <w:sz w:val="20"/>
                <w:szCs w:val="20"/>
                <w:lang w:val="fr-CA"/>
              </w:rPr>
            </w:pPr>
          </w:p>
          <w:p w:rsidR="00F138C1" w:rsidRPr="00E407E9" w:rsidRDefault="00F138C1" w:rsidP="00F138C1">
            <w:pPr>
              <w:tabs>
                <w:tab w:val="left" w:pos="-1440"/>
                <w:tab w:val="left" w:pos="-720"/>
              </w:tabs>
              <w:rPr>
                <w:sz w:val="20"/>
                <w:szCs w:val="20"/>
                <w:lang w:val="fr-CA"/>
              </w:rPr>
            </w:pPr>
            <w:r w:rsidRPr="00E407E9">
              <w:rPr>
                <w:sz w:val="20"/>
                <w:szCs w:val="20"/>
                <w:lang w:val="fr-CA"/>
              </w:rPr>
              <w:tab/>
              <w:t>c. (39</w:t>
            </w:r>
            <w:r w:rsidR="004C5DD7" w:rsidRPr="00E407E9">
              <w:rPr>
                <w:sz w:val="20"/>
                <w:szCs w:val="20"/>
                <w:lang w:val="fr-CA"/>
              </w:rPr>
              <w:t>443</w:t>
            </w:r>
            <w:r w:rsidRPr="00E407E9">
              <w:rPr>
                <w:sz w:val="20"/>
                <w:szCs w:val="20"/>
                <w:lang w:val="fr-CA"/>
              </w:rPr>
              <w:t>)</w:t>
            </w:r>
          </w:p>
          <w:p w:rsidR="00F138C1" w:rsidRPr="00E407E9" w:rsidRDefault="00F138C1" w:rsidP="00F138C1">
            <w:pPr>
              <w:tabs>
                <w:tab w:val="left" w:pos="-1440"/>
                <w:tab w:val="left" w:pos="-720"/>
              </w:tabs>
              <w:rPr>
                <w:sz w:val="20"/>
                <w:szCs w:val="20"/>
                <w:lang w:val="fr-CA"/>
              </w:rPr>
            </w:pPr>
          </w:p>
          <w:p w:rsidR="00F138C1" w:rsidRPr="00E407E9" w:rsidRDefault="004C5DD7" w:rsidP="00F138C1">
            <w:pPr>
              <w:tabs>
                <w:tab w:val="left" w:pos="-1440"/>
                <w:tab w:val="left" w:pos="-720"/>
              </w:tabs>
              <w:rPr>
                <w:b/>
                <w:sz w:val="20"/>
                <w:szCs w:val="20"/>
                <w:lang w:val="fr-CA"/>
              </w:rPr>
            </w:pPr>
            <w:r w:rsidRPr="00E407E9">
              <w:rPr>
                <w:b/>
                <w:sz w:val="20"/>
                <w:szCs w:val="20"/>
                <w:lang w:val="fr-CA"/>
              </w:rPr>
              <w:t>Sa Majesté la Reine</w:t>
            </w:r>
            <w:r w:rsidR="00F138C1" w:rsidRPr="00E407E9">
              <w:rPr>
                <w:sz w:val="20"/>
                <w:szCs w:val="20"/>
                <w:lang w:val="fr-CA"/>
              </w:rPr>
              <w:t xml:space="preserve"> </w:t>
            </w:r>
            <w:r w:rsidR="00F138C1" w:rsidRPr="00E407E9">
              <w:rPr>
                <w:b/>
                <w:sz w:val="20"/>
                <w:szCs w:val="20"/>
                <w:lang w:val="fr-CA"/>
              </w:rPr>
              <w:t>(Qc)</w:t>
            </w:r>
          </w:p>
          <w:p w:rsidR="00F138C1" w:rsidRPr="00E407E9" w:rsidRDefault="00F138C1" w:rsidP="00F138C1">
            <w:pPr>
              <w:tabs>
                <w:tab w:val="left" w:pos="-1440"/>
                <w:tab w:val="left" w:pos="-720"/>
              </w:tabs>
              <w:rPr>
                <w:sz w:val="20"/>
                <w:szCs w:val="20"/>
                <w:lang w:val="fr-CA"/>
              </w:rPr>
            </w:pPr>
            <w:r w:rsidRPr="00E407E9">
              <w:rPr>
                <w:sz w:val="20"/>
                <w:szCs w:val="20"/>
                <w:lang w:val="fr-CA"/>
              </w:rPr>
              <w:tab/>
            </w:r>
            <w:r w:rsidR="004C5DD7" w:rsidRPr="00E407E9">
              <w:rPr>
                <w:sz w:val="20"/>
                <w:szCs w:val="20"/>
                <w:lang w:val="fr-CA"/>
              </w:rPr>
              <w:t>Payette, Maude</w:t>
            </w:r>
          </w:p>
          <w:p w:rsidR="004C5DD7" w:rsidRPr="00E407E9" w:rsidRDefault="00F138C1" w:rsidP="00F138C1">
            <w:pPr>
              <w:tabs>
                <w:tab w:val="left" w:pos="-1440"/>
                <w:tab w:val="left" w:pos="-720"/>
              </w:tabs>
              <w:rPr>
                <w:sz w:val="20"/>
                <w:szCs w:val="20"/>
                <w:lang w:val="fr-CA"/>
              </w:rPr>
            </w:pPr>
            <w:r w:rsidRPr="00E407E9">
              <w:rPr>
                <w:sz w:val="20"/>
                <w:szCs w:val="20"/>
                <w:lang w:val="fr-CA"/>
              </w:rPr>
              <w:tab/>
            </w:r>
            <w:r w:rsidR="004C5DD7" w:rsidRPr="00E407E9">
              <w:rPr>
                <w:sz w:val="20"/>
                <w:szCs w:val="20"/>
                <w:lang w:val="fr-CA"/>
              </w:rPr>
              <w:t xml:space="preserve">Procureurs aux poursuites criminelles et </w:t>
            </w:r>
          </w:p>
          <w:p w:rsidR="00F138C1" w:rsidRPr="00E407E9" w:rsidRDefault="004C5DD7" w:rsidP="00F138C1">
            <w:pPr>
              <w:tabs>
                <w:tab w:val="left" w:pos="-1440"/>
                <w:tab w:val="left" w:pos="-720"/>
              </w:tabs>
              <w:rPr>
                <w:sz w:val="20"/>
                <w:szCs w:val="20"/>
                <w:lang w:val="fr-CA"/>
              </w:rPr>
            </w:pPr>
            <w:r w:rsidRPr="00E407E9">
              <w:rPr>
                <w:sz w:val="20"/>
                <w:szCs w:val="20"/>
                <w:lang w:val="fr-CA"/>
              </w:rPr>
              <w:tab/>
              <w:t>pénales</w:t>
            </w:r>
          </w:p>
          <w:p w:rsidR="00F138C1" w:rsidRPr="00E407E9" w:rsidRDefault="00F138C1" w:rsidP="00F138C1">
            <w:pPr>
              <w:tabs>
                <w:tab w:val="left" w:pos="-1440"/>
                <w:tab w:val="left" w:pos="-720"/>
              </w:tabs>
              <w:rPr>
                <w:sz w:val="20"/>
                <w:szCs w:val="20"/>
                <w:lang w:val="fr-CA"/>
              </w:rPr>
            </w:pPr>
          </w:p>
          <w:p w:rsidR="00F138C1" w:rsidRPr="00E407E9" w:rsidRDefault="00F138C1" w:rsidP="00F138C1">
            <w:pPr>
              <w:rPr>
                <w:sz w:val="20"/>
                <w:szCs w:val="20"/>
                <w:lang w:val="fr-CA"/>
              </w:rPr>
            </w:pPr>
            <w:r w:rsidRPr="00E407E9">
              <w:rPr>
                <w:sz w:val="20"/>
                <w:szCs w:val="20"/>
                <w:lang w:val="fr-CA"/>
              </w:rPr>
              <w:t xml:space="preserve">DATE DE PRODUCTION : le </w:t>
            </w:r>
            <w:r w:rsidR="004C5DD7" w:rsidRPr="00E407E9">
              <w:rPr>
                <w:sz w:val="20"/>
                <w:szCs w:val="20"/>
                <w:lang w:val="fr-CA"/>
              </w:rPr>
              <w:t>11 décembre</w:t>
            </w:r>
            <w:r w:rsidRPr="00E407E9">
              <w:rPr>
                <w:sz w:val="20"/>
                <w:szCs w:val="20"/>
                <w:lang w:val="fr-CA"/>
              </w:rPr>
              <w:t xml:space="preserve"> 20</w:t>
            </w:r>
            <w:r w:rsidR="00DA1D48" w:rsidRPr="00E407E9">
              <w:rPr>
                <w:sz w:val="20"/>
                <w:szCs w:val="20"/>
                <w:lang w:val="fr-CA"/>
              </w:rPr>
              <w:t>20</w:t>
            </w:r>
          </w:p>
          <w:p w:rsidR="004B2E86" w:rsidRPr="00E407E9" w:rsidRDefault="004B2E86" w:rsidP="00F138C1">
            <w:pPr>
              <w:rPr>
                <w:sz w:val="20"/>
                <w:szCs w:val="20"/>
                <w:lang w:val="fr-CA"/>
              </w:rPr>
            </w:pPr>
          </w:p>
          <w:p w:rsidR="00F138C1" w:rsidRPr="00E407E9" w:rsidRDefault="00CE6E62"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E407E9" w:rsidTr="00F138C1">
        <w:tc>
          <w:tcPr>
            <w:tcW w:w="4239" w:type="dxa"/>
            <w:shd w:val="clear" w:color="auto" w:fill="auto"/>
          </w:tcPr>
          <w:p w:rsidR="00F138C1" w:rsidRPr="00E407E9" w:rsidRDefault="00201DCB" w:rsidP="009B36BA">
            <w:pPr>
              <w:tabs>
                <w:tab w:val="left" w:pos="-1440"/>
                <w:tab w:val="left" w:pos="-720"/>
              </w:tabs>
              <w:rPr>
                <w:b/>
                <w:sz w:val="20"/>
                <w:szCs w:val="20"/>
                <w:lang w:val="en-US"/>
              </w:rPr>
            </w:pPr>
            <w:r w:rsidRPr="00E407E9">
              <w:rPr>
                <w:b/>
                <w:sz w:val="20"/>
                <w:szCs w:val="20"/>
                <w:lang w:val="en-US"/>
              </w:rPr>
              <w:t>James Harvey Cameron</w:t>
            </w:r>
          </w:p>
          <w:p w:rsidR="00F138C1" w:rsidRPr="00E407E9" w:rsidRDefault="00F138C1" w:rsidP="00F138C1">
            <w:pPr>
              <w:keepNext/>
              <w:keepLines/>
              <w:tabs>
                <w:tab w:val="left" w:pos="-1440"/>
                <w:tab w:val="left" w:pos="-720"/>
              </w:tabs>
              <w:rPr>
                <w:sz w:val="20"/>
                <w:szCs w:val="20"/>
                <w:lang w:val="en-US"/>
              </w:rPr>
            </w:pPr>
            <w:r w:rsidRPr="00E407E9">
              <w:rPr>
                <w:sz w:val="20"/>
                <w:szCs w:val="20"/>
                <w:lang w:val="en-US"/>
              </w:rPr>
              <w:tab/>
            </w:r>
            <w:r w:rsidR="00201DCB" w:rsidRPr="00E407E9">
              <w:rPr>
                <w:sz w:val="20"/>
                <w:szCs w:val="20"/>
                <w:lang w:val="en-US"/>
              </w:rPr>
              <w:t>Miller, Brendan Myers</w:t>
            </w:r>
          </w:p>
          <w:p w:rsidR="00F138C1" w:rsidRPr="00E407E9" w:rsidRDefault="00F138C1" w:rsidP="00F138C1">
            <w:pPr>
              <w:keepNext/>
              <w:keepLines/>
              <w:tabs>
                <w:tab w:val="left" w:pos="-1440"/>
                <w:tab w:val="left" w:pos="-720"/>
              </w:tabs>
              <w:rPr>
                <w:sz w:val="20"/>
                <w:szCs w:val="20"/>
                <w:lang w:val="en-US"/>
              </w:rPr>
            </w:pPr>
            <w:r w:rsidRPr="00E407E9">
              <w:rPr>
                <w:sz w:val="20"/>
                <w:szCs w:val="20"/>
                <w:lang w:val="en-US"/>
              </w:rPr>
              <w:tab/>
            </w:r>
            <w:r w:rsidR="00201DCB" w:rsidRPr="00E407E9">
              <w:rPr>
                <w:sz w:val="20"/>
                <w:szCs w:val="20"/>
                <w:lang w:val="en-US"/>
              </w:rPr>
              <w:t>Foster LLP</w:t>
            </w:r>
          </w:p>
          <w:p w:rsidR="00F138C1" w:rsidRPr="00E407E9" w:rsidRDefault="00F138C1" w:rsidP="00F138C1">
            <w:pPr>
              <w:keepNext/>
              <w:keepLines/>
              <w:tabs>
                <w:tab w:val="left" w:pos="-1440"/>
                <w:tab w:val="left" w:pos="-720"/>
              </w:tabs>
              <w:rPr>
                <w:sz w:val="20"/>
                <w:szCs w:val="20"/>
                <w:lang w:val="en-US"/>
              </w:rPr>
            </w:pPr>
          </w:p>
          <w:p w:rsidR="00F138C1" w:rsidRPr="00E407E9" w:rsidRDefault="00F138C1" w:rsidP="00F138C1">
            <w:pPr>
              <w:keepNext/>
              <w:keepLines/>
              <w:tabs>
                <w:tab w:val="left" w:pos="-1440"/>
                <w:tab w:val="left" w:pos="-720"/>
              </w:tabs>
              <w:rPr>
                <w:sz w:val="20"/>
                <w:szCs w:val="20"/>
                <w:lang w:val="en-US"/>
              </w:rPr>
            </w:pPr>
            <w:r w:rsidRPr="00E407E9">
              <w:rPr>
                <w:sz w:val="20"/>
                <w:szCs w:val="20"/>
                <w:lang w:val="en-US"/>
              </w:rPr>
              <w:tab/>
              <w:t>v. (39</w:t>
            </w:r>
            <w:r w:rsidR="00201DCB" w:rsidRPr="00E407E9">
              <w:rPr>
                <w:sz w:val="20"/>
                <w:szCs w:val="20"/>
                <w:lang w:val="en-US"/>
              </w:rPr>
              <w:t>444</w:t>
            </w:r>
            <w:r w:rsidRPr="00E407E9">
              <w:rPr>
                <w:sz w:val="20"/>
                <w:szCs w:val="20"/>
                <w:lang w:val="en-US"/>
              </w:rPr>
              <w:t>)</w:t>
            </w:r>
          </w:p>
          <w:p w:rsidR="00F138C1" w:rsidRPr="00E407E9" w:rsidRDefault="00F138C1" w:rsidP="00F138C1">
            <w:pPr>
              <w:keepNext/>
              <w:keepLines/>
              <w:tabs>
                <w:tab w:val="left" w:pos="-1440"/>
                <w:tab w:val="left" w:pos="-720"/>
              </w:tabs>
              <w:rPr>
                <w:sz w:val="20"/>
                <w:szCs w:val="20"/>
                <w:lang w:val="en-US"/>
              </w:rPr>
            </w:pPr>
          </w:p>
          <w:p w:rsidR="00F138C1" w:rsidRPr="00E407E9" w:rsidRDefault="00201DCB" w:rsidP="00F138C1">
            <w:pPr>
              <w:keepNext/>
              <w:keepLines/>
              <w:tabs>
                <w:tab w:val="left" w:pos="-1440"/>
                <w:tab w:val="left" w:pos="-720"/>
              </w:tabs>
              <w:rPr>
                <w:b/>
                <w:sz w:val="20"/>
                <w:szCs w:val="20"/>
                <w:lang w:val="en-US"/>
              </w:rPr>
            </w:pPr>
            <w:r w:rsidRPr="00E407E9">
              <w:rPr>
                <w:b/>
                <w:sz w:val="20"/>
                <w:szCs w:val="20"/>
                <w:lang w:val="en-US"/>
              </w:rPr>
              <w:t>Her Majesty the Queen</w:t>
            </w:r>
            <w:r w:rsidR="00F138C1" w:rsidRPr="00E407E9">
              <w:rPr>
                <w:b/>
                <w:sz w:val="20"/>
                <w:szCs w:val="20"/>
                <w:lang w:val="en-US"/>
              </w:rPr>
              <w:t xml:space="preserve"> (</w:t>
            </w:r>
            <w:r w:rsidRPr="00E407E9">
              <w:rPr>
                <w:b/>
                <w:sz w:val="20"/>
                <w:szCs w:val="20"/>
                <w:lang w:val="en-US"/>
              </w:rPr>
              <w:t>Alta</w:t>
            </w:r>
            <w:r w:rsidR="00F138C1" w:rsidRPr="00E407E9">
              <w:rPr>
                <w:b/>
                <w:sz w:val="20"/>
                <w:szCs w:val="20"/>
                <w:lang w:val="en-US"/>
              </w:rPr>
              <w:t>.)</w:t>
            </w:r>
          </w:p>
          <w:p w:rsidR="00F138C1" w:rsidRPr="00E407E9" w:rsidRDefault="00F138C1" w:rsidP="00F138C1">
            <w:pPr>
              <w:keepNext/>
              <w:keepLines/>
              <w:tabs>
                <w:tab w:val="left" w:pos="-1440"/>
                <w:tab w:val="left" w:pos="-720"/>
              </w:tabs>
              <w:rPr>
                <w:sz w:val="20"/>
                <w:szCs w:val="20"/>
                <w:lang w:val="en-US"/>
              </w:rPr>
            </w:pPr>
            <w:r w:rsidRPr="00E407E9">
              <w:rPr>
                <w:sz w:val="20"/>
                <w:szCs w:val="20"/>
                <w:lang w:val="en-US"/>
              </w:rPr>
              <w:tab/>
            </w:r>
            <w:r w:rsidR="00201DCB" w:rsidRPr="00E407E9">
              <w:rPr>
                <w:sz w:val="20"/>
                <w:szCs w:val="20"/>
                <w:lang w:val="en-US"/>
              </w:rPr>
              <w:t>Lord, Tyler</w:t>
            </w:r>
          </w:p>
          <w:p w:rsidR="00F138C1" w:rsidRPr="00E407E9" w:rsidRDefault="00F138C1" w:rsidP="00F138C1">
            <w:pPr>
              <w:keepNext/>
              <w:keepLines/>
              <w:tabs>
                <w:tab w:val="left" w:pos="-1440"/>
                <w:tab w:val="left" w:pos="-720"/>
              </w:tabs>
              <w:rPr>
                <w:sz w:val="20"/>
                <w:szCs w:val="20"/>
                <w:lang w:val="en-US"/>
              </w:rPr>
            </w:pPr>
            <w:r w:rsidRPr="00E407E9">
              <w:rPr>
                <w:sz w:val="20"/>
                <w:szCs w:val="20"/>
                <w:lang w:val="en-US"/>
              </w:rPr>
              <w:tab/>
            </w:r>
            <w:r w:rsidR="00201DCB" w:rsidRPr="00E407E9">
              <w:rPr>
                <w:sz w:val="20"/>
                <w:szCs w:val="20"/>
                <w:lang w:val="en-US"/>
              </w:rPr>
              <w:t>Public Prosecution Service of Canada</w:t>
            </w:r>
          </w:p>
          <w:p w:rsidR="00F138C1" w:rsidRPr="00E407E9" w:rsidRDefault="00F138C1" w:rsidP="00F138C1">
            <w:pPr>
              <w:keepNext/>
              <w:keepLines/>
              <w:tabs>
                <w:tab w:val="left" w:pos="-1440"/>
                <w:tab w:val="left" w:pos="-720"/>
              </w:tabs>
              <w:rPr>
                <w:sz w:val="20"/>
                <w:szCs w:val="20"/>
                <w:lang w:val="en-US"/>
              </w:rPr>
            </w:pPr>
          </w:p>
          <w:p w:rsidR="004B2E86" w:rsidRPr="00E407E9" w:rsidRDefault="00F138C1" w:rsidP="00F138C1">
            <w:pPr>
              <w:rPr>
                <w:sz w:val="20"/>
                <w:szCs w:val="20"/>
                <w:lang w:val="fr-CA"/>
              </w:rPr>
            </w:pPr>
            <w:r w:rsidRPr="00E407E9">
              <w:rPr>
                <w:sz w:val="20"/>
                <w:szCs w:val="20"/>
                <w:lang w:val="fr-CA"/>
              </w:rPr>
              <w:t xml:space="preserve">FILING DATE: </w:t>
            </w:r>
            <w:r w:rsidR="00201DCB" w:rsidRPr="00E407E9">
              <w:rPr>
                <w:sz w:val="20"/>
                <w:szCs w:val="20"/>
                <w:lang w:val="fr-CA"/>
              </w:rPr>
              <w:t>December</w:t>
            </w:r>
            <w:r w:rsidRPr="00E407E9">
              <w:rPr>
                <w:sz w:val="20"/>
                <w:szCs w:val="20"/>
                <w:lang w:val="fr-CA"/>
              </w:rPr>
              <w:t xml:space="preserve"> </w:t>
            </w:r>
            <w:r w:rsidR="00201DCB" w:rsidRPr="00E407E9">
              <w:rPr>
                <w:sz w:val="20"/>
                <w:szCs w:val="20"/>
                <w:lang w:val="fr-CA"/>
              </w:rPr>
              <w:t>11</w:t>
            </w:r>
            <w:r w:rsidRPr="00E407E9">
              <w:rPr>
                <w:sz w:val="20"/>
                <w:szCs w:val="20"/>
                <w:lang w:val="fr-CA"/>
              </w:rPr>
              <w:t>, 20</w:t>
            </w:r>
            <w:r w:rsidR="00DA1D48" w:rsidRPr="00E407E9">
              <w:rPr>
                <w:sz w:val="20"/>
                <w:szCs w:val="20"/>
                <w:lang w:val="fr-CA"/>
              </w:rPr>
              <w:t>20</w:t>
            </w:r>
          </w:p>
          <w:p w:rsidR="004B2E86" w:rsidRPr="00E407E9" w:rsidRDefault="004B2E86" w:rsidP="00F138C1">
            <w:pPr>
              <w:rPr>
                <w:sz w:val="20"/>
                <w:szCs w:val="20"/>
                <w:lang w:val="fr-CA"/>
              </w:rPr>
            </w:pPr>
          </w:p>
          <w:p w:rsidR="00F138C1" w:rsidRPr="00E407E9" w:rsidRDefault="00CE6E62"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F138C1" w:rsidRPr="00E407E9" w:rsidRDefault="00F138C1" w:rsidP="00F138C1">
            <w:pPr>
              <w:jc w:val="center"/>
              <w:rPr>
                <w:sz w:val="20"/>
                <w:szCs w:val="20"/>
                <w:lang w:val="en-US"/>
              </w:rPr>
            </w:pPr>
          </w:p>
          <w:p w:rsidR="00201DCB" w:rsidRPr="00E407E9" w:rsidRDefault="00201DCB" w:rsidP="00F138C1">
            <w:pPr>
              <w:jc w:val="center"/>
              <w:rPr>
                <w:sz w:val="20"/>
                <w:szCs w:val="20"/>
                <w:lang w:val="en-US"/>
              </w:rPr>
            </w:pPr>
          </w:p>
          <w:p w:rsidR="004B2E86" w:rsidRPr="00E407E9" w:rsidRDefault="004B2E86" w:rsidP="00F138C1">
            <w:pPr>
              <w:jc w:val="center"/>
              <w:rPr>
                <w:sz w:val="20"/>
                <w:szCs w:val="20"/>
                <w:lang w:val="en-US"/>
              </w:rPr>
            </w:pPr>
          </w:p>
        </w:tc>
        <w:tc>
          <w:tcPr>
            <w:tcW w:w="4239" w:type="dxa"/>
            <w:shd w:val="clear" w:color="auto" w:fill="auto"/>
          </w:tcPr>
          <w:p w:rsidR="00F138C1" w:rsidRPr="00E407E9" w:rsidRDefault="00201DCB" w:rsidP="00F138C1">
            <w:pPr>
              <w:rPr>
                <w:b/>
                <w:sz w:val="20"/>
                <w:szCs w:val="20"/>
                <w:lang w:val="fr-CA"/>
              </w:rPr>
            </w:pPr>
            <w:r w:rsidRPr="00E407E9">
              <w:rPr>
                <w:b/>
                <w:sz w:val="20"/>
                <w:szCs w:val="20"/>
                <w:lang w:val="fr-CA"/>
              </w:rPr>
              <w:t>André Delorme</w:t>
            </w:r>
          </w:p>
          <w:p w:rsidR="00F138C1" w:rsidRPr="00E407E9" w:rsidRDefault="00F138C1" w:rsidP="00F138C1">
            <w:pPr>
              <w:tabs>
                <w:tab w:val="left" w:pos="-1440"/>
                <w:tab w:val="left" w:pos="-720"/>
              </w:tabs>
              <w:rPr>
                <w:sz w:val="20"/>
                <w:szCs w:val="20"/>
                <w:lang w:val="fr-CA"/>
              </w:rPr>
            </w:pPr>
            <w:r w:rsidRPr="00E407E9">
              <w:rPr>
                <w:sz w:val="20"/>
                <w:szCs w:val="20"/>
                <w:lang w:val="fr-CA"/>
              </w:rPr>
              <w:tab/>
            </w:r>
            <w:r w:rsidR="00201DCB" w:rsidRPr="00E407E9">
              <w:rPr>
                <w:sz w:val="20"/>
                <w:szCs w:val="20"/>
                <w:lang w:val="fr-CA"/>
              </w:rPr>
              <w:t>Mutchnik, Audrey</w:t>
            </w:r>
          </w:p>
          <w:p w:rsidR="00F138C1" w:rsidRPr="00E407E9" w:rsidRDefault="00F138C1" w:rsidP="00F138C1">
            <w:pPr>
              <w:tabs>
                <w:tab w:val="left" w:pos="-1440"/>
                <w:tab w:val="left" w:pos="-720"/>
              </w:tabs>
              <w:rPr>
                <w:sz w:val="20"/>
                <w:szCs w:val="20"/>
                <w:lang w:val="fr-CA"/>
              </w:rPr>
            </w:pPr>
            <w:r w:rsidRPr="00E407E9">
              <w:rPr>
                <w:sz w:val="20"/>
                <w:szCs w:val="20"/>
                <w:lang w:val="fr-CA"/>
              </w:rPr>
              <w:tab/>
            </w:r>
            <w:r w:rsidR="00201DCB" w:rsidRPr="00E407E9">
              <w:rPr>
                <w:sz w:val="20"/>
                <w:szCs w:val="20"/>
                <w:lang w:val="fr-CA"/>
              </w:rPr>
              <w:t>BMLex Avocats Inc.</w:t>
            </w:r>
          </w:p>
          <w:p w:rsidR="00F138C1" w:rsidRPr="00E407E9" w:rsidRDefault="00F138C1" w:rsidP="00F138C1">
            <w:pPr>
              <w:tabs>
                <w:tab w:val="left" w:pos="-1440"/>
                <w:tab w:val="left" w:pos="-720"/>
              </w:tabs>
              <w:rPr>
                <w:sz w:val="20"/>
                <w:szCs w:val="20"/>
                <w:lang w:val="fr-CA"/>
              </w:rPr>
            </w:pPr>
          </w:p>
          <w:p w:rsidR="00F138C1" w:rsidRPr="00E407E9" w:rsidRDefault="00F138C1" w:rsidP="00F138C1">
            <w:pPr>
              <w:tabs>
                <w:tab w:val="left" w:pos="-1440"/>
                <w:tab w:val="left" w:pos="-720"/>
              </w:tabs>
              <w:rPr>
                <w:sz w:val="20"/>
                <w:szCs w:val="20"/>
                <w:lang w:val="fr-CA"/>
              </w:rPr>
            </w:pPr>
            <w:r w:rsidRPr="00E407E9">
              <w:rPr>
                <w:sz w:val="20"/>
                <w:szCs w:val="20"/>
                <w:lang w:val="fr-CA"/>
              </w:rPr>
              <w:tab/>
              <w:t>c. (39</w:t>
            </w:r>
            <w:r w:rsidR="00201DCB" w:rsidRPr="00E407E9">
              <w:rPr>
                <w:sz w:val="20"/>
                <w:szCs w:val="20"/>
                <w:lang w:val="fr-CA"/>
              </w:rPr>
              <w:t>445</w:t>
            </w:r>
            <w:r w:rsidRPr="00E407E9">
              <w:rPr>
                <w:sz w:val="20"/>
                <w:szCs w:val="20"/>
                <w:lang w:val="fr-CA"/>
              </w:rPr>
              <w:t>)</w:t>
            </w:r>
          </w:p>
          <w:p w:rsidR="00F138C1" w:rsidRPr="00E407E9" w:rsidRDefault="00F138C1" w:rsidP="00F138C1">
            <w:pPr>
              <w:tabs>
                <w:tab w:val="left" w:pos="-1440"/>
                <w:tab w:val="left" w:pos="-720"/>
              </w:tabs>
              <w:rPr>
                <w:sz w:val="20"/>
                <w:szCs w:val="20"/>
                <w:lang w:val="fr-CA"/>
              </w:rPr>
            </w:pPr>
          </w:p>
          <w:p w:rsidR="00F138C1" w:rsidRPr="00E407E9" w:rsidRDefault="00201DCB" w:rsidP="00F138C1">
            <w:pPr>
              <w:tabs>
                <w:tab w:val="left" w:pos="-1440"/>
                <w:tab w:val="left" w:pos="-720"/>
              </w:tabs>
              <w:rPr>
                <w:b/>
                <w:sz w:val="20"/>
                <w:szCs w:val="20"/>
                <w:lang w:val="fr-CA"/>
              </w:rPr>
            </w:pPr>
            <w:r w:rsidRPr="00E407E9">
              <w:rPr>
                <w:b/>
                <w:sz w:val="20"/>
                <w:szCs w:val="20"/>
                <w:lang w:val="fr-CA"/>
              </w:rPr>
              <w:t xml:space="preserve">Agence du revenu du Québec, et al. </w:t>
            </w:r>
            <w:r w:rsidR="00F138C1" w:rsidRPr="00E407E9">
              <w:rPr>
                <w:b/>
                <w:sz w:val="20"/>
                <w:szCs w:val="20"/>
                <w:lang w:val="fr-CA"/>
              </w:rPr>
              <w:t>(Qc)</w:t>
            </w:r>
          </w:p>
          <w:p w:rsidR="00F138C1" w:rsidRPr="00E407E9" w:rsidRDefault="00F138C1" w:rsidP="00F138C1">
            <w:pPr>
              <w:tabs>
                <w:tab w:val="left" w:pos="-1440"/>
                <w:tab w:val="left" w:pos="-720"/>
              </w:tabs>
              <w:rPr>
                <w:sz w:val="20"/>
                <w:szCs w:val="20"/>
                <w:lang w:val="fr-CA"/>
              </w:rPr>
            </w:pPr>
            <w:r w:rsidRPr="00E407E9">
              <w:rPr>
                <w:sz w:val="20"/>
                <w:szCs w:val="20"/>
                <w:lang w:val="fr-CA"/>
              </w:rPr>
              <w:tab/>
            </w:r>
            <w:r w:rsidR="00201DCB" w:rsidRPr="00E407E9">
              <w:rPr>
                <w:sz w:val="20"/>
                <w:szCs w:val="20"/>
                <w:lang w:val="fr-CA"/>
              </w:rPr>
              <w:t>Saoud, Kamal</w:t>
            </w:r>
          </w:p>
          <w:p w:rsidR="00201DCB" w:rsidRPr="00E407E9" w:rsidRDefault="00F138C1" w:rsidP="00F138C1">
            <w:pPr>
              <w:tabs>
                <w:tab w:val="left" w:pos="-1440"/>
                <w:tab w:val="left" w:pos="-720"/>
              </w:tabs>
              <w:rPr>
                <w:sz w:val="20"/>
                <w:szCs w:val="20"/>
                <w:lang w:val="fr-CA"/>
              </w:rPr>
            </w:pPr>
            <w:r w:rsidRPr="00E407E9">
              <w:rPr>
                <w:sz w:val="20"/>
                <w:szCs w:val="20"/>
                <w:lang w:val="fr-CA"/>
              </w:rPr>
              <w:tab/>
            </w:r>
            <w:r w:rsidR="00201DCB" w:rsidRPr="00E407E9">
              <w:rPr>
                <w:sz w:val="20"/>
                <w:szCs w:val="20"/>
                <w:lang w:val="fr-CA"/>
              </w:rPr>
              <w:t xml:space="preserve">Direction adjointe du contentieux – </w:t>
            </w:r>
          </w:p>
          <w:p w:rsidR="00F138C1" w:rsidRPr="00E407E9" w:rsidRDefault="00201DCB" w:rsidP="00F138C1">
            <w:pPr>
              <w:tabs>
                <w:tab w:val="left" w:pos="-1440"/>
                <w:tab w:val="left" w:pos="-720"/>
              </w:tabs>
              <w:rPr>
                <w:sz w:val="20"/>
                <w:szCs w:val="20"/>
                <w:lang w:val="fr-CA"/>
              </w:rPr>
            </w:pPr>
            <w:r w:rsidRPr="00E407E9">
              <w:rPr>
                <w:sz w:val="20"/>
                <w:szCs w:val="20"/>
                <w:lang w:val="fr-CA"/>
              </w:rPr>
              <w:tab/>
              <w:t>Revenu Québec</w:t>
            </w:r>
          </w:p>
          <w:p w:rsidR="00F138C1" w:rsidRPr="00E407E9" w:rsidRDefault="00F138C1" w:rsidP="00F138C1">
            <w:pPr>
              <w:tabs>
                <w:tab w:val="left" w:pos="-1440"/>
                <w:tab w:val="left" w:pos="-720"/>
              </w:tabs>
              <w:rPr>
                <w:sz w:val="20"/>
                <w:szCs w:val="20"/>
                <w:lang w:val="fr-CA"/>
              </w:rPr>
            </w:pPr>
          </w:p>
          <w:p w:rsidR="00F138C1" w:rsidRPr="00E407E9" w:rsidRDefault="00F138C1" w:rsidP="00F138C1">
            <w:pPr>
              <w:rPr>
                <w:sz w:val="20"/>
                <w:szCs w:val="20"/>
                <w:lang w:val="fr-CA"/>
              </w:rPr>
            </w:pPr>
            <w:r w:rsidRPr="00E407E9">
              <w:rPr>
                <w:sz w:val="20"/>
                <w:szCs w:val="20"/>
                <w:lang w:val="fr-CA"/>
              </w:rPr>
              <w:t xml:space="preserve">DATE DE PRODUCTION: le </w:t>
            </w:r>
            <w:r w:rsidR="00201DCB" w:rsidRPr="00E407E9">
              <w:rPr>
                <w:sz w:val="20"/>
                <w:szCs w:val="20"/>
                <w:lang w:val="fr-CA"/>
              </w:rPr>
              <w:t>11</w:t>
            </w:r>
            <w:r w:rsidRPr="00E407E9">
              <w:rPr>
                <w:sz w:val="20"/>
                <w:szCs w:val="20"/>
                <w:lang w:val="fr-CA"/>
              </w:rPr>
              <w:t xml:space="preserve"> </w:t>
            </w:r>
            <w:r w:rsidR="00201DCB" w:rsidRPr="00E407E9">
              <w:rPr>
                <w:sz w:val="20"/>
                <w:szCs w:val="20"/>
                <w:lang w:val="fr-CA"/>
              </w:rPr>
              <w:t>décembre</w:t>
            </w:r>
            <w:r w:rsidRPr="00E407E9">
              <w:rPr>
                <w:sz w:val="20"/>
                <w:szCs w:val="20"/>
                <w:lang w:val="fr-CA"/>
              </w:rPr>
              <w:t xml:space="preserve"> 20</w:t>
            </w:r>
            <w:r w:rsidR="00DA1D48" w:rsidRPr="00E407E9">
              <w:rPr>
                <w:sz w:val="20"/>
                <w:szCs w:val="20"/>
                <w:lang w:val="fr-CA"/>
              </w:rPr>
              <w:t>20</w:t>
            </w:r>
          </w:p>
          <w:p w:rsidR="004B2E86" w:rsidRPr="00E407E9" w:rsidRDefault="004B2E86" w:rsidP="00F138C1">
            <w:pPr>
              <w:rPr>
                <w:sz w:val="20"/>
                <w:szCs w:val="20"/>
                <w:lang w:val="fr-CA"/>
              </w:rPr>
            </w:pPr>
          </w:p>
          <w:p w:rsidR="00F138C1" w:rsidRPr="00E407E9" w:rsidRDefault="00CE6E62"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E407E9" w:rsidTr="00F138C1">
        <w:tc>
          <w:tcPr>
            <w:tcW w:w="4239" w:type="dxa"/>
            <w:shd w:val="clear" w:color="auto" w:fill="auto"/>
          </w:tcPr>
          <w:p w:rsidR="00DA1D48" w:rsidRPr="00E407E9" w:rsidRDefault="00D34C9B" w:rsidP="00DA1D48">
            <w:pPr>
              <w:rPr>
                <w:sz w:val="20"/>
                <w:szCs w:val="20"/>
                <w:lang w:val="fr-CA"/>
              </w:rPr>
            </w:pPr>
            <w:r w:rsidRPr="00E407E9">
              <w:rPr>
                <w:b/>
                <w:sz w:val="20"/>
                <w:szCs w:val="20"/>
                <w:lang w:val="fr-CA"/>
              </w:rPr>
              <w:t>Daniel Rousseau</w:t>
            </w:r>
          </w:p>
          <w:p w:rsidR="00DA1D48" w:rsidRPr="00E407E9" w:rsidRDefault="00DA1D48" w:rsidP="00DA1D48">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Daigle, François</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Daigle &amp; Matte, Avocats fiscalistes inc.</w:t>
            </w:r>
          </w:p>
          <w:p w:rsidR="00DA1D48" w:rsidRPr="00E407E9" w:rsidRDefault="00DA1D48" w:rsidP="00DA1D48">
            <w:pPr>
              <w:tabs>
                <w:tab w:val="left" w:pos="-1440"/>
                <w:tab w:val="left" w:pos="-720"/>
              </w:tabs>
              <w:rPr>
                <w:sz w:val="20"/>
                <w:szCs w:val="20"/>
                <w:lang w:val="fr-CA"/>
              </w:rPr>
            </w:pPr>
          </w:p>
          <w:p w:rsidR="00DA1D48" w:rsidRPr="00E407E9" w:rsidRDefault="00DA1D48" w:rsidP="00DA1D48">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c</w:t>
            </w:r>
            <w:r w:rsidRPr="00E407E9">
              <w:rPr>
                <w:sz w:val="20"/>
                <w:szCs w:val="20"/>
                <w:lang w:val="fr-CA"/>
              </w:rPr>
              <w:t>. (394</w:t>
            </w:r>
            <w:r w:rsidR="00D34C9B" w:rsidRPr="00E407E9">
              <w:rPr>
                <w:sz w:val="20"/>
                <w:szCs w:val="20"/>
                <w:lang w:val="fr-CA"/>
              </w:rPr>
              <w:t>46</w:t>
            </w:r>
            <w:r w:rsidRPr="00E407E9">
              <w:rPr>
                <w:sz w:val="20"/>
                <w:szCs w:val="20"/>
                <w:lang w:val="fr-CA"/>
              </w:rPr>
              <w:t>)</w:t>
            </w:r>
          </w:p>
          <w:p w:rsidR="00DA1D48" w:rsidRPr="00E407E9" w:rsidRDefault="00DA1D48" w:rsidP="00DA1D48">
            <w:pPr>
              <w:tabs>
                <w:tab w:val="left" w:pos="-1440"/>
                <w:tab w:val="left" w:pos="-720"/>
              </w:tabs>
              <w:rPr>
                <w:sz w:val="20"/>
                <w:szCs w:val="20"/>
                <w:lang w:val="fr-CA"/>
              </w:rPr>
            </w:pPr>
          </w:p>
          <w:p w:rsidR="00DA1D48" w:rsidRPr="00E407E9" w:rsidRDefault="00D34C9B" w:rsidP="00DA1D48">
            <w:pPr>
              <w:tabs>
                <w:tab w:val="left" w:pos="-1440"/>
                <w:tab w:val="left" w:pos="-720"/>
              </w:tabs>
              <w:rPr>
                <w:b/>
                <w:sz w:val="20"/>
                <w:szCs w:val="20"/>
                <w:lang w:val="fr-CA"/>
              </w:rPr>
            </w:pPr>
            <w:r w:rsidRPr="00E407E9">
              <w:rPr>
                <w:b/>
                <w:sz w:val="20"/>
                <w:szCs w:val="20"/>
                <w:lang w:val="fr-CA"/>
              </w:rPr>
              <w:t xml:space="preserve">Agence du Revenu du Québec </w:t>
            </w:r>
            <w:r w:rsidR="00DA1D48" w:rsidRPr="00E407E9">
              <w:rPr>
                <w:b/>
                <w:sz w:val="20"/>
                <w:szCs w:val="20"/>
                <w:lang w:val="fr-CA"/>
              </w:rPr>
              <w:t>(</w:t>
            </w:r>
            <w:r w:rsidRPr="00E407E9">
              <w:rPr>
                <w:b/>
                <w:sz w:val="20"/>
                <w:szCs w:val="20"/>
                <w:lang w:val="fr-CA"/>
              </w:rPr>
              <w:t>Qc</w:t>
            </w:r>
            <w:r w:rsidR="00DA1D48" w:rsidRPr="00E407E9">
              <w:rPr>
                <w:b/>
                <w:sz w:val="20"/>
                <w:szCs w:val="20"/>
                <w:lang w:val="fr-CA"/>
              </w:rPr>
              <w:t>)</w:t>
            </w:r>
          </w:p>
          <w:p w:rsidR="00DA1D48" w:rsidRPr="00E407E9" w:rsidRDefault="00DA1D48" w:rsidP="00DA1D48">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Julien, Pier-Olivier</w:t>
            </w:r>
          </w:p>
          <w:p w:rsidR="00DA1D48" w:rsidRPr="00E407E9" w:rsidRDefault="00DA1D48" w:rsidP="00DA1D48">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Larivière Meunier</w:t>
            </w:r>
          </w:p>
          <w:p w:rsidR="00DA1D48" w:rsidRPr="00E407E9" w:rsidRDefault="00DA1D48" w:rsidP="00DA1D48">
            <w:pPr>
              <w:tabs>
                <w:tab w:val="left" w:pos="-1440"/>
                <w:tab w:val="left" w:pos="-720"/>
              </w:tabs>
              <w:rPr>
                <w:sz w:val="20"/>
                <w:szCs w:val="20"/>
                <w:lang w:val="fr-CA"/>
              </w:rPr>
            </w:pPr>
          </w:p>
          <w:p w:rsidR="00DA1D48" w:rsidRPr="00E407E9" w:rsidRDefault="00DA1D48" w:rsidP="00DA1D48">
            <w:pPr>
              <w:rPr>
                <w:sz w:val="20"/>
                <w:szCs w:val="20"/>
                <w:lang w:val="fr-CA"/>
              </w:rPr>
            </w:pPr>
            <w:r w:rsidRPr="00E407E9">
              <w:rPr>
                <w:sz w:val="20"/>
                <w:szCs w:val="20"/>
                <w:lang w:val="fr-CA"/>
              </w:rPr>
              <w:t>DATE</w:t>
            </w:r>
            <w:r w:rsidR="00D34C9B" w:rsidRPr="00E407E9">
              <w:rPr>
                <w:sz w:val="20"/>
                <w:szCs w:val="20"/>
                <w:lang w:val="fr-CA"/>
              </w:rPr>
              <w:t xml:space="preserve"> DE PRODUCTION</w:t>
            </w:r>
            <w:r w:rsidRPr="00E407E9">
              <w:rPr>
                <w:sz w:val="20"/>
                <w:szCs w:val="20"/>
                <w:lang w:val="fr-CA"/>
              </w:rPr>
              <w:t xml:space="preserve">: </w:t>
            </w:r>
            <w:r w:rsidR="00D34C9B" w:rsidRPr="00E407E9">
              <w:rPr>
                <w:sz w:val="20"/>
                <w:szCs w:val="20"/>
                <w:lang w:val="fr-CA"/>
              </w:rPr>
              <w:t>le 11 décembre</w:t>
            </w:r>
            <w:r w:rsidRPr="00E407E9">
              <w:rPr>
                <w:sz w:val="20"/>
                <w:szCs w:val="20"/>
                <w:lang w:val="fr-CA"/>
              </w:rPr>
              <w:t xml:space="preserve"> 2020</w:t>
            </w:r>
          </w:p>
          <w:p w:rsidR="00DA1D48" w:rsidRPr="00E407E9" w:rsidRDefault="00DA1D48" w:rsidP="00DA1D48">
            <w:pPr>
              <w:rPr>
                <w:sz w:val="20"/>
                <w:szCs w:val="20"/>
                <w:lang w:val="fr-CA"/>
              </w:rPr>
            </w:pPr>
          </w:p>
          <w:p w:rsidR="00F138C1" w:rsidRPr="00E407E9" w:rsidRDefault="00CE6E62"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407E9" w:rsidRDefault="00F138C1"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p w:rsidR="00D34C9B" w:rsidRPr="00E407E9" w:rsidRDefault="00D34C9B" w:rsidP="00F138C1">
            <w:pPr>
              <w:jc w:val="center"/>
              <w:rPr>
                <w:sz w:val="20"/>
                <w:szCs w:val="20"/>
                <w:lang w:val="en-US"/>
              </w:rPr>
            </w:pPr>
          </w:p>
          <w:p w:rsidR="00DA1D48" w:rsidRPr="00E407E9" w:rsidRDefault="00DA1D48" w:rsidP="00F138C1">
            <w:pPr>
              <w:jc w:val="center"/>
              <w:rPr>
                <w:sz w:val="20"/>
                <w:szCs w:val="20"/>
                <w:lang w:val="en-US"/>
              </w:rPr>
            </w:pPr>
          </w:p>
          <w:p w:rsidR="00DA1D48" w:rsidRPr="00E407E9" w:rsidRDefault="00DA1D48" w:rsidP="00F138C1">
            <w:pPr>
              <w:jc w:val="center"/>
              <w:rPr>
                <w:sz w:val="20"/>
                <w:szCs w:val="20"/>
                <w:lang w:val="en-US"/>
              </w:rPr>
            </w:pPr>
          </w:p>
        </w:tc>
        <w:tc>
          <w:tcPr>
            <w:tcW w:w="4239" w:type="dxa"/>
            <w:shd w:val="clear" w:color="auto" w:fill="auto"/>
          </w:tcPr>
          <w:p w:rsidR="00DA1D48" w:rsidRPr="00E407E9" w:rsidRDefault="00D34C9B" w:rsidP="00DA1D48">
            <w:pPr>
              <w:rPr>
                <w:b/>
                <w:sz w:val="20"/>
                <w:szCs w:val="20"/>
                <w:lang w:val="fr-CA"/>
              </w:rPr>
            </w:pPr>
            <w:r w:rsidRPr="00E407E9">
              <w:rPr>
                <w:b/>
                <w:sz w:val="20"/>
                <w:szCs w:val="20"/>
                <w:lang w:val="fr-CA"/>
              </w:rPr>
              <w:t>Brenda Berge</w:t>
            </w:r>
          </w:p>
          <w:p w:rsidR="00DA1D48" w:rsidRPr="00E407E9" w:rsidRDefault="00DA1D48" w:rsidP="00DA1D48">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Guiste, Ernest J.</w:t>
            </w:r>
          </w:p>
          <w:p w:rsidR="00DA1D48" w:rsidRPr="00E407E9" w:rsidRDefault="00DA1D48" w:rsidP="00DA1D48">
            <w:pPr>
              <w:tabs>
                <w:tab w:val="left" w:pos="-1440"/>
                <w:tab w:val="left" w:pos="-720"/>
              </w:tabs>
              <w:rPr>
                <w:sz w:val="20"/>
                <w:szCs w:val="20"/>
                <w:lang w:val="en-US"/>
              </w:rPr>
            </w:pPr>
            <w:r w:rsidRPr="00E407E9">
              <w:rPr>
                <w:sz w:val="20"/>
                <w:szCs w:val="20"/>
                <w:lang w:val="fr-CA"/>
              </w:rPr>
              <w:tab/>
            </w:r>
            <w:r w:rsidR="00D34C9B" w:rsidRPr="00E407E9">
              <w:rPr>
                <w:sz w:val="20"/>
                <w:szCs w:val="20"/>
                <w:lang w:val="en-US"/>
              </w:rPr>
              <w:t>E.J. Guiste Professional Corporation</w:t>
            </w:r>
          </w:p>
          <w:p w:rsidR="00DA1D48" w:rsidRPr="00E407E9" w:rsidRDefault="00DA1D48" w:rsidP="00DA1D48">
            <w:pPr>
              <w:tabs>
                <w:tab w:val="left" w:pos="-1440"/>
                <w:tab w:val="left" w:pos="-720"/>
              </w:tabs>
              <w:rPr>
                <w:sz w:val="20"/>
                <w:szCs w:val="20"/>
                <w:lang w:val="en-US"/>
              </w:rPr>
            </w:pPr>
          </w:p>
          <w:p w:rsidR="00DA1D48" w:rsidRPr="00E407E9" w:rsidRDefault="00DA1D48" w:rsidP="00DA1D48">
            <w:pPr>
              <w:tabs>
                <w:tab w:val="left" w:pos="-1440"/>
                <w:tab w:val="left" w:pos="-720"/>
              </w:tabs>
              <w:rPr>
                <w:sz w:val="20"/>
                <w:szCs w:val="20"/>
                <w:lang w:val="en-US"/>
              </w:rPr>
            </w:pPr>
            <w:r w:rsidRPr="00E407E9">
              <w:rPr>
                <w:sz w:val="20"/>
                <w:szCs w:val="20"/>
                <w:lang w:val="en-US"/>
              </w:rPr>
              <w:tab/>
            </w:r>
            <w:r w:rsidR="00D34C9B" w:rsidRPr="00E407E9">
              <w:rPr>
                <w:sz w:val="20"/>
                <w:szCs w:val="20"/>
                <w:lang w:val="en-US"/>
              </w:rPr>
              <w:t>v</w:t>
            </w:r>
            <w:r w:rsidRPr="00E407E9">
              <w:rPr>
                <w:sz w:val="20"/>
                <w:szCs w:val="20"/>
                <w:lang w:val="en-US"/>
              </w:rPr>
              <w:t>. (39</w:t>
            </w:r>
            <w:r w:rsidR="00D34C9B" w:rsidRPr="00E407E9">
              <w:rPr>
                <w:sz w:val="20"/>
                <w:szCs w:val="20"/>
                <w:lang w:val="en-US"/>
              </w:rPr>
              <w:t>449</w:t>
            </w:r>
            <w:r w:rsidRPr="00E407E9">
              <w:rPr>
                <w:sz w:val="20"/>
                <w:szCs w:val="20"/>
                <w:lang w:val="en-US"/>
              </w:rPr>
              <w:t>)</w:t>
            </w:r>
          </w:p>
          <w:p w:rsidR="00DA1D48" w:rsidRPr="00E407E9" w:rsidRDefault="00DA1D48" w:rsidP="00DA1D48">
            <w:pPr>
              <w:tabs>
                <w:tab w:val="left" w:pos="-1440"/>
                <w:tab w:val="left" w:pos="-720"/>
              </w:tabs>
              <w:rPr>
                <w:sz w:val="20"/>
                <w:szCs w:val="20"/>
                <w:lang w:val="en-US"/>
              </w:rPr>
            </w:pPr>
          </w:p>
          <w:p w:rsidR="00DA1D48" w:rsidRPr="00E407E9" w:rsidRDefault="00D34C9B" w:rsidP="00DA1D48">
            <w:pPr>
              <w:tabs>
                <w:tab w:val="left" w:pos="-1440"/>
                <w:tab w:val="left" w:pos="-720"/>
              </w:tabs>
              <w:rPr>
                <w:b/>
                <w:sz w:val="20"/>
                <w:szCs w:val="20"/>
                <w:lang w:val="fr-CA"/>
              </w:rPr>
            </w:pPr>
            <w:r w:rsidRPr="00E407E9">
              <w:rPr>
                <w:b/>
                <w:sz w:val="20"/>
                <w:szCs w:val="20"/>
                <w:lang w:val="en-US"/>
              </w:rPr>
              <w:t xml:space="preserve">College of Audiologists and Speech-Language Pathologists of Ontario, et al. </w:t>
            </w:r>
            <w:r w:rsidR="00DA1D48" w:rsidRPr="00E407E9">
              <w:rPr>
                <w:b/>
                <w:sz w:val="20"/>
                <w:szCs w:val="20"/>
                <w:lang w:val="fr-CA"/>
              </w:rPr>
              <w:t>(</w:t>
            </w:r>
            <w:r w:rsidRPr="00E407E9">
              <w:rPr>
                <w:b/>
                <w:sz w:val="20"/>
                <w:szCs w:val="20"/>
                <w:lang w:val="fr-CA"/>
              </w:rPr>
              <w:t>Ont.</w:t>
            </w:r>
            <w:r w:rsidR="00DA1D48" w:rsidRPr="00E407E9">
              <w:rPr>
                <w:b/>
                <w:sz w:val="20"/>
                <w:szCs w:val="20"/>
                <w:lang w:val="fr-CA"/>
              </w:rPr>
              <w:t>)</w:t>
            </w:r>
          </w:p>
          <w:p w:rsidR="00DA1D48" w:rsidRPr="00E407E9" w:rsidRDefault="00DA1D48" w:rsidP="00DA1D48">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LeBlanc, Bernard C.</w:t>
            </w:r>
          </w:p>
          <w:p w:rsidR="00DA1D48" w:rsidRPr="00E407E9" w:rsidRDefault="00DA1D48" w:rsidP="00DA1D48">
            <w:pPr>
              <w:tabs>
                <w:tab w:val="left" w:pos="-1440"/>
                <w:tab w:val="left" w:pos="-720"/>
              </w:tabs>
              <w:rPr>
                <w:sz w:val="20"/>
                <w:szCs w:val="20"/>
                <w:lang w:val="fr-CA"/>
              </w:rPr>
            </w:pPr>
            <w:r w:rsidRPr="00E407E9">
              <w:rPr>
                <w:sz w:val="20"/>
                <w:szCs w:val="20"/>
                <w:lang w:val="fr-CA"/>
              </w:rPr>
              <w:tab/>
            </w:r>
            <w:r w:rsidR="00D34C9B" w:rsidRPr="00E407E9">
              <w:rPr>
                <w:sz w:val="20"/>
                <w:szCs w:val="20"/>
                <w:lang w:val="fr-CA"/>
              </w:rPr>
              <w:t>Steinecke Maciura LeBlanc</w:t>
            </w:r>
          </w:p>
          <w:p w:rsidR="00DA1D48" w:rsidRPr="00E407E9" w:rsidRDefault="00DA1D48" w:rsidP="00DA1D48">
            <w:pPr>
              <w:tabs>
                <w:tab w:val="left" w:pos="-1440"/>
                <w:tab w:val="left" w:pos="-720"/>
              </w:tabs>
              <w:rPr>
                <w:sz w:val="20"/>
                <w:szCs w:val="20"/>
                <w:lang w:val="fr-CA"/>
              </w:rPr>
            </w:pPr>
          </w:p>
          <w:p w:rsidR="00DA1D48" w:rsidRPr="00E407E9" w:rsidRDefault="00D34C9B" w:rsidP="00DA1D48">
            <w:pPr>
              <w:rPr>
                <w:sz w:val="20"/>
                <w:szCs w:val="20"/>
                <w:lang w:val="fr-CA"/>
              </w:rPr>
            </w:pPr>
            <w:r w:rsidRPr="00E407E9">
              <w:rPr>
                <w:sz w:val="20"/>
                <w:szCs w:val="20"/>
                <w:lang w:val="fr-CA"/>
              </w:rPr>
              <w:t xml:space="preserve">FILING </w:t>
            </w:r>
            <w:r w:rsidR="00DA1D48" w:rsidRPr="00E407E9">
              <w:rPr>
                <w:sz w:val="20"/>
                <w:szCs w:val="20"/>
                <w:lang w:val="fr-CA"/>
              </w:rPr>
              <w:t xml:space="preserve">DATE: </w:t>
            </w:r>
            <w:r w:rsidRPr="00E407E9">
              <w:rPr>
                <w:sz w:val="20"/>
                <w:szCs w:val="20"/>
                <w:lang w:val="fr-CA"/>
              </w:rPr>
              <w:t>December</w:t>
            </w:r>
            <w:r w:rsidR="00DA1D48" w:rsidRPr="00E407E9">
              <w:rPr>
                <w:sz w:val="20"/>
                <w:szCs w:val="20"/>
                <w:lang w:val="fr-CA"/>
              </w:rPr>
              <w:t xml:space="preserve"> </w:t>
            </w:r>
            <w:r w:rsidRPr="00E407E9">
              <w:rPr>
                <w:sz w:val="20"/>
                <w:szCs w:val="20"/>
                <w:lang w:val="fr-CA"/>
              </w:rPr>
              <w:t>14,</w:t>
            </w:r>
            <w:r w:rsidR="00DA1D48" w:rsidRPr="00E407E9">
              <w:rPr>
                <w:sz w:val="20"/>
                <w:szCs w:val="20"/>
                <w:lang w:val="fr-CA"/>
              </w:rPr>
              <w:t xml:space="preserve"> 2020</w:t>
            </w:r>
          </w:p>
          <w:p w:rsidR="00DA1D48" w:rsidRPr="00E407E9" w:rsidRDefault="00DA1D48" w:rsidP="00DA1D48">
            <w:pPr>
              <w:rPr>
                <w:sz w:val="20"/>
                <w:szCs w:val="20"/>
                <w:lang w:val="fr-CA"/>
              </w:rPr>
            </w:pPr>
          </w:p>
          <w:p w:rsidR="00F138C1" w:rsidRPr="00E407E9" w:rsidRDefault="00CE6E62" w:rsidP="00DA1D48">
            <w:pPr>
              <w:rPr>
                <w:sz w:val="20"/>
                <w:szCs w:val="20"/>
                <w:lang w:val="fr-CA"/>
              </w:rPr>
            </w:pPr>
            <w:r>
              <w:rPr>
                <w:sz w:val="20"/>
                <w:szCs w:val="20"/>
                <w:lang w:val="fr-CA"/>
              </w:rPr>
              <w:pict>
                <v:rect id="_x0000_i1030" style="width:108pt;height:1pt" o:hrpct="0" o:hrstd="t" o:hrnoshade="t" o:hr="t" fillcolor="black [3213]" stroked="f"/>
              </w:pict>
            </w:r>
          </w:p>
        </w:tc>
      </w:tr>
    </w:tbl>
    <w:p w:rsidR="001F7BE4" w:rsidRPr="00E407E9" w:rsidRDefault="001F7BE4">
      <w:r w:rsidRPr="00E407E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F7BE4" w:rsidRPr="00E407E9" w:rsidTr="00F138C1">
        <w:tc>
          <w:tcPr>
            <w:tcW w:w="4239" w:type="dxa"/>
            <w:shd w:val="clear" w:color="auto" w:fill="auto"/>
          </w:tcPr>
          <w:p w:rsidR="001F7BE4" w:rsidRPr="00E407E9" w:rsidRDefault="001F2A2A" w:rsidP="001F7BE4">
            <w:pPr>
              <w:rPr>
                <w:sz w:val="20"/>
                <w:szCs w:val="20"/>
                <w:lang w:val="en-US"/>
              </w:rPr>
            </w:pPr>
            <w:r w:rsidRPr="00E407E9">
              <w:rPr>
                <w:b/>
                <w:sz w:val="20"/>
                <w:szCs w:val="20"/>
                <w:lang w:val="en-US"/>
              </w:rPr>
              <w:lastRenderedPageBreak/>
              <w:t>Dalton Johnson a.k.a. Bill Jamieson</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1F2A2A" w:rsidRPr="00E407E9">
              <w:rPr>
                <w:sz w:val="20"/>
                <w:szCs w:val="20"/>
                <w:lang w:val="en-US"/>
              </w:rPr>
              <w:t>Jia, Andrew</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1F2A2A" w:rsidRPr="00E407E9">
              <w:rPr>
                <w:sz w:val="20"/>
                <w:szCs w:val="20"/>
                <w:lang w:val="en-US"/>
              </w:rPr>
              <w:t>Jia Law P.C.</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1F2A2A" w:rsidRPr="00E407E9">
              <w:rPr>
                <w:sz w:val="20"/>
                <w:szCs w:val="20"/>
                <w:lang w:val="en-US"/>
              </w:rPr>
              <w:t>50</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1F2A2A" w:rsidP="001F7BE4">
            <w:pPr>
              <w:tabs>
                <w:tab w:val="left" w:pos="-1440"/>
                <w:tab w:val="left" w:pos="-720"/>
              </w:tabs>
              <w:rPr>
                <w:b/>
                <w:sz w:val="20"/>
                <w:szCs w:val="20"/>
                <w:lang w:val="en-US"/>
              </w:rPr>
            </w:pPr>
            <w:r w:rsidRPr="00E407E9">
              <w:rPr>
                <w:b/>
                <w:sz w:val="20"/>
                <w:szCs w:val="20"/>
                <w:lang w:val="en-US"/>
              </w:rPr>
              <w:t xml:space="preserve">Rosemary Anne Fisher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1F2A2A" w:rsidRPr="00E407E9">
              <w:rPr>
                <w:sz w:val="20"/>
                <w:szCs w:val="20"/>
                <w:lang w:val="en-US"/>
              </w:rPr>
              <w:t>Lei, Adrienne</w:t>
            </w:r>
          </w:p>
          <w:p w:rsidR="001F7BE4" w:rsidRPr="00E407E9" w:rsidRDefault="001F7BE4" w:rsidP="001F7BE4">
            <w:pPr>
              <w:tabs>
                <w:tab w:val="left" w:pos="-1440"/>
                <w:tab w:val="left" w:pos="-720"/>
              </w:tabs>
              <w:rPr>
                <w:sz w:val="20"/>
                <w:szCs w:val="20"/>
              </w:rPr>
            </w:pPr>
            <w:r w:rsidRPr="00E407E9">
              <w:rPr>
                <w:sz w:val="20"/>
                <w:szCs w:val="20"/>
                <w:lang w:val="en-US"/>
              </w:rPr>
              <w:tab/>
            </w:r>
            <w:r w:rsidR="001F2A2A" w:rsidRPr="00E407E9">
              <w:rPr>
                <w:sz w:val="20"/>
                <w:szCs w:val="20"/>
              </w:rPr>
              <w:t>Dewart Gleason LLP</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1F2A2A" w:rsidRPr="00E407E9">
              <w:rPr>
                <w:sz w:val="20"/>
                <w:szCs w:val="20"/>
              </w:rPr>
              <w:t>December</w:t>
            </w:r>
            <w:r w:rsidRPr="00E407E9">
              <w:rPr>
                <w:sz w:val="20"/>
                <w:szCs w:val="20"/>
              </w:rPr>
              <w:t xml:space="preserve"> </w:t>
            </w:r>
            <w:r w:rsidR="001F2A2A" w:rsidRPr="00E407E9">
              <w:rPr>
                <w:sz w:val="20"/>
                <w:szCs w:val="20"/>
              </w:rPr>
              <w:t>14</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1F7BE4">
            <w:pPr>
              <w:jc w:val="center"/>
              <w:rPr>
                <w:sz w:val="20"/>
                <w:szCs w:val="20"/>
                <w:lang w:val="en-US"/>
              </w:rPr>
            </w:pPr>
          </w:p>
          <w:p w:rsidR="001F7BE4" w:rsidRPr="00E407E9" w:rsidRDefault="001F7BE4" w:rsidP="001F7BE4">
            <w:pPr>
              <w:jc w:val="center"/>
              <w:rPr>
                <w:sz w:val="20"/>
                <w:szCs w:val="20"/>
                <w:lang w:val="en-US"/>
              </w:rPr>
            </w:pPr>
          </w:p>
          <w:p w:rsidR="001F7BE4" w:rsidRPr="00E407E9" w:rsidRDefault="001F7BE4" w:rsidP="001F7BE4">
            <w:pPr>
              <w:rPr>
                <w:sz w:val="20"/>
                <w:szCs w:val="20"/>
                <w:lang w:val="en-US"/>
              </w:rPr>
            </w:pPr>
          </w:p>
        </w:tc>
        <w:tc>
          <w:tcPr>
            <w:tcW w:w="4239" w:type="dxa"/>
            <w:shd w:val="clear" w:color="auto" w:fill="auto"/>
          </w:tcPr>
          <w:p w:rsidR="001F7BE4" w:rsidRPr="00E407E9" w:rsidRDefault="00AF6029" w:rsidP="001F7BE4">
            <w:pPr>
              <w:rPr>
                <w:sz w:val="20"/>
                <w:szCs w:val="20"/>
                <w:lang w:val="en-US"/>
              </w:rPr>
            </w:pPr>
            <w:r w:rsidRPr="00E407E9">
              <w:rPr>
                <w:b/>
                <w:sz w:val="20"/>
                <w:szCs w:val="20"/>
                <w:lang w:val="en-US"/>
              </w:rPr>
              <w:t>L.Z.</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F6029" w:rsidRPr="00E407E9">
              <w:rPr>
                <w:sz w:val="20"/>
                <w:szCs w:val="20"/>
                <w:lang w:val="en-US"/>
              </w:rPr>
              <w:t>Zargarian, Babak</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F6029" w:rsidRPr="00E407E9">
              <w:rPr>
                <w:sz w:val="20"/>
                <w:szCs w:val="20"/>
                <w:lang w:val="en-US"/>
              </w:rPr>
              <w:t>Zargarian Litigation</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AF6029" w:rsidRPr="00E407E9">
              <w:rPr>
                <w:sz w:val="20"/>
                <w:szCs w:val="20"/>
                <w:lang w:val="en-US"/>
              </w:rPr>
              <w:t>51</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F6029" w:rsidP="001F7BE4">
            <w:pPr>
              <w:tabs>
                <w:tab w:val="left" w:pos="-1440"/>
                <w:tab w:val="left" w:pos="-720"/>
              </w:tabs>
              <w:rPr>
                <w:b/>
                <w:sz w:val="20"/>
                <w:szCs w:val="20"/>
                <w:lang w:val="en-US"/>
              </w:rPr>
            </w:pPr>
            <w:r w:rsidRPr="00E407E9">
              <w:rPr>
                <w:b/>
                <w:sz w:val="20"/>
                <w:szCs w:val="20"/>
                <w:lang w:val="en-US"/>
              </w:rPr>
              <w:t>Her Majesty the Queen</w:t>
            </w:r>
            <w:r w:rsidR="001F7BE4" w:rsidRPr="00E407E9">
              <w:rPr>
                <w:b/>
                <w:sz w:val="20"/>
                <w:szCs w:val="20"/>
                <w:lang w:val="en-US"/>
              </w:rPr>
              <w:t xml:space="preserve"> (</w:t>
            </w:r>
            <w:r w:rsidRPr="00E407E9">
              <w:rPr>
                <w:b/>
                <w:sz w:val="20"/>
                <w:szCs w:val="20"/>
                <w:lang w:val="en-US"/>
              </w:rPr>
              <w:t>B.C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F6029" w:rsidRPr="00E407E9">
              <w:rPr>
                <w:sz w:val="20"/>
                <w:szCs w:val="20"/>
                <w:lang w:val="en-US"/>
              </w:rPr>
              <w:t>Layton, Q.C., David</w:t>
            </w:r>
          </w:p>
          <w:p w:rsidR="001F7BE4" w:rsidRPr="00E407E9" w:rsidRDefault="001F7BE4" w:rsidP="001F7BE4">
            <w:pPr>
              <w:tabs>
                <w:tab w:val="left" w:pos="-1440"/>
                <w:tab w:val="left" w:pos="-720"/>
              </w:tabs>
              <w:rPr>
                <w:sz w:val="20"/>
                <w:szCs w:val="20"/>
              </w:rPr>
            </w:pPr>
            <w:r w:rsidRPr="00E407E9">
              <w:rPr>
                <w:sz w:val="20"/>
                <w:szCs w:val="20"/>
                <w:lang w:val="en-US"/>
              </w:rPr>
              <w:tab/>
            </w:r>
            <w:r w:rsidR="00AF6029" w:rsidRPr="00E407E9">
              <w:rPr>
                <w:sz w:val="20"/>
                <w:szCs w:val="20"/>
              </w:rPr>
              <w:t>Ministry of Justice</w:t>
            </w:r>
          </w:p>
          <w:p w:rsidR="001F7BE4" w:rsidRPr="00E407E9" w:rsidRDefault="001F7BE4" w:rsidP="001F7BE4">
            <w:pPr>
              <w:tabs>
                <w:tab w:val="left" w:pos="-1440"/>
                <w:tab w:val="left" w:pos="-720"/>
              </w:tabs>
              <w:rPr>
                <w:sz w:val="20"/>
                <w:szCs w:val="20"/>
              </w:rPr>
            </w:pPr>
          </w:p>
          <w:p w:rsidR="001F7BE4" w:rsidRPr="00E407E9" w:rsidRDefault="00AF6029" w:rsidP="001F7BE4">
            <w:pPr>
              <w:rPr>
                <w:sz w:val="20"/>
                <w:szCs w:val="20"/>
              </w:rPr>
            </w:pPr>
            <w:r w:rsidRPr="00E407E9">
              <w:rPr>
                <w:sz w:val="20"/>
                <w:szCs w:val="20"/>
              </w:rPr>
              <w:t>FILING DATE: December14</w:t>
            </w:r>
            <w:r w:rsidR="001F7BE4"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fr-CA"/>
              </w:rPr>
            </w:pPr>
            <w:r>
              <w:rPr>
                <w:sz w:val="20"/>
                <w:szCs w:val="20"/>
                <w:lang w:val="fr-CA"/>
              </w:rPr>
              <w:pict>
                <v:rect id="_x0000_i1032"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AF6029" w:rsidP="001F7BE4">
            <w:pPr>
              <w:rPr>
                <w:sz w:val="20"/>
                <w:szCs w:val="20"/>
                <w:lang w:val="en-US"/>
              </w:rPr>
            </w:pPr>
            <w:r w:rsidRPr="00E407E9">
              <w:rPr>
                <w:b/>
                <w:sz w:val="20"/>
                <w:szCs w:val="20"/>
                <w:lang w:val="en-US"/>
              </w:rPr>
              <w:t>Kathleen Helen Walker</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F6029" w:rsidRPr="00E407E9">
              <w:rPr>
                <w:sz w:val="20"/>
                <w:szCs w:val="20"/>
                <w:lang w:val="en-US"/>
              </w:rPr>
              <w:t>Chambers, Michael A.</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F6029" w:rsidRPr="00E407E9">
              <w:rPr>
                <w:sz w:val="20"/>
                <w:szCs w:val="20"/>
                <w:lang w:val="en-US"/>
              </w:rPr>
              <w:t>Maclaren Corlett</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AF6029" w:rsidRPr="00E407E9">
              <w:rPr>
                <w:sz w:val="20"/>
                <w:szCs w:val="20"/>
                <w:lang w:val="en-US"/>
              </w:rPr>
              <w:t>52</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F6029" w:rsidP="001F7BE4">
            <w:pPr>
              <w:tabs>
                <w:tab w:val="left" w:pos="-1440"/>
                <w:tab w:val="left" w:pos="-720"/>
              </w:tabs>
              <w:rPr>
                <w:b/>
                <w:sz w:val="20"/>
                <w:szCs w:val="20"/>
                <w:lang w:val="en-US"/>
              </w:rPr>
            </w:pPr>
            <w:r w:rsidRPr="00E407E9">
              <w:rPr>
                <w:b/>
                <w:sz w:val="20"/>
                <w:szCs w:val="20"/>
                <w:lang w:val="en-US"/>
              </w:rPr>
              <w:t xml:space="preserve">Law Society of British Columbia </w:t>
            </w:r>
            <w:r w:rsidR="001F7BE4" w:rsidRPr="00E407E9">
              <w:rPr>
                <w:b/>
                <w:sz w:val="20"/>
                <w:szCs w:val="20"/>
                <w:lang w:val="en-US"/>
              </w:rPr>
              <w:t>(</w:t>
            </w:r>
            <w:r w:rsidRPr="00E407E9">
              <w:rPr>
                <w:b/>
                <w:sz w:val="20"/>
                <w:szCs w:val="20"/>
                <w:lang w:val="en-US"/>
              </w:rPr>
              <w:t>B.C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F6029" w:rsidRPr="00E407E9">
              <w:rPr>
                <w:sz w:val="20"/>
                <w:szCs w:val="20"/>
                <w:lang w:val="en-US"/>
              </w:rPr>
              <w:t>Hoekstra, Gavin</w:t>
            </w:r>
          </w:p>
          <w:p w:rsidR="001F7BE4" w:rsidRPr="00E407E9" w:rsidRDefault="001F7BE4" w:rsidP="001F7BE4">
            <w:pPr>
              <w:tabs>
                <w:tab w:val="left" w:pos="-1440"/>
                <w:tab w:val="left" w:pos="-720"/>
              </w:tabs>
              <w:rPr>
                <w:sz w:val="20"/>
                <w:szCs w:val="20"/>
              </w:rPr>
            </w:pPr>
            <w:r w:rsidRPr="00E407E9">
              <w:rPr>
                <w:sz w:val="20"/>
                <w:szCs w:val="20"/>
                <w:lang w:val="en-US"/>
              </w:rPr>
              <w:tab/>
            </w:r>
            <w:r w:rsidR="00AF6029" w:rsidRPr="00E407E9">
              <w:rPr>
                <w:sz w:val="20"/>
                <w:szCs w:val="20"/>
              </w:rPr>
              <w:t>Law Society of British Columbia</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F6029" w:rsidRPr="00E407E9">
              <w:rPr>
                <w:sz w:val="20"/>
                <w:szCs w:val="20"/>
              </w:rPr>
              <w:t>December</w:t>
            </w:r>
            <w:r w:rsidRPr="00E407E9">
              <w:rPr>
                <w:sz w:val="20"/>
                <w:szCs w:val="20"/>
              </w:rPr>
              <w:t xml:space="preserve"> </w:t>
            </w:r>
            <w:r w:rsidR="00AF6029" w:rsidRPr="00E407E9">
              <w:rPr>
                <w:sz w:val="20"/>
                <w:szCs w:val="20"/>
              </w:rPr>
              <w:t>14</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AF6029" w:rsidP="001F7BE4">
            <w:pPr>
              <w:rPr>
                <w:sz w:val="20"/>
                <w:szCs w:val="20"/>
                <w:lang w:val="fr-CA"/>
              </w:rPr>
            </w:pPr>
            <w:r w:rsidRPr="00E407E9">
              <w:rPr>
                <w:b/>
                <w:sz w:val="20"/>
                <w:szCs w:val="20"/>
                <w:lang w:val="fr-CA"/>
              </w:rPr>
              <w:t>Procureur général du Québec</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AF6029" w:rsidRPr="00E407E9">
              <w:rPr>
                <w:sz w:val="20"/>
                <w:szCs w:val="20"/>
                <w:lang w:val="fr-CA"/>
              </w:rPr>
              <w:t>Déom, Michel</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AF6029" w:rsidRPr="00E407E9">
              <w:rPr>
                <w:sz w:val="20"/>
                <w:szCs w:val="20"/>
                <w:lang w:val="fr-CA"/>
              </w:rPr>
              <w:t>Procureure générale du Québec</w:t>
            </w:r>
          </w:p>
          <w:p w:rsidR="001F7BE4" w:rsidRPr="00E407E9" w:rsidRDefault="001F7BE4" w:rsidP="001F7BE4">
            <w:pPr>
              <w:tabs>
                <w:tab w:val="left" w:pos="-1440"/>
                <w:tab w:val="left" w:pos="-720"/>
              </w:tabs>
              <w:rPr>
                <w:sz w:val="20"/>
                <w:szCs w:val="20"/>
                <w:lang w:val="fr-CA"/>
              </w:rPr>
            </w:pP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AF6029" w:rsidRPr="00E407E9">
              <w:rPr>
                <w:sz w:val="20"/>
                <w:szCs w:val="20"/>
                <w:lang w:val="fr-CA"/>
              </w:rPr>
              <w:t>c</w:t>
            </w:r>
            <w:r w:rsidRPr="00E407E9">
              <w:rPr>
                <w:sz w:val="20"/>
                <w:szCs w:val="20"/>
                <w:lang w:val="fr-CA"/>
              </w:rPr>
              <w:t>. (394</w:t>
            </w:r>
            <w:r w:rsidR="00AF6029" w:rsidRPr="00E407E9">
              <w:rPr>
                <w:sz w:val="20"/>
                <w:szCs w:val="20"/>
                <w:lang w:val="fr-CA"/>
              </w:rPr>
              <w:t>53</w:t>
            </w:r>
            <w:r w:rsidRPr="00E407E9">
              <w:rPr>
                <w:sz w:val="20"/>
                <w:szCs w:val="20"/>
                <w:lang w:val="fr-CA"/>
              </w:rPr>
              <w:t>)</w:t>
            </w:r>
          </w:p>
          <w:p w:rsidR="001F7BE4" w:rsidRPr="00E407E9" w:rsidRDefault="001F7BE4" w:rsidP="001F7BE4">
            <w:pPr>
              <w:tabs>
                <w:tab w:val="left" w:pos="-1440"/>
                <w:tab w:val="left" w:pos="-720"/>
              </w:tabs>
              <w:rPr>
                <w:sz w:val="20"/>
                <w:szCs w:val="20"/>
                <w:lang w:val="fr-CA"/>
              </w:rPr>
            </w:pPr>
          </w:p>
          <w:p w:rsidR="001F7BE4" w:rsidRPr="00E407E9" w:rsidRDefault="00AF6029" w:rsidP="001F7BE4">
            <w:pPr>
              <w:tabs>
                <w:tab w:val="left" w:pos="-1440"/>
                <w:tab w:val="left" w:pos="-720"/>
              </w:tabs>
              <w:rPr>
                <w:b/>
                <w:sz w:val="20"/>
                <w:szCs w:val="20"/>
                <w:lang w:val="fr-CA"/>
              </w:rPr>
            </w:pPr>
            <w:r w:rsidRPr="00E407E9">
              <w:rPr>
                <w:b/>
                <w:sz w:val="20"/>
                <w:szCs w:val="20"/>
                <w:lang w:val="fr-CA"/>
              </w:rPr>
              <w:t xml:space="preserve">Yvan Godbout </w:t>
            </w:r>
            <w:r w:rsidR="001F7BE4" w:rsidRPr="00E407E9">
              <w:rPr>
                <w:b/>
                <w:sz w:val="20"/>
                <w:szCs w:val="20"/>
                <w:lang w:val="fr-CA"/>
              </w:rPr>
              <w:t>(</w:t>
            </w:r>
            <w:r w:rsidRPr="00E407E9">
              <w:rPr>
                <w:b/>
                <w:sz w:val="20"/>
                <w:szCs w:val="20"/>
                <w:lang w:val="fr-CA"/>
              </w:rPr>
              <w:t>Qc</w:t>
            </w:r>
            <w:r w:rsidR="001F7BE4" w:rsidRPr="00E407E9">
              <w:rPr>
                <w:b/>
                <w:sz w:val="20"/>
                <w:szCs w:val="20"/>
                <w:lang w:val="fr-CA"/>
              </w:rPr>
              <w:t>)</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AF6029" w:rsidRPr="00E407E9">
              <w:rPr>
                <w:sz w:val="20"/>
                <w:szCs w:val="20"/>
                <w:lang w:val="fr-CA"/>
              </w:rPr>
              <w:t>Marcoux, Jean-Philippe</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AF6029" w:rsidRPr="00E407E9">
              <w:rPr>
                <w:sz w:val="20"/>
                <w:szCs w:val="20"/>
                <w:lang w:val="fr-CA"/>
              </w:rPr>
              <w:t>Marcoux Elayoubi Raymond</w:t>
            </w:r>
          </w:p>
          <w:p w:rsidR="001F7BE4" w:rsidRPr="00E407E9" w:rsidRDefault="001F7BE4" w:rsidP="001F7BE4">
            <w:pPr>
              <w:tabs>
                <w:tab w:val="left" w:pos="-1440"/>
                <w:tab w:val="left" w:pos="-720"/>
              </w:tabs>
              <w:rPr>
                <w:sz w:val="20"/>
                <w:szCs w:val="20"/>
                <w:lang w:val="fr-CA"/>
              </w:rPr>
            </w:pPr>
          </w:p>
          <w:p w:rsidR="001F7BE4" w:rsidRPr="00E407E9" w:rsidRDefault="001F7BE4" w:rsidP="001F7BE4">
            <w:pPr>
              <w:rPr>
                <w:sz w:val="20"/>
                <w:szCs w:val="20"/>
                <w:lang w:val="fr-CA"/>
              </w:rPr>
            </w:pPr>
            <w:r w:rsidRPr="00E407E9">
              <w:rPr>
                <w:sz w:val="20"/>
                <w:szCs w:val="20"/>
                <w:lang w:val="fr-CA"/>
              </w:rPr>
              <w:t>DATE</w:t>
            </w:r>
            <w:r w:rsidR="00AF6029" w:rsidRPr="00E407E9">
              <w:rPr>
                <w:sz w:val="20"/>
                <w:szCs w:val="20"/>
                <w:lang w:val="fr-CA"/>
              </w:rPr>
              <w:t xml:space="preserve"> DE PRODUCTION</w:t>
            </w:r>
            <w:r w:rsidRPr="00E407E9">
              <w:rPr>
                <w:sz w:val="20"/>
                <w:szCs w:val="20"/>
                <w:lang w:val="fr-CA"/>
              </w:rPr>
              <w:t xml:space="preserve">: </w:t>
            </w:r>
            <w:r w:rsidR="00AF6029" w:rsidRPr="00E407E9">
              <w:rPr>
                <w:sz w:val="20"/>
                <w:szCs w:val="20"/>
                <w:lang w:val="fr-CA"/>
              </w:rPr>
              <w:t>le 14 décembre</w:t>
            </w:r>
            <w:r w:rsidRPr="00E407E9">
              <w:rPr>
                <w:sz w:val="20"/>
                <w:szCs w:val="20"/>
                <w:lang w:val="fr-CA"/>
              </w:rPr>
              <w:t xml:space="preserve"> 2020</w:t>
            </w:r>
          </w:p>
          <w:p w:rsidR="001F7BE4" w:rsidRPr="00E407E9" w:rsidRDefault="001F7BE4" w:rsidP="001F7BE4">
            <w:pPr>
              <w:rPr>
                <w:sz w:val="20"/>
                <w:szCs w:val="20"/>
                <w:lang w:val="fr-CA"/>
              </w:rPr>
            </w:pPr>
          </w:p>
          <w:p w:rsidR="001F7BE4" w:rsidRPr="00E407E9" w:rsidRDefault="00CE6E62" w:rsidP="001F7BE4">
            <w:pPr>
              <w:rPr>
                <w:b/>
                <w:sz w:val="20"/>
                <w:szCs w:val="20"/>
                <w:lang w:val="en-US"/>
              </w:rPr>
            </w:pPr>
            <w:r>
              <w:rPr>
                <w:sz w:val="20"/>
                <w:szCs w:val="20"/>
                <w:lang w:val="fr-CA"/>
              </w:rPr>
              <w:pict>
                <v:rect id="_x0000_i1034"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547B39" w:rsidP="001F7BE4">
            <w:pPr>
              <w:rPr>
                <w:sz w:val="20"/>
                <w:szCs w:val="20"/>
                <w:lang w:val="en-US"/>
              </w:rPr>
            </w:pPr>
            <w:r w:rsidRPr="00E407E9">
              <w:rPr>
                <w:b/>
                <w:sz w:val="20"/>
                <w:szCs w:val="20"/>
                <w:lang w:val="en-US"/>
              </w:rPr>
              <w:t>J.A.</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547B39" w:rsidRPr="00E407E9">
              <w:rPr>
                <w:sz w:val="20"/>
                <w:szCs w:val="20"/>
                <w:lang w:val="en-US"/>
              </w:rPr>
              <w:t>Shemesh, Leora</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547B39" w:rsidRPr="00E407E9">
              <w:rPr>
                <w:sz w:val="20"/>
                <w:szCs w:val="20"/>
                <w:lang w:val="en-US"/>
              </w:rPr>
              <w:t>Leora Shemesh Criminal Law</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w:t>
            </w:r>
            <w:r w:rsidR="00547B39" w:rsidRPr="00E407E9">
              <w:rPr>
                <w:sz w:val="20"/>
                <w:szCs w:val="20"/>
                <w:lang w:val="en-US"/>
              </w:rPr>
              <w:t>364</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547B39" w:rsidP="001F7BE4">
            <w:pPr>
              <w:tabs>
                <w:tab w:val="left" w:pos="-1440"/>
                <w:tab w:val="left" w:pos="-720"/>
              </w:tabs>
              <w:rPr>
                <w:b/>
                <w:sz w:val="20"/>
                <w:szCs w:val="20"/>
                <w:lang w:val="en-US"/>
              </w:rPr>
            </w:pPr>
            <w:r w:rsidRPr="00E407E9">
              <w:rPr>
                <w:b/>
                <w:sz w:val="20"/>
                <w:szCs w:val="20"/>
                <w:lang w:val="en-US"/>
              </w:rPr>
              <w:t>Her Majesty the Queen</w:t>
            </w:r>
            <w:r w:rsidR="001F7BE4" w:rsidRPr="00E407E9">
              <w:rPr>
                <w:b/>
                <w:sz w:val="20"/>
                <w:szCs w:val="20"/>
                <w:lang w:val="en-US"/>
              </w:rPr>
              <w:t xml:space="preserve"> (</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547B39" w:rsidRPr="00E407E9">
              <w:rPr>
                <w:sz w:val="20"/>
                <w:szCs w:val="20"/>
                <w:lang w:val="en-US"/>
              </w:rPr>
              <w:t>Friesen, David</w:t>
            </w:r>
          </w:p>
          <w:p w:rsidR="001F7BE4" w:rsidRPr="00E407E9" w:rsidRDefault="001F7BE4" w:rsidP="001F7BE4">
            <w:pPr>
              <w:tabs>
                <w:tab w:val="left" w:pos="-1440"/>
                <w:tab w:val="left" w:pos="-720"/>
              </w:tabs>
              <w:rPr>
                <w:sz w:val="20"/>
                <w:szCs w:val="20"/>
              </w:rPr>
            </w:pPr>
            <w:r w:rsidRPr="00E407E9">
              <w:rPr>
                <w:sz w:val="20"/>
                <w:szCs w:val="20"/>
                <w:lang w:val="en-US"/>
              </w:rPr>
              <w:tab/>
            </w:r>
            <w:r w:rsidR="00547B39" w:rsidRPr="00E407E9">
              <w:rPr>
                <w:sz w:val="20"/>
                <w:szCs w:val="20"/>
              </w:rPr>
              <w:t>Attorney General of Ontario</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547B39" w:rsidRPr="00E407E9">
              <w:rPr>
                <w:sz w:val="20"/>
                <w:szCs w:val="20"/>
              </w:rPr>
              <w:t>October</w:t>
            </w:r>
            <w:r w:rsidRPr="00E407E9">
              <w:rPr>
                <w:sz w:val="20"/>
                <w:szCs w:val="20"/>
              </w:rPr>
              <w:t xml:space="preserve"> </w:t>
            </w:r>
            <w:r w:rsidR="00547B39" w:rsidRPr="00E407E9">
              <w:rPr>
                <w:sz w:val="20"/>
                <w:szCs w:val="20"/>
              </w:rPr>
              <w:t>27</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547B39" w:rsidRPr="00E407E9" w:rsidRDefault="00547B39"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547B39" w:rsidP="001F7BE4">
            <w:pPr>
              <w:rPr>
                <w:sz w:val="20"/>
                <w:szCs w:val="20"/>
                <w:lang w:val="fr-CA"/>
              </w:rPr>
            </w:pPr>
            <w:r w:rsidRPr="00E407E9">
              <w:rPr>
                <w:b/>
                <w:sz w:val="20"/>
                <w:szCs w:val="20"/>
                <w:lang w:val="fr-CA"/>
              </w:rPr>
              <w:t>Marie Graff</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547B39" w:rsidRPr="00E407E9">
              <w:rPr>
                <w:sz w:val="20"/>
                <w:szCs w:val="20"/>
                <w:lang w:val="fr-CA"/>
              </w:rPr>
              <w:t>Marie Graff</w:t>
            </w:r>
          </w:p>
          <w:p w:rsidR="001F7BE4" w:rsidRPr="00E407E9" w:rsidRDefault="001F7BE4" w:rsidP="001F7BE4">
            <w:pPr>
              <w:tabs>
                <w:tab w:val="left" w:pos="-1440"/>
                <w:tab w:val="left" w:pos="-720"/>
              </w:tabs>
              <w:rPr>
                <w:sz w:val="20"/>
                <w:szCs w:val="20"/>
                <w:lang w:val="fr-CA"/>
              </w:rPr>
            </w:pPr>
          </w:p>
          <w:p w:rsidR="001F7BE4" w:rsidRPr="00E407E9" w:rsidRDefault="001F7BE4" w:rsidP="001F7BE4">
            <w:pPr>
              <w:tabs>
                <w:tab w:val="left" w:pos="-1440"/>
                <w:tab w:val="left" w:pos="-720"/>
              </w:tabs>
              <w:rPr>
                <w:sz w:val="20"/>
                <w:szCs w:val="20"/>
                <w:lang w:val="fr-CA"/>
              </w:rPr>
            </w:pPr>
            <w:r w:rsidRPr="00E407E9">
              <w:rPr>
                <w:sz w:val="20"/>
                <w:szCs w:val="20"/>
                <w:lang w:val="fr-CA"/>
              </w:rPr>
              <w:tab/>
              <w:t>v. (394</w:t>
            </w:r>
            <w:r w:rsidR="00547B39" w:rsidRPr="00E407E9">
              <w:rPr>
                <w:sz w:val="20"/>
                <w:szCs w:val="20"/>
                <w:lang w:val="fr-CA"/>
              </w:rPr>
              <w:t>55</w:t>
            </w:r>
            <w:r w:rsidRPr="00E407E9">
              <w:rPr>
                <w:sz w:val="20"/>
                <w:szCs w:val="20"/>
                <w:lang w:val="fr-CA"/>
              </w:rPr>
              <w:t>)</w:t>
            </w:r>
          </w:p>
          <w:p w:rsidR="001F7BE4" w:rsidRPr="00E407E9" w:rsidRDefault="001F7BE4" w:rsidP="001F7BE4">
            <w:pPr>
              <w:tabs>
                <w:tab w:val="left" w:pos="-1440"/>
                <w:tab w:val="left" w:pos="-720"/>
              </w:tabs>
              <w:rPr>
                <w:sz w:val="20"/>
                <w:szCs w:val="20"/>
                <w:lang w:val="fr-CA"/>
              </w:rPr>
            </w:pPr>
          </w:p>
          <w:p w:rsidR="001F7BE4" w:rsidRPr="00E407E9" w:rsidRDefault="00547B39" w:rsidP="001F7BE4">
            <w:pPr>
              <w:tabs>
                <w:tab w:val="left" w:pos="-1440"/>
                <w:tab w:val="left" w:pos="-720"/>
              </w:tabs>
              <w:rPr>
                <w:b/>
                <w:sz w:val="20"/>
                <w:szCs w:val="20"/>
                <w:lang w:val="en-US"/>
              </w:rPr>
            </w:pPr>
            <w:r w:rsidRPr="00E407E9">
              <w:rPr>
                <w:b/>
                <w:sz w:val="20"/>
                <w:szCs w:val="20"/>
                <w:lang w:val="en-US"/>
              </w:rPr>
              <w:t xml:space="preserve">Network North Reporting and Mediation, et al.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547B39" w:rsidRPr="00E407E9">
              <w:rPr>
                <w:sz w:val="20"/>
                <w:szCs w:val="20"/>
                <w:lang w:val="en-US"/>
              </w:rPr>
              <w:t>Stolberg, Jay</w:t>
            </w:r>
          </w:p>
          <w:p w:rsidR="001F7BE4" w:rsidRPr="00E407E9" w:rsidRDefault="001F7BE4" w:rsidP="001F7BE4">
            <w:pPr>
              <w:tabs>
                <w:tab w:val="left" w:pos="-1440"/>
                <w:tab w:val="left" w:pos="-720"/>
              </w:tabs>
              <w:rPr>
                <w:sz w:val="20"/>
                <w:szCs w:val="20"/>
              </w:rPr>
            </w:pPr>
            <w:r w:rsidRPr="00E407E9">
              <w:rPr>
                <w:sz w:val="20"/>
                <w:szCs w:val="20"/>
                <w:lang w:val="en-US"/>
              </w:rPr>
              <w:tab/>
            </w:r>
            <w:r w:rsidR="00547B39" w:rsidRPr="00E407E9">
              <w:rPr>
                <w:sz w:val="20"/>
                <w:szCs w:val="20"/>
              </w:rPr>
              <w:t>Gorbet &amp; Associates</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547B39" w:rsidRPr="00E407E9">
              <w:rPr>
                <w:sz w:val="20"/>
                <w:szCs w:val="20"/>
              </w:rPr>
              <w:t>December 1</w:t>
            </w:r>
            <w:r w:rsidRPr="00E407E9">
              <w:rPr>
                <w:sz w:val="20"/>
                <w:szCs w:val="20"/>
              </w:rPr>
              <w:t>6, 2020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36"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0F6D02" w:rsidP="001F7BE4">
            <w:pPr>
              <w:rPr>
                <w:sz w:val="20"/>
                <w:szCs w:val="20"/>
                <w:lang w:val="fr-CA"/>
              </w:rPr>
            </w:pPr>
            <w:r w:rsidRPr="00E407E9">
              <w:rPr>
                <w:b/>
                <w:sz w:val="20"/>
                <w:szCs w:val="20"/>
                <w:lang w:val="fr-CA"/>
              </w:rPr>
              <w:t>Rosa Donna Este</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0F6D02" w:rsidRPr="00E407E9">
              <w:rPr>
                <w:sz w:val="20"/>
                <w:szCs w:val="20"/>
                <w:lang w:val="fr-CA"/>
              </w:rPr>
              <w:t>Rosa Donna Este</w:t>
            </w:r>
          </w:p>
          <w:p w:rsidR="001F7BE4" w:rsidRPr="00E407E9" w:rsidRDefault="001F7BE4" w:rsidP="001F7BE4">
            <w:pPr>
              <w:tabs>
                <w:tab w:val="left" w:pos="-1440"/>
                <w:tab w:val="left" w:pos="-720"/>
              </w:tabs>
              <w:rPr>
                <w:sz w:val="20"/>
                <w:szCs w:val="20"/>
                <w:lang w:val="fr-CA"/>
              </w:rPr>
            </w:pPr>
          </w:p>
          <w:p w:rsidR="001F7BE4" w:rsidRPr="00E407E9" w:rsidRDefault="001F7BE4" w:rsidP="001F7BE4">
            <w:pPr>
              <w:tabs>
                <w:tab w:val="left" w:pos="-1440"/>
                <w:tab w:val="left" w:pos="-720"/>
              </w:tabs>
              <w:rPr>
                <w:sz w:val="20"/>
                <w:szCs w:val="20"/>
                <w:lang w:val="en-US"/>
              </w:rPr>
            </w:pPr>
            <w:r w:rsidRPr="00E407E9">
              <w:rPr>
                <w:sz w:val="20"/>
                <w:szCs w:val="20"/>
                <w:lang w:val="fr-CA"/>
              </w:rPr>
              <w:tab/>
            </w:r>
            <w:r w:rsidRPr="00E407E9">
              <w:rPr>
                <w:sz w:val="20"/>
                <w:szCs w:val="20"/>
                <w:lang w:val="en-US"/>
              </w:rPr>
              <w:t>v. (394</w:t>
            </w:r>
            <w:r w:rsidR="000F6D02" w:rsidRPr="00E407E9">
              <w:rPr>
                <w:sz w:val="20"/>
                <w:szCs w:val="20"/>
                <w:lang w:val="en-US"/>
              </w:rPr>
              <w:t>58</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0F6D02" w:rsidP="001F7BE4">
            <w:pPr>
              <w:tabs>
                <w:tab w:val="left" w:pos="-1440"/>
                <w:tab w:val="left" w:pos="-720"/>
              </w:tabs>
              <w:rPr>
                <w:b/>
                <w:sz w:val="20"/>
                <w:szCs w:val="20"/>
                <w:lang w:val="en-US"/>
              </w:rPr>
            </w:pPr>
            <w:r w:rsidRPr="00E407E9">
              <w:rPr>
                <w:b/>
                <w:sz w:val="20"/>
                <w:szCs w:val="20"/>
                <w:lang w:val="en-US"/>
              </w:rPr>
              <w:t xml:space="preserve">Mina Esteghamat-Ardakani </w:t>
            </w:r>
            <w:r w:rsidR="001F7BE4" w:rsidRPr="00E407E9">
              <w:rPr>
                <w:b/>
                <w:sz w:val="20"/>
                <w:szCs w:val="20"/>
                <w:lang w:val="en-US"/>
              </w:rPr>
              <w:t>(</w:t>
            </w:r>
            <w:r w:rsidRPr="00E407E9">
              <w:rPr>
                <w:b/>
                <w:sz w:val="20"/>
                <w:szCs w:val="20"/>
                <w:lang w:val="en-US"/>
              </w:rPr>
              <w:t>B.C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0F6D02" w:rsidRPr="00E407E9">
              <w:rPr>
                <w:sz w:val="20"/>
                <w:szCs w:val="20"/>
                <w:lang w:val="en-US"/>
              </w:rPr>
              <w:t>McEwan Q.C., Ken</w:t>
            </w:r>
          </w:p>
          <w:p w:rsidR="001F7BE4" w:rsidRPr="00E407E9" w:rsidRDefault="001F7BE4" w:rsidP="001F7BE4">
            <w:pPr>
              <w:tabs>
                <w:tab w:val="left" w:pos="-1440"/>
                <w:tab w:val="left" w:pos="-720"/>
              </w:tabs>
              <w:rPr>
                <w:sz w:val="20"/>
                <w:szCs w:val="20"/>
              </w:rPr>
            </w:pPr>
            <w:r w:rsidRPr="00E407E9">
              <w:rPr>
                <w:sz w:val="20"/>
                <w:szCs w:val="20"/>
                <w:lang w:val="en-US"/>
              </w:rPr>
              <w:tab/>
            </w:r>
            <w:r w:rsidR="000F6D02" w:rsidRPr="00E407E9">
              <w:rPr>
                <w:sz w:val="20"/>
                <w:szCs w:val="20"/>
              </w:rPr>
              <w:t>McEwan Partners</w:t>
            </w:r>
          </w:p>
          <w:p w:rsidR="001F7BE4" w:rsidRPr="00E407E9" w:rsidRDefault="001F7BE4" w:rsidP="001F7BE4">
            <w:pPr>
              <w:tabs>
                <w:tab w:val="left" w:pos="-1440"/>
                <w:tab w:val="left" w:pos="-720"/>
              </w:tabs>
              <w:rPr>
                <w:sz w:val="20"/>
                <w:szCs w:val="20"/>
              </w:rPr>
            </w:pPr>
          </w:p>
          <w:p w:rsidR="001F7BE4" w:rsidRPr="00E407E9" w:rsidRDefault="000F6D02" w:rsidP="001F7BE4">
            <w:pPr>
              <w:rPr>
                <w:sz w:val="20"/>
                <w:szCs w:val="20"/>
              </w:rPr>
            </w:pPr>
            <w:r w:rsidRPr="00E407E9">
              <w:rPr>
                <w:sz w:val="20"/>
                <w:szCs w:val="20"/>
              </w:rPr>
              <w:t>FILING DATE: December</w:t>
            </w:r>
            <w:r w:rsidR="001F7BE4" w:rsidRPr="00E407E9">
              <w:rPr>
                <w:sz w:val="20"/>
                <w:szCs w:val="20"/>
              </w:rPr>
              <w:t xml:space="preserve"> </w:t>
            </w:r>
            <w:r w:rsidRPr="00E407E9">
              <w:rPr>
                <w:sz w:val="20"/>
                <w:szCs w:val="20"/>
              </w:rPr>
              <w:t>1</w:t>
            </w:r>
            <w:r w:rsidR="001F7BE4" w:rsidRPr="00E407E9">
              <w:rPr>
                <w:sz w:val="20"/>
                <w:szCs w:val="20"/>
              </w:rPr>
              <w:t>6, 2020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0F6D02" w:rsidRPr="00E407E9" w:rsidRDefault="000F6D02" w:rsidP="00F138C1">
            <w:pPr>
              <w:jc w:val="center"/>
              <w:rPr>
                <w:sz w:val="20"/>
                <w:szCs w:val="20"/>
                <w:lang w:val="en-US"/>
              </w:rPr>
            </w:pPr>
          </w:p>
          <w:p w:rsidR="000F6D02" w:rsidRPr="00E407E9" w:rsidRDefault="000F6D02" w:rsidP="00F138C1">
            <w:pPr>
              <w:jc w:val="center"/>
              <w:rPr>
                <w:sz w:val="20"/>
                <w:szCs w:val="20"/>
                <w:lang w:val="en-US"/>
              </w:rPr>
            </w:pPr>
          </w:p>
          <w:p w:rsidR="000F6D02" w:rsidRPr="00E407E9" w:rsidRDefault="000F6D02" w:rsidP="00F138C1">
            <w:pPr>
              <w:jc w:val="center"/>
              <w:rPr>
                <w:sz w:val="20"/>
                <w:szCs w:val="20"/>
                <w:lang w:val="en-US"/>
              </w:rPr>
            </w:pPr>
          </w:p>
        </w:tc>
        <w:tc>
          <w:tcPr>
            <w:tcW w:w="4239" w:type="dxa"/>
            <w:shd w:val="clear" w:color="auto" w:fill="auto"/>
          </w:tcPr>
          <w:p w:rsidR="001F7BE4" w:rsidRPr="00E407E9" w:rsidRDefault="000F6D02" w:rsidP="001F7BE4">
            <w:pPr>
              <w:rPr>
                <w:sz w:val="20"/>
                <w:szCs w:val="20"/>
                <w:lang w:val="en-US"/>
              </w:rPr>
            </w:pPr>
            <w:r w:rsidRPr="00E407E9">
              <w:rPr>
                <w:b/>
                <w:sz w:val="20"/>
                <w:szCs w:val="20"/>
                <w:lang w:val="en-US"/>
              </w:rPr>
              <w:t>Romeo V. Lim</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0F6D02" w:rsidRPr="00E407E9">
              <w:rPr>
                <w:sz w:val="20"/>
                <w:szCs w:val="20"/>
                <w:lang w:val="en-US"/>
              </w:rPr>
              <w:t>Dillon, Moira</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0F6D02" w:rsidRPr="00E407E9">
              <w:rPr>
                <w:sz w:val="20"/>
                <w:szCs w:val="20"/>
                <w:lang w:val="en-US"/>
              </w:rPr>
              <w:t>Supreme Law Group</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0F6D02" w:rsidRPr="00E407E9">
              <w:rPr>
                <w:sz w:val="20"/>
                <w:szCs w:val="20"/>
                <w:lang w:val="en-US"/>
              </w:rPr>
              <w:t>60</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0F6D02" w:rsidP="001F7BE4">
            <w:pPr>
              <w:tabs>
                <w:tab w:val="left" w:pos="-1440"/>
                <w:tab w:val="left" w:pos="-720"/>
              </w:tabs>
              <w:rPr>
                <w:b/>
                <w:sz w:val="20"/>
                <w:szCs w:val="20"/>
                <w:lang w:val="en-US"/>
              </w:rPr>
            </w:pPr>
            <w:r w:rsidRPr="00E407E9">
              <w:rPr>
                <w:b/>
                <w:sz w:val="20"/>
                <w:szCs w:val="20"/>
                <w:lang w:val="en-US"/>
              </w:rPr>
              <w:t xml:space="preserve">Minister of Justice, et al. </w:t>
            </w:r>
            <w:r w:rsidR="001F7BE4" w:rsidRPr="00E407E9">
              <w:rPr>
                <w:b/>
                <w:sz w:val="20"/>
                <w:szCs w:val="20"/>
                <w:lang w:val="en-US"/>
              </w:rPr>
              <w:t>(</w:t>
            </w:r>
            <w:r w:rsidRPr="00E407E9">
              <w:rPr>
                <w:b/>
                <w:sz w:val="20"/>
                <w:szCs w:val="20"/>
                <w:lang w:val="en-US"/>
              </w:rPr>
              <w:t>F.C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0F6D02" w:rsidRPr="00E407E9">
              <w:rPr>
                <w:sz w:val="20"/>
                <w:szCs w:val="20"/>
                <w:lang w:val="en-US"/>
              </w:rPr>
              <w:t>Green, Maria</w:t>
            </w:r>
          </w:p>
          <w:p w:rsidR="001F7BE4" w:rsidRPr="00E407E9" w:rsidRDefault="001F7BE4" w:rsidP="001F7BE4">
            <w:pPr>
              <w:tabs>
                <w:tab w:val="left" w:pos="-1440"/>
                <w:tab w:val="left" w:pos="-720"/>
              </w:tabs>
              <w:rPr>
                <w:sz w:val="20"/>
                <w:szCs w:val="20"/>
              </w:rPr>
            </w:pPr>
            <w:r w:rsidRPr="00E407E9">
              <w:rPr>
                <w:sz w:val="20"/>
                <w:szCs w:val="20"/>
                <w:lang w:val="en-US"/>
              </w:rPr>
              <w:tab/>
            </w:r>
            <w:r w:rsidR="000F6D02" w:rsidRPr="00E407E9">
              <w:rPr>
                <w:sz w:val="20"/>
                <w:szCs w:val="20"/>
              </w:rPr>
              <w:t>Department of Justice</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0F6D02" w:rsidRPr="00E407E9">
              <w:rPr>
                <w:sz w:val="20"/>
                <w:szCs w:val="20"/>
              </w:rPr>
              <w:t>December</w:t>
            </w:r>
            <w:r w:rsidRPr="00E407E9">
              <w:rPr>
                <w:sz w:val="20"/>
                <w:szCs w:val="20"/>
              </w:rPr>
              <w:t xml:space="preserve"> </w:t>
            </w:r>
            <w:r w:rsidR="000F6D02" w:rsidRPr="00E407E9">
              <w:rPr>
                <w:sz w:val="20"/>
                <w:szCs w:val="20"/>
              </w:rPr>
              <w:t>17</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38"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CA320E" w:rsidP="001F7BE4">
            <w:pPr>
              <w:rPr>
                <w:sz w:val="20"/>
                <w:szCs w:val="20"/>
                <w:lang w:val="en-US"/>
              </w:rPr>
            </w:pPr>
            <w:r w:rsidRPr="00E407E9">
              <w:rPr>
                <w:b/>
                <w:sz w:val="20"/>
                <w:szCs w:val="20"/>
                <w:lang w:val="en-US"/>
              </w:rPr>
              <w:lastRenderedPageBreak/>
              <w:t>Her Majesty the Queen</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A320E" w:rsidRPr="00E407E9">
              <w:rPr>
                <w:sz w:val="20"/>
                <w:szCs w:val="20"/>
                <w:lang w:val="en-US"/>
              </w:rPr>
              <w:t>Ainslie, Q.C., Mary 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A320E" w:rsidRPr="00E407E9">
              <w:rPr>
                <w:sz w:val="20"/>
                <w:szCs w:val="20"/>
                <w:lang w:val="en-US"/>
              </w:rPr>
              <w:t>Ministry of Attorney General (BC)</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CA320E" w:rsidRPr="00E407E9">
              <w:rPr>
                <w:sz w:val="20"/>
                <w:szCs w:val="20"/>
                <w:lang w:val="en-US"/>
              </w:rPr>
              <w:t>57</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CA320E" w:rsidP="001F7BE4">
            <w:pPr>
              <w:tabs>
                <w:tab w:val="left" w:pos="-1440"/>
                <w:tab w:val="left" w:pos="-720"/>
              </w:tabs>
              <w:rPr>
                <w:b/>
                <w:sz w:val="20"/>
                <w:szCs w:val="20"/>
                <w:lang w:val="en-US"/>
              </w:rPr>
            </w:pPr>
            <w:r w:rsidRPr="00E407E9">
              <w:rPr>
                <w:b/>
                <w:sz w:val="20"/>
                <w:szCs w:val="20"/>
                <w:lang w:val="en-US"/>
              </w:rPr>
              <w:t xml:space="preserve">Peter Ernest Edward Beckett </w:t>
            </w:r>
            <w:r w:rsidR="001F7BE4" w:rsidRPr="00E407E9">
              <w:rPr>
                <w:b/>
                <w:sz w:val="20"/>
                <w:szCs w:val="20"/>
                <w:lang w:val="en-US"/>
              </w:rPr>
              <w:t>(</w:t>
            </w:r>
            <w:r w:rsidRPr="00E407E9">
              <w:rPr>
                <w:b/>
                <w:sz w:val="20"/>
                <w:szCs w:val="20"/>
                <w:lang w:val="en-US"/>
              </w:rPr>
              <w:t>B.C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A320E" w:rsidRPr="00E407E9">
              <w:rPr>
                <w:sz w:val="20"/>
                <w:szCs w:val="20"/>
                <w:lang w:val="en-US"/>
              </w:rPr>
              <w:t>Fowler, Q.C., Richard S.</w:t>
            </w:r>
          </w:p>
          <w:p w:rsidR="001F7BE4" w:rsidRPr="00E407E9" w:rsidRDefault="001F7BE4" w:rsidP="001F7BE4">
            <w:pPr>
              <w:tabs>
                <w:tab w:val="left" w:pos="-1440"/>
                <w:tab w:val="left" w:pos="-720"/>
              </w:tabs>
              <w:rPr>
                <w:sz w:val="20"/>
                <w:szCs w:val="20"/>
              </w:rPr>
            </w:pPr>
            <w:r w:rsidRPr="00E407E9">
              <w:rPr>
                <w:sz w:val="20"/>
                <w:szCs w:val="20"/>
                <w:lang w:val="en-US"/>
              </w:rPr>
              <w:tab/>
            </w:r>
            <w:r w:rsidR="00CA320E" w:rsidRPr="00E407E9">
              <w:rPr>
                <w:sz w:val="20"/>
                <w:szCs w:val="20"/>
              </w:rPr>
              <w:t>Fowler and Blok</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CA320E" w:rsidRPr="00E407E9">
              <w:rPr>
                <w:sz w:val="20"/>
                <w:szCs w:val="20"/>
              </w:rPr>
              <w:t>December</w:t>
            </w:r>
            <w:r w:rsidRPr="00E407E9">
              <w:rPr>
                <w:sz w:val="20"/>
                <w:szCs w:val="20"/>
              </w:rPr>
              <w:t xml:space="preserve"> </w:t>
            </w:r>
            <w:r w:rsidR="00CA320E" w:rsidRPr="00E407E9">
              <w:rPr>
                <w:sz w:val="20"/>
                <w:szCs w:val="20"/>
              </w:rPr>
              <w:t>17</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CA320E" w:rsidRPr="00E407E9" w:rsidRDefault="00CA320E"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CA320E" w:rsidP="001F7BE4">
            <w:pPr>
              <w:rPr>
                <w:sz w:val="20"/>
                <w:szCs w:val="20"/>
                <w:lang w:val="en-US"/>
              </w:rPr>
            </w:pPr>
            <w:r w:rsidRPr="00E407E9">
              <w:rPr>
                <w:b/>
                <w:sz w:val="20"/>
                <w:szCs w:val="20"/>
                <w:lang w:val="en-US"/>
              </w:rPr>
              <w:t>Her Majesty the Queen</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A320E" w:rsidRPr="00E407E9">
              <w:rPr>
                <w:sz w:val="20"/>
                <w:szCs w:val="20"/>
                <w:lang w:val="en-US"/>
              </w:rPr>
              <w:t>Davis, Andrew S.</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A320E" w:rsidRPr="00E407E9">
              <w:rPr>
                <w:sz w:val="20"/>
                <w:szCs w:val="20"/>
                <w:lang w:val="en-US"/>
              </w:rPr>
              <w:t>Attorney General for Saskatchewan</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CA320E" w:rsidRPr="00E407E9">
              <w:rPr>
                <w:sz w:val="20"/>
                <w:szCs w:val="20"/>
                <w:lang w:val="en-US"/>
              </w:rPr>
              <w:t>62</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CA320E" w:rsidP="001F7BE4">
            <w:pPr>
              <w:tabs>
                <w:tab w:val="left" w:pos="-1440"/>
                <w:tab w:val="left" w:pos="-720"/>
              </w:tabs>
              <w:rPr>
                <w:b/>
                <w:sz w:val="20"/>
                <w:szCs w:val="20"/>
                <w:lang w:val="en-US"/>
              </w:rPr>
            </w:pPr>
            <w:r w:rsidRPr="00E407E9">
              <w:rPr>
                <w:b/>
                <w:sz w:val="20"/>
                <w:szCs w:val="20"/>
                <w:lang w:val="en-US"/>
              </w:rPr>
              <w:t xml:space="preserve">Kiel Stewart </w:t>
            </w:r>
            <w:r w:rsidR="001F7BE4" w:rsidRPr="00E407E9">
              <w:rPr>
                <w:b/>
                <w:sz w:val="20"/>
                <w:szCs w:val="20"/>
                <w:lang w:val="en-US"/>
              </w:rPr>
              <w:t>(</w:t>
            </w:r>
            <w:r w:rsidRPr="00E407E9">
              <w:rPr>
                <w:b/>
                <w:sz w:val="20"/>
                <w:szCs w:val="20"/>
                <w:lang w:val="en-US"/>
              </w:rPr>
              <w:t>Sask</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A320E" w:rsidRPr="00E407E9">
              <w:rPr>
                <w:sz w:val="20"/>
                <w:szCs w:val="20"/>
                <w:lang w:val="en-US"/>
              </w:rPr>
              <w:t>Watson, Jay D.</w:t>
            </w:r>
          </w:p>
          <w:p w:rsidR="00CA320E" w:rsidRPr="00E407E9" w:rsidRDefault="001F7BE4" w:rsidP="001F7BE4">
            <w:pPr>
              <w:tabs>
                <w:tab w:val="left" w:pos="-1440"/>
                <w:tab w:val="left" w:pos="-720"/>
              </w:tabs>
              <w:rPr>
                <w:sz w:val="20"/>
                <w:szCs w:val="20"/>
              </w:rPr>
            </w:pPr>
            <w:r w:rsidRPr="00E407E9">
              <w:rPr>
                <w:sz w:val="20"/>
                <w:szCs w:val="20"/>
                <w:lang w:val="en-US"/>
              </w:rPr>
              <w:tab/>
            </w:r>
            <w:r w:rsidR="00CA320E" w:rsidRPr="00E407E9">
              <w:rPr>
                <w:sz w:val="20"/>
                <w:szCs w:val="20"/>
              </w:rPr>
              <w:t xml:space="preserve">Cuelenaere, Kendall, Katzman &amp; </w:t>
            </w:r>
          </w:p>
          <w:p w:rsidR="001F7BE4" w:rsidRPr="00E407E9" w:rsidRDefault="00CA320E" w:rsidP="001F7BE4">
            <w:pPr>
              <w:tabs>
                <w:tab w:val="left" w:pos="-1440"/>
                <w:tab w:val="left" w:pos="-720"/>
              </w:tabs>
              <w:rPr>
                <w:sz w:val="20"/>
                <w:szCs w:val="20"/>
              </w:rPr>
            </w:pPr>
            <w:r w:rsidRPr="00E407E9">
              <w:rPr>
                <w:sz w:val="20"/>
                <w:szCs w:val="20"/>
                <w:lang w:val="en-US"/>
              </w:rPr>
              <w:tab/>
            </w:r>
            <w:r w:rsidRPr="00E407E9">
              <w:rPr>
                <w:sz w:val="20"/>
                <w:szCs w:val="20"/>
              </w:rPr>
              <w:t>Watson</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CA320E" w:rsidRPr="00E407E9">
              <w:rPr>
                <w:sz w:val="20"/>
                <w:szCs w:val="20"/>
              </w:rPr>
              <w:t>December</w:t>
            </w:r>
            <w:r w:rsidRPr="00E407E9">
              <w:rPr>
                <w:sz w:val="20"/>
                <w:szCs w:val="20"/>
              </w:rPr>
              <w:t xml:space="preserve"> </w:t>
            </w:r>
            <w:r w:rsidR="00CA320E" w:rsidRPr="00E407E9">
              <w:rPr>
                <w:sz w:val="20"/>
                <w:szCs w:val="20"/>
              </w:rPr>
              <w:t>17</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0"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CA320E" w:rsidP="001F7BE4">
            <w:pPr>
              <w:rPr>
                <w:sz w:val="20"/>
                <w:szCs w:val="20"/>
                <w:lang w:val="fr-CA"/>
              </w:rPr>
            </w:pPr>
            <w:r w:rsidRPr="00E407E9">
              <w:rPr>
                <w:b/>
                <w:sz w:val="20"/>
                <w:szCs w:val="20"/>
                <w:lang w:val="fr-CA"/>
              </w:rPr>
              <w:t>Victor Cantore</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CA320E" w:rsidRPr="00E407E9">
              <w:rPr>
                <w:sz w:val="20"/>
                <w:szCs w:val="20"/>
                <w:lang w:val="fr-CA"/>
              </w:rPr>
              <w:t>Maniatis, Dimitri</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CA320E" w:rsidRPr="00E407E9">
              <w:rPr>
                <w:sz w:val="20"/>
                <w:szCs w:val="20"/>
                <w:lang w:val="fr-CA"/>
              </w:rPr>
              <w:t>Accent Legal Inc.</w:t>
            </w:r>
          </w:p>
          <w:p w:rsidR="001F7BE4" w:rsidRPr="00E407E9" w:rsidRDefault="001F7BE4" w:rsidP="001F7BE4">
            <w:pPr>
              <w:tabs>
                <w:tab w:val="left" w:pos="-1440"/>
                <w:tab w:val="left" w:pos="-720"/>
              </w:tabs>
              <w:rPr>
                <w:sz w:val="20"/>
                <w:szCs w:val="20"/>
                <w:lang w:val="fr-CA"/>
              </w:rPr>
            </w:pPr>
          </w:p>
          <w:p w:rsidR="001F7BE4" w:rsidRPr="00E407E9" w:rsidRDefault="001F7BE4" w:rsidP="001F7BE4">
            <w:pPr>
              <w:tabs>
                <w:tab w:val="left" w:pos="-1440"/>
                <w:tab w:val="left" w:pos="-720"/>
              </w:tabs>
              <w:rPr>
                <w:sz w:val="20"/>
                <w:szCs w:val="20"/>
                <w:lang w:val="fr-CA"/>
              </w:rPr>
            </w:pPr>
            <w:r w:rsidRPr="00E407E9">
              <w:rPr>
                <w:sz w:val="20"/>
                <w:szCs w:val="20"/>
                <w:lang w:val="fr-CA"/>
              </w:rPr>
              <w:tab/>
              <w:t>v. (394</w:t>
            </w:r>
            <w:r w:rsidR="00CA320E" w:rsidRPr="00E407E9">
              <w:rPr>
                <w:sz w:val="20"/>
                <w:szCs w:val="20"/>
                <w:lang w:val="fr-CA"/>
              </w:rPr>
              <w:t>64</w:t>
            </w:r>
            <w:r w:rsidRPr="00E407E9">
              <w:rPr>
                <w:sz w:val="20"/>
                <w:szCs w:val="20"/>
                <w:lang w:val="fr-CA"/>
              </w:rPr>
              <w:t>)</w:t>
            </w:r>
          </w:p>
          <w:p w:rsidR="001F7BE4" w:rsidRPr="00E407E9" w:rsidRDefault="001F7BE4" w:rsidP="001F7BE4">
            <w:pPr>
              <w:tabs>
                <w:tab w:val="left" w:pos="-1440"/>
                <w:tab w:val="left" w:pos="-720"/>
              </w:tabs>
              <w:rPr>
                <w:sz w:val="20"/>
                <w:szCs w:val="20"/>
                <w:lang w:val="fr-CA"/>
              </w:rPr>
            </w:pPr>
          </w:p>
          <w:p w:rsidR="001F7BE4" w:rsidRPr="00E407E9" w:rsidRDefault="00CA320E" w:rsidP="001F7BE4">
            <w:pPr>
              <w:tabs>
                <w:tab w:val="left" w:pos="-1440"/>
                <w:tab w:val="left" w:pos="-720"/>
              </w:tabs>
              <w:rPr>
                <w:b/>
                <w:sz w:val="20"/>
                <w:szCs w:val="20"/>
                <w:lang w:val="en-US"/>
              </w:rPr>
            </w:pPr>
            <w:r w:rsidRPr="00E407E9">
              <w:rPr>
                <w:b/>
                <w:sz w:val="20"/>
                <w:szCs w:val="20"/>
                <w:lang w:val="fr-CA"/>
              </w:rPr>
              <w:t xml:space="preserve">Nemaska Lithium Inc. (Formerly Nemaska Lithium Inc., Nemaska Lithium Whabouchi Mine Inc., Nemaska Lithium Shawinigan Transformation Inc., Nemaska Lithium P1p Inc. and Nemaska Lithium Innovation Inc.), et al. </w:t>
            </w:r>
            <w:r w:rsidR="001F7BE4" w:rsidRPr="00E407E9">
              <w:rPr>
                <w:b/>
                <w:sz w:val="20"/>
                <w:szCs w:val="20"/>
                <w:lang w:val="en-US"/>
              </w:rPr>
              <w:t>(</w:t>
            </w:r>
            <w:r w:rsidRPr="00E407E9">
              <w:rPr>
                <w:b/>
                <w:sz w:val="20"/>
                <w:szCs w:val="20"/>
                <w:lang w:val="en-US"/>
              </w:rPr>
              <w:t>Que</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A320E" w:rsidRPr="00E407E9">
              <w:rPr>
                <w:sz w:val="20"/>
                <w:szCs w:val="20"/>
                <w:lang w:val="en-US"/>
              </w:rPr>
              <w:t>Tardiff, Alain N.</w:t>
            </w:r>
          </w:p>
          <w:p w:rsidR="001F7BE4" w:rsidRPr="00E407E9" w:rsidRDefault="001F7BE4" w:rsidP="001F7BE4">
            <w:pPr>
              <w:tabs>
                <w:tab w:val="left" w:pos="-1440"/>
                <w:tab w:val="left" w:pos="-720"/>
              </w:tabs>
              <w:rPr>
                <w:sz w:val="20"/>
                <w:szCs w:val="20"/>
              </w:rPr>
            </w:pPr>
            <w:r w:rsidRPr="00E407E9">
              <w:rPr>
                <w:sz w:val="20"/>
                <w:szCs w:val="20"/>
                <w:lang w:val="en-US"/>
              </w:rPr>
              <w:tab/>
            </w:r>
            <w:r w:rsidR="00CA320E" w:rsidRPr="00E407E9">
              <w:rPr>
                <w:sz w:val="20"/>
                <w:szCs w:val="20"/>
              </w:rPr>
              <w:t>McCarthy Tétrault LLP</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CA320E" w:rsidRPr="00E407E9">
              <w:rPr>
                <w:sz w:val="20"/>
                <w:szCs w:val="20"/>
              </w:rPr>
              <w:t>December</w:t>
            </w:r>
            <w:r w:rsidRPr="00E407E9">
              <w:rPr>
                <w:sz w:val="20"/>
                <w:szCs w:val="20"/>
              </w:rPr>
              <w:t xml:space="preserve"> </w:t>
            </w:r>
            <w:r w:rsidR="00CA320E" w:rsidRPr="00E407E9">
              <w:rPr>
                <w:sz w:val="20"/>
                <w:szCs w:val="20"/>
              </w:rPr>
              <w:t>17</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CA320E" w:rsidRPr="00E407E9" w:rsidRDefault="00CA320E" w:rsidP="00F138C1">
            <w:pPr>
              <w:jc w:val="center"/>
              <w:rPr>
                <w:sz w:val="20"/>
                <w:szCs w:val="20"/>
                <w:lang w:val="en-US"/>
              </w:rPr>
            </w:pPr>
          </w:p>
          <w:p w:rsidR="00CA320E" w:rsidRPr="00E407E9" w:rsidRDefault="00CA320E" w:rsidP="00F138C1">
            <w:pPr>
              <w:jc w:val="center"/>
              <w:rPr>
                <w:sz w:val="20"/>
                <w:szCs w:val="20"/>
                <w:lang w:val="en-US"/>
              </w:rPr>
            </w:pPr>
          </w:p>
          <w:p w:rsidR="00CA320E" w:rsidRPr="00E407E9" w:rsidRDefault="00CA320E" w:rsidP="00F138C1">
            <w:pPr>
              <w:jc w:val="center"/>
              <w:rPr>
                <w:sz w:val="20"/>
                <w:szCs w:val="20"/>
                <w:lang w:val="en-US"/>
              </w:rPr>
            </w:pPr>
          </w:p>
          <w:p w:rsidR="00CA320E" w:rsidRPr="00E407E9" w:rsidRDefault="00CA320E" w:rsidP="00F138C1">
            <w:pPr>
              <w:jc w:val="center"/>
              <w:rPr>
                <w:sz w:val="20"/>
                <w:szCs w:val="20"/>
                <w:lang w:val="en-US"/>
              </w:rPr>
            </w:pPr>
          </w:p>
          <w:p w:rsidR="00CA320E" w:rsidRPr="00E407E9" w:rsidRDefault="00CA320E"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A00BF1" w:rsidP="001F7BE4">
            <w:pPr>
              <w:rPr>
                <w:sz w:val="20"/>
                <w:szCs w:val="20"/>
                <w:lang w:val="en-US"/>
              </w:rPr>
            </w:pPr>
            <w:r w:rsidRPr="00E407E9">
              <w:rPr>
                <w:b/>
                <w:sz w:val="20"/>
                <w:szCs w:val="20"/>
                <w:lang w:val="en-US"/>
              </w:rPr>
              <w:t>Corey Heffernan</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00BF1" w:rsidRPr="00E407E9">
              <w:rPr>
                <w:sz w:val="20"/>
                <w:szCs w:val="20"/>
                <w:lang w:val="en-US"/>
              </w:rPr>
              <w:t>Abrametz, Peter A.</w:t>
            </w:r>
          </w:p>
          <w:p w:rsidR="00A00BF1" w:rsidRPr="00E407E9" w:rsidRDefault="001F7BE4" w:rsidP="001F7BE4">
            <w:pPr>
              <w:tabs>
                <w:tab w:val="left" w:pos="-1440"/>
                <w:tab w:val="left" w:pos="-720"/>
              </w:tabs>
              <w:rPr>
                <w:sz w:val="20"/>
                <w:szCs w:val="20"/>
                <w:lang w:val="en-US"/>
              </w:rPr>
            </w:pPr>
            <w:r w:rsidRPr="00E407E9">
              <w:rPr>
                <w:sz w:val="20"/>
                <w:szCs w:val="20"/>
                <w:lang w:val="en-US"/>
              </w:rPr>
              <w:tab/>
            </w:r>
            <w:r w:rsidR="00A00BF1" w:rsidRPr="00E407E9">
              <w:rPr>
                <w:sz w:val="20"/>
                <w:szCs w:val="20"/>
                <w:lang w:val="en-US"/>
              </w:rPr>
              <w:t xml:space="preserve">Peter A. Abrametz Legal Professional </w:t>
            </w:r>
          </w:p>
          <w:p w:rsidR="001F7BE4" w:rsidRPr="00E407E9" w:rsidRDefault="00A00BF1" w:rsidP="001F7BE4">
            <w:pPr>
              <w:tabs>
                <w:tab w:val="left" w:pos="-1440"/>
                <w:tab w:val="left" w:pos="-720"/>
              </w:tabs>
              <w:rPr>
                <w:sz w:val="20"/>
                <w:szCs w:val="20"/>
                <w:lang w:val="en-US"/>
              </w:rPr>
            </w:pPr>
            <w:r w:rsidRPr="00E407E9">
              <w:rPr>
                <w:sz w:val="20"/>
                <w:szCs w:val="20"/>
                <w:lang w:val="en-US"/>
              </w:rPr>
              <w:tab/>
              <w:t>Corporation</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A00BF1" w:rsidRPr="00E407E9">
              <w:rPr>
                <w:sz w:val="20"/>
                <w:szCs w:val="20"/>
                <w:lang w:val="en-US"/>
              </w:rPr>
              <w:t>67</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00BF1" w:rsidP="001F7BE4">
            <w:pPr>
              <w:tabs>
                <w:tab w:val="left" w:pos="-1440"/>
                <w:tab w:val="left" w:pos="-720"/>
              </w:tabs>
              <w:rPr>
                <w:b/>
                <w:sz w:val="20"/>
                <w:szCs w:val="20"/>
                <w:lang w:val="en-US"/>
              </w:rPr>
            </w:pPr>
            <w:r w:rsidRPr="00E407E9">
              <w:rPr>
                <w:b/>
                <w:sz w:val="20"/>
                <w:szCs w:val="20"/>
                <w:lang w:val="en-US"/>
              </w:rPr>
              <w:t xml:space="preserve">Saskatchewan Police Commission, et al. </w:t>
            </w:r>
            <w:r w:rsidR="001F7BE4" w:rsidRPr="00E407E9">
              <w:rPr>
                <w:b/>
                <w:sz w:val="20"/>
                <w:szCs w:val="20"/>
                <w:lang w:val="en-US"/>
              </w:rPr>
              <w:t>(</w:t>
            </w:r>
            <w:r w:rsidRPr="00E407E9">
              <w:rPr>
                <w:b/>
                <w:sz w:val="20"/>
                <w:szCs w:val="20"/>
                <w:lang w:val="en-US"/>
              </w:rPr>
              <w:t>Sask</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00BF1" w:rsidRPr="00E407E9">
              <w:rPr>
                <w:sz w:val="20"/>
                <w:szCs w:val="20"/>
                <w:lang w:val="en-US"/>
              </w:rPr>
              <w:t>Ohashi, Charita</w:t>
            </w:r>
          </w:p>
          <w:p w:rsidR="001F7BE4" w:rsidRPr="00E407E9" w:rsidRDefault="001F7BE4" w:rsidP="001F7BE4">
            <w:pPr>
              <w:tabs>
                <w:tab w:val="left" w:pos="-1440"/>
                <w:tab w:val="left" w:pos="-720"/>
              </w:tabs>
              <w:rPr>
                <w:sz w:val="20"/>
                <w:szCs w:val="20"/>
              </w:rPr>
            </w:pPr>
            <w:r w:rsidRPr="00E407E9">
              <w:rPr>
                <w:sz w:val="20"/>
                <w:szCs w:val="20"/>
                <w:lang w:val="en-US"/>
              </w:rPr>
              <w:tab/>
            </w:r>
            <w:r w:rsidR="00A00BF1" w:rsidRPr="00E407E9">
              <w:rPr>
                <w:sz w:val="20"/>
                <w:szCs w:val="20"/>
              </w:rPr>
              <w:t>Attorney General for Saskatchewan</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00BF1" w:rsidRPr="00E407E9">
              <w:rPr>
                <w:sz w:val="20"/>
                <w:szCs w:val="20"/>
              </w:rPr>
              <w:t>December</w:t>
            </w:r>
            <w:r w:rsidRPr="00E407E9">
              <w:rPr>
                <w:sz w:val="20"/>
                <w:szCs w:val="20"/>
              </w:rPr>
              <w:t xml:space="preserve"> </w:t>
            </w:r>
            <w:r w:rsidR="00A00BF1" w:rsidRPr="00E407E9">
              <w:rPr>
                <w:sz w:val="20"/>
                <w:szCs w:val="20"/>
              </w:rPr>
              <w:t>17</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2"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A00BF1" w:rsidP="001F7BE4">
            <w:pPr>
              <w:rPr>
                <w:sz w:val="20"/>
                <w:szCs w:val="20"/>
                <w:lang w:val="en-US"/>
              </w:rPr>
            </w:pPr>
            <w:r w:rsidRPr="00E407E9">
              <w:rPr>
                <w:b/>
                <w:sz w:val="20"/>
                <w:szCs w:val="20"/>
                <w:lang w:val="en-US"/>
              </w:rPr>
              <w:t>Xiao Hua Gong</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00BF1" w:rsidRPr="00E407E9">
              <w:rPr>
                <w:sz w:val="20"/>
                <w:szCs w:val="20"/>
                <w:lang w:val="en-US"/>
              </w:rPr>
              <w:t>Hutchison, Scott C.</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00BF1" w:rsidRPr="00E407E9">
              <w:rPr>
                <w:sz w:val="20"/>
                <w:szCs w:val="20"/>
                <w:lang w:val="en-US"/>
              </w:rPr>
              <w:t>Henein Hutchison LLP</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w:t>
            </w:r>
            <w:r w:rsidR="00A00BF1" w:rsidRPr="00E407E9">
              <w:rPr>
                <w:sz w:val="20"/>
                <w:szCs w:val="20"/>
                <w:lang w:val="en-US"/>
              </w:rPr>
              <w:t>0</w:t>
            </w:r>
            <w:r w:rsidRPr="00E407E9">
              <w:rPr>
                <w:sz w:val="20"/>
                <w:szCs w:val="20"/>
                <w:lang w:val="en-US"/>
              </w:rPr>
              <w:t>4</w:t>
            </w:r>
            <w:r w:rsidR="00A00BF1" w:rsidRPr="00E407E9">
              <w:rPr>
                <w:sz w:val="20"/>
                <w:szCs w:val="20"/>
                <w:lang w:val="en-US"/>
              </w:rPr>
              <w:t>0</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00BF1" w:rsidP="001F7BE4">
            <w:pPr>
              <w:tabs>
                <w:tab w:val="left" w:pos="-1440"/>
                <w:tab w:val="left" w:pos="-720"/>
              </w:tabs>
              <w:rPr>
                <w:b/>
                <w:sz w:val="20"/>
                <w:szCs w:val="20"/>
                <w:lang w:val="en-US"/>
              </w:rPr>
            </w:pPr>
            <w:r w:rsidRPr="00E407E9">
              <w:rPr>
                <w:b/>
                <w:sz w:val="20"/>
                <w:szCs w:val="20"/>
                <w:lang w:val="en-US"/>
              </w:rPr>
              <w:t xml:space="preserve">Her Majesty the Queen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00BF1" w:rsidRPr="00E407E9">
              <w:rPr>
                <w:sz w:val="20"/>
                <w:szCs w:val="20"/>
                <w:lang w:val="en-US"/>
              </w:rPr>
              <w:t>Garg, Davin</w:t>
            </w:r>
          </w:p>
          <w:p w:rsidR="001F7BE4" w:rsidRPr="00E407E9" w:rsidRDefault="001F7BE4" w:rsidP="001F7BE4">
            <w:pPr>
              <w:tabs>
                <w:tab w:val="left" w:pos="-1440"/>
                <w:tab w:val="left" w:pos="-720"/>
              </w:tabs>
              <w:rPr>
                <w:sz w:val="20"/>
                <w:szCs w:val="20"/>
              </w:rPr>
            </w:pPr>
            <w:r w:rsidRPr="00E407E9">
              <w:rPr>
                <w:sz w:val="20"/>
                <w:szCs w:val="20"/>
                <w:lang w:val="en-US"/>
              </w:rPr>
              <w:tab/>
            </w:r>
            <w:r w:rsidR="00A00BF1" w:rsidRPr="00E407E9">
              <w:rPr>
                <w:sz w:val="20"/>
                <w:szCs w:val="20"/>
              </w:rPr>
              <w:t>Attorney General of Ontario</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00BF1" w:rsidRPr="00E407E9">
              <w:rPr>
                <w:sz w:val="20"/>
                <w:szCs w:val="20"/>
              </w:rPr>
              <w:t>February</w:t>
            </w:r>
            <w:r w:rsidRPr="00E407E9">
              <w:rPr>
                <w:sz w:val="20"/>
                <w:szCs w:val="20"/>
              </w:rPr>
              <w:t xml:space="preserve"> </w:t>
            </w:r>
            <w:r w:rsidR="00A00BF1" w:rsidRPr="00E407E9">
              <w:rPr>
                <w:sz w:val="20"/>
                <w:szCs w:val="20"/>
              </w:rPr>
              <w:t>3</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A00BF1" w:rsidP="001F7BE4">
            <w:pPr>
              <w:rPr>
                <w:sz w:val="20"/>
                <w:szCs w:val="20"/>
                <w:lang w:val="fr-CA"/>
              </w:rPr>
            </w:pPr>
            <w:r w:rsidRPr="00E407E9">
              <w:rPr>
                <w:b/>
                <w:sz w:val="20"/>
                <w:szCs w:val="20"/>
                <w:lang w:val="fr-CA"/>
              </w:rPr>
              <w:t>Shahid Habib, et al.</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A00BF1" w:rsidRPr="00E407E9">
              <w:rPr>
                <w:sz w:val="20"/>
                <w:szCs w:val="20"/>
                <w:lang w:val="fr-CA"/>
              </w:rPr>
              <w:t>Shahid Habib, et al.</w:t>
            </w:r>
          </w:p>
          <w:p w:rsidR="001F7BE4" w:rsidRPr="00E407E9" w:rsidRDefault="001F7BE4" w:rsidP="001F7BE4">
            <w:pPr>
              <w:tabs>
                <w:tab w:val="left" w:pos="-1440"/>
                <w:tab w:val="left" w:pos="-720"/>
              </w:tabs>
              <w:rPr>
                <w:sz w:val="20"/>
                <w:szCs w:val="20"/>
                <w:lang w:val="fr-CA"/>
              </w:rPr>
            </w:pPr>
          </w:p>
          <w:p w:rsidR="001F7BE4" w:rsidRPr="00E407E9" w:rsidRDefault="001F7BE4" w:rsidP="001F7BE4">
            <w:pPr>
              <w:tabs>
                <w:tab w:val="left" w:pos="-1440"/>
                <w:tab w:val="left" w:pos="-720"/>
              </w:tabs>
              <w:rPr>
                <w:sz w:val="20"/>
                <w:szCs w:val="20"/>
                <w:lang w:val="en-US"/>
              </w:rPr>
            </w:pPr>
            <w:r w:rsidRPr="00E407E9">
              <w:rPr>
                <w:sz w:val="20"/>
                <w:szCs w:val="20"/>
                <w:lang w:val="fr-CA"/>
              </w:rPr>
              <w:tab/>
            </w:r>
            <w:r w:rsidRPr="00E407E9">
              <w:rPr>
                <w:sz w:val="20"/>
                <w:szCs w:val="20"/>
                <w:lang w:val="en-US"/>
              </w:rPr>
              <w:t>v. (394</w:t>
            </w:r>
            <w:r w:rsidR="00A00BF1" w:rsidRPr="00E407E9">
              <w:rPr>
                <w:sz w:val="20"/>
                <w:szCs w:val="20"/>
                <w:lang w:val="en-US"/>
              </w:rPr>
              <w:t>68</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00BF1" w:rsidP="001F7BE4">
            <w:pPr>
              <w:tabs>
                <w:tab w:val="left" w:pos="-1440"/>
                <w:tab w:val="left" w:pos="-720"/>
              </w:tabs>
              <w:rPr>
                <w:b/>
                <w:sz w:val="20"/>
                <w:szCs w:val="20"/>
                <w:lang w:val="en-US"/>
              </w:rPr>
            </w:pPr>
            <w:r w:rsidRPr="00E407E9">
              <w:rPr>
                <w:b/>
                <w:sz w:val="20"/>
                <w:szCs w:val="20"/>
                <w:lang w:val="en-US"/>
              </w:rPr>
              <w:t xml:space="preserve">Navdave Preet Singh Bajwa, et al. </w:t>
            </w:r>
            <w:r w:rsidR="001F7BE4" w:rsidRPr="00E407E9">
              <w:rPr>
                <w:b/>
                <w:sz w:val="20"/>
                <w:szCs w:val="20"/>
                <w:lang w:val="en-US"/>
              </w:rPr>
              <w:t>(</w:t>
            </w:r>
            <w:r w:rsidRPr="00E407E9">
              <w:rPr>
                <w:b/>
                <w:sz w:val="20"/>
                <w:szCs w:val="20"/>
                <w:lang w:val="en-US"/>
              </w:rPr>
              <w:t>B.C.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00BF1" w:rsidRPr="00E407E9">
              <w:rPr>
                <w:sz w:val="20"/>
                <w:szCs w:val="20"/>
                <w:lang w:val="en-US"/>
              </w:rPr>
              <w:t>Maki, Karen P.</w:t>
            </w:r>
          </w:p>
          <w:p w:rsidR="001F7BE4" w:rsidRPr="00E407E9" w:rsidRDefault="001F7BE4" w:rsidP="001F7BE4">
            <w:pPr>
              <w:tabs>
                <w:tab w:val="left" w:pos="-1440"/>
                <w:tab w:val="left" w:pos="-720"/>
              </w:tabs>
              <w:rPr>
                <w:sz w:val="20"/>
                <w:szCs w:val="20"/>
              </w:rPr>
            </w:pPr>
            <w:r w:rsidRPr="00E407E9">
              <w:rPr>
                <w:sz w:val="20"/>
                <w:szCs w:val="20"/>
                <w:lang w:val="en-US"/>
              </w:rPr>
              <w:tab/>
            </w:r>
            <w:r w:rsidR="00A00BF1" w:rsidRPr="00E407E9">
              <w:rPr>
                <w:sz w:val="20"/>
                <w:szCs w:val="20"/>
              </w:rPr>
              <w:t>Buckley Hogan Law Office</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00BF1" w:rsidRPr="00E407E9">
              <w:rPr>
                <w:sz w:val="20"/>
                <w:szCs w:val="20"/>
              </w:rPr>
              <w:t>December</w:t>
            </w:r>
            <w:r w:rsidRPr="00E407E9">
              <w:rPr>
                <w:sz w:val="20"/>
                <w:szCs w:val="20"/>
              </w:rPr>
              <w:t xml:space="preserve"> </w:t>
            </w:r>
            <w:r w:rsidR="00A00BF1"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4" style="width:108pt;height:1pt" o:hrpct="0" o:hrstd="t" o:hrnoshade="t" o:hr="t" fillcolor="black [3213]" stroked="f"/>
              </w:pict>
            </w:r>
          </w:p>
        </w:tc>
      </w:tr>
    </w:tbl>
    <w:p w:rsidR="00C305D9" w:rsidRPr="00E407E9" w:rsidRDefault="00C305D9">
      <w:r w:rsidRPr="00E407E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F7BE4" w:rsidRPr="00E407E9" w:rsidTr="00F138C1">
        <w:tc>
          <w:tcPr>
            <w:tcW w:w="4239" w:type="dxa"/>
            <w:shd w:val="clear" w:color="auto" w:fill="auto"/>
          </w:tcPr>
          <w:p w:rsidR="001F7BE4" w:rsidRPr="00E407E9" w:rsidRDefault="00C305D9" w:rsidP="001F7BE4">
            <w:pPr>
              <w:rPr>
                <w:sz w:val="20"/>
                <w:szCs w:val="20"/>
                <w:lang w:val="fr-CA"/>
              </w:rPr>
            </w:pPr>
            <w:r w:rsidRPr="00E407E9">
              <w:rPr>
                <w:b/>
                <w:sz w:val="20"/>
                <w:szCs w:val="20"/>
                <w:lang w:val="fr-CA"/>
              </w:rPr>
              <w:lastRenderedPageBreak/>
              <w:t>Vito Auciello</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C305D9" w:rsidRPr="00E407E9">
              <w:rPr>
                <w:sz w:val="20"/>
                <w:szCs w:val="20"/>
                <w:lang w:val="fr-CA"/>
              </w:rPr>
              <w:t>Vito Auciello</w:t>
            </w:r>
          </w:p>
          <w:p w:rsidR="001F7BE4" w:rsidRPr="00E407E9" w:rsidRDefault="001F7BE4" w:rsidP="001F7BE4">
            <w:pPr>
              <w:tabs>
                <w:tab w:val="left" w:pos="-1440"/>
                <w:tab w:val="left" w:pos="-720"/>
              </w:tabs>
              <w:rPr>
                <w:sz w:val="20"/>
                <w:szCs w:val="20"/>
                <w:lang w:val="fr-CA"/>
              </w:rPr>
            </w:pPr>
          </w:p>
          <w:p w:rsidR="001F7BE4" w:rsidRPr="00E407E9" w:rsidRDefault="001F7BE4" w:rsidP="001F7BE4">
            <w:pPr>
              <w:tabs>
                <w:tab w:val="left" w:pos="-1440"/>
                <w:tab w:val="left" w:pos="-720"/>
              </w:tabs>
              <w:rPr>
                <w:sz w:val="20"/>
                <w:szCs w:val="20"/>
                <w:lang w:val="fr-CA"/>
              </w:rPr>
            </w:pPr>
            <w:r w:rsidRPr="00E407E9">
              <w:rPr>
                <w:sz w:val="20"/>
                <w:szCs w:val="20"/>
                <w:lang w:val="fr-CA"/>
              </w:rPr>
              <w:tab/>
              <w:t>v. (394</w:t>
            </w:r>
            <w:r w:rsidR="00C305D9" w:rsidRPr="00E407E9">
              <w:rPr>
                <w:sz w:val="20"/>
                <w:szCs w:val="20"/>
                <w:lang w:val="fr-CA"/>
              </w:rPr>
              <w:t>69</w:t>
            </w:r>
            <w:r w:rsidRPr="00E407E9">
              <w:rPr>
                <w:sz w:val="20"/>
                <w:szCs w:val="20"/>
                <w:lang w:val="fr-CA"/>
              </w:rPr>
              <w:t>)</w:t>
            </w:r>
          </w:p>
          <w:p w:rsidR="001F7BE4" w:rsidRPr="00E407E9" w:rsidRDefault="001F7BE4" w:rsidP="001F7BE4">
            <w:pPr>
              <w:tabs>
                <w:tab w:val="left" w:pos="-1440"/>
                <w:tab w:val="left" w:pos="-720"/>
              </w:tabs>
              <w:rPr>
                <w:sz w:val="20"/>
                <w:szCs w:val="20"/>
                <w:lang w:val="fr-CA"/>
              </w:rPr>
            </w:pPr>
          </w:p>
          <w:p w:rsidR="001F7BE4" w:rsidRPr="00E407E9" w:rsidRDefault="00C305D9" w:rsidP="001F7BE4">
            <w:pPr>
              <w:tabs>
                <w:tab w:val="left" w:pos="-1440"/>
                <w:tab w:val="left" w:pos="-720"/>
              </w:tabs>
              <w:rPr>
                <w:b/>
                <w:sz w:val="20"/>
                <w:szCs w:val="20"/>
                <w:lang w:val="fr-CA"/>
              </w:rPr>
            </w:pPr>
            <w:r w:rsidRPr="00E407E9">
              <w:rPr>
                <w:b/>
                <w:sz w:val="20"/>
                <w:szCs w:val="20"/>
                <w:lang w:val="fr-CA"/>
              </w:rPr>
              <w:t xml:space="preserve">CIBC Mortgages Inc., et al. </w:t>
            </w:r>
            <w:r w:rsidR="001F7BE4" w:rsidRPr="00E407E9">
              <w:rPr>
                <w:b/>
                <w:sz w:val="20"/>
                <w:szCs w:val="20"/>
                <w:lang w:val="fr-CA"/>
              </w:rPr>
              <w:t>(</w:t>
            </w:r>
            <w:r w:rsidRPr="00E407E9">
              <w:rPr>
                <w:b/>
                <w:sz w:val="20"/>
                <w:szCs w:val="20"/>
                <w:lang w:val="fr-CA"/>
              </w:rPr>
              <w:t>Ont</w:t>
            </w:r>
            <w:r w:rsidR="001F7BE4" w:rsidRPr="00E407E9">
              <w:rPr>
                <w:b/>
                <w:sz w:val="20"/>
                <w:szCs w:val="20"/>
                <w:lang w:val="fr-CA"/>
              </w:rPr>
              <w:t>.)</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C305D9" w:rsidRPr="00E407E9">
              <w:rPr>
                <w:sz w:val="20"/>
                <w:szCs w:val="20"/>
                <w:lang w:val="fr-CA"/>
              </w:rPr>
              <w:t>Ferlisi, Onofrio</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C305D9" w:rsidRPr="00E407E9">
              <w:rPr>
                <w:sz w:val="20"/>
                <w:szCs w:val="20"/>
                <w:lang w:val="fr-CA"/>
              </w:rPr>
              <w:t>Kronis, Rotsztain, Margles Cappel LLP</w:t>
            </w:r>
          </w:p>
          <w:p w:rsidR="001F7BE4" w:rsidRPr="00E407E9" w:rsidRDefault="001F7BE4" w:rsidP="001F7BE4">
            <w:pPr>
              <w:tabs>
                <w:tab w:val="left" w:pos="-1440"/>
                <w:tab w:val="left" w:pos="-720"/>
              </w:tabs>
              <w:rPr>
                <w:sz w:val="20"/>
                <w:szCs w:val="20"/>
                <w:lang w:val="fr-CA"/>
              </w:rPr>
            </w:pPr>
          </w:p>
          <w:p w:rsidR="001F7BE4" w:rsidRPr="00E407E9" w:rsidRDefault="001F7BE4" w:rsidP="001F7BE4">
            <w:pPr>
              <w:rPr>
                <w:sz w:val="20"/>
                <w:szCs w:val="20"/>
              </w:rPr>
            </w:pPr>
            <w:r w:rsidRPr="00E407E9">
              <w:rPr>
                <w:sz w:val="20"/>
                <w:szCs w:val="20"/>
              </w:rPr>
              <w:t xml:space="preserve">FILING DATE: </w:t>
            </w:r>
            <w:r w:rsidR="00C305D9" w:rsidRPr="00E407E9">
              <w:rPr>
                <w:sz w:val="20"/>
                <w:szCs w:val="20"/>
              </w:rPr>
              <w:t>December</w:t>
            </w:r>
            <w:r w:rsidRPr="00E407E9">
              <w:rPr>
                <w:sz w:val="20"/>
                <w:szCs w:val="20"/>
              </w:rPr>
              <w:t xml:space="preserve"> </w:t>
            </w:r>
            <w:r w:rsidR="00C305D9"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C305D9" w:rsidP="001F7BE4">
            <w:pPr>
              <w:rPr>
                <w:sz w:val="20"/>
                <w:szCs w:val="20"/>
                <w:lang w:val="en-US"/>
              </w:rPr>
            </w:pPr>
            <w:r w:rsidRPr="00E407E9">
              <w:rPr>
                <w:b/>
                <w:sz w:val="20"/>
                <w:szCs w:val="20"/>
                <w:lang w:val="en-US"/>
              </w:rPr>
              <w:t>Wallace Platt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305D9" w:rsidRPr="00E407E9">
              <w:rPr>
                <w:sz w:val="20"/>
                <w:szCs w:val="20"/>
                <w:lang w:val="en-US"/>
              </w:rPr>
              <w:t>Wallace Platt</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C305D9" w:rsidRPr="00E407E9">
              <w:rPr>
                <w:sz w:val="20"/>
                <w:szCs w:val="20"/>
                <w:lang w:val="en-US"/>
              </w:rPr>
              <w:t>7</w:t>
            </w:r>
            <w:r w:rsidRPr="00E407E9">
              <w:rPr>
                <w:sz w:val="20"/>
                <w:szCs w:val="20"/>
                <w:lang w:val="en-US"/>
              </w:rPr>
              <w:t>1)</w:t>
            </w:r>
          </w:p>
          <w:p w:rsidR="001F7BE4" w:rsidRPr="00E407E9" w:rsidRDefault="001F7BE4" w:rsidP="001F7BE4">
            <w:pPr>
              <w:tabs>
                <w:tab w:val="left" w:pos="-1440"/>
                <w:tab w:val="left" w:pos="-720"/>
              </w:tabs>
              <w:rPr>
                <w:sz w:val="20"/>
                <w:szCs w:val="20"/>
                <w:lang w:val="en-US"/>
              </w:rPr>
            </w:pPr>
          </w:p>
          <w:p w:rsidR="001F7BE4" w:rsidRPr="00E407E9" w:rsidRDefault="00C305D9" w:rsidP="001F7BE4">
            <w:pPr>
              <w:tabs>
                <w:tab w:val="left" w:pos="-1440"/>
                <w:tab w:val="left" w:pos="-720"/>
              </w:tabs>
              <w:rPr>
                <w:b/>
                <w:sz w:val="20"/>
                <w:szCs w:val="20"/>
                <w:lang w:val="en-US"/>
              </w:rPr>
            </w:pPr>
            <w:r w:rsidRPr="00E407E9">
              <w:rPr>
                <w:b/>
                <w:sz w:val="20"/>
                <w:szCs w:val="20"/>
                <w:lang w:val="en-US"/>
              </w:rPr>
              <w:t xml:space="preserve">Canada Revenue Agency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305D9" w:rsidRPr="00E407E9">
              <w:rPr>
                <w:sz w:val="20"/>
                <w:szCs w:val="20"/>
                <w:lang w:val="en-US"/>
              </w:rPr>
              <w:t>Vujnovic, Maria</w:t>
            </w:r>
          </w:p>
          <w:p w:rsidR="001F7BE4" w:rsidRPr="00E407E9" w:rsidRDefault="001F7BE4" w:rsidP="001F7BE4">
            <w:pPr>
              <w:tabs>
                <w:tab w:val="left" w:pos="-1440"/>
                <w:tab w:val="left" w:pos="-720"/>
              </w:tabs>
              <w:rPr>
                <w:sz w:val="20"/>
                <w:szCs w:val="20"/>
              </w:rPr>
            </w:pPr>
            <w:r w:rsidRPr="00E407E9">
              <w:rPr>
                <w:sz w:val="20"/>
                <w:szCs w:val="20"/>
                <w:lang w:val="en-US"/>
              </w:rPr>
              <w:tab/>
            </w:r>
            <w:r w:rsidR="00C305D9" w:rsidRPr="00E407E9">
              <w:rPr>
                <w:sz w:val="20"/>
                <w:szCs w:val="20"/>
              </w:rPr>
              <w:t>Attorney General of Canada</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C305D9" w:rsidRPr="00E407E9">
              <w:rPr>
                <w:sz w:val="20"/>
                <w:szCs w:val="20"/>
              </w:rPr>
              <w:t>December</w:t>
            </w:r>
            <w:r w:rsidRPr="00E407E9">
              <w:rPr>
                <w:sz w:val="20"/>
                <w:szCs w:val="20"/>
              </w:rPr>
              <w:t xml:space="preserve"> </w:t>
            </w:r>
            <w:r w:rsidR="00C305D9"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6"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C305D9" w:rsidP="001F7BE4">
            <w:pPr>
              <w:rPr>
                <w:sz w:val="20"/>
                <w:szCs w:val="20"/>
                <w:lang w:val="en-US"/>
              </w:rPr>
            </w:pPr>
            <w:r w:rsidRPr="00E407E9">
              <w:rPr>
                <w:b/>
                <w:sz w:val="20"/>
                <w:szCs w:val="20"/>
                <w:lang w:val="en-US"/>
              </w:rPr>
              <w:t>Timothy E. Leahy</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305D9" w:rsidRPr="00E407E9">
              <w:rPr>
                <w:sz w:val="20"/>
                <w:szCs w:val="20"/>
                <w:lang w:val="en-US"/>
              </w:rPr>
              <w:t>Dillon, Moira</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305D9" w:rsidRPr="00E407E9">
              <w:rPr>
                <w:sz w:val="20"/>
                <w:szCs w:val="20"/>
                <w:lang w:val="en-US"/>
              </w:rPr>
              <w:t>Supreme Law Group</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C305D9" w:rsidRPr="00E407E9">
              <w:rPr>
                <w:sz w:val="20"/>
                <w:szCs w:val="20"/>
                <w:lang w:val="en-US"/>
              </w:rPr>
              <w:t>73</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C305D9" w:rsidP="001F7BE4">
            <w:pPr>
              <w:tabs>
                <w:tab w:val="left" w:pos="-1440"/>
                <w:tab w:val="left" w:pos="-720"/>
              </w:tabs>
              <w:rPr>
                <w:b/>
                <w:sz w:val="20"/>
                <w:szCs w:val="20"/>
                <w:lang w:val="en-US"/>
              </w:rPr>
            </w:pPr>
            <w:r w:rsidRPr="00E407E9">
              <w:rPr>
                <w:b/>
                <w:sz w:val="20"/>
                <w:szCs w:val="20"/>
                <w:lang w:val="en-US"/>
              </w:rPr>
              <w:t xml:space="preserve">Minister of Citizenship and Immigration </w:t>
            </w:r>
            <w:r w:rsidR="001F7BE4" w:rsidRPr="00E407E9">
              <w:rPr>
                <w:b/>
                <w:sz w:val="20"/>
                <w:szCs w:val="20"/>
                <w:lang w:val="en-US"/>
              </w:rPr>
              <w:t>(</w:t>
            </w:r>
            <w:r w:rsidRPr="00E407E9">
              <w:rPr>
                <w:b/>
                <w:sz w:val="20"/>
                <w:szCs w:val="20"/>
                <w:lang w:val="en-US"/>
              </w:rPr>
              <w:t>F.C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C305D9" w:rsidRPr="00E407E9">
              <w:rPr>
                <w:sz w:val="20"/>
                <w:szCs w:val="20"/>
                <w:lang w:val="en-US"/>
              </w:rPr>
              <w:t>Loncar, John</w:t>
            </w:r>
          </w:p>
          <w:p w:rsidR="001F7BE4" w:rsidRPr="00E407E9" w:rsidRDefault="001F7BE4" w:rsidP="001F7BE4">
            <w:pPr>
              <w:tabs>
                <w:tab w:val="left" w:pos="-1440"/>
                <w:tab w:val="left" w:pos="-720"/>
              </w:tabs>
              <w:rPr>
                <w:sz w:val="20"/>
                <w:szCs w:val="20"/>
              </w:rPr>
            </w:pPr>
            <w:r w:rsidRPr="00E407E9">
              <w:rPr>
                <w:sz w:val="20"/>
                <w:szCs w:val="20"/>
                <w:lang w:val="en-US"/>
              </w:rPr>
              <w:tab/>
            </w:r>
            <w:r w:rsidR="00C305D9" w:rsidRPr="00E407E9">
              <w:rPr>
                <w:sz w:val="20"/>
                <w:szCs w:val="20"/>
              </w:rPr>
              <w:t>Department of Justice</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C305D9" w:rsidRPr="00E407E9">
              <w:rPr>
                <w:sz w:val="20"/>
                <w:szCs w:val="20"/>
              </w:rPr>
              <w:t>December</w:t>
            </w:r>
            <w:r w:rsidRPr="00E407E9">
              <w:rPr>
                <w:sz w:val="20"/>
                <w:szCs w:val="20"/>
              </w:rPr>
              <w:t xml:space="preserve"> </w:t>
            </w:r>
            <w:r w:rsidR="00C305D9"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C305D9" w:rsidRPr="00E407E9" w:rsidRDefault="00C305D9"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A34E3E" w:rsidP="001F7BE4">
            <w:pPr>
              <w:rPr>
                <w:sz w:val="20"/>
                <w:szCs w:val="20"/>
                <w:lang w:val="en-US"/>
              </w:rPr>
            </w:pPr>
            <w:r w:rsidRPr="00E407E9">
              <w:rPr>
                <w:b/>
                <w:sz w:val="20"/>
                <w:szCs w:val="20"/>
                <w:lang w:val="en-US"/>
              </w:rPr>
              <w:t>Swat Emeraldmine and Marketing Inc., et al.</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4E3E" w:rsidRPr="00E407E9">
              <w:rPr>
                <w:sz w:val="20"/>
                <w:szCs w:val="20"/>
                <w:lang w:val="en-US"/>
              </w:rPr>
              <w:t>Khan, Muhammad Aslam</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4E3E" w:rsidRPr="00E407E9">
              <w:rPr>
                <w:sz w:val="20"/>
                <w:szCs w:val="20"/>
                <w:lang w:val="en-US"/>
              </w:rPr>
              <w:t>MAK Law Office</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A34E3E" w:rsidRPr="00E407E9">
              <w:rPr>
                <w:sz w:val="20"/>
                <w:szCs w:val="20"/>
                <w:lang w:val="en-US"/>
              </w:rPr>
              <w:t>75</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34E3E" w:rsidP="001F7BE4">
            <w:pPr>
              <w:tabs>
                <w:tab w:val="left" w:pos="-1440"/>
                <w:tab w:val="left" w:pos="-720"/>
              </w:tabs>
              <w:rPr>
                <w:b/>
                <w:sz w:val="20"/>
                <w:szCs w:val="20"/>
                <w:lang w:val="en-US"/>
              </w:rPr>
            </w:pPr>
            <w:r w:rsidRPr="00E407E9">
              <w:rPr>
                <w:b/>
                <w:sz w:val="20"/>
                <w:szCs w:val="20"/>
                <w:lang w:val="en-US"/>
              </w:rPr>
              <w:t xml:space="preserve">Surinder Chaba a.k.a Sam Chaba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4E3E" w:rsidRPr="00E407E9">
              <w:rPr>
                <w:sz w:val="20"/>
                <w:szCs w:val="20"/>
                <w:lang w:val="en-US"/>
              </w:rPr>
              <w:t>Parker, Richard H.</w:t>
            </w:r>
          </w:p>
          <w:p w:rsidR="001F7BE4" w:rsidRPr="00E407E9" w:rsidRDefault="001F7BE4" w:rsidP="001F7BE4">
            <w:pPr>
              <w:tabs>
                <w:tab w:val="left" w:pos="-1440"/>
                <w:tab w:val="left" w:pos="-720"/>
              </w:tabs>
              <w:rPr>
                <w:sz w:val="20"/>
                <w:szCs w:val="20"/>
              </w:rPr>
            </w:pPr>
            <w:r w:rsidRPr="00E407E9">
              <w:rPr>
                <w:sz w:val="20"/>
                <w:szCs w:val="20"/>
                <w:lang w:val="en-US"/>
              </w:rPr>
              <w:tab/>
            </w:r>
            <w:r w:rsidR="00A34E3E" w:rsidRPr="00E407E9">
              <w:rPr>
                <w:sz w:val="20"/>
                <w:szCs w:val="20"/>
              </w:rPr>
              <w:t>Coutts Crane</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34E3E" w:rsidRPr="00E407E9">
              <w:rPr>
                <w:sz w:val="20"/>
                <w:szCs w:val="20"/>
              </w:rPr>
              <w:t>December</w:t>
            </w:r>
            <w:r w:rsidRPr="00E407E9">
              <w:rPr>
                <w:sz w:val="20"/>
                <w:szCs w:val="20"/>
              </w:rPr>
              <w:t xml:space="preserve"> </w:t>
            </w:r>
            <w:r w:rsidR="00A34E3E"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8"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605C70" w:rsidP="001F7BE4">
            <w:pPr>
              <w:rPr>
                <w:sz w:val="20"/>
                <w:szCs w:val="20"/>
                <w:lang w:val="en-US"/>
              </w:rPr>
            </w:pPr>
            <w:r w:rsidRPr="00E407E9">
              <w:rPr>
                <w:b/>
                <w:sz w:val="20"/>
                <w:szCs w:val="20"/>
                <w:lang w:val="en-US"/>
              </w:rPr>
              <w:t>Corey Leonard Smelie</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605C70" w:rsidRPr="00E407E9">
              <w:rPr>
                <w:sz w:val="20"/>
                <w:szCs w:val="20"/>
                <w:lang w:val="en-US"/>
              </w:rPr>
              <w:t>Lockyer, James</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605C70" w:rsidRPr="00E407E9">
              <w:rPr>
                <w:sz w:val="20"/>
                <w:szCs w:val="20"/>
                <w:lang w:val="en-US"/>
              </w:rPr>
              <w:t>Lockyer Campbell Posner</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605C70" w:rsidRPr="00E407E9">
              <w:rPr>
                <w:sz w:val="20"/>
                <w:szCs w:val="20"/>
                <w:lang w:val="en-US"/>
              </w:rPr>
              <w:t>76</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605C70" w:rsidP="001F7BE4">
            <w:pPr>
              <w:tabs>
                <w:tab w:val="left" w:pos="-1440"/>
                <w:tab w:val="left" w:pos="-720"/>
              </w:tabs>
              <w:rPr>
                <w:b/>
                <w:sz w:val="20"/>
                <w:szCs w:val="20"/>
                <w:lang w:val="en-US"/>
              </w:rPr>
            </w:pPr>
            <w:r w:rsidRPr="00E407E9">
              <w:rPr>
                <w:b/>
                <w:sz w:val="20"/>
                <w:szCs w:val="20"/>
                <w:lang w:val="en-US"/>
              </w:rPr>
              <w:t xml:space="preserve">Her Majesty the Queen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605C70" w:rsidRPr="00E407E9">
              <w:rPr>
                <w:sz w:val="20"/>
                <w:szCs w:val="20"/>
                <w:lang w:val="en-US"/>
              </w:rPr>
              <w:t>Bartlett-Hughes, Christine</w:t>
            </w:r>
          </w:p>
          <w:p w:rsidR="001F7BE4" w:rsidRPr="00E407E9" w:rsidRDefault="001F7BE4" w:rsidP="001F7BE4">
            <w:pPr>
              <w:tabs>
                <w:tab w:val="left" w:pos="-1440"/>
                <w:tab w:val="left" w:pos="-720"/>
              </w:tabs>
              <w:rPr>
                <w:sz w:val="20"/>
                <w:szCs w:val="20"/>
              </w:rPr>
            </w:pPr>
            <w:r w:rsidRPr="00E407E9">
              <w:rPr>
                <w:sz w:val="20"/>
                <w:szCs w:val="20"/>
                <w:lang w:val="en-US"/>
              </w:rPr>
              <w:tab/>
            </w:r>
            <w:r w:rsidR="00605C70" w:rsidRPr="00E407E9">
              <w:rPr>
                <w:sz w:val="20"/>
                <w:szCs w:val="20"/>
              </w:rPr>
              <w:t>Attorney General of Ontario</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605C70" w:rsidRPr="00E407E9">
              <w:rPr>
                <w:sz w:val="20"/>
                <w:szCs w:val="20"/>
              </w:rPr>
              <w:t>December</w:t>
            </w:r>
            <w:r w:rsidRPr="00E407E9">
              <w:rPr>
                <w:sz w:val="20"/>
                <w:szCs w:val="20"/>
              </w:rPr>
              <w:t xml:space="preserve"> </w:t>
            </w:r>
            <w:r w:rsidR="00605C70"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605C70" w:rsidP="001F7BE4">
            <w:pPr>
              <w:rPr>
                <w:sz w:val="20"/>
                <w:szCs w:val="20"/>
                <w:lang w:val="fr-CA"/>
              </w:rPr>
            </w:pPr>
            <w:r w:rsidRPr="00E407E9">
              <w:rPr>
                <w:b/>
                <w:sz w:val="20"/>
                <w:szCs w:val="20"/>
                <w:lang w:val="fr-CA"/>
              </w:rPr>
              <w:t>Jermaine Gager</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605C70" w:rsidRPr="00E407E9">
              <w:rPr>
                <w:sz w:val="20"/>
                <w:szCs w:val="20"/>
                <w:lang w:val="fr-CA"/>
              </w:rPr>
              <w:t>Presser, Jill R.</w:t>
            </w:r>
          </w:p>
          <w:p w:rsidR="001F7BE4" w:rsidRPr="00E407E9" w:rsidRDefault="001F7BE4" w:rsidP="001F7BE4">
            <w:pPr>
              <w:tabs>
                <w:tab w:val="left" w:pos="-1440"/>
                <w:tab w:val="left" w:pos="-720"/>
              </w:tabs>
              <w:rPr>
                <w:sz w:val="20"/>
                <w:szCs w:val="20"/>
                <w:lang w:val="en-US"/>
              </w:rPr>
            </w:pPr>
            <w:r w:rsidRPr="00E407E9">
              <w:rPr>
                <w:sz w:val="20"/>
                <w:szCs w:val="20"/>
                <w:lang w:val="fr-CA"/>
              </w:rPr>
              <w:tab/>
            </w:r>
            <w:r w:rsidR="00605C70" w:rsidRPr="00E407E9">
              <w:rPr>
                <w:sz w:val="20"/>
                <w:szCs w:val="20"/>
                <w:lang w:val="en-US"/>
              </w:rPr>
              <w:t>Presser Barristers</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605C70" w:rsidRPr="00E407E9">
              <w:rPr>
                <w:sz w:val="20"/>
                <w:szCs w:val="20"/>
                <w:lang w:val="en-US"/>
              </w:rPr>
              <w:t>77</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605C70" w:rsidP="001F7BE4">
            <w:pPr>
              <w:tabs>
                <w:tab w:val="left" w:pos="-1440"/>
                <w:tab w:val="left" w:pos="-720"/>
              </w:tabs>
              <w:rPr>
                <w:b/>
                <w:sz w:val="20"/>
                <w:szCs w:val="20"/>
                <w:lang w:val="en-US"/>
              </w:rPr>
            </w:pPr>
            <w:r w:rsidRPr="00E407E9">
              <w:rPr>
                <w:b/>
                <w:sz w:val="20"/>
                <w:szCs w:val="20"/>
                <w:lang w:val="en-US"/>
              </w:rPr>
              <w:t>Her Majesty the Queen</w:t>
            </w:r>
            <w:r w:rsidR="001F7BE4" w:rsidRPr="00E407E9">
              <w:rPr>
                <w:b/>
                <w:sz w:val="20"/>
                <w:szCs w:val="20"/>
                <w:lang w:val="en-US"/>
              </w:rPr>
              <w:t xml:space="preserve"> (</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605C70" w:rsidRPr="00E407E9">
              <w:rPr>
                <w:sz w:val="20"/>
                <w:szCs w:val="20"/>
                <w:lang w:val="en-US"/>
              </w:rPr>
              <w:t>Bartlett-Hughes, Christine</w:t>
            </w:r>
          </w:p>
          <w:p w:rsidR="001F7BE4" w:rsidRPr="00E407E9" w:rsidRDefault="001F7BE4" w:rsidP="001F7BE4">
            <w:pPr>
              <w:tabs>
                <w:tab w:val="left" w:pos="-1440"/>
                <w:tab w:val="left" w:pos="-720"/>
              </w:tabs>
              <w:rPr>
                <w:sz w:val="20"/>
                <w:szCs w:val="20"/>
              </w:rPr>
            </w:pPr>
            <w:r w:rsidRPr="00E407E9">
              <w:rPr>
                <w:sz w:val="20"/>
                <w:szCs w:val="20"/>
                <w:lang w:val="en-US"/>
              </w:rPr>
              <w:tab/>
            </w:r>
            <w:r w:rsidR="00605C70" w:rsidRPr="00E407E9">
              <w:rPr>
                <w:sz w:val="20"/>
                <w:szCs w:val="20"/>
              </w:rPr>
              <w:t>Attorney General of Ontario</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605C70" w:rsidRPr="00E407E9">
              <w:rPr>
                <w:sz w:val="20"/>
                <w:szCs w:val="20"/>
              </w:rPr>
              <w:t>December</w:t>
            </w:r>
            <w:r w:rsidRPr="00E407E9">
              <w:rPr>
                <w:sz w:val="20"/>
                <w:szCs w:val="20"/>
              </w:rPr>
              <w:t xml:space="preserve"> </w:t>
            </w:r>
            <w:r w:rsidR="00605C70"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0"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385BCE" w:rsidP="001F7BE4">
            <w:pPr>
              <w:rPr>
                <w:sz w:val="20"/>
                <w:szCs w:val="20"/>
                <w:lang w:val="en-US"/>
              </w:rPr>
            </w:pPr>
            <w:r w:rsidRPr="00E407E9">
              <w:rPr>
                <w:b/>
                <w:sz w:val="20"/>
                <w:szCs w:val="20"/>
                <w:lang w:val="en-US"/>
              </w:rPr>
              <w:t>Cody Boast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385BCE" w:rsidRPr="00E407E9">
              <w:rPr>
                <w:sz w:val="20"/>
                <w:szCs w:val="20"/>
                <w:lang w:val="en-US"/>
              </w:rPr>
              <w:t>Cody Boast</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385BCE" w:rsidRPr="00E407E9">
              <w:rPr>
                <w:sz w:val="20"/>
                <w:szCs w:val="20"/>
                <w:lang w:val="en-US"/>
              </w:rPr>
              <w:t>78</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385BCE" w:rsidP="001F7BE4">
            <w:pPr>
              <w:tabs>
                <w:tab w:val="left" w:pos="-1440"/>
                <w:tab w:val="left" w:pos="-720"/>
              </w:tabs>
              <w:rPr>
                <w:b/>
                <w:sz w:val="20"/>
                <w:szCs w:val="20"/>
                <w:lang w:val="en-US"/>
              </w:rPr>
            </w:pPr>
            <w:r w:rsidRPr="00E407E9">
              <w:rPr>
                <w:b/>
                <w:sz w:val="20"/>
                <w:szCs w:val="20"/>
                <w:lang w:val="en-US"/>
              </w:rPr>
              <w:t xml:space="preserve">Ministry of the Attorney General of Ontario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385BCE" w:rsidRPr="00E407E9">
              <w:rPr>
                <w:sz w:val="20"/>
                <w:szCs w:val="20"/>
                <w:lang w:val="en-US"/>
              </w:rPr>
              <w:t>Bolton, Lorna</w:t>
            </w:r>
          </w:p>
          <w:p w:rsidR="001F7BE4" w:rsidRPr="00E407E9" w:rsidRDefault="001F7BE4" w:rsidP="001F7BE4">
            <w:pPr>
              <w:tabs>
                <w:tab w:val="left" w:pos="-1440"/>
                <w:tab w:val="left" w:pos="-720"/>
              </w:tabs>
              <w:rPr>
                <w:sz w:val="20"/>
                <w:szCs w:val="20"/>
              </w:rPr>
            </w:pPr>
            <w:r w:rsidRPr="00E407E9">
              <w:rPr>
                <w:sz w:val="20"/>
                <w:szCs w:val="20"/>
                <w:lang w:val="en-US"/>
              </w:rPr>
              <w:tab/>
            </w:r>
            <w:r w:rsidR="00385BCE" w:rsidRPr="00E407E9">
              <w:rPr>
                <w:sz w:val="20"/>
                <w:szCs w:val="20"/>
              </w:rPr>
              <w:t>Attorney General of Ontario</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385BCE" w:rsidRPr="00E407E9">
              <w:rPr>
                <w:sz w:val="20"/>
                <w:szCs w:val="20"/>
              </w:rPr>
              <w:t>December</w:t>
            </w:r>
            <w:r w:rsidRPr="00E407E9">
              <w:rPr>
                <w:sz w:val="20"/>
                <w:szCs w:val="20"/>
              </w:rPr>
              <w:t xml:space="preserve"> </w:t>
            </w:r>
            <w:r w:rsidR="00385BCE"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385BCE" w:rsidRPr="00E407E9" w:rsidRDefault="00385BCE"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385BCE" w:rsidP="001F7BE4">
            <w:pPr>
              <w:rPr>
                <w:sz w:val="20"/>
                <w:szCs w:val="20"/>
                <w:lang w:val="en-US"/>
              </w:rPr>
            </w:pPr>
            <w:r w:rsidRPr="00E407E9">
              <w:rPr>
                <w:b/>
                <w:sz w:val="20"/>
                <w:szCs w:val="20"/>
                <w:lang w:val="en-US"/>
              </w:rPr>
              <w:t>James Andrew Beaver</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385BCE" w:rsidRPr="00E407E9">
              <w:rPr>
                <w:sz w:val="20"/>
                <w:szCs w:val="20"/>
                <w:lang w:val="en-US"/>
              </w:rPr>
              <w:t>Sitar, Kelsey</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385BCE" w:rsidRPr="00E407E9">
              <w:rPr>
                <w:sz w:val="20"/>
                <w:szCs w:val="20"/>
                <w:lang w:val="en-US"/>
              </w:rPr>
              <w:t>Sitar &amp; Milczarek</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385BCE" w:rsidRPr="00E407E9">
              <w:rPr>
                <w:sz w:val="20"/>
                <w:szCs w:val="20"/>
                <w:lang w:val="en-US"/>
              </w:rPr>
              <w:t>80</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385BCE" w:rsidP="001F7BE4">
            <w:pPr>
              <w:tabs>
                <w:tab w:val="left" w:pos="-1440"/>
                <w:tab w:val="left" w:pos="-720"/>
              </w:tabs>
              <w:rPr>
                <w:b/>
                <w:sz w:val="20"/>
                <w:szCs w:val="20"/>
                <w:lang w:val="en-US"/>
              </w:rPr>
            </w:pPr>
            <w:r w:rsidRPr="00E407E9">
              <w:rPr>
                <w:b/>
                <w:sz w:val="20"/>
                <w:szCs w:val="20"/>
                <w:lang w:val="en-US"/>
              </w:rPr>
              <w:t xml:space="preserve">Her Majesty the Queen </w:t>
            </w:r>
            <w:r w:rsidR="001F7BE4" w:rsidRPr="00E407E9">
              <w:rPr>
                <w:b/>
                <w:sz w:val="20"/>
                <w:szCs w:val="20"/>
                <w:lang w:val="en-US"/>
              </w:rPr>
              <w:t>(</w:t>
            </w:r>
            <w:r w:rsidRPr="00E407E9">
              <w:rPr>
                <w:b/>
                <w:sz w:val="20"/>
                <w:szCs w:val="20"/>
                <w:lang w:val="en-US"/>
              </w:rPr>
              <w:t>Alta</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385BCE" w:rsidRPr="00E407E9">
              <w:rPr>
                <w:sz w:val="20"/>
                <w:szCs w:val="20"/>
                <w:lang w:val="en-US"/>
              </w:rPr>
              <w:t>Barg, Andrew</w:t>
            </w:r>
          </w:p>
          <w:p w:rsidR="001F7BE4" w:rsidRPr="00E407E9" w:rsidRDefault="001F7BE4" w:rsidP="001F7BE4">
            <w:pPr>
              <w:tabs>
                <w:tab w:val="left" w:pos="-1440"/>
                <w:tab w:val="left" w:pos="-720"/>
              </w:tabs>
              <w:rPr>
                <w:sz w:val="20"/>
                <w:szCs w:val="20"/>
              </w:rPr>
            </w:pPr>
            <w:r w:rsidRPr="00E407E9">
              <w:rPr>
                <w:sz w:val="20"/>
                <w:szCs w:val="20"/>
                <w:lang w:val="en-US"/>
              </w:rPr>
              <w:tab/>
            </w:r>
            <w:r w:rsidR="00385BCE" w:rsidRPr="00E407E9">
              <w:rPr>
                <w:sz w:val="20"/>
                <w:szCs w:val="20"/>
              </w:rPr>
              <w:t>Justice and Solicitor General</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385BCE" w:rsidRPr="00E407E9">
              <w:rPr>
                <w:sz w:val="20"/>
                <w:szCs w:val="20"/>
              </w:rPr>
              <w:t>December</w:t>
            </w:r>
            <w:r w:rsidRPr="00E407E9">
              <w:rPr>
                <w:sz w:val="20"/>
                <w:szCs w:val="20"/>
              </w:rPr>
              <w:t xml:space="preserve"> </w:t>
            </w:r>
            <w:r w:rsidR="00385BCE"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2"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016EDD" w:rsidP="001F7BE4">
            <w:pPr>
              <w:rPr>
                <w:sz w:val="20"/>
                <w:szCs w:val="20"/>
                <w:lang w:val="en-US"/>
              </w:rPr>
            </w:pPr>
            <w:r w:rsidRPr="00E407E9">
              <w:rPr>
                <w:b/>
                <w:sz w:val="20"/>
                <w:szCs w:val="20"/>
                <w:lang w:val="en-US"/>
              </w:rPr>
              <w:lastRenderedPageBreak/>
              <w:t>Brian John Lambert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016EDD" w:rsidRPr="00E407E9">
              <w:rPr>
                <w:sz w:val="20"/>
                <w:szCs w:val="20"/>
                <w:lang w:val="en-US"/>
              </w:rPr>
              <w:t>Ruttan, Jennifer</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016EDD" w:rsidRPr="00E407E9">
              <w:rPr>
                <w:sz w:val="20"/>
                <w:szCs w:val="20"/>
                <w:lang w:val="en-US"/>
              </w:rPr>
              <w:t>Ruttan Bates</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016EDD" w:rsidRPr="00E407E9">
              <w:rPr>
                <w:sz w:val="20"/>
                <w:szCs w:val="20"/>
                <w:lang w:val="en-US"/>
              </w:rPr>
              <w:t>8</w:t>
            </w:r>
            <w:r w:rsidRPr="00E407E9">
              <w:rPr>
                <w:sz w:val="20"/>
                <w:szCs w:val="20"/>
                <w:lang w:val="en-US"/>
              </w:rPr>
              <w:t>1)</w:t>
            </w:r>
          </w:p>
          <w:p w:rsidR="001F7BE4" w:rsidRPr="00E407E9" w:rsidRDefault="001F7BE4" w:rsidP="001F7BE4">
            <w:pPr>
              <w:tabs>
                <w:tab w:val="left" w:pos="-1440"/>
                <w:tab w:val="left" w:pos="-720"/>
              </w:tabs>
              <w:rPr>
                <w:sz w:val="20"/>
                <w:szCs w:val="20"/>
                <w:lang w:val="en-US"/>
              </w:rPr>
            </w:pPr>
          </w:p>
          <w:p w:rsidR="001F7BE4" w:rsidRPr="00E407E9" w:rsidRDefault="00016EDD" w:rsidP="001F7BE4">
            <w:pPr>
              <w:tabs>
                <w:tab w:val="left" w:pos="-1440"/>
                <w:tab w:val="left" w:pos="-720"/>
              </w:tabs>
              <w:rPr>
                <w:b/>
                <w:sz w:val="20"/>
                <w:szCs w:val="20"/>
                <w:lang w:val="en-US"/>
              </w:rPr>
            </w:pPr>
            <w:r w:rsidRPr="00E407E9">
              <w:rPr>
                <w:b/>
                <w:sz w:val="20"/>
                <w:szCs w:val="20"/>
                <w:lang w:val="en-US"/>
              </w:rPr>
              <w:t>Her Majesty the Queen</w:t>
            </w:r>
            <w:r w:rsidR="001F7BE4" w:rsidRPr="00E407E9">
              <w:rPr>
                <w:b/>
                <w:sz w:val="20"/>
                <w:szCs w:val="20"/>
                <w:lang w:val="en-US"/>
              </w:rPr>
              <w:t xml:space="preserve"> (</w:t>
            </w:r>
            <w:r w:rsidRPr="00E407E9">
              <w:rPr>
                <w:b/>
                <w:sz w:val="20"/>
                <w:szCs w:val="20"/>
                <w:lang w:val="en-US"/>
              </w:rPr>
              <w:t>Alta</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016EDD" w:rsidRPr="00E407E9">
              <w:rPr>
                <w:sz w:val="20"/>
                <w:szCs w:val="20"/>
                <w:lang w:val="en-US"/>
              </w:rPr>
              <w:t>Dhillon, Rajbir</w:t>
            </w:r>
          </w:p>
          <w:p w:rsidR="001F7BE4" w:rsidRPr="00E407E9" w:rsidRDefault="001F7BE4" w:rsidP="001F7BE4">
            <w:pPr>
              <w:tabs>
                <w:tab w:val="left" w:pos="-1440"/>
                <w:tab w:val="left" w:pos="-720"/>
              </w:tabs>
              <w:rPr>
                <w:sz w:val="20"/>
                <w:szCs w:val="20"/>
              </w:rPr>
            </w:pPr>
            <w:r w:rsidRPr="00E407E9">
              <w:rPr>
                <w:sz w:val="20"/>
                <w:szCs w:val="20"/>
                <w:lang w:val="en-US"/>
              </w:rPr>
              <w:tab/>
            </w:r>
            <w:r w:rsidR="00016EDD" w:rsidRPr="00E407E9">
              <w:rPr>
                <w:sz w:val="20"/>
                <w:szCs w:val="20"/>
              </w:rPr>
              <w:t>Justice and Solicitor General</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016EDD" w:rsidRPr="00E407E9">
              <w:rPr>
                <w:sz w:val="20"/>
                <w:szCs w:val="20"/>
              </w:rPr>
              <w:t>December</w:t>
            </w:r>
            <w:r w:rsidRPr="00E407E9">
              <w:rPr>
                <w:sz w:val="20"/>
                <w:szCs w:val="20"/>
              </w:rPr>
              <w:t xml:space="preserve"> </w:t>
            </w:r>
            <w:r w:rsidR="00016EDD"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016EDD" w:rsidP="001F7BE4">
            <w:pPr>
              <w:rPr>
                <w:sz w:val="20"/>
                <w:szCs w:val="20"/>
                <w:lang w:val="fr-CA"/>
              </w:rPr>
            </w:pPr>
            <w:r w:rsidRPr="00E407E9">
              <w:rPr>
                <w:b/>
                <w:sz w:val="20"/>
                <w:szCs w:val="20"/>
                <w:lang w:val="fr-CA"/>
              </w:rPr>
              <w:t>S.R.</w:t>
            </w:r>
          </w:p>
          <w:p w:rsidR="001F7BE4" w:rsidRPr="00E407E9" w:rsidRDefault="001F7BE4" w:rsidP="001F7BE4">
            <w:pPr>
              <w:tabs>
                <w:tab w:val="left" w:pos="-1440"/>
                <w:tab w:val="left" w:pos="-720"/>
              </w:tabs>
              <w:rPr>
                <w:sz w:val="20"/>
                <w:szCs w:val="20"/>
                <w:lang w:val="fr-CA"/>
              </w:rPr>
            </w:pPr>
            <w:r w:rsidRPr="00E407E9">
              <w:rPr>
                <w:sz w:val="20"/>
                <w:szCs w:val="20"/>
                <w:lang w:val="fr-CA"/>
              </w:rPr>
              <w:tab/>
            </w:r>
            <w:r w:rsidR="00016EDD" w:rsidRPr="00E407E9">
              <w:rPr>
                <w:sz w:val="20"/>
                <w:szCs w:val="20"/>
                <w:lang w:val="fr-CA"/>
              </w:rPr>
              <w:t>S.R.</w:t>
            </w:r>
          </w:p>
          <w:p w:rsidR="001F7BE4" w:rsidRPr="00E407E9" w:rsidRDefault="001F7BE4" w:rsidP="001F7BE4">
            <w:pPr>
              <w:tabs>
                <w:tab w:val="left" w:pos="-1440"/>
                <w:tab w:val="left" w:pos="-720"/>
              </w:tabs>
              <w:rPr>
                <w:sz w:val="20"/>
                <w:szCs w:val="20"/>
                <w:lang w:val="fr-CA"/>
              </w:rPr>
            </w:pPr>
          </w:p>
          <w:p w:rsidR="001F7BE4" w:rsidRPr="00E407E9" w:rsidRDefault="001F7BE4" w:rsidP="001F7BE4">
            <w:pPr>
              <w:tabs>
                <w:tab w:val="left" w:pos="-1440"/>
                <w:tab w:val="left" w:pos="-720"/>
              </w:tabs>
              <w:rPr>
                <w:sz w:val="20"/>
                <w:szCs w:val="20"/>
                <w:lang w:val="fr-CA"/>
              </w:rPr>
            </w:pPr>
            <w:r w:rsidRPr="00E407E9">
              <w:rPr>
                <w:sz w:val="20"/>
                <w:szCs w:val="20"/>
                <w:lang w:val="fr-CA"/>
              </w:rPr>
              <w:tab/>
              <w:t>v. (394</w:t>
            </w:r>
            <w:r w:rsidR="00016EDD" w:rsidRPr="00E407E9">
              <w:rPr>
                <w:sz w:val="20"/>
                <w:szCs w:val="20"/>
                <w:lang w:val="fr-CA"/>
              </w:rPr>
              <w:t>82</w:t>
            </w:r>
            <w:r w:rsidRPr="00E407E9">
              <w:rPr>
                <w:sz w:val="20"/>
                <w:szCs w:val="20"/>
                <w:lang w:val="fr-CA"/>
              </w:rPr>
              <w:t>)</w:t>
            </w:r>
          </w:p>
          <w:p w:rsidR="001F7BE4" w:rsidRPr="00E407E9" w:rsidRDefault="001F7BE4" w:rsidP="001F7BE4">
            <w:pPr>
              <w:tabs>
                <w:tab w:val="left" w:pos="-1440"/>
                <w:tab w:val="left" w:pos="-720"/>
              </w:tabs>
              <w:rPr>
                <w:sz w:val="20"/>
                <w:szCs w:val="20"/>
                <w:lang w:val="fr-CA"/>
              </w:rPr>
            </w:pPr>
          </w:p>
          <w:p w:rsidR="001F7BE4" w:rsidRPr="00E407E9" w:rsidRDefault="00016EDD" w:rsidP="001F7BE4">
            <w:pPr>
              <w:tabs>
                <w:tab w:val="left" w:pos="-1440"/>
                <w:tab w:val="left" w:pos="-720"/>
              </w:tabs>
              <w:rPr>
                <w:b/>
                <w:sz w:val="20"/>
                <w:szCs w:val="20"/>
                <w:lang w:val="fr-CA"/>
              </w:rPr>
            </w:pPr>
            <w:r w:rsidRPr="00E407E9">
              <w:rPr>
                <w:b/>
                <w:sz w:val="20"/>
                <w:szCs w:val="20"/>
                <w:lang w:val="fr-CA"/>
              </w:rPr>
              <w:t>C.M.</w:t>
            </w:r>
            <w:r w:rsidR="001F7BE4" w:rsidRPr="00E407E9">
              <w:rPr>
                <w:b/>
                <w:sz w:val="20"/>
                <w:szCs w:val="20"/>
                <w:lang w:val="fr-CA"/>
              </w:rPr>
              <w:t xml:space="preserve"> (</w:t>
            </w:r>
            <w:r w:rsidRPr="00E407E9">
              <w:rPr>
                <w:b/>
                <w:sz w:val="20"/>
                <w:szCs w:val="20"/>
                <w:lang w:val="fr-CA"/>
              </w:rPr>
              <w:t>Que</w:t>
            </w:r>
            <w:r w:rsidR="001F7BE4" w:rsidRPr="00E407E9">
              <w:rPr>
                <w:b/>
                <w:sz w:val="20"/>
                <w:szCs w:val="20"/>
                <w:lang w:val="fr-CA"/>
              </w:rPr>
              <w:t>.)</w:t>
            </w:r>
          </w:p>
          <w:p w:rsidR="001F7BE4" w:rsidRPr="00E407E9" w:rsidRDefault="001F7BE4" w:rsidP="001F7BE4">
            <w:pPr>
              <w:tabs>
                <w:tab w:val="left" w:pos="-1440"/>
                <w:tab w:val="left" w:pos="-720"/>
              </w:tabs>
              <w:rPr>
                <w:sz w:val="20"/>
                <w:szCs w:val="20"/>
                <w:lang w:val="en-US"/>
              </w:rPr>
            </w:pPr>
            <w:r w:rsidRPr="00E407E9">
              <w:rPr>
                <w:sz w:val="20"/>
                <w:szCs w:val="20"/>
                <w:lang w:val="fr-CA"/>
              </w:rPr>
              <w:tab/>
            </w:r>
            <w:r w:rsidR="00016EDD" w:rsidRPr="00E407E9">
              <w:rPr>
                <w:sz w:val="20"/>
                <w:szCs w:val="20"/>
                <w:lang w:val="en-US"/>
              </w:rPr>
              <w:t>Librati, Muriel</w:t>
            </w:r>
          </w:p>
          <w:p w:rsidR="001F7BE4" w:rsidRPr="00E407E9" w:rsidRDefault="001F7BE4" w:rsidP="001F7BE4">
            <w:pPr>
              <w:tabs>
                <w:tab w:val="left" w:pos="-1440"/>
                <w:tab w:val="left" w:pos="-720"/>
              </w:tabs>
              <w:rPr>
                <w:sz w:val="20"/>
                <w:szCs w:val="20"/>
              </w:rPr>
            </w:pPr>
            <w:r w:rsidRPr="00E407E9">
              <w:rPr>
                <w:sz w:val="20"/>
                <w:szCs w:val="20"/>
                <w:lang w:val="en-US"/>
              </w:rPr>
              <w:tab/>
            </w:r>
            <w:r w:rsidR="00016EDD" w:rsidRPr="00E407E9">
              <w:rPr>
                <w:sz w:val="20"/>
                <w:szCs w:val="20"/>
              </w:rPr>
              <w:t>Teitelbaum Librati</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016EDD" w:rsidRPr="00E407E9">
              <w:rPr>
                <w:sz w:val="20"/>
                <w:szCs w:val="20"/>
              </w:rPr>
              <w:t>December</w:t>
            </w:r>
            <w:r w:rsidRPr="00E407E9">
              <w:rPr>
                <w:sz w:val="20"/>
                <w:szCs w:val="20"/>
              </w:rPr>
              <w:t xml:space="preserve"> </w:t>
            </w:r>
            <w:r w:rsidR="00016EDD" w:rsidRPr="00E407E9">
              <w:rPr>
                <w:sz w:val="20"/>
                <w:szCs w:val="20"/>
              </w:rPr>
              <w:t>18</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4"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A3512B" w:rsidP="001F7BE4">
            <w:pPr>
              <w:rPr>
                <w:sz w:val="20"/>
                <w:szCs w:val="20"/>
                <w:lang w:val="en-US"/>
              </w:rPr>
            </w:pPr>
            <w:r w:rsidRPr="00E407E9">
              <w:rPr>
                <w:b/>
                <w:sz w:val="20"/>
                <w:szCs w:val="20"/>
                <w:lang w:val="en-US"/>
              </w:rPr>
              <w:t>Houston Thomas Engio</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512B" w:rsidRPr="00E407E9">
              <w:rPr>
                <w:sz w:val="20"/>
                <w:szCs w:val="20"/>
                <w:lang w:val="en-US"/>
              </w:rPr>
              <w:t>Houston Thomas Engio</w:t>
            </w:r>
          </w:p>
          <w:p w:rsidR="001F7BE4" w:rsidRPr="00E407E9" w:rsidRDefault="001F7BE4" w:rsidP="001F7BE4">
            <w:pPr>
              <w:tabs>
                <w:tab w:val="left" w:pos="-1440"/>
                <w:tab w:val="left" w:pos="-720"/>
              </w:tabs>
              <w:rPr>
                <w:sz w:val="20"/>
                <w:szCs w:val="20"/>
                <w:lang w:val="en-US"/>
              </w:rPr>
            </w:pPr>
          </w:p>
          <w:p w:rsidR="001F7BE4" w:rsidRPr="00E407E9" w:rsidRDefault="00A3512B" w:rsidP="001F7BE4">
            <w:pPr>
              <w:tabs>
                <w:tab w:val="left" w:pos="-1440"/>
                <w:tab w:val="left" w:pos="-720"/>
              </w:tabs>
              <w:rPr>
                <w:sz w:val="20"/>
                <w:szCs w:val="20"/>
                <w:lang w:val="en-US"/>
              </w:rPr>
            </w:pPr>
            <w:r w:rsidRPr="00E407E9">
              <w:rPr>
                <w:sz w:val="20"/>
                <w:szCs w:val="20"/>
                <w:lang w:val="en-US"/>
              </w:rPr>
              <w:tab/>
              <w:t>v. (3</w:t>
            </w:r>
            <w:r w:rsidR="001F7BE4" w:rsidRPr="00E407E9">
              <w:rPr>
                <w:sz w:val="20"/>
                <w:szCs w:val="20"/>
                <w:lang w:val="en-US"/>
              </w:rPr>
              <w:t>94</w:t>
            </w:r>
            <w:r w:rsidRPr="00E407E9">
              <w:rPr>
                <w:sz w:val="20"/>
                <w:szCs w:val="20"/>
                <w:lang w:val="en-US"/>
              </w:rPr>
              <w:t>85</w:t>
            </w:r>
            <w:r w:rsidR="001F7BE4"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3512B" w:rsidP="001F7BE4">
            <w:pPr>
              <w:tabs>
                <w:tab w:val="left" w:pos="-1440"/>
                <w:tab w:val="left" w:pos="-720"/>
              </w:tabs>
              <w:rPr>
                <w:b/>
                <w:sz w:val="20"/>
                <w:szCs w:val="20"/>
                <w:lang w:val="en-US"/>
              </w:rPr>
            </w:pPr>
            <w:r w:rsidRPr="00E407E9">
              <w:rPr>
                <w:b/>
                <w:sz w:val="20"/>
                <w:szCs w:val="20"/>
                <w:lang w:val="en-US"/>
              </w:rPr>
              <w:t xml:space="preserve">Neilas (799 College St) Inc., et al.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512B" w:rsidRPr="00E407E9">
              <w:rPr>
                <w:sz w:val="20"/>
                <w:szCs w:val="20"/>
                <w:lang w:val="en-US"/>
              </w:rPr>
              <w:t>St. Cyr, Mark A.</w:t>
            </w:r>
          </w:p>
          <w:p w:rsidR="001F7BE4" w:rsidRPr="00E407E9" w:rsidRDefault="001F7BE4" w:rsidP="001F7BE4">
            <w:pPr>
              <w:tabs>
                <w:tab w:val="left" w:pos="-1440"/>
                <w:tab w:val="left" w:pos="-720"/>
              </w:tabs>
              <w:rPr>
                <w:sz w:val="20"/>
                <w:szCs w:val="20"/>
              </w:rPr>
            </w:pPr>
            <w:r w:rsidRPr="00E407E9">
              <w:rPr>
                <w:sz w:val="20"/>
                <w:szCs w:val="20"/>
                <w:lang w:val="en-US"/>
              </w:rPr>
              <w:tab/>
            </w:r>
            <w:r w:rsidR="00A3512B" w:rsidRPr="00E407E9">
              <w:rPr>
                <w:sz w:val="20"/>
                <w:szCs w:val="20"/>
              </w:rPr>
              <w:t>Cassels Brock &amp; Blackwell LLP</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3512B" w:rsidRPr="00E407E9">
              <w:rPr>
                <w:sz w:val="20"/>
                <w:szCs w:val="20"/>
              </w:rPr>
              <w:t>December</w:t>
            </w:r>
            <w:r w:rsidRPr="00E407E9">
              <w:rPr>
                <w:sz w:val="20"/>
                <w:szCs w:val="20"/>
              </w:rPr>
              <w:t xml:space="preserve"> </w:t>
            </w:r>
            <w:r w:rsidR="00A3512B" w:rsidRPr="00E407E9">
              <w:rPr>
                <w:sz w:val="20"/>
                <w:szCs w:val="20"/>
              </w:rPr>
              <w:t>21</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A3512B" w:rsidP="001F7BE4">
            <w:pPr>
              <w:rPr>
                <w:sz w:val="20"/>
                <w:szCs w:val="20"/>
                <w:lang w:val="en-US"/>
              </w:rPr>
            </w:pPr>
            <w:r w:rsidRPr="00E407E9">
              <w:rPr>
                <w:b/>
                <w:sz w:val="20"/>
                <w:szCs w:val="20"/>
                <w:lang w:val="en-US"/>
              </w:rPr>
              <w:t>Bobbie Mann</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512B" w:rsidRPr="00E407E9">
              <w:rPr>
                <w:sz w:val="20"/>
                <w:szCs w:val="20"/>
                <w:lang w:val="en-US"/>
              </w:rPr>
              <w:t>Barnwell, Osborne G.</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512B" w:rsidRPr="00E407E9">
              <w:rPr>
                <w:sz w:val="20"/>
                <w:szCs w:val="20"/>
                <w:lang w:val="en-US"/>
              </w:rPr>
              <w:t>OGB Law</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A3512B" w:rsidRPr="00E407E9">
              <w:rPr>
                <w:sz w:val="20"/>
                <w:szCs w:val="20"/>
                <w:lang w:val="en-US"/>
              </w:rPr>
              <w:t>86</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3512B" w:rsidP="001F7BE4">
            <w:pPr>
              <w:tabs>
                <w:tab w:val="left" w:pos="-1440"/>
                <w:tab w:val="left" w:pos="-720"/>
              </w:tabs>
              <w:rPr>
                <w:b/>
                <w:sz w:val="20"/>
                <w:szCs w:val="20"/>
                <w:lang w:val="en-US"/>
              </w:rPr>
            </w:pPr>
            <w:r w:rsidRPr="00E407E9">
              <w:rPr>
                <w:b/>
                <w:sz w:val="20"/>
                <w:szCs w:val="20"/>
                <w:lang w:val="en-US"/>
              </w:rPr>
              <w:t xml:space="preserve">Her Majesty the Queen </w:t>
            </w:r>
            <w:r w:rsidR="001F7BE4" w:rsidRPr="00E407E9">
              <w:rPr>
                <w:b/>
                <w:sz w:val="20"/>
                <w:szCs w:val="20"/>
                <w:lang w:val="en-US"/>
              </w:rPr>
              <w:t>(</w:t>
            </w:r>
            <w:r w:rsidRPr="00E407E9">
              <w:rPr>
                <w:b/>
                <w:sz w:val="20"/>
                <w:szCs w:val="20"/>
                <w:lang w:val="en-US"/>
              </w:rPr>
              <w:t>F.C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3512B" w:rsidRPr="00E407E9">
              <w:rPr>
                <w:sz w:val="20"/>
                <w:szCs w:val="20"/>
                <w:lang w:val="en-US"/>
              </w:rPr>
              <w:t>Eccles, Chris</w:t>
            </w:r>
          </w:p>
          <w:p w:rsidR="001F7BE4" w:rsidRPr="00E407E9" w:rsidRDefault="001F7BE4" w:rsidP="001F7BE4">
            <w:pPr>
              <w:tabs>
                <w:tab w:val="left" w:pos="-1440"/>
                <w:tab w:val="left" w:pos="-720"/>
              </w:tabs>
              <w:rPr>
                <w:sz w:val="20"/>
                <w:szCs w:val="20"/>
              </w:rPr>
            </w:pPr>
            <w:r w:rsidRPr="00E407E9">
              <w:rPr>
                <w:sz w:val="20"/>
                <w:szCs w:val="20"/>
                <w:lang w:val="en-US"/>
              </w:rPr>
              <w:tab/>
            </w:r>
            <w:r w:rsidR="00A3512B" w:rsidRPr="00E407E9">
              <w:rPr>
                <w:sz w:val="20"/>
                <w:szCs w:val="20"/>
              </w:rPr>
              <w:t>Department of Justice</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3512B" w:rsidRPr="00E407E9">
              <w:rPr>
                <w:sz w:val="20"/>
                <w:szCs w:val="20"/>
              </w:rPr>
              <w:t>December 21</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6"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AA2D96" w:rsidP="001F7BE4">
            <w:pPr>
              <w:rPr>
                <w:sz w:val="20"/>
                <w:szCs w:val="20"/>
                <w:lang w:val="en-US"/>
              </w:rPr>
            </w:pPr>
            <w:r w:rsidRPr="00E407E9">
              <w:rPr>
                <w:b/>
                <w:sz w:val="20"/>
                <w:szCs w:val="20"/>
                <w:lang w:val="en-US"/>
              </w:rPr>
              <w:t>Labourers' International Union of North America, Local 183</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A2D96" w:rsidRPr="00E407E9">
              <w:rPr>
                <w:sz w:val="20"/>
                <w:szCs w:val="20"/>
                <w:lang w:val="en-US"/>
              </w:rPr>
              <w:t>Cavalluzzo, Paul J.J.</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A2D96" w:rsidRPr="00E407E9">
              <w:rPr>
                <w:sz w:val="20"/>
                <w:szCs w:val="20"/>
                <w:lang w:val="en-US"/>
              </w:rPr>
              <w:t>Cavalluzzo LLP</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fr-CA"/>
              </w:rPr>
            </w:pPr>
            <w:r w:rsidRPr="00E407E9">
              <w:rPr>
                <w:sz w:val="20"/>
                <w:szCs w:val="20"/>
                <w:lang w:val="en-US"/>
              </w:rPr>
              <w:tab/>
            </w:r>
            <w:r w:rsidRPr="00E407E9">
              <w:rPr>
                <w:sz w:val="20"/>
                <w:szCs w:val="20"/>
                <w:lang w:val="fr-CA"/>
              </w:rPr>
              <w:t>v. (394</w:t>
            </w:r>
            <w:r w:rsidR="00AA2D96" w:rsidRPr="00E407E9">
              <w:rPr>
                <w:sz w:val="20"/>
                <w:szCs w:val="20"/>
                <w:lang w:val="fr-CA"/>
              </w:rPr>
              <w:t>87</w:t>
            </w:r>
            <w:r w:rsidRPr="00E407E9">
              <w:rPr>
                <w:sz w:val="20"/>
                <w:szCs w:val="20"/>
                <w:lang w:val="fr-CA"/>
              </w:rPr>
              <w:t>)</w:t>
            </w:r>
          </w:p>
          <w:p w:rsidR="001F7BE4" w:rsidRPr="00E407E9" w:rsidRDefault="001F7BE4" w:rsidP="001F7BE4">
            <w:pPr>
              <w:tabs>
                <w:tab w:val="left" w:pos="-1440"/>
                <w:tab w:val="left" w:pos="-720"/>
              </w:tabs>
              <w:rPr>
                <w:sz w:val="20"/>
                <w:szCs w:val="20"/>
                <w:lang w:val="fr-CA"/>
              </w:rPr>
            </w:pPr>
          </w:p>
          <w:p w:rsidR="001F7BE4" w:rsidRPr="00E407E9" w:rsidRDefault="00AA2D96" w:rsidP="001F7BE4">
            <w:pPr>
              <w:tabs>
                <w:tab w:val="left" w:pos="-1440"/>
                <w:tab w:val="left" w:pos="-720"/>
              </w:tabs>
              <w:rPr>
                <w:b/>
                <w:sz w:val="20"/>
                <w:szCs w:val="20"/>
                <w:lang w:val="en-US"/>
              </w:rPr>
            </w:pPr>
            <w:r w:rsidRPr="00E407E9">
              <w:rPr>
                <w:b/>
                <w:sz w:val="20"/>
                <w:szCs w:val="20"/>
                <w:lang w:val="fr-CA"/>
              </w:rPr>
              <w:t xml:space="preserve">GDI Services (Canada) LP, et al.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A2D96" w:rsidRPr="00E407E9">
              <w:rPr>
                <w:sz w:val="20"/>
                <w:szCs w:val="20"/>
                <w:lang w:val="en-US"/>
              </w:rPr>
              <w:t>Griffiths, Gerald J.</w:t>
            </w:r>
          </w:p>
          <w:p w:rsidR="001F7BE4" w:rsidRPr="00E407E9" w:rsidRDefault="001F7BE4" w:rsidP="001F7BE4">
            <w:pPr>
              <w:tabs>
                <w:tab w:val="left" w:pos="-1440"/>
                <w:tab w:val="left" w:pos="-720"/>
              </w:tabs>
              <w:rPr>
                <w:sz w:val="20"/>
                <w:szCs w:val="20"/>
              </w:rPr>
            </w:pPr>
            <w:r w:rsidRPr="00E407E9">
              <w:rPr>
                <w:sz w:val="20"/>
                <w:szCs w:val="20"/>
                <w:lang w:val="en-US"/>
              </w:rPr>
              <w:tab/>
            </w:r>
            <w:r w:rsidR="00AA2D96" w:rsidRPr="00E407E9">
              <w:rPr>
                <w:sz w:val="20"/>
                <w:szCs w:val="20"/>
              </w:rPr>
              <w:t>Sherrard Kuzz LLP</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A2D96" w:rsidRPr="00E407E9">
              <w:rPr>
                <w:sz w:val="20"/>
                <w:szCs w:val="20"/>
              </w:rPr>
              <w:t>December</w:t>
            </w:r>
            <w:r w:rsidRPr="00E407E9">
              <w:rPr>
                <w:sz w:val="20"/>
                <w:szCs w:val="20"/>
              </w:rPr>
              <w:t xml:space="preserve"> </w:t>
            </w:r>
            <w:r w:rsidR="00AA2D96" w:rsidRPr="00E407E9">
              <w:rPr>
                <w:sz w:val="20"/>
                <w:szCs w:val="20"/>
              </w:rPr>
              <w:t>21</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AA2D96" w:rsidRPr="00E407E9" w:rsidRDefault="00AA2D96"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AA2D96" w:rsidP="001F7BE4">
            <w:pPr>
              <w:rPr>
                <w:sz w:val="20"/>
                <w:szCs w:val="20"/>
                <w:lang w:val="en-US"/>
              </w:rPr>
            </w:pPr>
            <w:r w:rsidRPr="00E407E9">
              <w:rPr>
                <w:b/>
                <w:sz w:val="20"/>
                <w:szCs w:val="20"/>
                <w:lang w:val="en-US"/>
              </w:rPr>
              <w:t>Balraj Shoan</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A2D96" w:rsidRPr="00E407E9">
              <w:rPr>
                <w:sz w:val="20"/>
                <w:szCs w:val="20"/>
                <w:lang w:val="en-US"/>
              </w:rPr>
              <w:t>Van Kralingen, Alex</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A2D96" w:rsidRPr="00E407E9">
              <w:rPr>
                <w:sz w:val="20"/>
                <w:szCs w:val="20"/>
                <w:lang w:val="en-US"/>
              </w:rPr>
              <w:t>Van Kralingen &amp; Keenberg LLP</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AA2D96" w:rsidRPr="00E407E9">
              <w:rPr>
                <w:sz w:val="20"/>
                <w:szCs w:val="20"/>
                <w:lang w:val="en-US"/>
              </w:rPr>
              <w:t>88</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AA2D96" w:rsidP="001F7BE4">
            <w:pPr>
              <w:tabs>
                <w:tab w:val="left" w:pos="-1440"/>
                <w:tab w:val="left" w:pos="-720"/>
              </w:tabs>
              <w:rPr>
                <w:b/>
                <w:sz w:val="20"/>
                <w:szCs w:val="20"/>
                <w:lang w:val="en-US"/>
              </w:rPr>
            </w:pPr>
            <w:r w:rsidRPr="00E407E9">
              <w:rPr>
                <w:b/>
                <w:sz w:val="20"/>
                <w:szCs w:val="20"/>
                <w:lang w:val="en-US"/>
              </w:rPr>
              <w:t>Attorney General of Canada</w:t>
            </w:r>
            <w:r w:rsidR="001F7BE4" w:rsidRPr="00E407E9">
              <w:rPr>
                <w:b/>
                <w:sz w:val="20"/>
                <w:szCs w:val="20"/>
                <w:lang w:val="en-US"/>
              </w:rPr>
              <w:t xml:space="preserve"> (</w:t>
            </w:r>
            <w:r w:rsidRPr="00E407E9">
              <w:rPr>
                <w:b/>
                <w:sz w:val="20"/>
                <w:szCs w:val="20"/>
                <w:lang w:val="en-US"/>
              </w:rPr>
              <w:t>F.C</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AA2D96" w:rsidRPr="00E407E9">
              <w:rPr>
                <w:sz w:val="20"/>
                <w:szCs w:val="20"/>
                <w:lang w:val="en-US"/>
              </w:rPr>
              <w:t>Bourke, Andrea</w:t>
            </w:r>
          </w:p>
          <w:p w:rsidR="001F7BE4" w:rsidRPr="00E407E9" w:rsidRDefault="001F7BE4" w:rsidP="001F7BE4">
            <w:pPr>
              <w:tabs>
                <w:tab w:val="left" w:pos="-1440"/>
                <w:tab w:val="left" w:pos="-720"/>
              </w:tabs>
              <w:rPr>
                <w:sz w:val="20"/>
                <w:szCs w:val="20"/>
              </w:rPr>
            </w:pPr>
            <w:r w:rsidRPr="00E407E9">
              <w:rPr>
                <w:sz w:val="20"/>
                <w:szCs w:val="20"/>
                <w:lang w:val="en-US"/>
              </w:rPr>
              <w:tab/>
            </w:r>
            <w:r w:rsidR="00AA2D96" w:rsidRPr="00E407E9">
              <w:rPr>
                <w:sz w:val="20"/>
                <w:szCs w:val="20"/>
              </w:rPr>
              <w:t>Attorney General of Canada</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AA2D96" w:rsidRPr="00E407E9">
              <w:rPr>
                <w:sz w:val="20"/>
                <w:szCs w:val="20"/>
              </w:rPr>
              <w:t>December</w:t>
            </w:r>
            <w:r w:rsidRPr="00E407E9">
              <w:rPr>
                <w:sz w:val="20"/>
                <w:szCs w:val="20"/>
              </w:rPr>
              <w:t xml:space="preserve"> </w:t>
            </w:r>
            <w:r w:rsidR="00AA2D96" w:rsidRPr="00E407E9">
              <w:rPr>
                <w:sz w:val="20"/>
                <w:szCs w:val="20"/>
              </w:rPr>
              <w:t>21</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8"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B05328" w:rsidP="001F7BE4">
            <w:pPr>
              <w:rPr>
                <w:sz w:val="20"/>
                <w:szCs w:val="20"/>
                <w:lang w:val="en-US"/>
              </w:rPr>
            </w:pPr>
            <w:r w:rsidRPr="00E407E9">
              <w:rPr>
                <w:b/>
                <w:sz w:val="20"/>
                <w:szCs w:val="20"/>
                <w:lang w:val="en-US"/>
              </w:rPr>
              <w:t>Gary Garrell</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B05328" w:rsidRPr="00E407E9">
              <w:rPr>
                <w:sz w:val="20"/>
                <w:szCs w:val="20"/>
                <w:lang w:val="en-US"/>
              </w:rPr>
              <w:t>Gary Garrell</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B05328" w:rsidRPr="00E407E9">
              <w:rPr>
                <w:sz w:val="20"/>
                <w:szCs w:val="20"/>
                <w:lang w:val="en-US"/>
              </w:rPr>
              <w:t>89</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B05328" w:rsidP="001F7BE4">
            <w:pPr>
              <w:tabs>
                <w:tab w:val="left" w:pos="-1440"/>
                <w:tab w:val="left" w:pos="-720"/>
              </w:tabs>
              <w:rPr>
                <w:b/>
                <w:sz w:val="20"/>
                <w:szCs w:val="20"/>
                <w:lang w:val="en-US"/>
              </w:rPr>
            </w:pPr>
            <w:r w:rsidRPr="00E407E9">
              <w:rPr>
                <w:b/>
                <w:sz w:val="20"/>
                <w:szCs w:val="20"/>
                <w:lang w:val="en-US"/>
              </w:rPr>
              <w:t xml:space="preserve">Her Majesty the Queen </w:t>
            </w:r>
            <w:r w:rsidR="001F7BE4" w:rsidRPr="00E407E9">
              <w:rPr>
                <w:b/>
                <w:sz w:val="20"/>
                <w:szCs w:val="20"/>
                <w:lang w:val="en-US"/>
              </w:rPr>
              <w:t>(</w:t>
            </w:r>
            <w:r w:rsidRPr="00E407E9">
              <w:rPr>
                <w:b/>
                <w:sz w:val="20"/>
                <w:szCs w:val="20"/>
                <w:lang w:val="en-US"/>
              </w:rPr>
              <w:t>Ont</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B05328" w:rsidRPr="00E407E9">
              <w:rPr>
                <w:sz w:val="20"/>
                <w:szCs w:val="20"/>
                <w:lang w:val="en-US"/>
              </w:rPr>
              <w:t>Weiler, Catherine</w:t>
            </w:r>
          </w:p>
          <w:p w:rsidR="001F7BE4" w:rsidRPr="00E407E9" w:rsidRDefault="001F7BE4" w:rsidP="001F7BE4">
            <w:pPr>
              <w:tabs>
                <w:tab w:val="left" w:pos="-1440"/>
                <w:tab w:val="left" w:pos="-720"/>
              </w:tabs>
              <w:rPr>
                <w:sz w:val="20"/>
                <w:szCs w:val="20"/>
              </w:rPr>
            </w:pPr>
            <w:r w:rsidRPr="00E407E9">
              <w:rPr>
                <w:sz w:val="20"/>
                <w:szCs w:val="20"/>
                <w:lang w:val="en-US"/>
              </w:rPr>
              <w:tab/>
            </w:r>
            <w:r w:rsidR="00B05328" w:rsidRPr="00E407E9">
              <w:rPr>
                <w:sz w:val="20"/>
                <w:szCs w:val="20"/>
              </w:rPr>
              <w:t>Ministry of the Attorney General</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B05328" w:rsidRPr="00E407E9">
              <w:rPr>
                <w:sz w:val="20"/>
                <w:szCs w:val="20"/>
              </w:rPr>
              <w:t>December</w:t>
            </w:r>
            <w:r w:rsidRPr="00E407E9">
              <w:rPr>
                <w:sz w:val="20"/>
                <w:szCs w:val="20"/>
              </w:rPr>
              <w:t xml:space="preserve"> </w:t>
            </w:r>
            <w:r w:rsidR="00B05328" w:rsidRPr="00E407E9">
              <w:rPr>
                <w:sz w:val="20"/>
                <w:szCs w:val="20"/>
              </w:rPr>
              <w:t>21</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59"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tc>
        <w:tc>
          <w:tcPr>
            <w:tcW w:w="4239" w:type="dxa"/>
            <w:shd w:val="clear" w:color="auto" w:fill="auto"/>
          </w:tcPr>
          <w:p w:rsidR="001F7BE4" w:rsidRPr="00E407E9" w:rsidRDefault="00B05328" w:rsidP="001F7BE4">
            <w:pPr>
              <w:rPr>
                <w:sz w:val="20"/>
                <w:szCs w:val="20"/>
                <w:lang w:val="en-US"/>
              </w:rPr>
            </w:pPr>
            <w:r w:rsidRPr="00E407E9">
              <w:rPr>
                <w:b/>
                <w:sz w:val="20"/>
                <w:szCs w:val="20"/>
                <w:lang w:val="en-US"/>
              </w:rPr>
              <w:t>Gaganjot Singh Sidhu</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B05328" w:rsidRPr="00E407E9">
              <w:rPr>
                <w:sz w:val="20"/>
                <w:szCs w:val="20"/>
                <w:lang w:val="en-US"/>
              </w:rPr>
              <w:t>Gaganjot Singh Sidhu</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(394</w:t>
            </w:r>
            <w:r w:rsidR="00B05328" w:rsidRPr="00E407E9">
              <w:rPr>
                <w:sz w:val="20"/>
                <w:szCs w:val="20"/>
                <w:lang w:val="en-US"/>
              </w:rPr>
              <w:t>90</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B05328" w:rsidP="001F7BE4">
            <w:pPr>
              <w:tabs>
                <w:tab w:val="left" w:pos="-1440"/>
                <w:tab w:val="left" w:pos="-720"/>
              </w:tabs>
              <w:rPr>
                <w:b/>
                <w:sz w:val="20"/>
                <w:szCs w:val="20"/>
                <w:lang w:val="en-US"/>
              </w:rPr>
            </w:pPr>
            <w:r w:rsidRPr="00E407E9">
              <w:rPr>
                <w:b/>
                <w:sz w:val="20"/>
                <w:szCs w:val="20"/>
                <w:lang w:val="en-US"/>
              </w:rPr>
              <w:t>Her Majesty the Queen</w:t>
            </w:r>
            <w:r w:rsidR="001F7BE4" w:rsidRPr="00E407E9">
              <w:rPr>
                <w:b/>
                <w:sz w:val="20"/>
                <w:szCs w:val="20"/>
                <w:lang w:val="en-US"/>
              </w:rPr>
              <w:t xml:space="preserve"> (</w:t>
            </w:r>
            <w:r w:rsidRPr="00E407E9">
              <w:rPr>
                <w:b/>
                <w:sz w:val="20"/>
                <w:szCs w:val="20"/>
                <w:lang w:val="en-US"/>
              </w:rPr>
              <w:t>Alta</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B05328" w:rsidRPr="00E407E9">
              <w:rPr>
                <w:sz w:val="20"/>
                <w:szCs w:val="20"/>
                <w:lang w:val="en-US"/>
              </w:rPr>
              <w:t>McGuire, Maureen J.</w:t>
            </w:r>
          </w:p>
          <w:p w:rsidR="001F7BE4" w:rsidRPr="00E407E9" w:rsidRDefault="001F7BE4" w:rsidP="001F7BE4">
            <w:pPr>
              <w:tabs>
                <w:tab w:val="left" w:pos="-1440"/>
                <w:tab w:val="left" w:pos="-720"/>
              </w:tabs>
              <w:rPr>
                <w:sz w:val="20"/>
                <w:szCs w:val="20"/>
              </w:rPr>
            </w:pPr>
            <w:r w:rsidRPr="00E407E9">
              <w:rPr>
                <w:sz w:val="20"/>
                <w:szCs w:val="20"/>
                <w:lang w:val="en-US"/>
              </w:rPr>
              <w:tab/>
            </w:r>
            <w:r w:rsidR="00B05328" w:rsidRPr="00E407E9">
              <w:rPr>
                <w:sz w:val="20"/>
                <w:szCs w:val="20"/>
              </w:rPr>
              <w:t>Attorney General of Alberta</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B05328" w:rsidRPr="00E407E9">
              <w:rPr>
                <w:sz w:val="20"/>
                <w:szCs w:val="20"/>
              </w:rPr>
              <w:t>December</w:t>
            </w:r>
            <w:r w:rsidRPr="00E407E9">
              <w:rPr>
                <w:sz w:val="20"/>
                <w:szCs w:val="20"/>
              </w:rPr>
              <w:t xml:space="preserve"> </w:t>
            </w:r>
            <w:r w:rsidR="00B05328" w:rsidRPr="00E407E9">
              <w:rPr>
                <w:sz w:val="20"/>
                <w:szCs w:val="20"/>
              </w:rPr>
              <w:t>21</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60" style="width:108pt;height:1pt" o:hrpct="0" o:hrstd="t" o:hrnoshade="t" o:hr="t" fillcolor="black [3213]" stroked="f"/>
              </w:pict>
            </w:r>
          </w:p>
        </w:tc>
      </w:tr>
      <w:tr w:rsidR="001F7BE4" w:rsidRPr="00E407E9" w:rsidTr="00F138C1">
        <w:tc>
          <w:tcPr>
            <w:tcW w:w="4239" w:type="dxa"/>
            <w:shd w:val="clear" w:color="auto" w:fill="auto"/>
          </w:tcPr>
          <w:p w:rsidR="001F7BE4" w:rsidRPr="00E407E9" w:rsidRDefault="00B05328" w:rsidP="001F7BE4">
            <w:pPr>
              <w:rPr>
                <w:sz w:val="20"/>
                <w:szCs w:val="20"/>
                <w:lang w:val="en-US"/>
              </w:rPr>
            </w:pPr>
            <w:r w:rsidRPr="00E407E9">
              <w:rPr>
                <w:b/>
                <w:sz w:val="20"/>
                <w:szCs w:val="20"/>
                <w:lang w:val="en-US"/>
              </w:rPr>
              <w:lastRenderedPageBreak/>
              <w:t>Timothy Aaron Barth</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B05328" w:rsidRPr="00E407E9">
              <w:rPr>
                <w:sz w:val="20"/>
                <w:szCs w:val="20"/>
                <w:lang w:val="en-US"/>
              </w:rPr>
              <w:t>Timothy Aaron Barth</w:t>
            </w:r>
          </w:p>
          <w:p w:rsidR="001F7BE4" w:rsidRPr="00E407E9" w:rsidRDefault="001F7BE4" w:rsidP="001F7BE4">
            <w:pPr>
              <w:tabs>
                <w:tab w:val="left" w:pos="-1440"/>
                <w:tab w:val="left" w:pos="-720"/>
              </w:tabs>
              <w:rPr>
                <w:sz w:val="20"/>
                <w:szCs w:val="20"/>
                <w:lang w:val="en-US"/>
              </w:rPr>
            </w:pPr>
          </w:p>
          <w:p w:rsidR="001F7BE4" w:rsidRPr="00E407E9" w:rsidRDefault="001F7BE4" w:rsidP="001F7BE4">
            <w:pPr>
              <w:tabs>
                <w:tab w:val="left" w:pos="-1440"/>
                <w:tab w:val="left" w:pos="-720"/>
              </w:tabs>
              <w:rPr>
                <w:sz w:val="20"/>
                <w:szCs w:val="20"/>
                <w:lang w:val="en-US"/>
              </w:rPr>
            </w:pPr>
            <w:r w:rsidRPr="00E407E9">
              <w:rPr>
                <w:sz w:val="20"/>
                <w:szCs w:val="20"/>
                <w:lang w:val="en-US"/>
              </w:rPr>
              <w:tab/>
              <w:t>v. (39</w:t>
            </w:r>
            <w:r w:rsidR="00B05328" w:rsidRPr="00E407E9">
              <w:rPr>
                <w:sz w:val="20"/>
                <w:szCs w:val="20"/>
                <w:lang w:val="en-US"/>
              </w:rPr>
              <w:t>328</w:t>
            </w:r>
            <w:r w:rsidRPr="00E407E9">
              <w:rPr>
                <w:sz w:val="20"/>
                <w:szCs w:val="20"/>
                <w:lang w:val="en-US"/>
              </w:rPr>
              <w:t>)</w:t>
            </w:r>
          </w:p>
          <w:p w:rsidR="001F7BE4" w:rsidRPr="00E407E9" w:rsidRDefault="001F7BE4" w:rsidP="001F7BE4">
            <w:pPr>
              <w:tabs>
                <w:tab w:val="left" w:pos="-1440"/>
                <w:tab w:val="left" w:pos="-720"/>
              </w:tabs>
              <w:rPr>
                <w:sz w:val="20"/>
                <w:szCs w:val="20"/>
                <w:lang w:val="en-US"/>
              </w:rPr>
            </w:pPr>
          </w:p>
          <w:p w:rsidR="001F7BE4" w:rsidRPr="00E407E9" w:rsidRDefault="00B05328" w:rsidP="001F7BE4">
            <w:pPr>
              <w:tabs>
                <w:tab w:val="left" w:pos="-1440"/>
                <w:tab w:val="left" w:pos="-720"/>
              </w:tabs>
              <w:rPr>
                <w:b/>
                <w:sz w:val="20"/>
                <w:szCs w:val="20"/>
                <w:lang w:val="en-US"/>
              </w:rPr>
            </w:pPr>
            <w:r w:rsidRPr="00E407E9">
              <w:rPr>
                <w:b/>
                <w:sz w:val="20"/>
                <w:szCs w:val="20"/>
                <w:lang w:val="en-US"/>
              </w:rPr>
              <w:t xml:space="preserve">Leah Faye Barth </w:t>
            </w:r>
            <w:r w:rsidR="001F7BE4" w:rsidRPr="00E407E9">
              <w:rPr>
                <w:b/>
                <w:sz w:val="20"/>
                <w:szCs w:val="20"/>
                <w:lang w:val="en-US"/>
              </w:rPr>
              <w:t>(</w:t>
            </w:r>
            <w:r w:rsidRPr="00E407E9">
              <w:rPr>
                <w:b/>
                <w:sz w:val="20"/>
                <w:szCs w:val="20"/>
                <w:lang w:val="en-US"/>
              </w:rPr>
              <w:t>Sask</w:t>
            </w:r>
            <w:r w:rsidR="001F7BE4" w:rsidRPr="00E407E9">
              <w:rPr>
                <w:b/>
                <w:sz w:val="20"/>
                <w:szCs w:val="20"/>
                <w:lang w:val="en-US"/>
              </w:rPr>
              <w:t>.)</w:t>
            </w:r>
          </w:p>
          <w:p w:rsidR="001F7BE4" w:rsidRPr="00E407E9" w:rsidRDefault="001F7BE4" w:rsidP="001F7BE4">
            <w:pPr>
              <w:tabs>
                <w:tab w:val="left" w:pos="-1440"/>
                <w:tab w:val="left" w:pos="-720"/>
              </w:tabs>
              <w:rPr>
                <w:sz w:val="20"/>
                <w:szCs w:val="20"/>
                <w:lang w:val="en-US"/>
              </w:rPr>
            </w:pPr>
            <w:r w:rsidRPr="00E407E9">
              <w:rPr>
                <w:sz w:val="20"/>
                <w:szCs w:val="20"/>
                <w:lang w:val="en-US"/>
              </w:rPr>
              <w:tab/>
            </w:r>
            <w:r w:rsidR="00B05328" w:rsidRPr="00E407E9">
              <w:rPr>
                <w:sz w:val="20"/>
                <w:szCs w:val="20"/>
                <w:lang w:val="en-US"/>
              </w:rPr>
              <w:t>Singer, Anna</w:t>
            </w:r>
          </w:p>
          <w:p w:rsidR="00B05328" w:rsidRPr="00E407E9" w:rsidRDefault="001F7BE4" w:rsidP="001F7BE4">
            <w:pPr>
              <w:tabs>
                <w:tab w:val="left" w:pos="-1440"/>
                <w:tab w:val="left" w:pos="-720"/>
              </w:tabs>
              <w:rPr>
                <w:sz w:val="20"/>
                <w:szCs w:val="20"/>
              </w:rPr>
            </w:pPr>
            <w:r w:rsidRPr="00E407E9">
              <w:rPr>
                <w:sz w:val="20"/>
                <w:szCs w:val="20"/>
                <w:lang w:val="en-US"/>
              </w:rPr>
              <w:tab/>
            </w:r>
            <w:r w:rsidR="00B05328" w:rsidRPr="00E407E9">
              <w:rPr>
                <w:sz w:val="20"/>
                <w:szCs w:val="20"/>
              </w:rPr>
              <w:t xml:space="preserve">Scharfstein Gibbings Walen &amp; Fisher </w:t>
            </w:r>
          </w:p>
          <w:p w:rsidR="001F7BE4" w:rsidRPr="00E407E9" w:rsidRDefault="00B05328" w:rsidP="001F7BE4">
            <w:pPr>
              <w:tabs>
                <w:tab w:val="left" w:pos="-1440"/>
                <w:tab w:val="left" w:pos="-720"/>
              </w:tabs>
              <w:rPr>
                <w:sz w:val="20"/>
                <w:szCs w:val="20"/>
              </w:rPr>
            </w:pPr>
            <w:r w:rsidRPr="00E407E9">
              <w:rPr>
                <w:sz w:val="20"/>
                <w:szCs w:val="20"/>
                <w:lang w:val="en-US"/>
              </w:rPr>
              <w:tab/>
            </w:r>
            <w:r w:rsidRPr="00E407E9">
              <w:rPr>
                <w:sz w:val="20"/>
                <w:szCs w:val="20"/>
              </w:rPr>
              <w:t>LLP</w:t>
            </w:r>
          </w:p>
          <w:p w:rsidR="001F7BE4" w:rsidRPr="00E407E9" w:rsidRDefault="001F7BE4" w:rsidP="001F7BE4">
            <w:pPr>
              <w:tabs>
                <w:tab w:val="left" w:pos="-1440"/>
                <w:tab w:val="left" w:pos="-720"/>
              </w:tabs>
              <w:rPr>
                <w:sz w:val="20"/>
                <w:szCs w:val="20"/>
              </w:rPr>
            </w:pPr>
          </w:p>
          <w:p w:rsidR="001F7BE4" w:rsidRPr="00E407E9" w:rsidRDefault="001F7BE4" w:rsidP="001F7BE4">
            <w:pPr>
              <w:rPr>
                <w:sz w:val="20"/>
                <w:szCs w:val="20"/>
              </w:rPr>
            </w:pPr>
            <w:r w:rsidRPr="00E407E9">
              <w:rPr>
                <w:sz w:val="20"/>
                <w:szCs w:val="20"/>
              </w:rPr>
              <w:t xml:space="preserve">FILING DATE: </w:t>
            </w:r>
            <w:r w:rsidR="00B05328" w:rsidRPr="00E407E9">
              <w:rPr>
                <w:sz w:val="20"/>
                <w:szCs w:val="20"/>
              </w:rPr>
              <w:t>September</w:t>
            </w:r>
            <w:r w:rsidRPr="00E407E9">
              <w:rPr>
                <w:sz w:val="20"/>
                <w:szCs w:val="20"/>
              </w:rPr>
              <w:t xml:space="preserve"> </w:t>
            </w:r>
            <w:r w:rsidR="00B05328" w:rsidRPr="00E407E9">
              <w:rPr>
                <w:sz w:val="20"/>
                <w:szCs w:val="20"/>
              </w:rPr>
              <w:t>29</w:t>
            </w:r>
            <w:r w:rsidRPr="00E407E9">
              <w:rPr>
                <w:sz w:val="20"/>
                <w:szCs w:val="20"/>
              </w:rPr>
              <w:t>, 2020</w:t>
            </w:r>
          </w:p>
          <w:p w:rsidR="001F7BE4" w:rsidRPr="00E407E9" w:rsidRDefault="001F7BE4" w:rsidP="001F7BE4">
            <w:pPr>
              <w:rPr>
                <w:sz w:val="20"/>
                <w:szCs w:val="20"/>
              </w:rPr>
            </w:pPr>
          </w:p>
          <w:p w:rsidR="001F7BE4" w:rsidRPr="00E407E9" w:rsidRDefault="00CE6E62" w:rsidP="001F7BE4">
            <w:pPr>
              <w:rPr>
                <w:b/>
                <w:sz w:val="20"/>
                <w:szCs w:val="20"/>
                <w:lang w:val="en-US"/>
              </w:rPr>
            </w:pPr>
            <w:r>
              <w:rPr>
                <w:sz w:val="20"/>
                <w:szCs w:val="20"/>
                <w:lang w:val="fr-CA"/>
              </w:rPr>
              <w:pict>
                <v:rect id="_x0000_i1061" style="width:108pt;height:1pt" o:hrpct="0" o:hrstd="t" o:hrnoshade="t" o:hr="t" fillcolor="black [3213]" stroked="f"/>
              </w:pict>
            </w:r>
          </w:p>
        </w:tc>
        <w:tc>
          <w:tcPr>
            <w:tcW w:w="1141" w:type="dxa"/>
            <w:shd w:val="clear" w:color="auto" w:fill="auto"/>
          </w:tcPr>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1F7BE4" w:rsidRPr="00E407E9" w:rsidRDefault="001F7BE4" w:rsidP="00F138C1">
            <w:pPr>
              <w:jc w:val="center"/>
              <w:rPr>
                <w:sz w:val="20"/>
                <w:szCs w:val="20"/>
                <w:lang w:val="en-US"/>
              </w:rPr>
            </w:pPr>
          </w:p>
          <w:p w:rsidR="00B05328" w:rsidRPr="00E407E9" w:rsidRDefault="00B05328" w:rsidP="00F138C1">
            <w:pPr>
              <w:jc w:val="center"/>
              <w:rPr>
                <w:sz w:val="20"/>
                <w:szCs w:val="20"/>
                <w:lang w:val="en-US"/>
              </w:rPr>
            </w:pPr>
          </w:p>
          <w:p w:rsidR="00B05328" w:rsidRPr="00E407E9" w:rsidRDefault="00B05328" w:rsidP="00F138C1">
            <w:pPr>
              <w:jc w:val="center"/>
              <w:rPr>
                <w:sz w:val="20"/>
                <w:szCs w:val="20"/>
                <w:lang w:val="en-US"/>
              </w:rPr>
            </w:pPr>
          </w:p>
        </w:tc>
        <w:tc>
          <w:tcPr>
            <w:tcW w:w="4239" w:type="dxa"/>
            <w:shd w:val="clear" w:color="auto" w:fill="auto"/>
          </w:tcPr>
          <w:p w:rsidR="001F7BE4" w:rsidRPr="00E407E9" w:rsidRDefault="001F7BE4" w:rsidP="001F7BE4">
            <w:pPr>
              <w:rPr>
                <w:b/>
                <w:sz w:val="20"/>
                <w:szCs w:val="20"/>
                <w:lang w:val="en-US"/>
              </w:rPr>
            </w:pPr>
          </w:p>
        </w:tc>
      </w:tr>
    </w:tbl>
    <w:p w:rsidR="00C01FCB" w:rsidRPr="00E407E9" w:rsidRDefault="00C01FCB" w:rsidP="0095096B">
      <w:pPr>
        <w:tabs>
          <w:tab w:val="right" w:pos="9360"/>
        </w:tabs>
        <w:rPr>
          <w:sz w:val="20"/>
          <w:szCs w:val="20"/>
          <w:lang w:val="fr-CA"/>
        </w:rPr>
      </w:pPr>
    </w:p>
    <w:p w:rsidR="00B05328" w:rsidRPr="00E407E9" w:rsidRDefault="00B05328" w:rsidP="0095096B">
      <w:pPr>
        <w:tabs>
          <w:tab w:val="right" w:pos="9360"/>
        </w:tabs>
        <w:rPr>
          <w:sz w:val="20"/>
          <w:szCs w:val="20"/>
          <w:lang w:val="fr-CA"/>
        </w:rPr>
      </w:pPr>
    </w:p>
    <w:p w:rsidR="00242AEE" w:rsidRPr="00E407E9" w:rsidRDefault="00242AEE" w:rsidP="0095096B">
      <w:pPr>
        <w:tabs>
          <w:tab w:val="right" w:pos="9360"/>
        </w:tabs>
        <w:rPr>
          <w:sz w:val="20"/>
          <w:szCs w:val="20"/>
          <w:lang w:val="fr-CA"/>
        </w:rPr>
        <w:sectPr w:rsidR="00242AEE" w:rsidRPr="00E407E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407E9" w:rsidRDefault="00DD0BDC" w:rsidP="00567602">
      <w:pPr>
        <w:pStyle w:val="Header1StyleE"/>
        <w:pBdr>
          <w:bottom w:val="single" w:sz="12" w:space="1" w:color="auto"/>
        </w:pBdr>
        <w:rPr>
          <w:lang w:val="fr-CA"/>
        </w:rPr>
      </w:pPr>
      <w:bookmarkStart w:id="1" w:name="QuickMark_1"/>
      <w:bookmarkStart w:id="2" w:name="_Toc60985629"/>
      <w:bookmarkEnd w:id="1"/>
      <w:r w:rsidRPr="00E407E9">
        <w:rPr>
          <w:lang w:val="fr-CA"/>
        </w:rPr>
        <w:lastRenderedPageBreak/>
        <w:t>Judgments on applications</w:t>
      </w:r>
      <w:r w:rsidR="000C1D9D" w:rsidRPr="00E407E9">
        <w:rPr>
          <w:lang w:val="fr-CA"/>
        </w:rPr>
        <w:t xml:space="preserve"> </w:t>
      </w:r>
      <w:r w:rsidRPr="00E407E9">
        <w:rPr>
          <w:lang w:val="fr-CA"/>
        </w:rPr>
        <w:t>for leave</w:t>
      </w:r>
      <w:r w:rsidR="00693C38" w:rsidRPr="00E407E9">
        <w:rPr>
          <w:noProof/>
          <w:sz w:val="20"/>
          <w:lang w:val="fr-CA"/>
        </w:rPr>
        <w:t xml:space="preserve"> </w:t>
      </w:r>
      <w:r w:rsidR="00271E1E" w:rsidRPr="00E407E9">
        <w:rPr>
          <w:noProof/>
          <w:sz w:val="20"/>
          <w:lang w:val="fr-CA"/>
        </w:rPr>
        <w:t xml:space="preserve">/ </w:t>
      </w:r>
      <w:r w:rsidR="00693C38" w:rsidRPr="00E407E9">
        <w:rPr>
          <w:noProof/>
          <w:sz w:val="20"/>
          <w:lang w:val="fr-CA"/>
        </w:rPr>
        <w:br/>
      </w:r>
      <w:r w:rsidRPr="00E407E9">
        <w:rPr>
          <w:lang w:val="fr-CA"/>
        </w:rPr>
        <w:t>Jugements rendus sur les demandes d’autorisation</w:t>
      </w:r>
      <w:bookmarkEnd w:id="2"/>
    </w:p>
    <w:p w:rsidR="00FB1DB6" w:rsidRPr="00E407E9" w:rsidRDefault="00FB1DB6" w:rsidP="00693C38">
      <w:pPr>
        <w:rPr>
          <w:sz w:val="20"/>
          <w:szCs w:val="20"/>
          <w:lang w:val="fr-CA"/>
        </w:rPr>
      </w:pPr>
    </w:p>
    <w:p w:rsidR="00F16063" w:rsidRPr="00E407E9" w:rsidRDefault="00DF7D10" w:rsidP="00F16063">
      <w:pPr>
        <w:rPr>
          <w:b/>
          <w:sz w:val="20"/>
          <w:szCs w:val="20"/>
        </w:rPr>
      </w:pPr>
      <w:r w:rsidRPr="00E407E9">
        <w:rPr>
          <w:b/>
          <w:sz w:val="20"/>
          <w:szCs w:val="20"/>
        </w:rPr>
        <w:t>DECEMBER</w:t>
      </w:r>
      <w:r w:rsidR="00F16063" w:rsidRPr="00E407E9">
        <w:rPr>
          <w:b/>
          <w:sz w:val="20"/>
          <w:szCs w:val="20"/>
        </w:rPr>
        <w:t xml:space="preserve"> </w:t>
      </w:r>
      <w:r w:rsidRPr="00E407E9">
        <w:rPr>
          <w:b/>
          <w:sz w:val="20"/>
          <w:szCs w:val="20"/>
        </w:rPr>
        <w:t>2</w:t>
      </w:r>
      <w:r w:rsidR="0078769C" w:rsidRPr="00E407E9">
        <w:rPr>
          <w:b/>
          <w:sz w:val="20"/>
          <w:szCs w:val="20"/>
        </w:rPr>
        <w:t>3</w:t>
      </w:r>
      <w:r w:rsidR="00F16063" w:rsidRPr="00E407E9">
        <w:rPr>
          <w:b/>
          <w:sz w:val="20"/>
          <w:szCs w:val="20"/>
        </w:rPr>
        <w:t xml:space="preserve">, </w:t>
      </w:r>
      <w:r w:rsidR="0034657E" w:rsidRPr="00E407E9">
        <w:rPr>
          <w:b/>
          <w:sz w:val="20"/>
          <w:szCs w:val="20"/>
        </w:rPr>
        <w:t>20</w:t>
      </w:r>
      <w:r w:rsidR="005967EF" w:rsidRPr="00E407E9">
        <w:rPr>
          <w:b/>
          <w:sz w:val="20"/>
          <w:szCs w:val="20"/>
        </w:rPr>
        <w:t>2</w:t>
      </w:r>
      <w:r w:rsidRPr="00E407E9">
        <w:rPr>
          <w:b/>
          <w:sz w:val="20"/>
          <w:szCs w:val="20"/>
        </w:rPr>
        <w:t>0</w:t>
      </w:r>
      <w:r w:rsidR="00F16063" w:rsidRPr="00E407E9">
        <w:rPr>
          <w:b/>
          <w:sz w:val="20"/>
          <w:szCs w:val="20"/>
        </w:rPr>
        <w:t xml:space="preserve"> / LE </w:t>
      </w:r>
      <w:r w:rsidRPr="00E407E9">
        <w:rPr>
          <w:b/>
          <w:sz w:val="20"/>
          <w:szCs w:val="20"/>
        </w:rPr>
        <w:t>2</w:t>
      </w:r>
      <w:r w:rsidR="0078769C" w:rsidRPr="00E407E9">
        <w:rPr>
          <w:b/>
          <w:sz w:val="20"/>
          <w:szCs w:val="20"/>
        </w:rPr>
        <w:t>3</w:t>
      </w:r>
      <w:r w:rsidR="00F16063" w:rsidRPr="00E407E9">
        <w:rPr>
          <w:b/>
          <w:sz w:val="20"/>
          <w:szCs w:val="20"/>
        </w:rPr>
        <w:t xml:space="preserve"> </w:t>
      </w:r>
      <w:r w:rsidRPr="00E407E9">
        <w:rPr>
          <w:b/>
          <w:sz w:val="20"/>
          <w:szCs w:val="20"/>
        </w:rPr>
        <w:t>DÉCEMBRE</w:t>
      </w:r>
      <w:r w:rsidR="00F16063" w:rsidRPr="00E407E9">
        <w:rPr>
          <w:b/>
          <w:sz w:val="20"/>
          <w:szCs w:val="20"/>
        </w:rPr>
        <w:t xml:space="preserve"> </w:t>
      </w:r>
      <w:r w:rsidR="0034657E" w:rsidRPr="00E407E9">
        <w:rPr>
          <w:b/>
          <w:sz w:val="20"/>
          <w:szCs w:val="20"/>
        </w:rPr>
        <w:t>20</w:t>
      </w:r>
      <w:r w:rsidR="005967EF" w:rsidRPr="00E407E9">
        <w:rPr>
          <w:b/>
          <w:sz w:val="20"/>
          <w:szCs w:val="20"/>
        </w:rPr>
        <w:t>2</w:t>
      </w:r>
      <w:r w:rsidRPr="00E407E9">
        <w:rPr>
          <w:b/>
          <w:sz w:val="20"/>
          <w:szCs w:val="20"/>
        </w:rPr>
        <w:t>0</w:t>
      </w:r>
    </w:p>
    <w:p w:rsidR="009801A5" w:rsidRPr="00E407E9" w:rsidRDefault="009801A5" w:rsidP="009801A5">
      <w:pPr>
        <w:widowControl w:val="0"/>
        <w:jc w:val="both"/>
        <w:rPr>
          <w:sz w:val="20"/>
          <w:szCs w:val="20"/>
        </w:rPr>
      </w:pPr>
    </w:p>
    <w:tbl>
      <w:tblPr>
        <w:tblW w:w="4904" w:type="pct"/>
        <w:tblLayout w:type="fixed"/>
        <w:tblCellMar>
          <w:left w:w="0" w:type="dxa"/>
          <w:bottom w:w="99" w:type="dxa"/>
          <w:right w:w="0" w:type="dxa"/>
        </w:tblCellMar>
        <w:tblLook w:val="04A0" w:firstRow="1" w:lastRow="0" w:firstColumn="1" w:lastColumn="0" w:noHBand="0" w:noVBand="1"/>
      </w:tblPr>
      <w:tblGrid>
        <w:gridCol w:w="1023"/>
        <w:gridCol w:w="3555"/>
        <w:gridCol w:w="458"/>
        <w:gridCol w:w="4398"/>
      </w:tblGrid>
      <w:tr w:rsidR="009801A5" w:rsidRPr="00E407E9" w:rsidTr="00F74504">
        <w:tc>
          <w:tcPr>
            <w:tcW w:w="542" w:type="pct"/>
          </w:tcPr>
          <w:p w:rsidR="009801A5" w:rsidRPr="00E407E9" w:rsidRDefault="009801A5" w:rsidP="00F74504">
            <w:pPr>
              <w:jc w:val="both"/>
              <w:rPr>
                <w:sz w:val="20"/>
                <w:szCs w:val="20"/>
              </w:rPr>
            </w:pPr>
            <w:r w:rsidRPr="00E407E9">
              <w:rPr>
                <w:rStyle w:val="SCCFileNumberChar"/>
                <w:sz w:val="20"/>
                <w:szCs w:val="20"/>
              </w:rPr>
              <w:t>39270</w:t>
            </w:r>
          </w:p>
        </w:tc>
        <w:tc>
          <w:tcPr>
            <w:tcW w:w="4458" w:type="pct"/>
            <w:gridSpan w:val="3"/>
          </w:tcPr>
          <w:p w:rsidR="009801A5" w:rsidRPr="00E407E9" w:rsidRDefault="009801A5" w:rsidP="00F74504">
            <w:pPr>
              <w:pStyle w:val="SCCLsocParty"/>
              <w:jc w:val="both"/>
              <w:rPr>
                <w:b/>
                <w:sz w:val="20"/>
                <w:szCs w:val="20"/>
                <w:lang w:val="en-US"/>
              </w:rPr>
            </w:pPr>
            <w:r w:rsidRPr="00E407E9">
              <w:rPr>
                <w:b/>
                <w:sz w:val="20"/>
                <w:szCs w:val="20"/>
                <w:lang w:val="en-US"/>
              </w:rPr>
              <w:t>Her Majesty the Queen v. David Sullivan</w:t>
            </w:r>
          </w:p>
          <w:p w:rsidR="009801A5" w:rsidRPr="00E407E9" w:rsidRDefault="009801A5" w:rsidP="00F74504">
            <w:pPr>
              <w:pStyle w:val="SCCLsocSubfileSeparator0"/>
              <w:rPr>
                <w:sz w:val="20"/>
                <w:szCs w:val="20"/>
              </w:rPr>
            </w:pPr>
            <w:r w:rsidRPr="00E407E9">
              <w:rPr>
                <w:sz w:val="20"/>
                <w:szCs w:val="20"/>
              </w:rPr>
              <w:t>- and between -</w:t>
            </w:r>
          </w:p>
          <w:p w:rsidR="009801A5" w:rsidRPr="00E407E9" w:rsidRDefault="009801A5" w:rsidP="00F74504">
            <w:pPr>
              <w:pStyle w:val="SCCLsocParty"/>
              <w:jc w:val="both"/>
              <w:rPr>
                <w:b/>
                <w:sz w:val="20"/>
                <w:szCs w:val="20"/>
                <w:lang w:val="en-US"/>
              </w:rPr>
            </w:pPr>
            <w:r w:rsidRPr="00E407E9">
              <w:rPr>
                <w:b/>
                <w:sz w:val="20"/>
                <w:szCs w:val="20"/>
                <w:lang w:val="en-US"/>
              </w:rPr>
              <w:t>Her Majesty the Queen v. Thomas Chan</w:t>
            </w:r>
          </w:p>
          <w:p w:rsidR="009801A5" w:rsidRPr="00E407E9" w:rsidRDefault="009801A5" w:rsidP="00F74504">
            <w:pPr>
              <w:jc w:val="both"/>
              <w:rPr>
                <w:sz w:val="20"/>
                <w:szCs w:val="20"/>
              </w:rPr>
            </w:pPr>
            <w:r w:rsidRPr="00E407E9">
              <w:rPr>
                <w:sz w:val="20"/>
                <w:szCs w:val="20"/>
              </w:rPr>
              <w:t>(Ont.) (Criminal) (By Leave)</w:t>
            </w:r>
          </w:p>
        </w:tc>
      </w:tr>
      <w:tr w:rsidR="009801A5" w:rsidRPr="00E407E9" w:rsidTr="00F74504">
        <w:tc>
          <w:tcPr>
            <w:tcW w:w="5000" w:type="pct"/>
            <w:gridSpan w:val="4"/>
          </w:tcPr>
          <w:p w:rsidR="000C6047" w:rsidRPr="00E407E9" w:rsidRDefault="000C6047" w:rsidP="000C6047">
            <w:pPr>
              <w:jc w:val="both"/>
              <w:rPr>
                <w:sz w:val="20"/>
                <w:szCs w:val="20"/>
              </w:rPr>
            </w:pPr>
            <w:r w:rsidRPr="00E407E9">
              <w:rPr>
                <w:sz w:val="20"/>
                <w:szCs w:val="20"/>
              </w:rPr>
              <w:t>The motion to join two Court of Appeal for Ontario files in a single application for leave to appeal is granted. The application for leave to appeal from the judgment of the</w:t>
            </w:r>
            <w:bookmarkStart w:id="3" w:name="BM_1_"/>
            <w:bookmarkEnd w:id="3"/>
            <w:r w:rsidRPr="00E407E9">
              <w:rPr>
                <w:sz w:val="20"/>
                <w:szCs w:val="20"/>
              </w:rPr>
              <w:t xml:space="preserve"> Court of Appeal for Ontario, Numbers C64566 and C66588, 2020 ONCA 333, dated June 3, 2020, is granted. The application for leave to cross-appeal filed by the respondent, Thomas Chan, is deferred to the panel hearing the appeal.</w:t>
            </w:r>
          </w:p>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t xml:space="preserve">Constitutional law – </w:t>
            </w:r>
            <w:r w:rsidRPr="00E407E9">
              <w:rPr>
                <w:i/>
                <w:sz w:val="20"/>
                <w:szCs w:val="20"/>
              </w:rPr>
              <w:t xml:space="preserve">Charter of Rights and Freedoms </w:t>
            </w:r>
            <w:r w:rsidRPr="00E407E9">
              <w:rPr>
                <w:sz w:val="20"/>
                <w:szCs w:val="20"/>
              </w:rPr>
              <w:t xml:space="preserve">– Criminal law – Defences – Section 33.1 of </w:t>
            </w:r>
            <w:hyperlink r:id="rId15" w:history="1">
              <w:r w:rsidRPr="00E407E9">
                <w:rPr>
                  <w:i/>
                  <w:sz w:val="20"/>
                  <w:szCs w:val="20"/>
                </w:rPr>
                <w:t>Criminal Code</w:t>
              </w:r>
            </w:hyperlink>
            <w:r w:rsidRPr="00E407E9">
              <w:rPr>
                <w:sz w:val="20"/>
                <w:szCs w:val="20"/>
              </w:rPr>
              <w:t xml:space="preserve"> precludes non-mental disorder automatism as defence to an offence where the automatism is self-induced by voluntary intoxication and the offence includes assault or interference or threat of interference with bodily integrity of another – Whether s. 33.1 offends ss. 7 and 11(d) of the </w:t>
            </w:r>
            <w:r w:rsidRPr="00E407E9">
              <w:rPr>
                <w:i/>
                <w:sz w:val="20"/>
                <w:szCs w:val="20"/>
              </w:rPr>
              <w:t xml:space="preserve">Charter </w:t>
            </w:r>
            <w:r w:rsidRPr="00E407E9">
              <w:rPr>
                <w:sz w:val="20"/>
                <w:szCs w:val="20"/>
              </w:rPr>
              <w:t>and cannot be saved under s. 1?</w:t>
            </w:r>
          </w:p>
        </w:tc>
      </w:tr>
      <w:tr w:rsidR="009801A5" w:rsidRPr="00E407E9" w:rsidTr="00F74504">
        <w:tc>
          <w:tcPr>
            <w:tcW w:w="5000" w:type="pct"/>
            <w:gridSpan w:val="4"/>
          </w:tcPr>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 xml:space="preserve">Mr. Chan became intoxicated after ingesting magic mushrooms. He fatally stabbed his father and grievously injured his father’s partner. Mr. Sullivan became intoxicated by a heavy dose of a prescription drug consumed in a suicide attempt. He repeatedly stabbed his mother. Both men sought to raise non-mental disorder automatism as a defence in their respective trials. Section 33.1 of the </w:t>
            </w:r>
            <w:r w:rsidRPr="00E407E9">
              <w:rPr>
                <w:i/>
                <w:sz w:val="20"/>
                <w:szCs w:val="20"/>
              </w:rPr>
              <w:t>Criminal Code</w:t>
            </w:r>
            <w:r w:rsidRPr="00E407E9">
              <w:rPr>
                <w:sz w:val="20"/>
                <w:szCs w:val="20"/>
              </w:rPr>
              <w:t xml:space="preserve"> precludes this defence in cases of assaults if automatism was self-induced by voluntary intoxication. The trial judge in Mr. Sullivan’s case rejected argument that s. 33.1 did not apply because intoxication resulted from a suicide attempt and was involuntary. The trial judge in Mr. Chan’s case</w:t>
            </w:r>
            <w:r w:rsidRPr="00E407E9">
              <w:rPr>
                <w:rFonts w:ascii="Lato" w:hAnsi="Lato" w:cs="Helvetica"/>
                <w:color w:val="373739"/>
                <w:sz w:val="20"/>
                <w:szCs w:val="20"/>
              </w:rPr>
              <w:t xml:space="preserve"> dismissed a constitutional challenge to</w:t>
            </w:r>
            <w:r w:rsidRPr="00E407E9">
              <w:rPr>
                <w:sz w:val="20"/>
                <w:szCs w:val="20"/>
              </w:rPr>
              <w:t xml:space="preserve"> s. 33.1. Mr. Sullivan was convicted of aggravated assault, assault with a weapon and breaches of a non-communication order. Mr. Chan was convicted of manslaughter and aggravated assault. The Court of Appeal held that s. 33.1 is unconstitutional and of no force or effect. It ordered a new trial for Mr. Chan and acquitted Mr. Sullivan of aggravated assault and assault with a weapon.</w:t>
            </w:r>
          </w:p>
        </w:tc>
      </w:tr>
      <w:tr w:rsidR="009801A5" w:rsidRPr="00E407E9" w:rsidTr="00F74504">
        <w:tc>
          <w:tcPr>
            <w:tcW w:w="5000" w:type="pct"/>
            <w:gridSpan w:val="4"/>
          </w:tcPr>
          <w:p w:rsidR="009801A5" w:rsidRPr="00E407E9" w:rsidRDefault="009801A5" w:rsidP="00F74504">
            <w:pPr>
              <w:jc w:val="both"/>
              <w:rPr>
                <w:sz w:val="20"/>
                <w:szCs w:val="20"/>
              </w:rPr>
            </w:pPr>
          </w:p>
        </w:tc>
      </w:tr>
      <w:tr w:rsidR="009801A5" w:rsidRPr="00E407E9" w:rsidTr="00F74504">
        <w:trPr>
          <w:trHeight w:val="900"/>
        </w:trPr>
        <w:tc>
          <w:tcPr>
            <w:tcW w:w="2426" w:type="pct"/>
            <w:gridSpan w:val="2"/>
          </w:tcPr>
          <w:p w:rsidR="009801A5" w:rsidRPr="00E407E9" w:rsidRDefault="009801A5" w:rsidP="00F74504">
            <w:pPr>
              <w:jc w:val="both"/>
              <w:rPr>
                <w:sz w:val="20"/>
                <w:szCs w:val="20"/>
              </w:rPr>
            </w:pPr>
            <w:r w:rsidRPr="00E407E9">
              <w:rPr>
                <w:sz w:val="20"/>
                <w:szCs w:val="20"/>
              </w:rPr>
              <w:t>December 7, 2016</w:t>
            </w:r>
          </w:p>
          <w:p w:rsidR="009801A5" w:rsidRPr="00E407E9" w:rsidRDefault="009801A5" w:rsidP="00F74504">
            <w:pPr>
              <w:jc w:val="both"/>
              <w:rPr>
                <w:sz w:val="20"/>
                <w:szCs w:val="20"/>
              </w:rPr>
            </w:pPr>
            <w:r w:rsidRPr="00E407E9">
              <w:rPr>
                <w:sz w:val="20"/>
                <w:szCs w:val="20"/>
              </w:rPr>
              <w:t>Ontario Superior Court of Justice</w:t>
            </w:r>
          </w:p>
          <w:p w:rsidR="009801A5" w:rsidRPr="00E407E9" w:rsidRDefault="009801A5" w:rsidP="00F74504">
            <w:pPr>
              <w:jc w:val="both"/>
              <w:rPr>
                <w:sz w:val="20"/>
                <w:szCs w:val="20"/>
              </w:rPr>
            </w:pPr>
            <w:r w:rsidRPr="00E407E9">
              <w:rPr>
                <w:sz w:val="20"/>
                <w:szCs w:val="20"/>
              </w:rPr>
              <w:t>(Salmers J.)(Unreported)</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 xml:space="preserve">Mr. Sullivan convicted of aggravated assault, assault with a weapon, breaches of non-communication order </w:t>
            </w:r>
          </w:p>
        </w:tc>
      </w:tr>
      <w:tr w:rsidR="009801A5" w:rsidRPr="00E407E9" w:rsidTr="00F74504">
        <w:tc>
          <w:tcPr>
            <w:tcW w:w="2426" w:type="pct"/>
            <w:gridSpan w:val="2"/>
          </w:tcPr>
          <w:p w:rsidR="009801A5" w:rsidRPr="00E407E9" w:rsidRDefault="009801A5" w:rsidP="00F74504">
            <w:pPr>
              <w:jc w:val="both"/>
              <w:rPr>
                <w:sz w:val="20"/>
                <w:szCs w:val="20"/>
              </w:rPr>
            </w:pPr>
            <w:r w:rsidRPr="00E407E9">
              <w:rPr>
                <w:sz w:val="20"/>
                <w:szCs w:val="20"/>
              </w:rPr>
              <w:t>December 6, 2018</w:t>
            </w:r>
          </w:p>
          <w:p w:rsidR="009801A5" w:rsidRPr="00E407E9" w:rsidRDefault="009801A5" w:rsidP="00F74504">
            <w:pPr>
              <w:jc w:val="both"/>
              <w:rPr>
                <w:sz w:val="20"/>
                <w:szCs w:val="20"/>
              </w:rPr>
            </w:pPr>
            <w:r w:rsidRPr="00E407E9">
              <w:rPr>
                <w:sz w:val="20"/>
                <w:szCs w:val="20"/>
              </w:rPr>
              <w:t>Ontario Superior Court of Justice</w:t>
            </w:r>
          </w:p>
          <w:p w:rsidR="009801A5" w:rsidRPr="00E407E9" w:rsidRDefault="009801A5" w:rsidP="00F74504">
            <w:pPr>
              <w:jc w:val="both"/>
              <w:rPr>
                <w:rFonts w:ascii="Arial" w:hAnsi="Arial"/>
                <w:sz w:val="20"/>
                <w:szCs w:val="20"/>
              </w:rPr>
            </w:pPr>
            <w:r w:rsidRPr="00E407E9">
              <w:rPr>
                <w:sz w:val="20"/>
                <w:szCs w:val="20"/>
              </w:rPr>
              <w:t>(Boswell J.)</w:t>
            </w:r>
            <w:r w:rsidRPr="00E407E9">
              <w:rPr>
                <w:rFonts w:ascii="Arial" w:hAnsi="Arial"/>
                <w:sz w:val="20"/>
                <w:szCs w:val="20"/>
              </w:rPr>
              <w:t>(</w:t>
            </w:r>
            <w:hyperlink r:id="rId16" w:history="1">
              <w:r w:rsidRPr="00E407E9">
                <w:rPr>
                  <w:rStyle w:val="Hyperlink"/>
                  <w:sz w:val="20"/>
                  <w:szCs w:val="20"/>
                </w:rPr>
                <w:t>2018 ONSC 7158</w:t>
              </w:r>
            </w:hyperlink>
            <w:r w:rsidRPr="00E407E9">
              <w:rPr>
                <w:rFonts w:ascii="Arial" w:hAnsi="Arial"/>
                <w:sz w:val="20"/>
                <w:szCs w:val="20"/>
              </w:rPr>
              <w:t>)</w:t>
            </w:r>
          </w:p>
          <w:p w:rsidR="009801A5" w:rsidRPr="00E407E9" w:rsidRDefault="009801A5" w:rsidP="00F74504">
            <w:pPr>
              <w:jc w:val="both"/>
              <w:rPr>
                <w:rFonts w:ascii="Arial" w:hAnsi="Arial"/>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Mr. Chan convicted of manslaughter, aggravated assault</w:t>
            </w:r>
          </w:p>
          <w:p w:rsidR="009801A5" w:rsidRPr="00E407E9" w:rsidRDefault="009801A5" w:rsidP="00F74504">
            <w:pPr>
              <w:jc w:val="both"/>
              <w:rPr>
                <w:sz w:val="20"/>
                <w:szCs w:val="20"/>
              </w:rPr>
            </w:pPr>
          </w:p>
        </w:tc>
      </w:tr>
      <w:tr w:rsidR="009801A5" w:rsidRPr="00E407E9" w:rsidTr="00F74504">
        <w:tc>
          <w:tcPr>
            <w:tcW w:w="2426" w:type="pct"/>
            <w:gridSpan w:val="2"/>
          </w:tcPr>
          <w:p w:rsidR="009801A5" w:rsidRPr="00E407E9" w:rsidRDefault="009801A5" w:rsidP="00F74504">
            <w:pPr>
              <w:jc w:val="both"/>
              <w:rPr>
                <w:sz w:val="20"/>
                <w:szCs w:val="20"/>
              </w:rPr>
            </w:pPr>
            <w:r w:rsidRPr="00E407E9">
              <w:rPr>
                <w:sz w:val="20"/>
                <w:szCs w:val="20"/>
              </w:rPr>
              <w:t>June 3, 2020</w:t>
            </w:r>
          </w:p>
          <w:p w:rsidR="009801A5" w:rsidRPr="00E407E9" w:rsidRDefault="009801A5" w:rsidP="00F74504">
            <w:pPr>
              <w:jc w:val="both"/>
              <w:rPr>
                <w:sz w:val="20"/>
                <w:szCs w:val="20"/>
              </w:rPr>
            </w:pPr>
            <w:r w:rsidRPr="00E407E9">
              <w:rPr>
                <w:sz w:val="20"/>
                <w:szCs w:val="20"/>
              </w:rPr>
              <w:t>Court of Appeal for Ontario</w:t>
            </w:r>
          </w:p>
          <w:p w:rsidR="009801A5" w:rsidRPr="00E407E9" w:rsidRDefault="009801A5" w:rsidP="00F74504">
            <w:pPr>
              <w:jc w:val="both"/>
              <w:rPr>
                <w:sz w:val="20"/>
                <w:szCs w:val="20"/>
              </w:rPr>
            </w:pPr>
            <w:r w:rsidRPr="00E407E9">
              <w:rPr>
                <w:sz w:val="20"/>
                <w:szCs w:val="20"/>
              </w:rPr>
              <w:t>(Watt, Lauwers, Paciocco JJ.A.)</w:t>
            </w:r>
          </w:p>
          <w:p w:rsidR="009801A5" w:rsidRPr="00E407E9" w:rsidRDefault="00CE6E62" w:rsidP="00F74504">
            <w:pPr>
              <w:jc w:val="both"/>
              <w:rPr>
                <w:sz w:val="20"/>
                <w:szCs w:val="20"/>
              </w:rPr>
            </w:pPr>
            <w:hyperlink r:id="rId17" w:history="1">
              <w:r w:rsidR="009801A5" w:rsidRPr="00E407E9">
                <w:rPr>
                  <w:rStyle w:val="Hyperlink"/>
                  <w:sz w:val="20"/>
                  <w:szCs w:val="20"/>
                </w:rPr>
                <w:t>2020 ONCA 333</w:t>
              </w:r>
            </w:hyperlink>
            <w:r w:rsidR="009801A5" w:rsidRPr="00E407E9">
              <w:rPr>
                <w:sz w:val="20"/>
                <w:szCs w:val="20"/>
              </w:rPr>
              <w:t xml:space="preserve">; CA64566, 66588 </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Appeal by Mr. Chan allowed, new trial ordered; Appeal by Mr. Sullivan allowed in part, acquittals entered for aggravated assault and assault with a weapon</w:t>
            </w:r>
          </w:p>
        </w:tc>
      </w:tr>
      <w:tr w:rsidR="009801A5" w:rsidRPr="00E407E9" w:rsidTr="00F74504">
        <w:tc>
          <w:tcPr>
            <w:tcW w:w="2426" w:type="pct"/>
            <w:gridSpan w:val="2"/>
          </w:tcPr>
          <w:p w:rsidR="009801A5" w:rsidRPr="00E407E9" w:rsidRDefault="009801A5" w:rsidP="00F74504">
            <w:pPr>
              <w:jc w:val="both"/>
              <w:rPr>
                <w:sz w:val="20"/>
                <w:szCs w:val="20"/>
              </w:rPr>
            </w:pPr>
            <w:r w:rsidRPr="00E407E9">
              <w:rPr>
                <w:sz w:val="20"/>
                <w:szCs w:val="20"/>
              </w:rPr>
              <w:t>July 30, 2020</w:t>
            </w:r>
          </w:p>
          <w:p w:rsidR="009801A5" w:rsidRPr="00E407E9" w:rsidRDefault="009801A5" w:rsidP="00F74504">
            <w:pPr>
              <w:jc w:val="both"/>
              <w:rPr>
                <w:sz w:val="20"/>
                <w:szCs w:val="20"/>
              </w:rPr>
            </w:pPr>
            <w:r w:rsidRPr="00E407E9">
              <w:rPr>
                <w:sz w:val="20"/>
                <w:szCs w:val="20"/>
              </w:rPr>
              <w:t>Supreme Court of Canada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Motion to join and Application for leave to appeal filed</w:t>
            </w:r>
          </w:p>
        </w:tc>
      </w:tr>
      <w:tr w:rsidR="009801A5" w:rsidRPr="00E407E9" w:rsidTr="00F74504">
        <w:tc>
          <w:tcPr>
            <w:tcW w:w="2426" w:type="pct"/>
            <w:gridSpan w:val="2"/>
          </w:tcPr>
          <w:p w:rsidR="009801A5" w:rsidRPr="00E407E9" w:rsidRDefault="009801A5" w:rsidP="00F74504">
            <w:pPr>
              <w:jc w:val="both"/>
              <w:rPr>
                <w:sz w:val="20"/>
                <w:szCs w:val="20"/>
              </w:rPr>
            </w:pPr>
            <w:r w:rsidRPr="00E407E9">
              <w:rPr>
                <w:sz w:val="20"/>
                <w:szCs w:val="20"/>
              </w:rPr>
              <w:t>October 9,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cross-appeal filed by Mr. Chan</w:t>
            </w: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64" style="width:2in;height:1pt" o:hrpct="0" o:hralign="center" o:hrstd="t" o:hrnoshade="t" o:hr="t" fillcolor="black [3213]" stroked="f"/>
        </w:pict>
      </w:r>
    </w:p>
    <w:p w:rsidR="009801A5" w:rsidRPr="00E407E9" w:rsidRDefault="009801A5" w:rsidP="009801A5">
      <w:pPr>
        <w:jc w:val="both"/>
        <w:rPr>
          <w:sz w:val="20"/>
          <w:szCs w:val="20"/>
        </w:rPr>
      </w:pPr>
    </w:p>
    <w:p w:rsidR="00886B54" w:rsidRPr="00E407E9" w:rsidRDefault="00886B54">
      <w:r w:rsidRPr="00E407E9">
        <w:br w:type="page"/>
      </w:r>
    </w:p>
    <w:tbl>
      <w:tblPr>
        <w:tblW w:w="4922" w:type="pct"/>
        <w:tblLayout w:type="fixed"/>
        <w:tblCellMar>
          <w:left w:w="0" w:type="dxa"/>
          <w:bottom w:w="99" w:type="dxa"/>
          <w:right w:w="0" w:type="dxa"/>
        </w:tblCellMar>
        <w:tblLook w:val="04A0" w:firstRow="1" w:lastRow="0" w:firstColumn="1" w:lastColumn="0" w:noHBand="0" w:noVBand="1"/>
      </w:tblPr>
      <w:tblGrid>
        <w:gridCol w:w="1023"/>
        <w:gridCol w:w="3555"/>
        <w:gridCol w:w="458"/>
        <w:gridCol w:w="4433"/>
      </w:tblGrid>
      <w:tr w:rsidR="009801A5" w:rsidRPr="00E407E9" w:rsidTr="00F74504">
        <w:tc>
          <w:tcPr>
            <w:tcW w:w="540" w:type="pct"/>
          </w:tcPr>
          <w:p w:rsidR="009801A5" w:rsidRPr="00E407E9" w:rsidRDefault="009801A5" w:rsidP="00F74504">
            <w:pPr>
              <w:jc w:val="both"/>
              <w:rPr>
                <w:sz w:val="20"/>
                <w:szCs w:val="20"/>
                <w:lang w:val="fr-CA"/>
              </w:rPr>
            </w:pPr>
            <w:r w:rsidRPr="00E407E9">
              <w:rPr>
                <w:rStyle w:val="SCCFileNumberChar"/>
                <w:sz w:val="20"/>
                <w:szCs w:val="20"/>
                <w:lang w:val="fr-CA"/>
              </w:rPr>
              <w:lastRenderedPageBreak/>
              <w:t>39270</w:t>
            </w:r>
          </w:p>
        </w:tc>
        <w:tc>
          <w:tcPr>
            <w:tcW w:w="4460" w:type="pct"/>
            <w:gridSpan w:val="3"/>
          </w:tcPr>
          <w:p w:rsidR="009801A5" w:rsidRPr="00E407E9" w:rsidRDefault="009801A5" w:rsidP="00F74504">
            <w:pPr>
              <w:pStyle w:val="SCCLsocParty"/>
              <w:jc w:val="both"/>
              <w:rPr>
                <w:b/>
                <w:sz w:val="20"/>
                <w:szCs w:val="20"/>
              </w:rPr>
            </w:pPr>
            <w:r w:rsidRPr="00E407E9">
              <w:rPr>
                <w:b/>
                <w:sz w:val="20"/>
                <w:szCs w:val="20"/>
              </w:rPr>
              <w:t>Sa Majesté la Reine c. David Sullivan</w:t>
            </w:r>
          </w:p>
          <w:p w:rsidR="009801A5" w:rsidRPr="00E407E9" w:rsidRDefault="009801A5" w:rsidP="00F74504">
            <w:pPr>
              <w:pStyle w:val="SCCLsocSubfileSeparator0"/>
              <w:rPr>
                <w:sz w:val="20"/>
                <w:szCs w:val="20"/>
                <w:lang w:val="fr-CA"/>
              </w:rPr>
            </w:pPr>
            <w:r w:rsidRPr="00E407E9">
              <w:rPr>
                <w:sz w:val="20"/>
                <w:szCs w:val="20"/>
                <w:lang w:val="fr-CA"/>
              </w:rPr>
              <w:t>- et entre -</w:t>
            </w:r>
          </w:p>
          <w:p w:rsidR="009801A5" w:rsidRPr="00E407E9" w:rsidRDefault="009801A5" w:rsidP="00F74504">
            <w:pPr>
              <w:pStyle w:val="SCCLsocParty"/>
              <w:jc w:val="both"/>
              <w:rPr>
                <w:b/>
                <w:sz w:val="20"/>
                <w:szCs w:val="20"/>
              </w:rPr>
            </w:pPr>
            <w:r w:rsidRPr="00E407E9">
              <w:rPr>
                <w:b/>
                <w:sz w:val="20"/>
                <w:szCs w:val="20"/>
              </w:rPr>
              <w:t>Sa Majesté la Reine c. Thomas Chan</w:t>
            </w:r>
          </w:p>
          <w:p w:rsidR="009801A5" w:rsidRPr="00E407E9" w:rsidRDefault="009801A5" w:rsidP="00F74504">
            <w:pPr>
              <w:jc w:val="both"/>
              <w:rPr>
                <w:sz w:val="20"/>
                <w:szCs w:val="20"/>
                <w:lang w:val="fr-CA"/>
              </w:rPr>
            </w:pPr>
            <w:r w:rsidRPr="00E407E9">
              <w:rPr>
                <w:sz w:val="20"/>
                <w:szCs w:val="20"/>
                <w:lang w:val="fr-CA"/>
              </w:rPr>
              <w:t>(Ont.) (Criminelle) (Sur autorisation)</w:t>
            </w:r>
          </w:p>
        </w:tc>
      </w:tr>
      <w:tr w:rsidR="009801A5" w:rsidRPr="001A3EBC" w:rsidTr="00F74504">
        <w:tc>
          <w:tcPr>
            <w:tcW w:w="5000" w:type="pct"/>
            <w:gridSpan w:val="4"/>
          </w:tcPr>
          <w:p w:rsidR="009801A5" w:rsidRPr="00E407E9" w:rsidRDefault="000C6047" w:rsidP="00F74504">
            <w:pPr>
              <w:jc w:val="both"/>
              <w:rPr>
                <w:sz w:val="20"/>
                <w:szCs w:val="20"/>
                <w:lang w:val="fr-CA"/>
              </w:rPr>
            </w:pPr>
            <w:r w:rsidRPr="00E407E9">
              <w:rPr>
                <w:sz w:val="20"/>
                <w:szCs w:val="20"/>
                <w:lang w:val="fr-CA"/>
              </w:rPr>
              <w:t>La requ</w:t>
            </w:r>
            <w:r w:rsidRPr="00E407E9">
              <w:rPr>
                <w:rFonts w:cs="Times New Roman"/>
                <w:sz w:val="20"/>
                <w:szCs w:val="20"/>
                <w:lang w:val="fr-CA"/>
              </w:rPr>
              <w:t>ê</w:t>
            </w:r>
            <w:r w:rsidRPr="00E407E9">
              <w:rPr>
                <w:sz w:val="20"/>
                <w:szCs w:val="20"/>
                <w:lang w:val="fr-CA"/>
              </w:rPr>
              <w:t>te pour joindre deux dossiers de la Cour d’appel de l’Ontario dans une seule demande d’autorisation d’appel est accueillie. La demande d’autorisation d’appel de l’arrêt de la Cour d’appel de l’Ontario, numéros C64566 et C66588, 2020 ONCA 333, daté du 3 juin 2020, est accueillie. La demande d’autorisation d’appel incident déposée par l’intimé, Thomas Chan, est déférée à la formation de la Cour qui entendra l’appel.</w:t>
            </w:r>
          </w:p>
          <w:p w:rsidR="000C6047" w:rsidRPr="00E407E9" w:rsidRDefault="000C6047" w:rsidP="00F74504">
            <w:pPr>
              <w:jc w:val="both"/>
              <w:rPr>
                <w:sz w:val="20"/>
                <w:szCs w:val="20"/>
                <w:lang w:val="fr-CA"/>
              </w:rPr>
            </w:pPr>
          </w:p>
        </w:tc>
      </w:tr>
      <w:tr w:rsidR="009801A5" w:rsidRPr="001A3EBC" w:rsidTr="00F74504">
        <w:tc>
          <w:tcPr>
            <w:tcW w:w="5000" w:type="pct"/>
            <w:gridSpan w:val="4"/>
          </w:tcPr>
          <w:p w:rsidR="009801A5" w:rsidRPr="00E407E9" w:rsidRDefault="009801A5" w:rsidP="00F74504">
            <w:pPr>
              <w:jc w:val="both"/>
              <w:rPr>
                <w:sz w:val="20"/>
                <w:szCs w:val="20"/>
                <w:lang w:val="fr-CA"/>
              </w:rPr>
            </w:pPr>
            <w:r w:rsidRPr="00E407E9">
              <w:rPr>
                <w:sz w:val="20"/>
                <w:szCs w:val="20"/>
                <w:lang w:val="fr-CA"/>
              </w:rPr>
              <w:t xml:space="preserve">Droit constitutionnel — </w:t>
            </w:r>
            <w:r w:rsidRPr="00E407E9">
              <w:rPr>
                <w:i/>
                <w:sz w:val="20"/>
                <w:szCs w:val="20"/>
                <w:lang w:val="fr-CA"/>
              </w:rPr>
              <w:t xml:space="preserve">Charte des droits et libertés </w:t>
            </w:r>
            <w:r w:rsidRPr="00E407E9">
              <w:rPr>
                <w:sz w:val="20"/>
                <w:szCs w:val="20"/>
                <w:lang w:val="fr-CA"/>
              </w:rPr>
              <w:t xml:space="preserve">— Droit criminel — Moyens de défense — L’article 33.1 du </w:t>
            </w:r>
            <w:hyperlink r:id="rId18" w:history="1">
              <w:r w:rsidRPr="00E407E9">
                <w:rPr>
                  <w:i/>
                  <w:sz w:val="20"/>
                  <w:szCs w:val="20"/>
                  <w:lang w:val="fr-CA"/>
                </w:rPr>
                <w:t>Code criminel</w:t>
              </w:r>
            </w:hyperlink>
            <w:r w:rsidRPr="00E407E9">
              <w:rPr>
                <w:sz w:val="20"/>
                <w:szCs w:val="20"/>
                <w:lang w:val="fr-CA"/>
              </w:rPr>
              <w:t xml:space="preserve"> empêche d’invoquer</w:t>
            </w:r>
            <w:r w:rsidRPr="00E407E9">
              <w:rPr>
                <w:sz w:val="20"/>
                <w:szCs w:val="20"/>
                <w:lang w:val="fr-FR"/>
              </w:rPr>
              <w:t xml:space="preserve"> l’automatisme sans troubles mentaux</w:t>
            </w:r>
            <w:r w:rsidRPr="00E407E9">
              <w:rPr>
                <w:sz w:val="20"/>
                <w:szCs w:val="20"/>
                <w:lang w:val="fr-CA"/>
              </w:rPr>
              <w:t xml:space="preserve"> comme moyen de défense à une infraction lorsque l’automatisme a été induit par l’intoxication volontaire de l’accusé et que l’infraction comprend des voies de fait ou une atteinte à l’intégrité corporelle d’autrui ou la menace d’une telle atteinte — L’art. 33.1 contrevient</w:t>
            </w:r>
            <w:r w:rsidRPr="00E407E9">
              <w:rPr>
                <w:sz w:val="20"/>
                <w:szCs w:val="20"/>
                <w:lang w:val="fr-CA"/>
              </w:rPr>
              <w:noBreakHyphen/>
              <w:t>il à l’art. 7 et à l’al. 11</w:t>
            </w:r>
            <w:r w:rsidRPr="00E407E9">
              <w:rPr>
                <w:i/>
                <w:sz w:val="20"/>
                <w:szCs w:val="20"/>
                <w:lang w:val="fr-CA"/>
              </w:rPr>
              <w:t>d</w:t>
            </w:r>
            <w:r w:rsidRPr="00E407E9">
              <w:rPr>
                <w:sz w:val="20"/>
                <w:szCs w:val="20"/>
                <w:lang w:val="fr-CA"/>
              </w:rPr>
              <w:t xml:space="preserve">) de la </w:t>
            </w:r>
            <w:r w:rsidRPr="00E407E9">
              <w:rPr>
                <w:i/>
                <w:sz w:val="20"/>
                <w:szCs w:val="20"/>
                <w:lang w:val="fr-CA"/>
              </w:rPr>
              <w:t xml:space="preserve">Charte </w:t>
            </w:r>
            <w:r w:rsidRPr="00E407E9">
              <w:rPr>
                <w:sz w:val="20"/>
                <w:szCs w:val="20"/>
                <w:lang w:val="fr-CA"/>
              </w:rPr>
              <w:t>et peut</w:t>
            </w:r>
            <w:r w:rsidRPr="00E407E9">
              <w:rPr>
                <w:sz w:val="20"/>
                <w:szCs w:val="20"/>
                <w:lang w:val="fr-CA"/>
              </w:rPr>
              <w:noBreakHyphen/>
              <w:t>il être sauvegardé en vertu de l’article premier ?</w:t>
            </w:r>
            <w:r w:rsidRPr="00E407E9">
              <w:rPr>
                <w:sz w:val="20"/>
                <w:szCs w:val="20"/>
                <w:lang w:val="fr-FR"/>
              </w:rPr>
              <w:t xml:space="preserve"> </w:t>
            </w:r>
          </w:p>
        </w:tc>
      </w:tr>
      <w:tr w:rsidR="009801A5" w:rsidRPr="001A3EBC" w:rsidTr="00F74504">
        <w:tc>
          <w:tcPr>
            <w:tcW w:w="5000" w:type="pct"/>
            <w:gridSpan w:val="4"/>
          </w:tcPr>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M. Chan était en état d’intoxication après avoir consommé des champignons magiques. Il a poignardé son père à mort et a grièvement blessé la conjointe de ce dernier. M. Sullivan était en état d’intoxication après avoir pris une forte dose de médicaments délivrés sur ordonnance lors d’une tentative de suicide. Il a poignardé sa mère à plusieurs reprises. Les deux hommes ont cherché à invoquer</w:t>
            </w:r>
            <w:r w:rsidRPr="00E407E9">
              <w:rPr>
                <w:sz w:val="20"/>
                <w:szCs w:val="20"/>
                <w:lang w:val="fr-FR"/>
              </w:rPr>
              <w:t xml:space="preserve"> l’automatisme sans troubles mentaux</w:t>
            </w:r>
            <w:r w:rsidRPr="00E407E9">
              <w:rPr>
                <w:sz w:val="20"/>
                <w:szCs w:val="20"/>
                <w:lang w:val="fr-CA"/>
              </w:rPr>
              <w:t xml:space="preserve"> comme moyen de défense lors de leurs procès respectifs. L’article 33.1 du </w:t>
            </w:r>
            <w:r w:rsidRPr="00E407E9">
              <w:rPr>
                <w:i/>
                <w:sz w:val="20"/>
                <w:szCs w:val="20"/>
                <w:lang w:val="fr-CA"/>
              </w:rPr>
              <w:t xml:space="preserve">Code criminel </w:t>
            </w:r>
            <w:r w:rsidRPr="00E407E9">
              <w:rPr>
                <w:sz w:val="20"/>
                <w:szCs w:val="20"/>
                <w:lang w:val="fr-CA"/>
              </w:rPr>
              <w:t>empêche d’invoquer ce moyen de défense dans les affaires de voies de fait si l’automatisme a été induit par l’intoxication volontaire de l’accusé. Le juge du procès de M. Sullivan a rejeté l’argument voulant que l’art. 33.1 ne s’appliquait pas parce que son état d’intoxication résultait d’une tentative de suicide et était involontaire. Le juge du procès de M. Chan a rejeté la contestation constitutionnelle de l’art. 33.1. M. Sullivan a été déclaré coupable de voies de fait graves, d’agression armée et de violation d’une ordonnance de non-communication. M. Chan a été déclaré coupable d’homicide involontaire coupable et de voies de fait graves. La Cour d’appel a conclu que l’art. 33.1 est inconstitutionnel et inopérant. Elle a ordonné un nouveau procès à l’égard de M. Chan et a acquitté M. Sullivan de voies de fait graves et d’agression armée.</w:t>
            </w:r>
          </w:p>
        </w:tc>
      </w:tr>
      <w:tr w:rsidR="009801A5" w:rsidRPr="001A3EBC" w:rsidTr="00F74504">
        <w:tc>
          <w:tcPr>
            <w:tcW w:w="5000" w:type="pct"/>
            <w:gridSpan w:val="4"/>
          </w:tcPr>
          <w:p w:rsidR="009801A5" w:rsidRPr="00E407E9" w:rsidRDefault="009801A5" w:rsidP="00F74504">
            <w:pPr>
              <w:jc w:val="both"/>
              <w:rPr>
                <w:sz w:val="20"/>
                <w:szCs w:val="20"/>
                <w:lang w:val="fr-CA"/>
              </w:rPr>
            </w:pPr>
          </w:p>
        </w:tc>
      </w:tr>
      <w:tr w:rsidR="009801A5" w:rsidRPr="001A3EBC" w:rsidTr="00F74504">
        <w:trPr>
          <w:trHeight w:val="900"/>
        </w:trPr>
        <w:tc>
          <w:tcPr>
            <w:tcW w:w="2417" w:type="pct"/>
            <w:gridSpan w:val="2"/>
          </w:tcPr>
          <w:p w:rsidR="009801A5" w:rsidRPr="00E407E9" w:rsidRDefault="009801A5" w:rsidP="00F74504">
            <w:pPr>
              <w:jc w:val="both"/>
              <w:rPr>
                <w:sz w:val="20"/>
                <w:szCs w:val="20"/>
                <w:lang w:val="fr-CA"/>
              </w:rPr>
            </w:pPr>
            <w:r w:rsidRPr="00E407E9">
              <w:rPr>
                <w:sz w:val="20"/>
                <w:szCs w:val="20"/>
                <w:lang w:val="fr-CA"/>
              </w:rPr>
              <w:t>7 décembre 2016</w:t>
            </w:r>
          </w:p>
          <w:p w:rsidR="009801A5" w:rsidRPr="00E407E9" w:rsidRDefault="009801A5" w:rsidP="00F74504">
            <w:pPr>
              <w:jc w:val="both"/>
              <w:rPr>
                <w:sz w:val="20"/>
                <w:szCs w:val="20"/>
                <w:lang w:val="fr-CA"/>
              </w:rPr>
            </w:pPr>
            <w:r w:rsidRPr="00E407E9">
              <w:rPr>
                <w:sz w:val="20"/>
                <w:szCs w:val="20"/>
                <w:lang w:val="fr-CA"/>
              </w:rPr>
              <w:t>Cour supérieure de justice de l’Ontario</w:t>
            </w:r>
          </w:p>
          <w:p w:rsidR="009801A5" w:rsidRPr="00E407E9" w:rsidRDefault="009801A5" w:rsidP="00F74504">
            <w:pPr>
              <w:jc w:val="both"/>
              <w:rPr>
                <w:sz w:val="20"/>
                <w:szCs w:val="20"/>
                <w:lang w:val="fr-CA"/>
              </w:rPr>
            </w:pPr>
            <w:r w:rsidRPr="00E407E9">
              <w:rPr>
                <w:sz w:val="20"/>
                <w:szCs w:val="20"/>
                <w:lang w:val="fr-CA"/>
              </w:rPr>
              <w:t>(Juge Salmers) (Non publié)</w:t>
            </w:r>
          </w:p>
          <w:p w:rsidR="009801A5" w:rsidRPr="00E407E9" w:rsidRDefault="009801A5" w:rsidP="00F74504">
            <w:pPr>
              <w:jc w:val="both"/>
              <w:rPr>
                <w:sz w:val="20"/>
                <w:szCs w:val="20"/>
                <w:lang w:val="fr-CA"/>
              </w:rPr>
            </w:pPr>
          </w:p>
        </w:tc>
        <w:tc>
          <w:tcPr>
            <w:tcW w:w="242" w:type="pct"/>
          </w:tcPr>
          <w:p w:rsidR="009801A5" w:rsidRPr="00E407E9" w:rsidRDefault="009801A5" w:rsidP="00F74504">
            <w:pPr>
              <w:jc w:val="both"/>
              <w:rPr>
                <w:sz w:val="20"/>
                <w:szCs w:val="20"/>
                <w:lang w:val="fr-CA"/>
              </w:rPr>
            </w:pPr>
          </w:p>
        </w:tc>
        <w:tc>
          <w:tcPr>
            <w:tcW w:w="2341" w:type="pct"/>
          </w:tcPr>
          <w:p w:rsidR="009801A5" w:rsidRPr="00E407E9" w:rsidRDefault="009801A5" w:rsidP="00F74504">
            <w:pPr>
              <w:jc w:val="both"/>
              <w:rPr>
                <w:sz w:val="20"/>
                <w:szCs w:val="20"/>
                <w:lang w:val="fr-CA"/>
              </w:rPr>
            </w:pPr>
            <w:r w:rsidRPr="00E407E9">
              <w:rPr>
                <w:sz w:val="20"/>
                <w:szCs w:val="20"/>
                <w:lang w:val="fr-CA"/>
              </w:rPr>
              <w:t>M. Sullivan est déclaré coupable de voies de fait graves, d’agression armée et de violation d’une ordonnance de non</w:t>
            </w:r>
            <w:r w:rsidRPr="00E407E9">
              <w:rPr>
                <w:sz w:val="20"/>
                <w:szCs w:val="20"/>
                <w:lang w:val="fr-CA"/>
              </w:rPr>
              <w:noBreakHyphen/>
              <w:t>communication.</w:t>
            </w:r>
          </w:p>
        </w:tc>
      </w:tr>
      <w:tr w:rsidR="009801A5" w:rsidRPr="001A3EBC" w:rsidTr="00F74504">
        <w:tc>
          <w:tcPr>
            <w:tcW w:w="2417" w:type="pct"/>
            <w:gridSpan w:val="2"/>
          </w:tcPr>
          <w:p w:rsidR="009801A5" w:rsidRPr="00E407E9" w:rsidRDefault="009801A5" w:rsidP="00F74504">
            <w:pPr>
              <w:jc w:val="both"/>
              <w:rPr>
                <w:sz w:val="20"/>
                <w:szCs w:val="20"/>
                <w:lang w:val="fr-CA"/>
              </w:rPr>
            </w:pPr>
            <w:r w:rsidRPr="00E407E9">
              <w:rPr>
                <w:sz w:val="20"/>
                <w:szCs w:val="20"/>
                <w:lang w:val="fr-CA"/>
              </w:rPr>
              <w:t>6 décembre 2018</w:t>
            </w:r>
          </w:p>
          <w:p w:rsidR="009801A5" w:rsidRPr="00E407E9" w:rsidRDefault="009801A5" w:rsidP="00F74504">
            <w:pPr>
              <w:jc w:val="both"/>
              <w:rPr>
                <w:sz w:val="20"/>
                <w:szCs w:val="20"/>
                <w:lang w:val="fr-CA"/>
              </w:rPr>
            </w:pPr>
            <w:r w:rsidRPr="00E407E9">
              <w:rPr>
                <w:sz w:val="20"/>
                <w:szCs w:val="20"/>
                <w:lang w:val="fr-CA"/>
              </w:rPr>
              <w:t xml:space="preserve">Cour supérieure de justice de l’Ontario </w:t>
            </w:r>
          </w:p>
          <w:p w:rsidR="009801A5" w:rsidRPr="00E407E9" w:rsidRDefault="009801A5" w:rsidP="00F74504">
            <w:pPr>
              <w:jc w:val="both"/>
              <w:rPr>
                <w:rFonts w:ascii="Arial" w:hAnsi="Arial"/>
                <w:sz w:val="20"/>
                <w:szCs w:val="20"/>
                <w:lang w:val="fr-CA"/>
              </w:rPr>
            </w:pPr>
            <w:r w:rsidRPr="00E407E9">
              <w:rPr>
                <w:sz w:val="20"/>
                <w:szCs w:val="20"/>
                <w:lang w:val="fr-CA"/>
              </w:rPr>
              <w:t xml:space="preserve">(Juge Boswell) </w:t>
            </w:r>
            <w:r w:rsidRPr="00E407E9">
              <w:rPr>
                <w:rFonts w:ascii="Arial" w:hAnsi="Arial"/>
                <w:sz w:val="20"/>
                <w:szCs w:val="20"/>
                <w:lang w:val="fr-CA"/>
              </w:rPr>
              <w:t>(</w:t>
            </w:r>
            <w:hyperlink r:id="rId19" w:history="1">
              <w:r w:rsidRPr="00E407E9">
                <w:rPr>
                  <w:rStyle w:val="Hyperlink"/>
                  <w:sz w:val="20"/>
                  <w:szCs w:val="20"/>
                  <w:lang w:val="fr-CA"/>
                </w:rPr>
                <w:t>2018 ONSC 7158</w:t>
              </w:r>
            </w:hyperlink>
            <w:r w:rsidRPr="00E407E9">
              <w:rPr>
                <w:rFonts w:ascii="Arial" w:hAnsi="Arial"/>
                <w:sz w:val="20"/>
                <w:szCs w:val="20"/>
                <w:lang w:val="fr-CA"/>
              </w:rPr>
              <w:t>)</w:t>
            </w:r>
          </w:p>
          <w:p w:rsidR="009801A5" w:rsidRPr="00E407E9" w:rsidRDefault="009801A5" w:rsidP="00F74504">
            <w:pPr>
              <w:jc w:val="both"/>
              <w:rPr>
                <w:rFonts w:ascii="Arial" w:hAnsi="Arial"/>
                <w:sz w:val="20"/>
                <w:szCs w:val="20"/>
                <w:lang w:val="fr-CA"/>
              </w:rPr>
            </w:pPr>
          </w:p>
        </w:tc>
        <w:tc>
          <w:tcPr>
            <w:tcW w:w="242" w:type="pct"/>
          </w:tcPr>
          <w:p w:rsidR="009801A5" w:rsidRPr="00E407E9" w:rsidRDefault="009801A5" w:rsidP="00F74504">
            <w:pPr>
              <w:jc w:val="both"/>
              <w:rPr>
                <w:sz w:val="20"/>
                <w:szCs w:val="20"/>
                <w:lang w:val="fr-CA"/>
              </w:rPr>
            </w:pPr>
          </w:p>
        </w:tc>
        <w:tc>
          <w:tcPr>
            <w:tcW w:w="2341" w:type="pct"/>
          </w:tcPr>
          <w:p w:rsidR="009801A5" w:rsidRPr="00E407E9" w:rsidRDefault="009801A5" w:rsidP="00F74504">
            <w:pPr>
              <w:jc w:val="both"/>
              <w:rPr>
                <w:sz w:val="20"/>
                <w:szCs w:val="20"/>
                <w:lang w:val="fr-CA"/>
              </w:rPr>
            </w:pPr>
            <w:r w:rsidRPr="00E407E9">
              <w:rPr>
                <w:sz w:val="20"/>
                <w:szCs w:val="20"/>
                <w:lang w:val="fr-CA"/>
              </w:rPr>
              <w:t>M. Chan est déclaré coupable d’homicide involontaire coupable et de voies de fait graves.</w:t>
            </w:r>
          </w:p>
          <w:p w:rsidR="009801A5" w:rsidRPr="00E407E9" w:rsidRDefault="009801A5" w:rsidP="00F74504">
            <w:pPr>
              <w:jc w:val="both"/>
              <w:rPr>
                <w:sz w:val="20"/>
                <w:szCs w:val="20"/>
                <w:lang w:val="fr-CA"/>
              </w:rPr>
            </w:pPr>
          </w:p>
        </w:tc>
      </w:tr>
      <w:tr w:rsidR="009801A5" w:rsidRPr="001A3EBC" w:rsidTr="00F74504">
        <w:tc>
          <w:tcPr>
            <w:tcW w:w="2417" w:type="pct"/>
            <w:gridSpan w:val="2"/>
          </w:tcPr>
          <w:p w:rsidR="009801A5" w:rsidRPr="00E407E9" w:rsidRDefault="009801A5" w:rsidP="00F74504">
            <w:pPr>
              <w:jc w:val="both"/>
              <w:rPr>
                <w:sz w:val="20"/>
                <w:szCs w:val="20"/>
                <w:lang w:val="fr-CA"/>
              </w:rPr>
            </w:pPr>
            <w:r w:rsidRPr="00E407E9">
              <w:rPr>
                <w:sz w:val="20"/>
                <w:szCs w:val="20"/>
                <w:lang w:val="fr-CA"/>
              </w:rPr>
              <w:t>3 juin 2020</w:t>
            </w:r>
          </w:p>
          <w:p w:rsidR="009801A5" w:rsidRPr="00E407E9" w:rsidRDefault="009801A5" w:rsidP="00F74504">
            <w:pPr>
              <w:jc w:val="both"/>
              <w:rPr>
                <w:sz w:val="20"/>
                <w:szCs w:val="20"/>
                <w:lang w:val="fr-CA"/>
              </w:rPr>
            </w:pPr>
            <w:r w:rsidRPr="00E407E9">
              <w:rPr>
                <w:sz w:val="20"/>
                <w:szCs w:val="20"/>
                <w:lang w:val="fr-CA"/>
              </w:rPr>
              <w:t>Cour d’appel de l’Ontario</w:t>
            </w:r>
          </w:p>
          <w:p w:rsidR="009801A5" w:rsidRPr="00E407E9" w:rsidRDefault="009801A5" w:rsidP="00F74504">
            <w:pPr>
              <w:jc w:val="both"/>
              <w:rPr>
                <w:sz w:val="20"/>
                <w:szCs w:val="20"/>
                <w:lang w:val="fr-CA"/>
              </w:rPr>
            </w:pPr>
            <w:r w:rsidRPr="00E407E9">
              <w:rPr>
                <w:sz w:val="20"/>
                <w:szCs w:val="20"/>
                <w:lang w:val="fr-CA"/>
              </w:rPr>
              <w:t>(Juges Watt, Lauwers, Paciocco)</w:t>
            </w:r>
          </w:p>
          <w:p w:rsidR="009801A5" w:rsidRPr="00E407E9" w:rsidRDefault="00CE6E62" w:rsidP="00F74504">
            <w:pPr>
              <w:jc w:val="both"/>
              <w:rPr>
                <w:sz w:val="20"/>
                <w:szCs w:val="20"/>
                <w:lang w:val="fr-CA"/>
              </w:rPr>
            </w:pPr>
            <w:hyperlink r:id="rId20" w:history="1">
              <w:r w:rsidR="009801A5" w:rsidRPr="00E407E9">
                <w:rPr>
                  <w:rStyle w:val="Hyperlink"/>
                  <w:sz w:val="20"/>
                  <w:szCs w:val="20"/>
                  <w:lang w:val="fr-CA"/>
                </w:rPr>
                <w:t>2020 ONCA 333</w:t>
              </w:r>
            </w:hyperlink>
            <w:r w:rsidR="009801A5" w:rsidRPr="00E407E9">
              <w:rPr>
                <w:sz w:val="20"/>
                <w:szCs w:val="20"/>
                <w:lang w:val="fr-CA"/>
              </w:rPr>
              <w:t xml:space="preserve">; CA64566, 66588 </w:t>
            </w:r>
          </w:p>
          <w:p w:rsidR="009801A5" w:rsidRPr="00E407E9" w:rsidRDefault="009801A5" w:rsidP="00F74504">
            <w:pPr>
              <w:jc w:val="both"/>
              <w:rPr>
                <w:sz w:val="20"/>
                <w:szCs w:val="20"/>
                <w:lang w:val="fr-CA"/>
              </w:rPr>
            </w:pPr>
          </w:p>
        </w:tc>
        <w:tc>
          <w:tcPr>
            <w:tcW w:w="242" w:type="pct"/>
          </w:tcPr>
          <w:p w:rsidR="009801A5" w:rsidRPr="00E407E9" w:rsidRDefault="009801A5" w:rsidP="00F74504">
            <w:pPr>
              <w:jc w:val="both"/>
              <w:rPr>
                <w:sz w:val="20"/>
                <w:szCs w:val="20"/>
                <w:lang w:val="fr-CA"/>
              </w:rPr>
            </w:pPr>
          </w:p>
        </w:tc>
        <w:tc>
          <w:tcPr>
            <w:tcW w:w="2341" w:type="pct"/>
          </w:tcPr>
          <w:p w:rsidR="009801A5" w:rsidRPr="00E407E9" w:rsidRDefault="009801A5" w:rsidP="00F74504">
            <w:pPr>
              <w:jc w:val="both"/>
              <w:rPr>
                <w:sz w:val="20"/>
                <w:szCs w:val="20"/>
                <w:lang w:val="fr-CA"/>
              </w:rPr>
            </w:pPr>
            <w:r w:rsidRPr="00E407E9">
              <w:rPr>
                <w:sz w:val="20"/>
                <w:szCs w:val="20"/>
                <w:lang w:val="fr-CA"/>
              </w:rPr>
              <w:t>L’appel de M. Chan est accueilli, un nouveau procès est ordonné; l’appel de M. Sullivan est accueilli en partie, des acquittements sont prononcés quant aux voies de fait graves et à l’agression armée.</w:t>
            </w:r>
          </w:p>
        </w:tc>
      </w:tr>
      <w:tr w:rsidR="009801A5" w:rsidRPr="001A3EBC" w:rsidTr="00F74504">
        <w:tc>
          <w:tcPr>
            <w:tcW w:w="2417" w:type="pct"/>
            <w:gridSpan w:val="2"/>
          </w:tcPr>
          <w:p w:rsidR="009801A5" w:rsidRPr="00E407E9" w:rsidRDefault="009801A5" w:rsidP="00F74504">
            <w:pPr>
              <w:jc w:val="both"/>
              <w:rPr>
                <w:sz w:val="20"/>
                <w:szCs w:val="20"/>
                <w:lang w:val="fr-CA"/>
              </w:rPr>
            </w:pPr>
            <w:r w:rsidRPr="00E407E9">
              <w:rPr>
                <w:sz w:val="20"/>
                <w:szCs w:val="20"/>
                <w:lang w:val="fr-CA"/>
              </w:rPr>
              <w:t>30 juillet 2020</w:t>
            </w:r>
          </w:p>
          <w:p w:rsidR="009801A5" w:rsidRPr="00E407E9" w:rsidRDefault="009801A5" w:rsidP="00F74504">
            <w:pPr>
              <w:jc w:val="both"/>
              <w:rPr>
                <w:sz w:val="20"/>
                <w:szCs w:val="20"/>
                <w:lang w:val="fr-CA"/>
              </w:rPr>
            </w:pPr>
            <w:r w:rsidRPr="00E407E9">
              <w:rPr>
                <w:sz w:val="20"/>
                <w:szCs w:val="20"/>
                <w:lang w:val="fr-CA"/>
              </w:rPr>
              <w:t>Cour suprême du Canada</w:t>
            </w:r>
          </w:p>
          <w:p w:rsidR="009801A5" w:rsidRPr="00E407E9" w:rsidRDefault="009801A5" w:rsidP="00F74504">
            <w:pPr>
              <w:jc w:val="both"/>
              <w:rPr>
                <w:sz w:val="20"/>
                <w:szCs w:val="20"/>
                <w:lang w:val="fr-CA"/>
              </w:rPr>
            </w:pPr>
          </w:p>
        </w:tc>
        <w:tc>
          <w:tcPr>
            <w:tcW w:w="242" w:type="pct"/>
          </w:tcPr>
          <w:p w:rsidR="009801A5" w:rsidRPr="00E407E9" w:rsidRDefault="009801A5" w:rsidP="00F74504">
            <w:pPr>
              <w:jc w:val="both"/>
              <w:rPr>
                <w:sz w:val="20"/>
                <w:szCs w:val="20"/>
                <w:lang w:val="fr-CA"/>
              </w:rPr>
            </w:pPr>
          </w:p>
        </w:tc>
        <w:tc>
          <w:tcPr>
            <w:tcW w:w="2341" w:type="pct"/>
          </w:tcPr>
          <w:p w:rsidR="009801A5" w:rsidRPr="00E407E9" w:rsidRDefault="009801A5" w:rsidP="00F74504">
            <w:pPr>
              <w:jc w:val="both"/>
              <w:rPr>
                <w:sz w:val="20"/>
                <w:szCs w:val="20"/>
                <w:lang w:val="fr-CA"/>
              </w:rPr>
            </w:pPr>
            <w:r w:rsidRPr="00E407E9">
              <w:rPr>
                <w:sz w:val="20"/>
                <w:szCs w:val="20"/>
                <w:lang w:val="fr-CA"/>
              </w:rPr>
              <w:t>La requête pour joindre les dossiers et la demande d’autorisation d’appel sont présentées.</w:t>
            </w:r>
          </w:p>
        </w:tc>
      </w:tr>
      <w:tr w:rsidR="009801A5" w:rsidRPr="001A3EBC" w:rsidTr="00F74504">
        <w:tc>
          <w:tcPr>
            <w:tcW w:w="2417" w:type="pct"/>
            <w:gridSpan w:val="2"/>
          </w:tcPr>
          <w:p w:rsidR="009801A5" w:rsidRPr="00E407E9" w:rsidRDefault="009801A5" w:rsidP="00F74504">
            <w:pPr>
              <w:jc w:val="both"/>
              <w:rPr>
                <w:sz w:val="20"/>
                <w:szCs w:val="20"/>
                <w:lang w:val="fr-CA"/>
              </w:rPr>
            </w:pPr>
            <w:r w:rsidRPr="00E407E9">
              <w:rPr>
                <w:sz w:val="20"/>
                <w:szCs w:val="20"/>
                <w:lang w:val="fr-CA"/>
              </w:rPr>
              <w:t>9 octobre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2" w:type="pct"/>
          </w:tcPr>
          <w:p w:rsidR="009801A5" w:rsidRPr="00E407E9" w:rsidRDefault="009801A5" w:rsidP="00F74504">
            <w:pPr>
              <w:jc w:val="both"/>
              <w:rPr>
                <w:sz w:val="20"/>
                <w:szCs w:val="20"/>
                <w:lang w:val="fr-CA"/>
              </w:rPr>
            </w:pPr>
          </w:p>
        </w:tc>
        <w:tc>
          <w:tcPr>
            <w:tcW w:w="2341" w:type="pct"/>
          </w:tcPr>
          <w:p w:rsidR="009801A5" w:rsidRPr="00E407E9" w:rsidRDefault="009801A5" w:rsidP="00F74504">
            <w:pPr>
              <w:jc w:val="both"/>
              <w:rPr>
                <w:sz w:val="20"/>
                <w:szCs w:val="20"/>
                <w:lang w:val="fr-CA"/>
              </w:rPr>
            </w:pPr>
            <w:r w:rsidRPr="00E407E9">
              <w:rPr>
                <w:sz w:val="20"/>
                <w:szCs w:val="20"/>
                <w:lang w:val="fr-CA"/>
              </w:rPr>
              <w:t>La demande d’autorisation d’appel incident est présentée par M. Chan.</w:t>
            </w:r>
          </w:p>
        </w:tc>
      </w:tr>
    </w:tbl>
    <w:p w:rsidR="009801A5" w:rsidRPr="00E407E9" w:rsidRDefault="009801A5" w:rsidP="009801A5">
      <w:pPr>
        <w:jc w:val="both"/>
        <w:rPr>
          <w:sz w:val="20"/>
          <w:lang w:val="fr-CA"/>
        </w:rPr>
      </w:pPr>
    </w:p>
    <w:p w:rsidR="009801A5" w:rsidRPr="00E407E9" w:rsidRDefault="00CE6E62" w:rsidP="009801A5">
      <w:pPr>
        <w:jc w:val="both"/>
        <w:rPr>
          <w:sz w:val="20"/>
          <w:szCs w:val="20"/>
          <w:lang w:val="fr-CA"/>
        </w:rPr>
      </w:pPr>
      <w:r>
        <w:rPr>
          <w:sz w:val="20"/>
        </w:rPr>
        <w:pict>
          <v:rect id="_x0000_i1065"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p w:rsidR="00886B54" w:rsidRPr="00E407E9" w:rsidRDefault="00886B54">
      <w:r w:rsidRPr="00E407E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lastRenderedPageBreak/>
              <w:t>39308</w:t>
            </w:r>
          </w:p>
        </w:tc>
        <w:tc>
          <w:tcPr>
            <w:tcW w:w="4457" w:type="pct"/>
            <w:gridSpan w:val="3"/>
          </w:tcPr>
          <w:p w:rsidR="009801A5" w:rsidRPr="00E407E9" w:rsidRDefault="009801A5" w:rsidP="00F74504">
            <w:pPr>
              <w:pStyle w:val="SCCLsocParty"/>
              <w:jc w:val="both"/>
              <w:rPr>
                <w:b/>
                <w:sz w:val="20"/>
                <w:szCs w:val="20"/>
                <w:lang w:val="en-US"/>
              </w:rPr>
            </w:pPr>
            <w:r w:rsidRPr="00E407E9">
              <w:rPr>
                <w:b/>
                <w:sz w:val="20"/>
                <w:szCs w:val="20"/>
                <w:lang w:val="en-US"/>
              </w:rPr>
              <w:t>Mohammed Al-Ghamdi v. College of Physicians and Surgeons of Alberta</w:t>
            </w:r>
          </w:p>
          <w:p w:rsidR="009801A5" w:rsidRPr="00E407E9" w:rsidRDefault="009801A5" w:rsidP="00F74504">
            <w:pPr>
              <w:jc w:val="both"/>
              <w:rPr>
                <w:sz w:val="20"/>
                <w:szCs w:val="20"/>
              </w:rPr>
            </w:pPr>
            <w:r w:rsidRPr="00E407E9">
              <w:rPr>
                <w:sz w:val="20"/>
              </w:rPr>
              <w:t>(Alta.) (Civil) (By Leave)</w:t>
            </w:r>
          </w:p>
        </w:tc>
      </w:tr>
      <w:tr w:rsidR="009801A5" w:rsidRPr="00E407E9" w:rsidTr="00F74504">
        <w:tc>
          <w:tcPr>
            <w:tcW w:w="5000" w:type="pct"/>
            <w:gridSpan w:val="4"/>
          </w:tcPr>
          <w:p w:rsidR="000C6047" w:rsidRPr="00E407E9" w:rsidRDefault="000C6047" w:rsidP="000C6047">
            <w:pPr>
              <w:jc w:val="both"/>
              <w:rPr>
                <w:sz w:val="20"/>
                <w:szCs w:val="20"/>
              </w:rPr>
            </w:pPr>
            <w:r w:rsidRPr="00E407E9">
              <w:rPr>
                <w:sz w:val="20"/>
                <w:szCs w:val="20"/>
              </w:rPr>
              <w:t>The application for leave to appeal from the judgment of the Court of Appeal of Alberta (Edmonton), Number 1803-0356-AC, 2020 ABCA 71, dated February 19, 2020, is dismissed with costs.</w:t>
            </w:r>
          </w:p>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t>Law of professions — Discipline — Whether a professional can be tried for disruptive conduct regardless of whether that phrase appears in the governing statute or Rules of Conduct for the profession — Whether a proper credibility assessment of a witness is limited to what is said on the stand, under oath, along with the demeanour of the witness and other classical considerations of credibility.</w:t>
            </w:r>
          </w:p>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Dr. Al</w:t>
            </w:r>
            <w:r w:rsidRPr="00E407E9">
              <w:rPr>
                <w:sz w:val="20"/>
                <w:szCs w:val="20"/>
              </w:rPr>
              <w:noBreakHyphen/>
              <w:t>Ghamdi is an orthopedic surgeon who was charged with engaging in disruptive conduct amounting to unprofessional misconduct. His skill as a surgeon was never in question. His working relationship with other healthcare staff deteriorated to the point that some other members of the staff refused to work with him. The allegation included 13 particular incidents, but the thrust of the allegation was a pattern of disruptive conduct over an 11 year period between 2003 and 2014. After a 47 day hearing, involving approximately 67 witnesses, the Hearing Tribunal of the College of Physicians and Surgeons of Alberta found that 8 of the 13 particulars had been proven, and that the overall allegation of disruptive conduct was made out. Dr. Al</w:t>
            </w:r>
            <w:r w:rsidRPr="00E407E9">
              <w:rPr>
                <w:sz w:val="20"/>
                <w:szCs w:val="20"/>
              </w:rPr>
              <w:noBreakHyphen/>
              <w:t>Ghamdi’s licence and practice were suspended for three years, after which time he could apply to have his license and permit reinstated if he had met certain conditions. His appeal to the Council Review Panel of the College of Physicians and Surgeons of Alberta was dismissed as was his subsequent appeal to the Court of Appeal.</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April 11, 2017</w:t>
            </w:r>
          </w:p>
          <w:p w:rsidR="009801A5" w:rsidRPr="00E407E9" w:rsidRDefault="009801A5" w:rsidP="00F74504">
            <w:pPr>
              <w:jc w:val="both"/>
              <w:rPr>
                <w:sz w:val="20"/>
                <w:szCs w:val="20"/>
              </w:rPr>
            </w:pPr>
            <w:r w:rsidRPr="00E407E9">
              <w:rPr>
                <w:sz w:val="20"/>
                <w:szCs w:val="20"/>
              </w:rPr>
              <w:t>Hearing Tribunal of the College of Physicians and Surgeons of Alberta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Applicant guilty of unprofessional conduct</w:t>
            </w: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December 21, 2017</w:t>
            </w:r>
          </w:p>
          <w:p w:rsidR="009801A5" w:rsidRPr="00E407E9" w:rsidRDefault="009801A5" w:rsidP="00F74504">
            <w:pPr>
              <w:jc w:val="both"/>
              <w:rPr>
                <w:sz w:val="20"/>
                <w:szCs w:val="20"/>
              </w:rPr>
            </w:pPr>
            <w:r w:rsidRPr="00E407E9">
              <w:rPr>
                <w:sz w:val="20"/>
                <w:szCs w:val="20"/>
              </w:rPr>
              <w:t>Hearing Tribunal of the College of Physicians and Surgeons of Alberta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Applicant’s license and practice permit suspended for three years</w:t>
            </w: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November 20, 2018</w:t>
            </w:r>
          </w:p>
          <w:p w:rsidR="009801A5" w:rsidRPr="00E407E9" w:rsidRDefault="009801A5" w:rsidP="00F74504">
            <w:pPr>
              <w:jc w:val="both"/>
              <w:rPr>
                <w:sz w:val="20"/>
                <w:szCs w:val="20"/>
              </w:rPr>
            </w:pPr>
            <w:r w:rsidRPr="00E407E9">
              <w:rPr>
                <w:sz w:val="20"/>
                <w:szCs w:val="20"/>
              </w:rPr>
              <w:t>Council Review Panel of the College of Physicians and Surgeons Alberta</w:t>
            </w:r>
          </w:p>
          <w:p w:rsidR="009801A5" w:rsidRPr="00E407E9" w:rsidRDefault="009801A5" w:rsidP="00F74504">
            <w:pPr>
              <w:jc w:val="both"/>
              <w:rPr>
                <w:sz w:val="20"/>
                <w:szCs w:val="20"/>
              </w:rPr>
            </w:pPr>
            <w:r w:rsidRPr="00E407E9">
              <w:rPr>
                <w:sz w:val="20"/>
                <w:szCs w:val="20"/>
              </w:rPr>
              <w:t xml:space="preserve"> </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Appeal dismissed</w:t>
            </w:r>
          </w:p>
          <w:p w:rsidR="009801A5" w:rsidRPr="00E407E9" w:rsidRDefault="009801A5" w:rsidP="00F74504">
            <w:pPr>
              <w:jc w:val="both"/>
              <w:rPr>
                <w:sz w:val="20"/>
                <w:szCs w:val="20"/>
              </w:rPr>
            </w:pPr>
            <w:r w:rsidRPr="00E407E9">
              <w:rPr>
                <w:sz w:val="20"/>
                <w:szCs w:val="20"/>
              </w:rPr>
              <w:t xml:space="preserve"> </w:t>
            </w: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February 19, 2020</w:t>
            </w:r>
          </w:p>
          <w:p w:rsidR="009801A5" w:rsidRPr="00E407E9" w:rsidRDefault="009801A5" w:rsidP="00F74504">
            <w:pPr>
              <w:jc w:val="both"/>
              <w:rPr>
                <w:sz w:val="20"/>
                <w:szCs w:val="20"/>
              </w:rPr>
            </w:pPr>
            <w:r w:rsidRPr="00E407E9">
              <w:rPr>
                <w:sz w:val="20"/>
                <w:szCs w:val="20"/>
              </w:rPr>
              <w:t>Court of Appeal of Alberta (Edmonton)</w:t>
            </w:r>
          </w:p>
          <w:p w:rsidR="009801A5" w:rsidRPr="00E407E9" w:rsidRDefault="009801A5" w:rsidP="00F74504">
            <w:pPr>
              <w:jc w:val="both"/>
              <w:rPr>
                <w:sz w:val="20"/>
                <w:szCs w:val="20"/>
              </w:rPr>
            </w:pPr>
            <w:r w:rsidRPr="00E407E9">
              <w:rPr>
                <w:sz w:val="20"/>
                <w:szCs w:val="20"/>
              </w:rPr>
              <w:t>(Slatter, Bielby and O’Ferrall JJ.A.)</w:t>
            </w:r>
          </w:p>
          <w:p w:rsidR="009801A5" w:rsidRPr="00E407E9" w:rsidRDefault="00CE6E62" w:rsidP="00F74504">
            <w:pPr>
              <w:jc w:val="both"/>
              <w:rPr>
                <w:sz w:val="20"/>
                <w:szCs w:val="20"/>
              </w:rPr>
            </w:pPr>
            <w:hyperlink r:id="rId21" w:history="1">
              <w:r w:rsidR="009801A5" w:rsidRPr="00E407E9">
                <w:rPr>
                  <w:rStyle w:val="Hyperlink"/>
                  <w:sz w:val="20"/>
                  <w:szCs w:val="20"/>
                </w:rPr>
                <w:t>2020 ABCA 71</w:t>
              </w:r>
            </w:hyperlink>
            <w:r w:rsidR="009801A5" w:rsidRPr="00E407E9">
              <w:rPr>
                <w:sz w:val="20"/>
                <w:szCs w:val="20"/>
              </w:rPr>
              <w:t>; 1803</w:t>
            </w:r>
            <w:r w:rsidR="009801A5" w:rsidRPr="00E407E9">
              <w:rPr>
                <w:sz w:val="20"/>
                <w:szCs w:val="20"/>
              </w:rPr>
              <w:noBreakHyphen/>
              <w:t>0356</w:t>
            </w:r>
            <w:r w:rsidR="009801A5" w:rsidRPr="00E407E9">
              <w:rPr>
                <w:sz w:val="20"/>
                <w:szCs w:val="20"/>
              </w:rPr>
              <w:noBreakHyphen/>
              <w:t>AC</w:t>
            </w:r>
          </w:p>
          <w:p w:rsidR="009801A5" w:rsidRPr="00E407E9" w:rsidRDefault="009801A5" w:rsidP="00F74504">
            <w:pPr>
              <w:jc w:val="both"/>
              <w:rPr>
                <w:sz w:val="20"/>
                <w:szCs w:val="20"/>
              </w:rPr>
            </w:pPr>
            <w:r w:rsidRPr="00E407E9">
              <w:rPr>
                <w:sz w:val="20"/>
                <w:szCs w:val="20"/>
              </w:rPr>
              <w:t xml:space="preserve"> </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Appeal dismissed</w:t>
            </w:r>
          </w:p>
          <w:p w:rsidR="009801A5" w:rsidRPr="00E407E9" w:rsidRDefault="009801A5" w:rsidP="00F74504">
            <w:pPr>
              <w:jc w:val="both"/>
              <w:rPr>
                <w:sz w:val="20"/>
                <w:szCs w:val="20"/>
              </w:rPr>
            </w:pPr>
            <w:r w:rsidRPr="00E407E9">
              <w:rPr>
                <w:sz w:val="20"/>
                <w:szCs w:val="20"/>
              </w:rPr>
              <w:t xml:space="preserve"> </w:t>
            </w: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April 14,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filed</w:t>
            </w:r>
          </w:p>
          <w:p w:rsidR="009801A5" w:rsidRPr="00E407E9" w:rsidRDefault="009801A5" w:rsidP="00F74504">
            <w:pPr>
              <w:jc w:val="both"/>
              <w:rPr>
                <w:sz w:val="20"/>
                <w:szCs w:val="20"/>
              </w:rPr>
            </w:pP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66"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39308</w:t>
            </w:r>
          </w:p>
        </w:tc>
        <w:tc>
          <w:tcPr>
            <w:tcW w:w="4457" w:type="pct"/>
          </w:tcPr>
          <w:p w:rsidR="009801A5" w:rsidRPr="00E407E9" w:rsidRDefault="009801A5" w:rsidP="00F74504">
            <w:pPr>
              <w:pStyle w:val="SCCLsocParty"/>
              <w:jc w:val="both"/>
              <w:rPr>
                <w:b/>
                <w:sz w:val="20"/>
                <w:szCs w:val="20"/>
                <w:lang w:val="en-US"/>
              </w:rPr>
            </w:pPr>
            <w:r w:rsidRPr="00E407E9">
              <w:rPr>
                <w:b/>
                <w:sz w:val="20"/>
                <w:szCs w:val="20"/>
                <w:lang w:val="en-US"/>
              </w:rPr>
              <w:t>Mohammed Al-Ghamdi c. College of Physicians and Surgeons of Alberta</w:t>
            </w:r>
          </w:p>
          <w:p w:rsidR="009801A5" w:rsidRPr="00E407E9" w:rsidRDefault="009801A5" w:rsidP="00F74504">
            <w:pPr>
              <w:jc w:val="both"/>
              <w:rPr>
                <w:sz w:val="20"/>
                <w:szCs w:val="20"/>
                <w:lang w:val="fr-CA"/>
              </w:rPr>
            </w:pPr>
            <w:r w:rsidRPr="00E407E9">
              <w:rPr>
                <w:sz w:val="20"/>
                <w:szCs w:val="20"/>
                <w:lang w:val="fr-CA"/>
              </w:rPr>
              <w:t>(Al</w:t>
            </w:r>
            <w:r w:rsidRPr="00E407E9">
              <w:rPr>
                <w:sz w:val="20"/>
                <w:lang w:val="fr-CA"/>
              </w:rPr>
              <w:t>b.) (Civile) (Sur autorisation)</w:t>
            </w:r>
          </w:p>
        </w:tc>
      </w:tr>
      <w:tr w:rsidR="009801A5" w:rsidRPr="001A3EBC" w:rsidTr="00F74504">
        <w:tc>
          <w:tcPr>
            <w:tcW w:w="5000" w:type="pct"/>
            <w:gridSpan w:val="2"/>
          </w:tcPr>
          <w:p w:rsidR="009801A5" w:rsidRPr="00E407E9" w:rsidRDefault="000C6047" w:rsidP="00F74504">
            <w:pPr>
              <w:jc w:val="both"/>
              <w:rPr>
                <w:sz w:val="20"/>
                <w:szCs w:val="20"/>
                <w:lang w:val="fr-CA"/>
              </w:rPr>
            </w:pPr>
            <w:r w:rsidRPr="00E407E9">
              <w:rPr>
                <w:sz w:val="20"/>
                <w:szCs w:val="20"/>
                <w:lang w:val="fr-CA"/>
              </w:rPr>
              <w:t>La demande d’autorisation d’appel de l’arrêt de la Cour d’appel de l’Alberta (Edmonton), numéro 1803-0356-AC, 2020 ABCA 71, daté du 19 février 2020, est rejet</w:t>
            </w:r>
            <w:r w:rsidRPr="00E407E9">
              <w:rPr>
                <w:rFonts w:cs="Times New Roman"/>
                <w:sz w:val="20"/>
                <w:szCs w:val="20"/>
                <w:lang w:val="fr-CA"/>
              </w:rPr>
              <w:t>é</w:t>
            </w:r>
            <w:r w:rsidRPr="00E407E9">
              <w:rPr>
                <w:sz w:val="20"/>
                <w:szCs w:val="20"/>
                <w:lang w:val="fr-CA"/>
              </w:rPr>
              <w:t>e avec d</w:t>
            </w:r>
            <w:r w:rsidRPr="00E407E9">
              <w:rPr>
                <w:rFonts w:cs="Times New Roman"/>
                <w:sz w:val="20"/>
                <w:szCs w:val="20"/>
                <w:lang w:val="fr-CA"/>
              </w:rPr>
              <w:t>é</w:t>
            </w:r>
            <w:r w:rsidRPr="00E407E9">
              <w:rPr>
                <w:sz w:val="20"/>
                <w:szCs w:val="20"/>
                <w:lang w:val="fr-CA"/>
              </w:rPr>
              <w:t>pens.</w:t>
            </w:r>
          </w:p>
          <w:p w:rsidR="000C6047" w:rsidRPr="00E407E9" w:rsidRDefault="000C6047" w:rsidP="00F74504">
            <w:pPr>
              <w:jc w:val="both"/>
              <w:rPr>
                <w:sz w:val="20"/>
                <w:szCs w:val="20"/>
                <w:lang w:val="fr-CA"/>
              </w:rPr>
            </w:pPr>
          </w:p>
        </w:tc>
      </w:tr>
    </w:tbl>
    <w:p w:rsidR="00886B54" w:rsidRPr="00E407E9" w:rsidRDefault="00886B54">
      <w:pPr>
        <w:rPr>
          <w:lang w:val="fr-CA"/>
        </w:rPr>
      </w:pPr>
      <w:r w:rsidRPr="00E407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1A3EBC" w:rsidTr="00F74504">
        <w:tc>
          <w:tcPr>
            <w:tcW w:w="5000" w:type="pct"/>
            <w:gridSpan w:val="3"/>
          </w:tcPr>
          <w:p w:rsidR="009801A5" w:rsidRPr="00E407E9" w:rsidRDefault="009801A5" w:rsidP="00F74504">
            <w:pPr>
              <w:jc w:val="both"/>
              <w:rPr>
                <w:sz w:val="20"/>
                <w:szCs w:val="20"/>
                <w:lang w:val="fr-CA"/>
              </w:rPr>
            </w:pPr>
            <w:r w:rsidRPr="00E407E9">
              <w:rPr>
                <w:sz w:val="20"/>
                <w:szCs w:val="20"/>
                <w:lang w:val="fr-CA"/>
              </w:rPr>
              <w:lastRenderedPageBreak/>
              <w:t>Droit des professions — Discipline — Un professionnel peut</w:t>
            </w:r>
            <w:r w:rsidRPr="00E407E9">
              <w:rPr>
                <w:sz w:val="20"/>
                <w:szCs w:val="20"/>
                <w:lang w:val="fr-CA"/>
              </w:rPr>
              <w:noBreakHyphen/>
              <w:t>il subir un procès pour conduite perturbatrice, peu importe que cette expression apparaisse ou non dans la loi applicable ou les règles de conduite de la profession en question ? — Une évaluation adéquate de la crédibilité d’un témoin se limite</w:t>
            </w:r>
            <w:r w:rsidRPr="00E407E9">
              <w:rPr>
                <w:sz w:val="20"/>
                <w:szCs w:val="20"/>
                <w:lang w:val="fr-CA"/>
              </w:rPr>
              <w:noBreakHyphen/>
              <w:t>t</w:t>
            </w:r>
            <w:r w:rsidRPr="00E407E9">
              <w:rPr>
                <w:sz w:val="20"/>
                <w:szCs w:val="20"/>
                <w:lang w:val="fr-CA"/>
              </w:rPr>
              <w:noBreakHyphen/>
              <w:t>elle à ce qui est dit à la barre, sous serment, ainsi qu’au comportement du témoin et aux facteurs dont il est habituellement tenu compte pour évaluer la crédibilité ?</w:t>
            </w:r>
          </w:p>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Le Dr Al</w:t>
            </w:r>
            <w:r w:rsidRPr="00E407E9">
              <w:rPr>
                <w:sz w:val="20"/>
                <w:szCs w:val="20"/>
                <w:lang w:val="fr-CA"/>
              </w:rPr>
              <w:noBreakHyphen/>
              <w:t>Ghamdi est un chirurgien orthopédiste qui a été accusé de conduite perturbatrice équivalant à un manquement professionnel. Les compétences de ce dernier en tant que chirurgien n’ont jamais été en cause. Sa relation de travail avec d’autres membres du personnel de soins de la santé s’est détériorée à un tel point que certains d’entre eux ont refusé de travailler avec lui. Treize incidents particuliers faisaient partie des allégations, mais celles</w:t>
            </w:r>
            <w:r w:rsidRPr="00E407E9">
              <w:rPr>
                <w:sz w:val="20"/>
                <w:szCs w:val="20"/>
                <w:lang w:val="fr-CA"/>
              </w:rPr>
              <w:noBreakHyphen/>
              <w:t>ci dénotaient essentiellement une conduite perturbatrice se répétant sur une période de 11 ans, soit de 2003 à 2014. À la suite d’une audience de 47 jours, à laquelle environ 67 témoins ont participé, le tribunal du College of Physicians and Surgeons of Alberta a conclu que huit des treize allégations avaient été prouvées, et que l’allégation de conduite perturbatrice, dans son ensemble, avait été établie. La licence et le droit d’exercice du Dr Al</w:t>
            </w:r>
            <w:r w:rsidRPr="00E407E9">
              <w:rPr>
                <w:sz w:val="20"/>
                <w:szCs w:val="20"/>
                <w:lang w:val="fr-CA"/>
              </w:rPr>
              <w:noBreakHyphen/>
              <w:t>Ghamdi ont été suspendus pendant une période de trois ans, à la suite de laquelle il pourrait demander le rétablissement de sa licence et son droit d’exercice à certaines conditions. Son appel devant la commission d’examen du College of Physicians and Surgeons of Alberta a été rejeté aussi bien que son appel subséquent devant la Cour d’appel.</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rPr>
            </w:pPr>
            <w:r w:rsidRPr="00E407E9">
              <w:rPr>
                <w:sz w:val="20"/>
                <w:szCs w:val="20"/>
              </w:rPr>
              <w:t>11 avril 2017</w:t>
            </w:r>
          </w:p>
          <w:p w:rsidR="009801A5" w:rsidRPr="00E407E9" w:rsidRDefault="009801A5" w:rsidP="00F74504">
            <w:pPr>
              <w:jc w:val="both"/>
              <w:rPr>
                <w:sz w:val="20"/>
                <w:szCs w:val="20"/>
              </w:rPr>
            </w:pPr>
            <w:r w:rsidRPr="00E407E9">
              <w:rPr>
                <w:sz w:val="20"/>
                <w:szCs w:val="20"/>
              </w:rPr>
              <w:t>Hearing Tribunal, College of Physicians and Surgeons of Alberta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Le demandeur est déclaré coupable de manquement professionnel. </w:t>
            </w:r>
          </w:p>
        </w:tc>
      </w:tr>
      <w:tr w:rsidR="009801A5" w:rsidRPr="001A3EBC" w:rsidTr="00F74504">
        <w:tc>
          <w:tcPr>
            <w:tcW w:w="2427" w:type="pct"/>
          </w:tcPr>
          <w:p w:rsidR="009801A5" w:rsidRPr="00E407E9" w:rsidRDefault="009801A5" w:rsidP="00F74504">
            <w:pPr>
              <w:jc w:val="both"/>
              <w:rPr>
                <w:sz w:val="20"/>
                <w:szCs w:val="20"/>
              </w:rPr>
            </w:pPr>
            <w:r w:rsidRPr="00E407E9">
              <w:rPr>
                <w:sz w:val="20"/>
                <w:szCs w:val="20"/>
              </w:rPr>
              <w:t>21 décembre 2017</w:t>
            </w:r>
          </w:p>
          <w:p w:rsidR="009801A5" w:rsidRPr="00E407E9" w:rsidRDefault="009801A5" w:rsidP="00F74504">
            <w:pPr>
              <w:jc w:val="both"/>
              <w:rPr>
                <w:sz w:val="20"/>
                <w:szCs w:val="20"/>
              </w:rPr>
            </w:pPr>
            <w:r w:rsidRPr="00E407E9">
              <w:rPr>
                <w:sz w:val="20"/>
                <w:szCs w:val="20"/>
              </w:rPr>
              <w:t>Hearing Tribunal, College of Physicians and Surgeons of Alberta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La licence et le droit d’exercice du demandeur sont suspendus pendant trois ans.</w:t>
            </w: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20 novembre 2018</w:t>
            </w:r>
          </w:p>
          <w:p w:rsidR="009801A5" w:rsidRPr="00E407E9" w:rsidRDefault="009801A5" w:rsidP="00F74504">
            <w:pPr>
              <w:jc w:val="both"/>
              <w:rPr>
                <w:sz w:val="20"/>
                <w:szCs w:val="20"/>
              </w:rPr>
            </w:pPr>
            <w:r w:rsidRPr="00E407E9">
              <w:rPr>
                <w:sz w:val="20"/>
                <w:szCs w:val="20"/>
              </w:rPr>
              <w:t>Council Review Panel, College of Physicians and Surgeons Alberta</w:t>
            </w:r>
          </w:p>
          <w:p w:rsidR="009801A5" w:rsidRPr="00E407E9" w:rsidRDefault="009801A5" w:rsidP="00F74504">
            <w:pPr>
              <w:jc w:val="both"/>
              <w:rPr>
                <w:sz w:val="20"/>
                <w:szCs w:val="20"/>
              </w:rPr>
            </w:pPr>
            <w:r w:rsidRPr="00E407E9">
              <w:rPr>
                <w:sz w:val="20"/>
                <w:szCs w:val="20"/>
              </w:rPr>
              <w:t xml:space="preserve"> </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L’appel est rejeté.</w:t>
            </w:r>
          </w:p>
          <w:p w:rsidR="009801A5" w:rsidRPr="00E407E9" w:rsidRDefault="009801A5" w:rsidP="00F74504">
            <w:pPr>
              <w:jc w:val="both"/>
              <w:rPr>
                <w:sz w:val="20"/>
                <w:szCs w:val="20"/>
                <w:lang w:val="fr-CA"/>
              </w:rPr>
            </w:pPr>
            <w:r w:rsidRPr="00E407E9">
              <w:rPr>
                <w:sz w:val="20"/>
                <w:szCs w:val="20"/>
                <w:lang w:val="fr-CA"/>
              </w:rPr>
              <w:t xml:space="preserve"> </w:t>
            </w:r>
          </w:p>
        </w:tc>
      </w:tr>
      <w:tr w:rsidR="009801A5" w:rsidRPr="00E407E9" w:rsidTr="00F74504">
        <w:tc>
          <w:tcPr>
            <w:tcW w:w="2427" w:type="pct"/>
          </w:tcPr>
          <w:p w:rsidR="009801A5" w:rsidRPr="00E407E9" w:rsidRDefault="009801A5" w:rsidP="00F74504">
            <w:pPr>
              <w:jc w:val="both"/>
              <w:rPr>
                <w:sz w:val="20"/>
                <w:szCs w:val="20"/>
                <w:lang w:val="fr-CA"/>
              </w:rPr>
            </w:pPr>
            <w:r w:rsidRPr="00E407E9">
              <w:rPr>
                <w:sz w:val="20"/>
                <w:szCs w:val="20"/>
                <w:lang w:val="fr-CA"/>
              </w:rPr>
              <w:t>19 février 2020</w:t>
            </w:r>
          </w:p>
          <w:p w:rsidR="009801A5" w:rsidRPr="00E407E9" w:rsidRDefault="009801A5" w:rsidP="00F74504">
            <w:pPr>
              <w:jc w:val="both"/>
              <w:rPr>
                <w:sz w:val="20"/>
                <w:szCs w:val="20"/>
                <w:lang w:val="fr-CA"/>
              </w:rPr>
            </w:pPr>
            <w:r w:rsidRPr="00E407E9">
              <w:rPr>
                <w:sz w:val="20"/>
                <w:szCs w:val="20"/>
                <w:lang w:val="fr-CA"/>
              </w:rPr>
              <w:t>Cour d’appel de l’Alberta (Edmonton)</w:t>
            </w:r>
          </w:p>
          <w:p w:rsidR="009801A5" w:rsidRPr="00E407E9" w:rsidRDefault="009801A5" w:rsidP="00F74504">
            <w:pPr>
              <w:jc w:val="both"/>
              <w:rPr>
                <w:sz w:val="20"/>
                <w:szCs w:val="20"/>
                <w:lang w:val="fr-CA"/>
              </w:rPr>
            </w:pPr>
            <w:r w:rsidRPr="00E407E9">
              <w:rPr>
                <w:sz w:val="20"/>
                <w:szCs w:val="20"/>
                <w:lang w:val="fr-CA"/>
              </w:rPr>
              <w:t>(Juges Slatter, Bielby et O’Ferrall)</w:t>
            </w:r>
          </w:p>
          <w:p w:rsidR="009801A5" w:rsidRPr="00E407E9" w:rsidRDefault="00CE6E62" w:rsidP="00F74504">
            <w:pPr>
              <w:jc w:val="both"/>
              <w:rPr>
                <w:sz w:val="20"/>
                <w:szCs w:val="20"/>
                <w:lang w:val="fr-CA"/>
              </w:rPr>
            </w:pPr>
            <w:hyperlink r:id="rId22" w:history="1">
              <w:r w:rsidR="009801A5" w:rsidRPr="00E407E9">
                <w:rPr>
                  <w:rStyle w:val="Hyperlink"/>
                  <w:sz w:val="20"/>
                  <w:szCs w:val="20"/>
                  <w:lang w:val="fr-CA"/>
                </w:rPr>
                <w:t>2020 ABCA 71</w:t>
              </w:r>
            </w:hyperlink>
            <w:r w:rsidR="009801A5" w:rsidRPr="00E407E9">
              <w:rPr>
                <w:sz w:val="20"/>
                <w:szCs w:val="20"/>
                <w:lang w:val="fr-CA"/>
              </w:rPr>
              <w:t>; 1803</w:t>
            </w:r>
            <w:r w:rsidR="009801A5" w:rsidRPr="00E407E9">
              <w:rPr>
                <w:sz w:val="20"/>
                <w:szCs w:val="20"/>
                <w:lang w:val="fr-CA"/>
              </w:rPr>
              <w:noBreakHyphen/>
              <w:t>0356</w:t>
            </w:r>
            <w:r w:rsidR="009801A5" w:rsidRPr="00E407E9">
              <w:rPr>
                <w:sz w:val="20"/>
                <w:szCs w:val="20"/>
                <w:lang w:val="fr-CA"/>
              </w:rPr>
              <w:noBreakHyphen/>
              <w:t>AC</w:t>
            </w:r>
          </w:p>
          <w:p w:rsidR="009801A5" w:rsidRPr="00E407E9" w:rsidRDefault="009801A5" w:rsidP="00F74504">
            <w:pPr>
              <w:jc w:val="both"/>
              <w:rPr>
                <w:sz w:val="20"/>
                <w:szCs w:val="20"/>
                <w:lang w:val="fr-CA"/>
              </w:rPr>
            </w:pPr>
            <w:r w:rsidRPr="00E407E9">
              <w:rPr>
                <w:sz w:val="20"/>
                <w:szCs w:val="20"/>
                <w:lang w:val="fr-CA"/>
              </w:rPr>
              <w:t xml:space="preserve"> </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L’appel est rejeté. </w:t>
            </w: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14 avril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La demande d’autorisation d’appel est présentée.</w:t>
            </w:r>
          </w:p>
        </w:tc>
      </w:tr>
    </w:tbl>
    <w:p w:rsidR="009801A5" w:rsidRPr="00E407E9" w:rsidRDefault="009801A5" w:rsidP="009801A5">
      <w:pPr>
        <w:jc w:val="both"/>
        <w:rPr>
          <w:sz w:val="20"/>
          <w:lang w:val="fr-CA"/>
        </w:rPr>
      </w:pPr>
    </w:p>
    <w:p w:rsidR="009801A5" w:rsidRPr="00E407E9" w:rsidRDefault="00CE6E62" w:rsidP="009801A5">
      <w:pPr>
        <w:jc w:val="both"/>
        <w:rPr>
          <w:sz w:val="20"/>
          <w:szCs w:val="20"/>
          <w:lang w:val="fr-CA"/>
        </w:rPr>
      </w:pPr>
      <w:r>
        <w:rPr>
          <w:sz w:val="20"/>
        </w:rPr>
        <w:pict>
          <v:rect id="_x0000_i1067"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39097</w:t>
            </w:r>
          </w:p>
        </w:tc>
        <w:tc>
          <w:tcPr>
            <w:tcW w:w="4457" w:type="pct"/>
          </w:tcPr>
          <w:p w:rsidR="009801A5" w:rsidRPr="00E407E9" w:rsidRDefault="009801A5" w:rsidP="00F74504">
            <w:pPr>
              <w:pStyle w:val="SCCLsocParty"/>
              <w:jc w:val="both"/>
              <w:rPr>
                <w:b/>
                <w:sz w:val="20"/>
                <w:szCs w:val="20"/>
                <w:lang w:val="en-CA"/>
              </w:rPr>
            </w:pPr>
            <w:r w:rsidRPr="00E407E9">
              <w:rPr>
                <w:b/>
                <w:sz w:val="20"/>
                <w:szCs w:val="20"/>
                <w:lang w:val="en-CA"/>
              </w:rPr>
              <w:t>Attorney General of Canada on behalf of Her Majesty in Right of Canada v. General Dynamics Ordnance and Tactical Systems-Canada Inc., Valcartier Real Estate Corporation Inc.</w:t>
            </w:r>
            <w:r w:rsidR="000C6047" w:rsidRPr="00E407E9">
              <w:rPr>
                <w:b/>
                <w:sz w:val="20"/>
                <w:szCs w:val="20"/>
                <w:lang w:val="en-CA"/>
              </w:rPr>
              <w:t xml:space="preserve"> and</w:t>
            </w:r>
            <w:r w:rsidRPr="00E407E9">
              <w:rPr>
                <w:b/>
                <w:sz w:val="20"/>
                <w:szCs w:val="20"/>
                <w:lang w:val="en-CA"/>
              </w:rPr>
              <w:t xml:space="preserve"> Marie-Paule Spieser</w:t>
            </w:r>
          </w:p>
          <w:p w:rsidR="009801A5" w:rsidRPr="00E407E9" w:rsidRDefault="009801A5" w:rsidP="00F74504">
            <w:pPr>
              <w:jc w:val="both"/>
              <w:rPr>
                <w:sz w:val="20"/>
                <w:szCs w:val="20"/>
              </w:rPr>
            </w:pPr>
            <w:r w:rsidRPr="00E407E9">
              <w:rPr>
                <w:sz w:val="20"/>
                <w:szCs w:val="20"/>
              </w:rPr>
              <w:t>(Que.) (Civil) (By Leave)</w:t>
            </w:r>
          </w:p>
        </w:tc>
      </w:tr>
      <w:tr w:rsidR="009801A5" w:rsidRPr="00E407E9" w:rsidTr="00F74504">
        <w:tc>
          <w:tcPr>
            <w:tcW w:w="5000" w:type="pct"/>
            <w:gridSpan w:val="2"/>
          </w:tcPr>
          <w:p w:rsidR="000C6047" w:rsidRPr="00E407E9" w:rsidRDefault="000C6047" w:rsidP="000C6047">
            <w:pPr>
              <w:jc w:val="both"/>
              <w:rPr>
                <w:sz w:val="20"/>
                <w:szCs w:val="20"/>
              </w:rPr>
            </w:pPr>
            <w:r w:rsidRPr="00E407E9">
              <w:rPr>
                <w:sz w:val="20"/>
                <w:szCs w:val="20"/>
              </w:rPr>
              <w:t xml:space="preserve">The application for leave to appeal from the judgment of the </w:t>
            </w:r>
            <w:r w:rsidRPr="00E407E9">
              <w:rPr>
                <w:sz w:val="20"/>
                <w:szCs w:val="20"/>
                <w:lang w:val="en-US"/>
              </w:rPr>
              <w:t>Court of Appeal of Quebec (Québec)</w:t>
            </w:r>
            <w:r w:rsidRPr="00E407E9">
              <w:rPr>
                <w:sz w:val="20"/>
                <w:szCs w:val="20"/>
              </w:rPr>
              <w:t xml:space="preserve">, Number </w:t>
            </w:r>
            <w:r w:rsidRPr="00E407E9">
              <w:rPr>
                <w:sz w:val="20"/>
                <w:szCs w:val="20"/>
                <w:lang w:val="en-US"/>
              </w:rPr>
              <w:t>200-09-007773-127, 2020 QCCA 42</w:t>
            </w:r>
            <w:r w:rsidRPr="00E407E9">
              <w:rPr>
                <w:sz w:val="20"/>
                <w:szCs w:val="20"/>
              </w:rPr>
              <w:t xml:space="preserve">, dated </w:t>
            </w:r>
            <w:r w:rsidRPr="00E407E9">
              <w:rPr>
                <w:sz w:val="20"/>
                <w:szCs w:val="20"/>
                <w:lang w:val="en-US"/>
              </w:rPr>
              <w:t>January 17, 2020,</w:t>
            </w:r>
            <w:r w:rsidRPr="00E407E9">
              <w:rPr>
                <w:sz w:val="20"/>
                <w:szCs w:val="20"/>
              </w:rPr>
              <w:t xml:space="preserve"> is dismissed with costs to the respondent, Marie-Paule Spieser. The conditional application for leave to cross-appeal filed by the respondent, Marie-Paule Spieser, is dismissed.</w:t>
            </w:r>
          </w:p>
          <w:p w:rsidR="000C6047" w:rsidRPr="00E407E9" w:rsidRDefault="000C6047" w:rsidP="000C6047">
            <w:pPr>
              <w:jc w:val="both"/>
              <w:rPr>
                <w:sz w:val="20"/>
                <w:szCs w:val="20"/>
              </w:rPr>
            </w:pPr>
          </w:p>
          <w:p w:rsidR="000C6047" w:rsidRPr="00E407E9" w:rsidRDefault="000C6047" w:rsidP="000C6047">
            <w:pPr>
              <w:jc w:val="both"/>
              <w:rPr>
                <w:sz w:val="20"/>
                <w:szCs w:val="20"/>
                <w:lang w:val="en-US"/>
              </w:rPr>
            </w:pPr>
            <w:r w:rsidRPr="00E407E9">
              <w:rPr>
                <w:sz w:val="20"/>
                <w:szCs w:val="20"/>
                <w:lang w:val="en-US"/>
              </w:rPr>
              <w:t>Kasirer J. took no part in the judgment.</w:t>
            </w:r>
          </w:p>
          <w:p w:rsidR="009801A5" w:rsidRPr="00E407E9" w:rsidRDefault="009801A5" w:rsidP="00F74504">
            <w:pPr>
              <w:jc w:val="both"/>
              <w:rPr>
                <w:sz w:val="20"/>
                <w:szCs w:val="20"/>
                <w:lang w:val="en-US"/>
              </w:rPr>
            </w:pPr>
          </w:p>
        </w:tc>
      </w:tr>
    </w:tbl>
    <w:p w:rsidR="00886B54" w:rsidRPr="00E407E9" w:rsidRDefault="00886B54">
      <w:r w:rsidRPr="00E407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E407E9" w:rsidTr="00F74504">
        <w:tc>
          <w:tcPr>
            <w:tcW w:w="5000" w:type="pct"/>
            <w:gridSpan w:val="3"/>
          </w:tcPr>
          <w:p w:rsidR="009801A5" w:rsidRPr="00E407E9" w:rsidRDefault="009801A5" w:rsidP="00F74504">
            <w:pPr>
              <w:jc w:val="both"/>
              <w:rPr>
                <w:sz w:val="20"/>
                <w:szCs w:val="20"/>
              </w:rPr>
            </w:pPr>
            <w:r w:rsidRPr="00E407E9">
              <w:rPr>
                <w:sz w:val="20"/>
                <w:szCs w:val="20"/>
              </w:rPr>
              <w:lastRenderedPageBreak/>
              <w:t>Civil liability — Fault of pollution — Human rights — Unlawful and intentional interference — Right to personal security — Right to peaceful enjoyment and free disposition of property — Damages — Moral and psychological injury — Punitive damages — Class actions — Water in municipality of Shannon contaminated by carcinogen, trichloroethylene — No evidence of excess cancer in community as result of contamination — Whether public authority commits fault where it discharges product into environment and product is found much later in drinking water at concentrations considered safe by competent authorities — Where there is possible contamination of drinking water, whether federal government has obligation to inform and, if so, what is scope of obligation — Whether moral damages can be awarded to individuals based solely on fear of exposure to contaminant, regardless of whether fear is objectively well</w:t>
            </w:r>
            <w:r w:rsidRPr="00E407E9">
              <w:rPr>
                <w:sz w:val="20"/>
                <w:szCs w:val="20"/>
              </w:rPr>
              <w:noBreakHyphen/>
              <w:t xml:space="preserve">founded — Threshold level of injury required to establish infringement of right to personal security under s. 1 of </w:t>
            </w:r>
            <w:r w:rsidRPr="00E407E9">
              <w:rPr>
                <w:i/>
                <w:sz w:val="20"/>
                <w:szCs w:val="20"/>
              </w:rPr>
              <w:t>Charter of human rights and freedoms</w:t>
            </w:r>
            <w:r w:rsidRPr="00E407E9">
              <w:rPr>
                <w:sz w:val="20"/>
                <w:szCs w:val="20"/>
              </w:rPr>
              <w:t xml:space="preserve"> — For purposes of award of punitive damages under s. 49 of </w:t>
            </w:r>
            <w:r w:rsidRPr="00E407E9">
              <w:rPr>
                <w:i/>
                <w:sz w:val="20"/>
                <w:szCs w:val="20"/>
              </w:rPr>
              <w:t>Charter of human rights and freedoms</w:t>
            </w:r>
            <w:r w:rsidRPr="00E407E9">
              <w:rPr>
                <w:sz w:val="20"/>
                <w:szCs w:val="20"/>
              </w:rPr>
              <w:t xml:space="preserve">, whether failure to act in timely manner is sufficient to show intention with respect to consequences of conduct in question — Whether minor enjoys same protection against unlawful and intentional interference with right guaranteed by s. 1 of </w:t>
            </w:r>
            <w:r w:rsidRPr="00E407E9">
              <w:rPr>
                <w:i/>
                <w:sz w:val="20"/>
                <w:szCs w:val="20"/>
              </w:rPr>
              <w:t>Charter of human rights and freedoms</w:t>
            </w:r>
            <w:r w:rsidRPr="00E407E9">
              <w:rPr>
                <w:sz w:val="20"/>
                <w:szCs w:val="20"/>
              </w:rPr>
              <w:t xml:space="preserve"> — Whether required evidentiary threshold, namely balance of probabilities, makes it possible to establish that most likely date on which group members began to be exposed was prior to date determined by Court of Appeal — Whether Court of Appeal erred in rejecting uncontradicted evidence that demonstrated, beyond balance of probabilities threshold, causal connection between exposure of certain group members to TCE and overabundance and concentration of cases of cancer and other illnesses identified and established by that evidence — Whether connection to water supply system for residences in sectors affected by contamination validly made up for loss of private well that supplied drinking water — </w:t>
            </w:r>
            <w:r w:rsidRPr="00E407E9">
              <w:rPr>
                <w:i/>
                <w:sz w:val="20"/>
                <w:szCs w:val="20"/>
              </w:rPr>
              <w:t>Civil Code of Québec</w:t>
            </w:r>
            <w:r w:rsidRPr="00E407E9">
              <w:rPr>
                <w:sz w:val="20"/>
                <w:szCs w:val="20"/>
              </w:rPr>
              <w:t xml:space="preserve">, art. 1457 — </w:t>
            </w:r>
            <w:r w:rsidRPr="00E407E9">
              <w:rPr>
                <w:i/>
                <w:sz w:val="20"/>
                <w:szCs w:val="20"/>
              </w:rPr>
              <w:t>Charter of human rights and freedoms</w:t>
            </w:r>
            <w:r w:rsidRPr="00E407E9">
              <w:rPr>
                <w:sz w:val="20"/>
                <w:szCs w:val="20"/>
              </w:rPr>
              <w:t>, CQLR, c. C</w:t>
            </w:r>
            <w:r w:rsidRPr="00E407E9">
              <w:rPr>
                <w:sz w:val="20"/>
                <w:szCs w:val="20"/>
              </w:rPr>
              <w:noBreakHyphen/>
              <w:t>12, ss. 1, 6 and 49.</w:t>
            </w:r>
          </w:p>
        </w:tc>
      </w:tr>
      <w:tr w:rsidR="009801A5" w:rsidRPr="00E407E9" w:rsidTr="00F74504">
        <w:tc>
          <w:tcPr>
            <w:tcW w:w="5000" w:type="pct"/>
            <w:gridSpan w:val="3"/>
          </w:tcPr>
          <w:p w:rsidR="009801A5" w:rsidRPr="00E407E9" w:rsidRDefault="009801A5" w:rsidP="00F74504">
            <w:pPr>
              <w:jc w:val="both"/>
              <w:rPr>
                <w:sz w:val="20"/>
                <w:szCs w:val="20"/>
              </w:rPr>
            </w:pPr>
          </w:p>
          <w:p w:rsidR="009801A5" w:rsidRPr="00E407E9" w:rsidRDefault="009801A5" w:rsidP="00F74504">
            <w:pPr>
              <w:tabs>
                <w:tab w:val="left" w:pos="7920"/>
              </w:tabs>
              <w:jc w:val="both"/>
              <w:rPr>
                <w:sz w:val="20"/>
                <w:szCs w:val="20"/>
              </w:rPr>
            </w:pPr>
            <w:r w:rsidRPr="00E407E9">
              <w:rPr>
                <w:color w:val="000000"/>
                <w:spacing w:val="-4"/>
                <w:sz w:val="20"/>
                <w:szCs w:val="20"/>
              </w:rPr>
              <w:t xml:space="preserve">This leave application arises from a class action filed by residents of the municipality of Shannon following the discovery of </w:t>
            </w:r>
            <w:r w:rsidRPr="00E407E9">
              <w:rPr>
                <w:sz w:val="20"/>
                <w:szCs w:val="20"/>
              </w:rPr>
              <w:t>trichloroethylene (“TCE”) in the water in certain drinking water wells in their community. TCE is a solvent that was used since at least the 1960s in ammunition production and research activities near the Valcartier military base close to the municipality.</w:t>
            </w:r>
            <w:r w:rsidRPr="00E407E9">
              <w:rPr>
                <w:color w:val="000000"/>
                <w:spacing w:val="-4"/>
                <w:sz w:val="20"/>
                <w:szCs w:val="20"/>
              </w:rPr>
              <w:t xml:space="preserve"> The respondent and applicant on cross</w:t>
            </w:r>
            <w:r w:rsidRPr="00E407E9">
              <w:rPr>
                <w:color w:val="000000"/>
                <w:spacing w:val="-4"/>
                <w:sz w:val="20"/>
                <w:szCs w:val="20"/>
              </w:rPr>
              <w:noBreakHyphen/>
              <w:t>appeal, Ms. Spieser, is a resident of Shannon and believes that the applicant and respondent on cross</w:t>
            </w:r>
            <w:r w:rsidRPr="00E407E9">
              <w:rPr>
                <w:color w:val="000000"/>
                <w:spacing w:val="-4"/>
                <w:sz w:val="20"/>
                <w:szCs w:val="20"/>
              </w:rPr>
              <w:noBreakHyphen/>
              <w:t>appeal, the Attorney General of Canada (“AGC”), and the respondent corporate parties were negligent in handling TCE</w:t>
            </w:r>
            <w:r w:rsidRPr="00E407E9">
              <w:rPr>
                <w:sz w:val="20"/>
                <w:szCs w:val="20"/>
              </w:rPr>
              <w:t xml:space="preserve">. Through the class action, she sought compensatory damages for the injury suffered by those exposed to the contamination as well as punitive damages for interference with rights protected by the </w:t>
            </w:r>
            <w:r w:rsidRPr="00E407E9">
              <w:rPr>
                <w:i/>
                <w:sz w:val="20"/>
                <w:szCs w:val="20"/>
              </w:rPr>
              <w:t>Charter of human rights and freedoms</w:t>
            </w:r>
            <w:r w:rsidRPr="00E407E9">
              <w:rPr>
                <w:sz w:val="20"/>
                <w:szCs w:val="20"/>
              </w:rPr>
              <w:t>, CQLR, c. C</w:t>
            </w:r>
            <w:r w:rsidRPr="00E407E9">
              <w:rPr>
                <w:sz w:val="20"/>
                <w:szCs w:val="20"/>
              </w:rPr>
              <w:noBreakHyphen/>
              <w:t xml:space="preserve">12. The Superior Court allowed Ms. Spieser’s class action in part. It found that the contamination of the drinking water wells by TCE constituted a neighbourhood disturbance under art. 976 of the </w:t>
            </w:r>
            <w:r w:rsidRPr="00E407E9">
              <w:rPr>
                <w:i/>
                <w:sz w:val="20"/>
                <w:szCs w:val="20"/>
              </w:rPr>
              <w:t>Civil Code of Québec</w:t>
            </w:r>
            <w:r w:rsidRPr="00E407E9">
              <w:rPr>
                <w:sz w:val="20"/>
                <w:szCs w:val="20"/>
              </w:rPr>
              <w:t xml:space="preserve">, and it ordered the AGC and the corporate parties to pay damages to compensate the affected residents. The Court of Appeal intervened to decide the case </w:t>
            </w:r>
            <w:r w:rsidRPr="00E407E9">
              <w:rPr>
                <w:i/>
                <w:sz w:val="20"/>
                <w:szCs w:val="20"/>
              </w:rPr>
              <w:t>de novo</w:t>
            </w:r>
            <w:r w:rsidRPr="00E407E9">
              <w:rPr>
                <w:sz w:val="20"/>
                <w:szCs w:val="20"/>
              </w:rPr>
              <w:t xml:space="preserve"> because the lower court had improperly put aside the issue of fault in its analysis. The Court of Appeal found that several faults had been committed by the AGC and the corporate parties, and it ordered them to pay compensatory damages for the moral injury suffered by certain residents as well as punitive damages. </w:t>
            </w:r>
          </w:p>
        </w:tc>
      </w:tr>
      <w:tr w:rsidR="009801A5" w:rsidRPr="00E407E9" w:rsidTr="00F74504">
        <w:tc>
          <w:tcPr>
            <w:tcW w:w="5000" w:type="pct"/>
            <w:gridSpan w:val="3"/>
          </w:tcPr>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June 21, 2012</w:t>
            </w:r>
          </w:p>
          <w:p w:rsidR="009801A5" w:rsidRPr="00E407E9" w:rsidRDefault="009801A5" w:rsidP="00F74504">
            <w:pPr>
              <w:jc w:val="both"/>
              <w:rPr>
                <w:sz w:val="20"/>
                <w:szCs w:val="20"/>
              </w:rPr>
            </w:pPr>
            <w:r w:rsidRPr="00E407E9">
              <w:rPr>
                <w:sz w:val="20"/>
                <w:szCs w:val="20"/>
              </w:rPr>
              <w:t>Quebec Superior Court</w:t>
            </w:r>
          </w:p>
          <w:p w:rsidR="009801A5" w:rsidRPr="00E407E9" w:rsidRDefault="009801A5" w:rsidP="00F74504">
            <w:pPr>
              <w:jc w:val="both"/>
              <w:rPr>
                <w:sz w:val="20"/>
                <w:szCs w:val="20"/>
              </w:rPr>
            </w:pPr>
            <w:r w:rsidRPr="00E407E9">
              <w:rPr>
                <w:sz w:val="20"/>
                <w:szCs w:val="20"/>
              </w:rPr>
              <w:t>(Godbout J.)</w:t>
            </w:r>
          </w:p>
          <w:p w:rsidR="009801A5" w:rsidRPr="00E407E9" w:rsidRDefault="009801A5" w:rsidP="00F74504">
            <w:pPr>
              <w:jc w:val="both"/>
              <w:rPr>
                <w:sz w:val="20"/>
                <w:szCs w:val="20"/>
              </w:rPr>
            </w:pPr>
            <w:r w:rsidRPr="00E407E9">
              <w:rPr>
                <w:sz w:val="20"/>
                <w:szCs w:val="20"/>
              </w:rPr>
              <w:t>File No. 200</w:t>
            </w:r>
            <w:r w:rsidRPr="00E407E9">
              <w:rPr>
                <w:sz w:val="20"/>
                <w:szCs w:val="20"/>
              </w:rPr>
              <w:noBreakHyphen/>
              <w:t>06</w:t>
            </w:r>
            <w:r w:rsidRPr="00E407E9">
              <w:rPr>
                <w:sz w:val="20"/>
                <w:szCs w:val="20"/>
              </w:rPr>
              <w:noBreakHyphen/>
              <w:t>000038</w:t>
            </w:r>
            <w:r w:rsidRPr="00E407E9">
              <w:rPr>
                <w:sz w:val="20"/>
                <w:szCs w:val="20"/>
              </w:rPr>
              <w:noBreakHyphen/>
              <w:t>037</w:t>
            </w:r>
          </w:p>
          <w:p w:rsidR="009801A5" w:rsidRPr="00E407E9" w:rsidRDefault="00CE6E62" w:rsidP="00F74504">
            <w:pPr>
              <w:jc w:val="both"/>
              <w:rPr>
                <w:sz w:val="20"/>
                <w:szCs w:val="20"/>
              </w:rPr>
            </w:pPr>
            <w:hyperlink r:id="rId23" w:history="1">
              <w:r w:rsidR="009801A5" w:rsidRPr="00E407E9">
                <w:rPr>
                  <w:rStyle w:val="Hyperlink"/>
                  <w:sz w:val="20"/>
                  <w:szCs w:val="20"/>
                </w:rPr>
                <w:t>2012 QCCS 2801</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 xml:space="preserve">Class action allowed in part; groundwater in part of territory of municipality of Shannon found to have been contaminated by discharge of trichloroethylene; neighbourhood disturbance under art. 976 of </w:t>
            </w:r>
            <w:r w:rsidRPr="00E407E9">
              <w:rPr>
                <w:i/>
                <w:sz w:val="20"/>
                <w:szCs w:val="20"/>
              </w:rPr>
              <w:t xml:space="preserve">Civil Code of Québec </w:t>
            </w:r>
            <w:r w:rsidRPr="00E407E9">
              <w:rPr>
                <w:sz w:val="20"/>
                <w:szCs w:val="20"/>
              </w:rPr>
              <w:t xml:space="preserve">found to have occurred; Attorney General of Canada and corporate parties ordered solidarily to pay damages for neighbourhood disturbance </w:t>
            </w:r>
          </w:p>
          <w:p w:rsidR="009801A5" w:rsidRPr="00E407E9" w:rsidRDefault="009801A5" w:rsidP="00F74504">
            <w:pPr>
              <w:jc w:val="both"/>
              <w:rPr>
                <w:sz w:val="20"/>
                <w:szCs w:val="20"/>
              </w:rPr>
            </w:pPr>
          </w:p>
        </w:tc>
      </w:tr>
    </w:tbl>
    <w:p w:rsidR="00886B54" w:rsidRPr="00E407E9" w:rsidRDefault="00886B54">
      <w:r w:rsidRPr="00E407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E407E9" w:rsidTr="00F74504">
        <w:tc>
          <w:tcPr>
            <w:tcW w:w="2427" w:type="pct"/>
          </w:tcPr>
          <w:p w:rsidR="009801A5" w:rsidRPr="00E407E9" w:rsidRDefault="009801A5" w:rsidP="00F74504">
            <w:pPr>
              <w:jc w:val="both"/>
              <w:rPr>
                <w:sz w:val="20"/>
                <w:szCs w:val="20"/>
              </w:rPr>
            </w:pPr>
            <w:r w:rsidRPr="00E407E9">
              <w:rPr>
                <w:sz w:val="20"/>
                <w:szCs w:val="20"/>
              </w:rPr>
              <w:lastRenderedPageBreak/>
              <w:t>January 17, 2020</w:t>
            </w:r>
          </w:p>
          <w:p w:rsidR="009801A5" w:rsidRPr="00E407E9" w:rsidRDefault="009801A5" w:rsidP="00F74504">
            <w:pPr>
              <w:jc w:val="both"/>
              <w:rPr>
                <w:sz w:val="20"/>
                <w:szCs w:val="20"/>
              </w:rPr>
            </w:pPr>
            <w:r w:rsidRPr="00E407E9">
              <w:rPr>
                <w:sz w:val="20"/>
                <w:szCs w:val="20"/>
              </w:rPr>
              <w:t>Quebec Court of Appeal (Québec)</w:t>
            </w:r>
          </w:p>
          <w:p w:rsidR="009801A5" w:rsidRPr="00E407E9" w:rsidRDefault="009801A5" w:rsidP="00F74504">
            <w:pPr>
              <w:jc w:val="both"/>
              <w:rPr>
                <w:sz w:val="20"/>
                <w:szCs w:val="20"/>
              </w:rPr>
            </w:pPr>
            <w:r w:rsidRPr="00E407E9">
              <w:rPr>
                <w:sz w:val="20"/>
                <w:szCs w:val="20"/>
              </w:rPr>
              <w:t>(Giroux, Kasirer and Gagnon JJ.A.)</w:t>
            </w:r>
          </w:p>
          <w:p w:rsidR="009801A5" w:rsidRPr="00E407E9" w:rsidRDefault="009801A5" w:rsidP="00F74504">
            <w:pPr>
              <w:jc w:val="both"/>
              <w:rPr>
                <w:sz w:val="20"/>
                <w:szCs w:val="20"/>
              </w:rPr>
            </w:pPr>
            <w:r w:rsidRPr="00E407E9">
              <w:rPr>
                <w:sz w:val="20"/>
                <w:szCs w:val="20"/>
              </w:rPr>
              <w:t>File No. 200</w:t>
            </w:r>
            <w:r w:rsidRPr="00E407E9">
              <w:rPr>
                <w:sz w:val="20"/>
                <w:szCs w:val="20"/>
              </w:rPr>
              <w:noBreakHyphen/>
              <w:t>09</w:t>
            </w:r>
            <w:r w:rsidRPr="00E407E9">
              <w:rPr>
                <w:sz w:val="20"/>
                <w:szCs w:val="20"/>
              </w:rPr>
              <w:noBreakHyphen/>
              <w:t>007773</w:t>
            </w:r>
            <w:r w:rsidRPr="00E407E9">
              <w:rPr>
                <w:sz w:val="20"/>
                <w:szCs w:val="20"/>
              </w:rPr>
              <w:noBreakHyphen/>
              <w:t>127</w:t>
            </w:r>
          </w:p>
          <w:p w:rsidR="009801A5" w:rsidRPr="00E407E9" w:rsidRDefault="00CE6E62" w:rsidP="00F74504">
            <w:pPr>
              <w:jc w:val="both"/>
              <w:rPr>
                <w:sz w:val="20"/>
                <w:szCs w:val="20"/>
              </w:rPr>
            </w:pPr>
            <w:hyperlink r:id="rId24" w:history="1">
              <w:r w:rsidR="009801A5" w:rsidRPr="00E407E9">
                <w:rPr>
                  <w:rStyle w:val="Hyperlink"/>
                  <w:sz w:val="20"/>
                  <w:szCs w:val="20"/>
                </w:rPr>
                <w:t>2020 QCCA 42</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 xml:space="preserve">Appeal allowed; Attorney General of Canada and corporate parties found to be at fault for discharging industrial waste into environment without regard for known and understood risk of groundwater contamination; Government of Canada found to be at fault for unlawfully and intentionally interfering with rights under ss. 1 and 6 of </w:t>
            </w:r>
            <w:r w:rsidRPr="00E407E9">
              <w:rPr>
                <w:i/>
                <w:sz w:val="20"/>
                <w:szCs w:val="20"/>
              </w:rPr>
              <w:t>Charter of human rights and freedoms</w:t>
            </w:r>
            <w:r w:rsidRPr="00E407E9">
              <w:rPr>
                <w:sz w:val="20"/>
                <w:szCs w:val="20"/>
              </w:rPr>
              <w:t xml:space="preserve"> of residents of municipality of Shannon who were later affected by contamination; Attorney General of Canada ordered to pay punitive damages; incidental appeal dismissed</w:t>
            </w:r>
          </w:p>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March 17, 2020</w:t>
            </w:r>
          </w:p>
          <w:p w:rsidR="009801A5" w:rsidRPr="00E407E9" w:rsidRDefault="009801A5" w:rsidP="00F74504">
            <w:pPr>
              <w:jc w:val="both"/>
              <w:rPr>
                <w:sz w:val="20"/>
                <w:szCs w:val="20"/>
              </w:rPr>
            </w:pPr>
            <w:r w:rsidRPr="00E407E9">
              <w:rPr>
                <w:sz w:val="20"/>
                <w:szCs w:val="20"/>
              </w:rPr>
              <w:t>Supreme Court of Canada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filed</w:t>
            </w:r>
          </w:p>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October 6,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Conditional application for leave to cross</w:t>
            </w:r>
            <w:r w:rsidRPr="00E407E9">
              <w:rPr>
                <w:sz w:val="20"/>
                <w:szCs w:val="20"/>
              </w:rPr>
              <w:noBreakHyphen/>
              <w:t>appeal filed</w:t>
            </w:r>
          </w:p>
          <w:p w:rsidR="009801A5" w:rsidRPr="00E407E9" w:rsidRDefault="009801A5" w:rsidP="00F74504">
            <w:pPr>
              <w:jc w:val="both"/>
              <w:rPr>
                <w:sz w:val="20"/>
                <w:szCs w:val="20"/>
              </w:rPr>
            </w:pP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68"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39097</w:t>
            </w:r>
          </w:p>
        </w:tc>
        <w:tc>
          <w:tcPr>
            <w:tcW w:w="4457" w:type="pct"/>
            <w:gridSpan w:val="3"/>
          </w:tcPr>
          <w:p w:rsidR="009801A5" w:rsidRPr="00E407E9" w:rsidRDefault="009801A5" w:rsidP="00F74504">
            <w:pPr>
              <w:pStyle w:val="SCCLsocParty"/>
              <w:jc w:val="both"/>
              <w:rPr>
                <w:b/>
                <w:sz w:val="20"/>
                <w:szCs w:val="20"/>
              </w:rPr>
            </w:pPr>
            <w:r w:rsidRPr="00E407E9">
              <w:rPr>
                <w:b/>
                <w:sz w:val="20"/>
                <w:szCs w:val="20"/>
              </w:rPr>
              <w:t xml:space="preserve">Procureur général du Canada au nom de Sa Majesté du Chef du Canada c. General Dynamics Produits de </w:t>
            </w:r>
            <w:r w:rsidR="000C6047" w:rsidRPr="00E407E9">
              <w:rPr>
                <w:b/>
                <w:sz w:val="20"/>
                <w:szCs w:val="20"/>
              </w:rPr>
              <w:t>d</w:t>
            </w:r>
            <w:r w:rsidRPr="00E407E9">
              <w:rPr>
                <w:b/>
                <w:sz w:val="20"/>
                <w:szCs w:val="20"/>
              </w:rPr>
              <w:t xml:space="preserve">éfense et Systèmes </w:t>
            </w:r>
            <w:r w:rsidR="000C6047" w:rsidRPr="00E407E9">
              <w:rPr>
                <w:b/>
                <w:sz w:val="20"/>
                <w:szCs w:val="20"/>
              </w:rPr>
              <w:t>t</w:t>
            </w:r>
            <w:r w:rsidRPr="00E407E9">
              <w:rPr>
                <w:b/>
                <w:sz w:val="20"/>
                <w:szCs w:val="20"/>
              </w:rPr>
              <w:t xml:space="preserve">actiques-Canada </w:t>
            </w:r>
            <w:r w:rsidR="000C6047" w:rsidRPr="00E407E9">
              <w:rPr>
                <w:b/>
                <w:sz w:val="20"/>
                <w:szCs w:val="20"/>
              </w:rPr>
              <w:t>i</w:t>
            </w:r>
            <w:r w:rsidRPr="00E407E9">
              <w:rPr>
                <w:b/>
                <w:sz w:val="20"/>
                <w:szCs w:val="20"/>
              </w:rPr>
              <w:t xml:space="preserve">nc., Société </w:t>
            </w:r>
            <w:r w:rsidR="000C6047" w:rsidRPr="00E407E9">
              <w:rPr>
                <w:b/>
                <w:sz w:val="20"/>
                <w:szCs w:val="20"/>
              </w:rPr>
              <w:t>i</w:t>
            </w:r>
            <w:r w:rsidRPr="00E407E9">
              <w:rPr>
                <w:b/>
                <w:sz w:val="20"/>
                <w:szCs w:val="20"/>
              </w:rPr>
              <w:t xml:space="preserve">mmobilière Valcartier </w:t>
            </w:r>
            <w:r w:rsidR="000C6047" w:rsidRPr="00E407E9">
              <w:rPr>
                <w:b/>
                <w:sz w:val="20"/>
                <w:szCs w:val="20"/>
              </w:rPr>
              <w:t>i</w:t>
            </w:r>
            <w:r w:rsidRPr="00E407E9">
              <w:rPr>
                <w:b/>
                <w:sz w:val="20"/>
                <w:szCs w:val="20"/>
              </w:rPr>
              <w:t>nc.</w:t>
            </w:r>
            <w:r w:rsidR="000C6047" w:rsidRPr="00E407E9">
              <w:rPr>
                <w:b/>
                <w:sz w:val="20"/>
                <w:szCs w:val="20"/>
              </w:rPr>
              <w:t xml:space="preserve"> et</w:t>
            </w:r>
            <w:r w:rsidRPr="00E407E9">
              <w:rPr>
                <w:b/>
                <w:sz w:val="20"/>
                <w:szCs w:val="20"/>
              </w:rPr>
              <w:t xml:space="preserve"> Marie-Paule Spieser</w:t>
            </w:r>
          </w:p>
          <w:p w:rsidR="009801A5" w:rsidRPr="00E407E9" w:rsidRDefault="009801A5" w:rsidP="00F74504">
            <w:pPr>
              <w:jc w:val="both"/>
              <w:rPr>
                <w:sz w:val="20"/>
                <w:szCs w:val="20"/>
                <w:lang w:val="fr-CA"/>
              </w:rPr>
            </w:pPr>
            <w:r w:rsidRPr="00E407E9">
              <w:rPr>
                <w:sz w:val="20"/>
                <w:szCs w:val="20"/>
                <w:lang w:val="fr-CA"/>
              </w:rPr>
              <w:t>(Qc) (Civile) (Autorisation)</w:t>
            </w:r>
          </w:p>
        </w:tc>
      </w:tr>
      <w:tr w:rsidR="009801A5" w:rsidRPr="001A3EBC" w:rsidTr="00F74504">
        <w:tc>
          <w:tcPr>
            <w:tcW w:w="5000" w:type="pct"/>
            <w:gridSpan w:val="4"/>
          </w:tcPr>
          <w:p w:rsidR="000C6047" w:rsidRPr="00E407E9" w:rsidRDefault="000C6047" w:rsidP="000C6047">
            <w:pPr>
              <w:jc w:val="both"/>
              <w:rPr>
                <w:sz w:val="20"/>
                <w:szCs w:val="20"/>
                <w:lang w:val="fr-CA"/>
              </w:rPr>
            </w:pPr>
            <w:r w:rsidRPr="00E407E9">
              <w:rPr>
                <w:sz w:val="20"/>
                <w:szCs w:val="20"/>
                <w:lang w:val="fr-CA"/>
              </w:rPr>
              <w:t>La demande d’autorisation d’appel de l’arrêt de la Cour d’appel du Québec (Québec), numéro 200-09-007773-127, 2020 QCCA 42, daté du 17 janvier 2020, est rejet</w:t>
            </w:r>
            <w:r w:rsidRPr="00E407E9">
              <w:rPr>
                <w:rFonts w:cs="Times New Roman"/>
                <w:sz w:val="20"/>
                <w:szCs w:val="20"/>
                <w:lang w:val="fr-CA"/>
              </w:rPr>
              <w:t>é</w:t>
            </w:r>
            <w:r w:rsidRPr="00E407E9">
              <w:rPr>
                <w:sz w:val="20"/>
                <w:szCs w:val="20"/>
                <w:lang w:val="fr-CA"/>
              </w:rPr>
              <w:t>e avec d</w:t>
            </w:r>
            <w:r w:rsidRPr="00E407E9">
              <w:rPr>
                <w:rFonts w:cs="Times New Roman"/>
                <w:sz w:val="20"/>
                <w:szCs w:val="20"/>
                <w:lang w:val="fr-CA"/>
              </w:rPr>
              <w:t>é</w:t>
            </w:r>
            <w:r w:rsidRPr="00E407E9">
              <w:rPr>
                <w:sz w:val="20"/>
                <w:szCs w:val="20"/>
                <w:lang w:val="fr-CA"/>
              </w:rPr>
              <w:t>pens en faveur de l’intim</w:t>
            </w:r>
            <w:r w:rsidRPr="00E407E9">
              <w:rPr>
                <w:rFonts w:cs="Times New Roman"/>
                <w:sz w:val="20"/>
                <w:szCs w:val="20"/>
                <w:lang w:val="fr-CA"/>
              </w:rPr>
              <w:t>é</w:t>
            </w:r>
            <w:r w:rsidRPr="00E407E9">
              <w:rPr>
                <w:sz w:val="20"/>
                <w:szCs w:val="20"/>
                <w:lang w:val="fr-CA"/>
              </w:rPr>
              <w:t>e, Marie-Paule Spieser. La demande conditionnelle d’autorisation d’appel incident déposée par l’intimée, Marie-Paule Spieser, est rejet</w:t>
            </w:r>
            <w:r w:rsidRPr="00E407E9">
              <w:rPr>
                <w:rFonts w:cs="Times New Roman"/>
                <w:sz w:val="20"/>
                <w:szCs w:val="20"/>
                <w:lang w:val="fr-CA"/>
              </w:rPr>
              <w:t>é</w:t>
            </w:r>
            <w:r w:rsidRPr="00E407E9">
              <w:rPr>
                <w:sz w:val="20"/>
                <w:szCs w:val="20"/>
                <w:lang w:val="fr-CA"/>
              </w:rPr>
              <w:t>e.</w:t>
            </w:r>
          </w:p>
          <w:p w:rsidR="000C6047" w:rsidRPr="00E407E9" w:rsidRDefault="000C6047" w:rsidP="000C6047">
            <w:pPr>
              <w:jc w:val="both"/>
              <w:rPr>
                <w:sz w:val="20"/>
                <w:szCs w:val="20"/>
                <w:lang w:val="fr-CA"/>
              </w:rPr>
            </w:pPr>
          </w:p>
          <w:p w:rsidR="000C6047" w:rsidRPr="00E407E9" w:rsidRDefault="000C6047" w:rsidP="000C6047">
            <w:pPr>
              <w:jc w:val="both"/>
              <w:rPr>
                <w:sz w:val="20"/>
                <w:szCs w:val="20"/>
                <w:lang w:val="fr-CA"/>
              </w:rPr>
            </w:pPr>
            <w:r w:rsidRPr="00E407E9">
              <w:rPr>
                <w:sz w:val="20"/>
                <w:szCs w:val="20"/>
                <w:lang w:val="fr-CA"/>
              </w:rPr>
              <w:t>Le juge Kasirer n’a pas participé au jugement.</w:t>
            </w:r>
          </w:p>
          <w:p w:rsidR="009801A5" w:rsidRPr="00E407E9" w:rsidRDefault="009801A5" w:rsidP="00F74504">
            <w:pPr>
              <w:jc w:val="both"/>
              <w:rPr>
                <w:sz w:val="20"/>
                <w:szCs w:val="20"/>
                <w:lang w:val="fr-CA"/>
              </w:rPr>
            </w:pPr>
          </w:p>
        </w:tc>
      </w:tr>
      <w:tr w:rsidR="009801A5" w:rsidRPr="00E407E9" w:rsidTr="00F74504">
        <w:tc>
          <w:tcPr>
            <w:tcW w:w="5000" w:type="pct"/>
            <w:gridSpan w:val="4"/>
          </w:tcPr>
          <w:p w:rsidR="009801A5" w:rsidRPr="00E407E9" w:rsidRDefault="009801A5" w:rsidP="00F74504">
            <w:pPr>
              <w:jc w:val="both"/>
              <w:rPr>
                <w:sz w:val="20"/>
                <w:szCs w:val="20"/>
                <w:lang w:val="fr-CA"/>
              </w:rPr>
            </w:pPr>
            <w:r w:rsidRPr="00E407E9">
              <w:rPr>
                <w:sz w:val="20"/>
                <w:szCs w:val="20"/>
                <w:lang w:val="fr-CA"/>
              </w:rPr>
              <w:t>Responsabilité civile — Faute de pollution — Droits de la personne — Atteinte illicite et intentionnelle — Droit à la sûreté de la personne — Droit à la jouissance paisible et à la libre disposition de ses biens —Dommages</w:t>
            </w:r>
            <w:r w:rsidRPr="00E407E9">
              <w:rPr>
                <w:sz w:val="20"/>
                <w:szCs w:val="20"/>
                <w:lang w:val="fr-CA"/>
              </w:rPr>
              <w:noBreakHyphen/>
              <w:t>intérêts — Préjudice moral et psychologique — Dommages</w:t>
            </w:r>
            <w:r w:rsidRPr="00E407E9">
              <w:rPr>
                <w:sz w:val="20"/>
                <w:szCs w:val="20"/>
                <w:lang w:val="fr-CA"/>
              </w:rPr>
              <w:noBreakHyphen/>
              <w:t>intérêts punitifs — Recours collectifs — Contamination des eaux dans la municipalité de Shannon par un cancérigène, le trichloroéthylène — Aucune preuve de l’existence d’un excès de cancer dans la communauté causé par la contamination — Est</w:t>
            </w:r>
            <w:r w:rsidRPr="00E407E9">
              <w:rPr>
                <w:sz w:val="20"/>
                <w:szCs w:val="20"/>
                <w:lang w:val="fr-CA"/>
              </w:rPr>
              <w:noBreakHyphen/>
              <w:t>ce qu’une autorité publique commet une faute lorsqu’elle rejette un produit dans l’environnement qui se retrouve beaucoup plus tard dans l’eau potable à des concentrations jugées sécuritaires par les autorités compétentes? — En présence d’une possible contamination de l’eau potable, est</w:t>
            </w:r>
            <w:r w:rsidRPr="00E407E9">
              <w:rPr>
                <w:sz w:val="20"/>
                <w:szCs w:val="20"/>
                <w:lang w:val="fr-CA"/>
              </w:rPr>
              <w:noBreakHyphen/>
              <w:t xml:space="preserve">ce que l’État fédéral a une obligation de renseignement et, si oui, quelle est sa portée? — Est-ce que des dommages moraux peuvent être accordés à des individus pour la seule crainte d’une exposition à un contaminant, sans égard à la question de savoir si cette crainte est objectivement bien fondée? — Quel est le seuil de préjudice requis pour établir une violation du droit à la sûreté de la personne en vertu de l’article 1 de la </w:t>
            </w:r>
            <w:r w:rsidRPr="00E407E9">
              <w:rPr>
                <w:i/>
                <w:sz w:val="20"/>
                <w:szCs w:val="20"/>
                <w:lang w:val="fr-CA"/>
              </w:rPr>
              <w:t>Charte des droits et libertés de la personne</w:t>
            </w:r>
            <w:r w:rsidRPr="00E407E9">
              <w:rPr>
                <w:sz w:val="20"/>
                <w:szCs w:val="20"/>
                <w:lang w:val="fr-CA"/>
              </w:rPr>
              <w:t xml:space="preserve">, et, aux fins de l’octroi de dommages punitifs suivant l’article 49 de la </w:t>
            </w:r>
            <w:r w:rsidRPr="00E407E9">
              <w:rPr>
                <w:i/>
                <w:sz w:val="20"/>
                <w:szCs w:val="20"/>
                <w:lang w:val="fr-CA"/>
              </w:rPr>
              <w:t>Charte des droits et libertés de la personne</w:t>
            </w:r>
            <w:r w:rsidRPr="00E407E9">
              <w:rPr>
                <w:sz w:val="20"/>
                <w:szCs w:val="20"/>
                <w:lang w:val="fr-CA"/>
              </w:rPr>
              <w:t>, est</w:t>
            </w:r>
            <w:r w:rsidRPr="00E407E9">
              <w:rPr>
                <w:sz w:val="20"/>
                <w:szCs w:val="20"/>
                <w:lang w:val="fr-CA"/>
              </w:rPr>
              <w:noBreakHyphen/>
              <w:t>ce que l’omission d’agir en temps opportun suffit pour démontrer l’intention quant aux conséquences de la conduite en cause? — Est</w:t>
            </w:r>
            <w:r w:rsidRPr="00E407E9">
              <w:rPr>
                <w:sz w:val="20"/>
                <w:szCs w:val="20"/>
                <w:lang w:val="fr-CA"/>
              </w:rPr>
              <w:noBreakHyphen/>
              <w:t xml:space="preserve">ce qu’une personne mineure jouit de la même protection contre une atteinte intentionnelle et illicite au droit garanti par l’article 1 de la </w:t>
            </w:r>
            <w:r w:rsidRPr="00E407E9">
              <w:rPr>
                <w:i/>
                <w:sz w:val="20"/>
                <w:szCs w:val="20"/>
                <w:lang w:val="fr-CA"/>
              </w:rPr>
              <w:t>Charte des droits et libertés de la personne</w:t>
            </w:r>
            <w:r w:rsidRPr="00E407E9">
              <w:rPr>
                <w:sz w:val="20"/>
                <w:szCs w:val="20"/>
                <w:lang w:val="fr-CA"/>
              </w:rPr>
              <w:t>? — Est</w:t>
            </w:r>
            <w:r w:rsidRPr="00E407E9">
              <w:rPr>
                <w:sz w:val="20"/>
                <w:szCs w:val="20"/>
                <w:lang w:val="fr-CA"/>
              </w:rPr>
              <w:noBreakHyphen/>
              <w:t>ce que le seuil de preuve requis, soit la prépondérance des probabilités, permet d’établir la date la plus probable du début de l’exposition des membres du groupe, à une date antérieure à celle déterminée par la Cour d’appel? — Est</w:t>
            </w:r>
            <w:r w:rsidRPr="00E407E9">
              <w:rPr>
                <w:sz w:val="20"/>
                <w:szCs w:val="20"/>
                <w:lang w:val="fr-CA"/>
              </w:rPr>
              <w:noBreakHyphen/>
              <w:t>ce que la Cour d’appel a erré en rejetant une preuve non contredite établissant au</w:t>
            </w:r>
            <w:r w:rsidRPr="00E407E9">
              <w:rPr>
                <w:sz w:val="20"/>
                <w:szCs w:val="20"/>
                <w:lang w:val="fr-CA"/>
              </w:rPr>
              <w:noBreakHyphen/>
              <w:t>delà du seuil de la prépondérance des probabilités un lien de causalité entre l’exposition de certains membres du groupe au TCE et la surabondance et la concentration des cas de cancers et d’autres maladies constatées et établies par cette preuve? — Est</w:t>
            </w:r>
            <w:r w:rsidRPr="00E407E9">
              <w:rPr>
                <w:sz w:val="20"/>
                <w:szCs w:val="20"/>
                <w:lang w:val="fr-CA"/>
              </w:rPr>
              <w:noBreakHyphen/>
              <w:t xml:space="preserve">ce que la perte d’un puits privé d’alimentation en eau potable est valablement compensée par le raccordement à un réseau d’aqueduc pour alimenter les résidences des secteurs touchés par la contamination? — </w:t>
            </w:r>
            <w:r w:rsidRPr="00E407E9">
              <w:rPr>
                <w:i/>
                <w:sz w:val="20"/>
                <w:szCs w:val="20"/>
                <w:lang w:val="fr-CA"/>
              </w:rPr>
              <w:t>Code civil du Québec</w:t>
            </w:r>
            <w:r w:rsidRPr="00E407E9">
              <w:rPr>
                <w:sz w:val="20"/>
                <w:szCs w:val="20"/>
                <w:lang w:val="fr-CA"/>
              </w:rPr>
              <w:t xml:space="preserve">, art. 1457 — </w:t>
            </w:r>
            <w:r w:rsidRPr="00E407E9">
              <w:rPr>
                <w:i/>
                <w:sz w:val="20"/>
                <w:szCs w:val="20"/>
                <w:lang w:val="fr-CA"/>
              </w:rPr>
              <w:t>Charte des droits et libertés de la personne</w:t>
            </w:r>
            <w:r w:rsidRPr="00E407E9">
              <w:rPr>
                <w:sz w:val="20"/>
                <w:szCs w:val="20"/>
                <w:lang w:val="fr-CA"/>
              </w:rPr>
              <w:t>, R.L.R.Q. c. C</w:t>
            </w:r>
            <w:r w:rsidRPr="00E407E9">
              <w:rPr>
                <w:sz w:val="20"/>
                <w:szCs w:val="20"/>
                <w:lang w:val="fr-CA"/>
              </w:rPr>
              <w:noBreakHyphen/>
              <w:t>12, arts. 1, 6 et 49.</w:t>
            </w:r>
          </w:p>
        </w:tc>
      </w:tr>
      <w:tr w:rsidR="009801A5" w:rsidRPr="001A3EBC" w:rsidTr="00F74504">
        <w:tc>
          <w:tcPr>
            <w:tcW w:w="5000" w:type="pct"/>
            <w:gridSpan w:val="4"/>
          </w:tcPr>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color w:val="000000"/>
                <w:spacing w:val="-4"/>
                <w:sz w:val="20"/>
                <w:szCs w:val="20"/>
                <w:lang w:val="fr-CA"/>
              </w:rPr>
              <w:t xml:space="preserve">La demande d’autorisation découle d’une action collective logée par des résidents de la municipalité de Shannon à la suite de la découverte de trichloréthylène (« TCE ») dans l’eau de certains puits d’eau potable dans leur communauté. Le TCE est un solvant qui a été utilisé depuis au moins les années 1960 dans le cadre d’activités de recherche et de production de munitions près de la base militaire de Valcartier qui avoisine la municipalité. L’intimée et demanderesse incidente, </w:t>
            </w:r>
            <w:r w:rsidRPr="00E407E9">
              <w:rPr>
                <w:sz w:val="20"/>
                <w:szCs w:val="20"/>
                <w:lang w:val="fr-CA"/>
              </w:rPr>
              <w:t>Mme Spieser, est résidente de Shannon, et considère que le demandeur et intimé incident, le Procureur général du Canada (« PGC »), ainsi que les parties corporatives intimées, ont fait preuve de négligence dans la manutention du TCE. Par voie de recours collectif, elle réclame des dommages</w:t>
            </w:r>
            <w:r w:rsidRPr="00E407E9">
              <w:rPr>
                <w:sz w:val="20"/>
                <w:szCs w:val="20"/>
                <w:lang w:val="fr-CA"/>
              </w:rPr>
              <w:noBreakHyphen/>
              <w:t>intérêts compensatoires en réparation des préjudices subis par les personnes exposées à la contamination, de même que des dommages</w:t>
            </w:r>
            <w:r w:rsidRPr="00E407E9">
              <w:rPr>
                <w:sz w:val="20"/>
                <w:szCs w:val="20"/>
                <w:lang w:val="fr-CA"/>
              </w:rPr>
              <w:noBreakHyphen/>
              <w:t xml:space="preserve">intérêts punitifs pour l’atteinte à des droits protégés à la </w:t>
            </w:r>
            <w:r w:rsidRPr="00E407E9">
              <w:rPr>
                <w:i/>
                <w:sz w:val="20"/>
                <w:szCs w:val="20"/>
                <w:lang w:val="fr-CA"/>
              </w:rPr>
              <w:t>Charte des droits et libertés de la personne</w:t>
            </w:r>
            <w:r w:rsidRPr="00E407E9">
              <w:rPr>
                <w:sz w:val="20"/>
                <w:szCs w:val="20"/>
                <w:lang w:val="fr-CA"/>
              </w:rPr>
              <w:t>, R.L.R.Q. c. C</w:t>
            </w:r>
            <w:r w:rsidRPr="00E407E9">
              <w:rPr>
                <w:sz w:val="20"/>
                <w:szCs w:val="20"/>
                <w:lang w:val="fr-CA"/>
              </w:rPr>
              <w:noBreakHyphen/>
              <w:t xml:space="preserve">12. La Cour supérieure a accueilli en partie le recours collectif de Mme Spieser. Elle a conclu que la contamination des puits d’alimentation en eau potable par du TCE constitue un trouble de voisinage au sens de l’article 976 du </w:t>
            </w:r>
            <w:r w:rsidRPr="00E407E9">
              <w:rPr>
                <w:i/>
                <w:sz w:val="20"/>
                <w:szCs w:val="20"/>
                <w:lang w:val="fr-CA"/>
              </w:rPr>
              <w:t>Code civil du Québec</w:t>
            </w:r>
            <w:r w:rsidRPr="00E407E9">
              <w:rPr>
                <w:sz w:val="20"/>
                <w:szCs w:val="20"/>
                <w:lang w:val="fr-CA"/>
              </w:rPr>
              <w:t>, et a condamné le PGC et les parties corporatives à des dommages</w:t>
            </w:r>
            <w:r w:rsidRPr="00E407E9">
              <w:rPr>
                <w:sz w:val="20"/>
                <w:szCs w:val="20"/>
                <w:lang w:val="fr-CA"/>
              </w:rPr>
              <w:noBreakHyphen/>
              <w:t xml:space="preserve">intérêts pour compenser les résidents qui en ont été victimes. La Cour d’appel est intervenue pour décider de l’affaire </w:t>
            </w:r>
            <w:r w:rsidRPr="00E407E9">
              <w:rPr>
                <w:i/>
                <w:sz w:val="20"/>
                <w:szCs w:val="20"/>
                <w:lang w:val="fr-CA"/>
              </w:rPr>
              <w:t>de novo</w:t>
            </w:r>
            <w:r w:rsidRPr="00E407E9">
              <w:rPr>
                <w:sz w:val="20"/>
                <w:szCs w:val="20"/>
                <w:lang w:val="fr-CA"/>
              </w:rPr>
              <w:t>, parce que le tribunal d’instance inférieure a écarté indûment la question de la faute de son analyse. Elle a retenu plusieurs fautes de la part du PGC et des parties corporatives, et les a condamnés à des dommages</w:t>
            </w:r>
            <w:r w:rsidRPr="00E407E9">
              <w:rPr>
                <w:sz w:val="20"/>
                <w:szCs w:val="20"/>
                <w:lang w:val="fr-CA"/>
              </w:rPr>
              <w:noBreakHyphen/>
              <w:t>intérêts pour compenser le préjudice moral subi par certains résidents, ainsi que des dommages</w:t>
            </w:r>
            <w:r w:rsidRPr="00E407E9">
              <w:rPr>
                <w:sz w:val="20"/>
                <w:szCs w:val="20"/>
                <w:lang w:val="fr-CA"/>
              </w:rPr>
              <w:noBreakHyphen/>
              <w:t xml:space="preserve">intérêts punitifs. </w:t>
            </w:r>
          </w:p>
        </w:tc>
      </w:tr>
      <w:tr w:rsidR="009801A5" w:rsidRPr="001A3EBC" w:rsidTr="00F74504">
        <w:tc>
          <w:tcPr>
            <w:tcW w:w="5000" w:type="pct"/>
            <w:gridSpan w:val="4"/>
          </w:tcPr>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Le 21 juin 2012</w:t>
            </w:r>
          </w:p>
          <w:p w:rsidR="009801A5" w:rsidRPr="00E407E9" w:rsidRDefault="009801A5" w:rsidP="00F74504">
            <w:pPr>
              <w:jc w:val="both"/>
              <w:rPr>
                <w:sz w:val="20"/>
                <w:szCs w:val="20"/>
                <w:lang w:val="fr-CA"/>
              </w:rPr>
            </w:pPr>
            <w:r w:rsidRPr="00E407E9">
              <w:rPr>
                <w:sz w:val="20"/>
                <w:szCs w:val="20"/>
                <w:lang w:val="fr-CA"/>
              </w:rPr>
              <w:t>Cour supérieure du Québec</w:t>
            </w:r>
          </w:p>
          <w:p w:rsidR="009801A5" w:rsidRPr="00E407E9" w:rsidRDefault="009801A5" w:rsidP="00F74504">
            <w:pPr>
              <w:jc w:val="both"/>
              <w:rPr>
                <w:sz w:val="20"/>
                <w:szCs w:val="20"/>
                <w:lang w:val="fr-CA"/>
              </w:rPr>
            </w:pPr>
            <w:r w:rsidRPr="00E407E9">
              <w:rPr>
                <w:sz w:val="20"/>
                <w:szCs w:val="20"/>
                <w:lang w:val="fr-CA"/>
              </w:rPr>
              <w:t>(le juge Godbout)</w:t>
            </w:r>
          </w:p>
          <w:p w:rsidR="009801A5" w:rsidRPr="00E407E9" w:rsidRDefault="009801A5" w:rsidP="00F74504">
            <w:pPr>
              <w:jc w:val="both"/>
              <w:rPr>
                <w:sz w:val="20"/>
                <w:szCs w:val="20"/>
                <w:lang w:val="fr-CA"/>
              </w:rPr>
            </w:pPr>
            <w:r w:rsidRPr="00E407E9">
              <w:rPr>
                <w:sz w:val="20"/>
                <w:szCs w:val="20"/>
                <w:lang w:val="fr-CA"/>
              </w:rPr>
              <w:t>No. dossier 200</w:t>
            </w:r>
            <w:r w:rsidRPr="00E407E9">
              <w:rPr>
                <w:sz w:val="20"/>
                <w:szCs w:val="20"/>
                <w:lang w:val="fr-CA"/>
              </w:rPr>
              <w:noBreakHyphen/>
              <w:t>06</w:t>
            </w:r>
            <w:r w:rsidRPr="00E407E9">
              <w:rPr>
                <w:sz w:val="20"/>
                <w:szCs w:val="20"/>
                <w:lang w:val="fr-CA"/>
              </w:rPr>
              <w:noBreakHyphen/>
              <w:t>000038</w:t>
            </w:r>
            <w:r w:rsidRPr="00E407E9">
              <w:rPr>
                <w:sz w:val="20"/>
                <w:szCs w:val="20"/>
                <w:lang w:val="fr-CA"/>
              </w:rPr>
              <w:noBreakHyphen/>
              <w:t>037</w:t>
            </w:r>
          </w:p>
          <w:p w:rsidR="009801A5" w:rsidRPr="00E407E9" w:rsidRDefault="00CE6E62" w:rsidP="00F74504">
            <w:pPr>
              <w:jc w:val="both"/>
              <w:rPr>
                <w:sz w:val="20"/>
                <w:szCs w:val="20"/>
              </w:rPr>
            </w:pPr>
            <w:hyperlink r:id="rId25" w:history="1">
              <w:r w:rsidR="009801A5" w:rsidRPr="00E407E9">
                <w:rPr>
                  <w:rStyle w:val="Hyperlink"/>
                  <w:sz w:val="20"/>
                  <w:szCs w:val="20"/>
                </w:rPr>
                <w:t>2012 QCCS 2801</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Recours collectif accueilli en partie; Contamination de la nappe phréatique sur une partie du territoire de la municipalité de Shannon par le déversement de trichloroéthylène déclarée; Trouble de voisinage au sens de l’article 976 du </w:t>
            </w:r>
            <w:r w:rsidRPr="00E407E9">
              <w:rPr>
                <w:i/>
                <w:sz w:val="20"/>
                <w:szCs w:val="20"/>
                <w:lang w:val="fr-CA"/>
              </w:rPr>
              <w:t xml:space="preserve">Code civil du Québec </w:t>
            </w:r>
            <w:r w:rsidRPr="00E407E9">
              <w:rPr>
                <w:sz w:val="20"/>
                <w:szCs w:val="20"/>
                <w:lang w:val="fr-CA"/>
              </w:rPr>
              <w:t>déclaré; Procureur général du Canada et parties corporatives condamnés solidairement à des dommages</w:t>
            </w:r>
            <w:r w:rsidRPr="00E407E9">
              <w:rPr>
                <w:sz w:val="20"/>
                <w:szCs w:val="20"/>
                <w:lang w:val="fr-CA"/>
              </w:rPr>
              <w:noBreakHyphen/>
              <w:t xml:space="preserve">intérêts résultant du trouble de voisinage </w:t>
            </w:r>
          </w:p>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Le 17 janvier 2020</w:t>
            </w:r>
          </w:p>
          <w:p w:rsidR="009801A5" w:rsidRPr="00E407E9" w:rsidRDefault="009801A5" w:rsidP="00F74504">
            <w:pPr>
              <w:jc w:val="both"/>
              <w:rPr>
                <w:sz w:val="20"/>
                <w:szCs w:val="20"/>
                <w:lang w:val="fr-CA"/>
              </w:rPr>
            </w:pPr>
            <w:r w:rsidRPr="00E407E9">
              <w:rPr>
                <w:sz w:val="20"/>
                <w:szCs w:val="20"/>
                <w:lang w:val="fr-CA"/>
              </w:rPr>
              <w:t>Cour d’appel du Québec (Québec)</w:t>
            </w:r>
          </w:p>
          <w:p w:rsidR="009801A5" w:rsidRPr="00E407E9" w:rsidRDefault="009801A5" w:rsidP="00F74504">
            <w:pPr>
              <w:jc w:val="both"/>
              <w:rPr>
                <w:sz w:val="20"/>
                <w:szCs w:val="20"/>
                <w:lang w:val="fr-CA"/>
              </w:rPr>
            </w:pPr>
            <w:r w:rsidRPr="00E407E9">
              <w:rPr>
                <w:sz w:val="20"/>
                <w:szCs w:val="20"/>
                <w:lang w:val="fr-CA"/>
              </w:rPr>
              <w:t>(les juges Giroux, Kasirer et Gagnon)</w:t>
            </w:r>
          </w:p>
          <w:p w:rsidR="009801A5" w:rsidRPr="00E407E9" w:rsidRDefault="009801A5" w:rsidP="00F74504">
            <w:pPr>
              <w:jc w:val="both"/>
              <w:rPr>
                <w:sz w:val="20"/>
                <w:szCs w:val="20"/>
              </w:rPr>
            </w:pPr>
            <w:r w:rsidRPr="00E407E9">
              <w:rPr>
                <w:sz w:val="20"/>
                <w:szCs w:val="20"/>
              </w:rPr>
              <w:t>No. dossier 200-09-007773-127</w:t>
            </w:r>
          </w:p>
          <w:p w:rsidR="009801A5" w:rsidRPr="00E407E9" w:rsidRDefault="00CE6E62" w:rsidP="00F74504">
            <w:pPr>
              <w:jc w:val="both"/>
              <w:rPr>
                <w:sz w:val="20"/>
                <w:szCs w:val="20"/>
              </w:rPr>
            </w:pPr>
            <w:hyperlink r:id="rId26" w:history="1">
              <w:r w:rsidR="009801A5" w:rsidRPr="00E407E9">
                <w:rPr>
                  <w:rStyle w:val="Hyperlink"/>
                  <w:sz w:val="20"/>
                  <w:szCs w:val="20"/>
                </w:rPr>
                <w:t>2020 QCCA 42</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Appel accueilli; Faute du Procureur général du Canada et des parties corporatives en déversant dans l’environnement des déchets industriels sans égard au risque connu et compris de contamination de la nappe phréatique déclarée; Faute du gouvernement du Canada découlant d’une atteinte illicite et intentionnelle aux droits consacrés par les articles 1 et 6 de la </w:t>
            </w:r>
            <w:r w:rsidRPr="00E407E9">
              <w:rPr>
                <w:i/>
                <w:sz w:val="20"/>
                <w:szCs w:val="20"/>
                <w:lang w:val="fr-CA"/>
              </w:rPr>
              <w:t>Charte des droits et libertés de la personne</w:t>
            </w:r>
            <w:r w:rsidRPr="00E407E9">
              <w:rPr>
                <w:sz w:val="20"/>
                <w:szCs w:val="20"/>
                <w:lang w:val="fr-CA"/>
              </w:rPr>
              <w:t xml:space="preserve"> des résidents de la municipalité de Shannon subséquemment atteints par la contamination déclarée; Procureur général du Canada condamné à des dommages-intérêts punitifs; Appel incident rejeté</w:t>
            </w:r>
          </w:p>
          <w:p w:rsidR="009801A5" w:rsidRPr="00E407E9" w:rsidRDefault="009801A5" w:rsidP="00F74504">
            <w:pPr>
              <w:jc w:val="both"/>
              <w:rPr>
                <w:sz w:val="20"/>
                <w:szCs w:val="20"/>
                <w:lang w:val="fr-CA"/>
              </w:rPr>
            </w:pPr>
          </w:p>
        </w:tc>
      </w:tr>
      <w:tr w:rsidR="009801A5" w:rsidRPr="00E407E9"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Le 17 mars 2020</w:t>
            </w:r>
          </w:p>
          <w:p w:rsidR="009801A5" w:rsidRPr="00E407E9" w:rsidRDefault="009801A5" w:rsidP="00F74504">
            <w:pPr>
              <w:jc w:val="both"/>
              <w:rPr>
                <w:sz w:val="20"/>
                <w:szCs w:val="20"/>
                <w:lang w:val="fr-CA"/>
              </w:rPr>
            </w:pPr>
            <w:r w:rsidRPr="00E407E9">
              <w:rPr>
                <w:sz w:val="20"/>
                <w:szCs w:val="20"/>
                <w:lang w:val="fr-CA"/>
              </w:rPr>
              <w:t>Cour suprême du Canada</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rPr>
            </w:pPr>
            <w:r w:rsidRPr="00E407E9">
              <w:rPr>
                <w:sz w:val="20"/>
                <w:szCs w:val="20"/>
              </w:rPr>
              <w:t>Demande d’autorisation d’appel déposée</w:t>
            </w:r>
          </w:p>
          <w:p w:rsidR="009801A5" w:rsidRPr="00E407E9" w:rsidRDefault="009801A5" w:rsidP="00F74504">
            <w:pPr>
              <w:jc w:val="both"/>
              <w:rPr>
                <w:sz w:val="20"/>
                <w:szCs w:val="20"/>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Le 6 octobre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Demande d’autorisation d’appel incident conditionnelle déposée</w:t>
            </w:r>
          </w:p>
        </w:tc>
      </w:tr>
    </w:tbl>
    <w:p w:rsidR="009801A5" w:rsidRPr="00E407E9" w:rsidRDefault="009801A5" w:rsidP="009801A5">
      <w:pPr>
        <w:jc w:val="both"/>
        <w:rPr>
          <w:sz w:val="20"/>
          <w:szCs w:val="20"/>
          <w:lang w:val="fr-CA"/>
        </w:rPr>
      </w:pPr>
    </w:p>
    <w:p w:rsidR="009801A5" w:rsidRPr="00E407E9" w:rsidRDefault="00CE6E62" w:rsidP="009801A5">
      <w:pPr>
        <w:widowControl w:val="0"/>
        <w:jc w:val="both"/>
        <w:rPr>
          <w:sz w:val="20"/>
          <w:lang w:val="fr-CA"/>
        </w:rPr>
      </w:pPr>
      <w:r>
        <w:rPr>
          <w:sz w:val="20"/>
        </w:rPr>
        <w:pict>
          <v:rect id="_x0000_i1069"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39299</w:t>
            </w:r>
          </w:p>
        </w:tc>
        <w:tc>
          <w:tcPr>
            <w:tcW w:w="4457" w:type="pct"/>
            <w:gridSpan w:val="3"/>
          </w:tcPr>
          <w:p w:rsidR="009801A5" w:rsidRPr="00E407E9" w:rsidRDefault="009801A5" w:rsidP="00F74504">
            <w:pPr>
              <w:pStyle w:val="SCCLsocParty"/>
              <w:jc w:val="both"/>
              <w:rPr>
                <w:b/>
                <w:sz w:val="20"/>
                <w:szCs w:val="20"/>
                <w:lang w:val="en-US"/>
              </w:rPr>
            </w:pPr>
            <w:r w:rsidRPr="00E407E9">
              <w:rPr>
                <w:b/>
                <w:sz w:val="20"/>
                <w:szCs w:val="20"/>
                <w:lang w:val="en-US"/>
              </w:rPr>
              <w:t>Peter Gerard Coffey v. Her Majesty the Queen</w:t>
            </w:r>
          </w:p>
          <w:p w:rsidR="009801A5" w:rsidRPr="00E407E9" w:rsidRDefault="009801A5" w:rsidP="00F74504">
            <w:pPr>
              <w:jc w:val="both"/>
              <w:rPr>
                <w:sz w:val="20"/>
                <w:szCs w:val="20"/>
              </w:rPr>
            </w:pPr>
            <w:r w:rsidRPr="00E407E9">
              <w:rPr>
                <w:sz w:val="20"/>
                <w:szCs w:val="20"/>
              </w:rPr>
              <w:t>(B.C.) (Criminal) (By Leave)</w:t>
            </w:r>
          </w:p>
        </w:tc>
      </w:tr>
      <w:tr w:rsidR="009801A5" w:rsidRPr="00E407E9" w:rsidTr="00F74504">
        <w:tc>
          <w:tcPr>
            <w:tcW w:w="5000" w:type="pct"/>
            <w:gridSpan w:val="4"/>
          </w:tcPr>
          <w:p w:rsidR="000C6047" w:rsidRPr="00E407E9" w:rsidRDefault="000C6047" w:rsidP="000C6047">
            <w:pPr>
              <w:jc w:val="both"/>
              <w:rPr>
                <w:sz w:val="20"/>
                <w:szCs w:val="20"/>
              </w:rPr>
            </w:pPr>
            <w:r w:rsidRPr="00E407E9">
              <w:rPr>
                <w:sz w:val="20"/>
                <w:szCs w:val="20"/>
              </w:rPr>
              <w:t>The application for leave to appeal from the judgment of the Court of Appeal for British Columbia (Vancouver), Number CA45765, 2020 BCCA 195, dated June 22, 2020, is dismissed.</w:t>
            </w:r>
          </w:p>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lastRenderedPageBreak/>
              <w:t xml:space="preserve">Criminal law — Sentencing — Considerations — Aboriginal offender — Whether the Court of Appeal erred when it held that the sentencing judge adequately considered </w:t>
            </w:r>
            <w:r w:rsidRPr="00E407E9">
              <w:rPr>
                <w:i/>
                <w:sz w:val="20"/>
                <w:szCs w:val="20"/>
              </w:rPr>
              <w:t>Gladue</w:t>
            </w:r>
            <w:r w:rsidRPr="00E407E9">
              <w:rPr>
                <w:sz w:val="20"/>
                <w:szCs w:val="20"/>
              </w:rPr>
              <w:t xml:space="preserve"> principles —Whether the Court of Appeal erred when it held that the sentencing judge properly considered the gravity of the offence.</w:t>
            </w:r>
          </w:p>
        </w:tc>
      </w:tr>
      <w:tr w:rsidR="009801A5" w:rsidRPr="00E407E9" w:rsidTr="00F74504">
        <w:tc>
          <w:tcPr>
            <w:tcW w:w="5000" w:type="pct"/>
            <w:gridSpan w:val="4"/>
          </w:tcPr>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lang w:val="en"/>
              </w:rPr>
            </w:pPr>
            <w:r w:rsidRPr="00E407E9">
              <w:rPr>
                <w:sz w:val="20"/>
                <w:szCs w:val="20"/>
              </w:rPr>
              <w:t>T</w:t>
            </w:r>
            <w:r w:rsidRPr="00E407E9">
              <w:rPr>
                <w:sz w:val="20"/>
                <w:szCs w:val="20"/>
                <w:lang w:val="en"/>
              </w:rPr>
              <w:t>he RCMP executed a search warrant on a seven</w:t>
            </w:r>
            <w:r w:rsidRPr="00E407E9">
              <w:rPr>
                <w:sz w:val="20"/>
                <w:szCs w:val="20"/>
                <w:lang w:val="en"/>
              </w:rPr>
              <w:noBreakHyphen/>
              <w:t>acre rural property in British Columbia that was occupied by the applicant and others. A large, well</w:t>
            </w:r>
            <w:r w:rsidRPr="00E407E9">
              <w:rPr>
                <w:sz w:val="20"/>
                <w:szCs w:val="20"/>
                <w:lang w:val="en"/>
              </w:rPr>
              <w:noBreakHyphen/>
              <w:t>established and sophisticated commercial marihuana grow operation was discovered on the property of approximately 4,200 marihuana plants in various stages of growth. Three individuals associated with the property held</w:t>
            </w:r>
            <w:r w:rsidRPr="00E407E9">
              <w:rPr>
                <w:sz w:val="20"/>
                <w:szCs w:val="20"/>
              </w:rPr>
              <w:t xml:space="preserve"> licences</w:t>
            </w:r>
            <w:r w:rsidRPr="00E407E9">
              <w:rPr>
                <w:sz w:val="20"/>
                <w:szCs w:val="20"/>
                <w:lang w:val="en"/>
              </w:rPr>
              <w:t xml:space="preserve"> to grow marihuana for personal medical use. Together, those licences only covered about 530</w:t>
            </w:r>
            <w:r w:rsidRPr="00E407E9">
              <w:rPr>
                <w:sz w:val="20"/>
                <w:szCs w:val="20"/>
                <w:lang w:val="en"/>
              </w:rPr>
              <w:noBreakHyphen/>
              <w:t>550 plants. The applicant had been part of a group seeking to obtain a lawful production licence, but that application was rejected in 2014. A document authored by the applicant and seized during the search reflected a harvest of 44.5 pounds of marihuana that was sold for $93,600. The applicant was convicted of producing, and possessing marihuana for the purpose of trafficking. The applicant was sentenced to 12 months’ imprisonment. His sentence appeal was dismissed.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December 22, 2017</w:t>
            </w:r>
          </w:p>
          <w:p w:rsidR="009801A5" w:rsidRPr="00E407E9" w:rsidRDefault="009801A5" w:rsidP="00F74504">
            <w:pPr>
              <w:jc w:val="both"/>
              <w:rPr>
                <w:sz w:val="20"/>
                <w:szCs w:val="20"/>
              </w:rPr>
            </w:pPr>
            <w:r w:rsidRPr="00E407E9">
              <w:rPr>
                <w:sz w:val="20"/>
                <w:szCs w:val="20"/>
              </w:rPr>
              <w:t>Provincial Court of British Columbia</w:t>
            </w:r>
          </w:p>
          <w:p w:rsidR="009801A5" w:rsidRPr="00E407E9" w:rsidRDefault="009801A5" w:rsidP="00F74504">
            <w:pPr>
              <w:jc w:val="both"/>
              <w:rPr>
                <w:sz w:val="20"/>
                <w:szCs w:val="20"/>
              </w:rPr>
            </w:pPr>
            <w:r w:rsidRPr="00E407E9">
              <w:rPr>
                <w:sz w:val="20"/>
                <w:szCs w:val="20"/>
              </w:rPr>
              <w:t>(Solomon J.)</w:t>
            </w:r>
          </w:p>
          <w:p w:rsidR="009801A5" w:rsidRPr="00E407E9" w:rsidRDefault="00CE6E62" w:rsidP="00F74504">
            <w:pPr>
              <w:jc w:val="both"/>
              <w:rPr>
                <w:sz w:val="20"/>
                <w:szCs w:val="20"/>
              </w:rPr>
            </w:pPr>
            <w:hyperlink r:id="rId27" w:history="1">
              <w:r w:rsidR="009801A5" w:rsidRPr="00E407E9">
                <w:rPr>
                  <w:rStyle w:val="Hyperlink"/>
                  <w:sz w:val="20"/>
                  <w:szCs w:val="20"/>
                </w:rPr>
                <w:t>2017 BCPC 449</w:t>
              </w:r>
            </w:hyperlink>
            <w:r w:rsidR="009801A5" w:rsidRPr="00E407E9">
              <w:rPr>
                <w:sz w:val="20"/>
                <w:szCs w:val="20"/>
              </w:rPr>
              <w:t xml:space="preserve"> </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 xml:space="preserve">Conviction entered: production and possession of marihuana for the purpose of trafficking </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December 3, 2018</w:t>
            </w:r>
          </w:p>
          <w:p w:rsidR="009801A5" w:rsidRPr="00E407E9" w:rsidRDefault="009801A5" w:rsidP="00F74504">
            <w:pPr>
              <w:jc w:val="both"/>
              <w:rPr>
                <w:sz w:val="20"/>
                <w:szCs w:val="20"/>
              </w:rPr>
            </w:pPr>
            <w:r w:rsidRPr="00E407E9">
              <w:rPr>
                <w:sz w:val="20"/>
                <w:szCs w:val="20"/>
              </w:rPr>
              <w:t>Provincial Court of British Columbia</w:t>
            </w:r>
          </w:p>
          <w:p w:rsidR="009801A5" w:rsidRPr="00E407E9" w:rsidRDefault="009801A5" w:rsidP="00F74504">
            <w:pPr>
              <w:jc w:val="both"/>
              <w:rPr>
                <w:sz w:val="20"/>
                <w:szCs w:val="20"/>
              </w:rPr>
            </w:pPr>
            <w:r w:rsidRPr="00E407E9">
              <w:rPr>
                <w:sz w:val="20"/>
                <w:szCs w:val="20"/>
              </w:rPr>
              <w:t>(Solomon J.)</w:t>
            </w:r>
          </w:p>
          <w:p w:rsidR="009801A5" w:rsidRPr="00E407E9" w:rsidRDefault="00CE6E62" w:rsidP="00F74504">
            <w:pPr>
              <w:jc w:val="both"/>
              <w:rPr>
                <w:sz w:val="20"/>
                <w:szCs w:val="20"/>
              </w:rPr>
            </w:pPr>
            <w:hyperlink r:id="rId28" w:history="1">
              <w:r w:rsidR="009801A5" w:rsidRPr="00E407E9">
                <w:rPr>
                  <w:rStyle w:val="Hyperlink"/>
                  <w:sz w:val="20"/>
                  <w:szCs w:val="20"/>
                </w:rPr>
                <w:t>2018 BCPC 386</w:t>
              </w:r>
            </w:hyperlink>
            <w:r w:rsidR="009801A5" w:rsidRPr="00E407E9">
              <w:rPr>
                <w:sz w:val="20"/>
                <w:szCs w:val="20"/>
              </w:rPr>
              <w:t xml:space="preserve"> </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Sentence imposed: 12 months’ imprisonment</w:t>
            </w: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June 22, 2020</w:t>
            </w:r>
          </w:p>
          <w:p w:rsidR="009801A5" w:rsidRPr="00E407E9" w:rsidRDefault="009801A5" w:rsidP="00F74504">
            <w:pPr>
              <w:jc w:val="both"/>
              <w:rPr>
                <w:sz w:val="20"/>
                <w:szCs w:val="20"/>
              </w:rPr>
            </w:pPr>
            <w:r w:rsidRPr="00E407E9">
              <w:rPr>
                <w:sz w:val="20"/>
                <w:szCs w:val="20"/>
              </w:rPr>
              <w:t>Court of Appeal for British Columbia (Vancouver)</w:t>
            </w:r>
          </w:p>
          <w:p w:rsidR="009801A5" w:rsidRPr="00E407E9" w:rsidRDefault="009801A5" w:rsidP="00F74504">
            <w:pPr>
              <w:jc w:val="both"/>
              <w:rPr>
                <w:sz w:val="20"/>
                <w:szCs w:val="20"/>
              </w:rPr>
            </w:pPr>
            <w:r w:rsidRPr="00E407E9">
              <w:rPr>
                <w:sz w:val="20"/>
                <w:szCs w:val="20"/>
              </w:rPr>
              <w:t>(Harris, Fitch, Butler JJ.A.)</w:t>
            </w:r>
          </w:p>
          <w:p w:rsidR="009801A5" w:rsidRPr="00E407E9" w:rsidRDefault="00CE6E62" w:rsidP="00F74504">
            <w:pPr>
              <w:jc w:val="both"/>
              <w:rPr>
                <w:sz w:val="20"/>
                <w:szCs w:val="20"/>
              </w:rPr>
            </w:pPr>
            <w:hyperlink r:id="rId29" w:history="1">
              <w:r w:rsidR="009801A5" w:rsidRPr="00E407E9">
                <w:rPr>
                  <w:rStyle w:val="Hyperlink"/>
                  <w:sz w:val="20"/>
                  <w:szCs w:val="20"/>
                </w:rPr>
                <w:t>2020 BCCA 195</w:t>
              </w:r>
            </w:hyperlink>
            <w:r w:rsidR="009801A5" w:rsidRPr="00E407E9">
              <w:rPr>
                <w:sz w:val="20"/>
                <w:szCs w:val="20"/>
              </w:rPr>
              <w:t>; CA45765</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Sentence appeal dismissed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July 15,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filed</w:t>
            </w:r>
          </w:p>
          <w:p w:rsidR="009801A5" w:rsidRPr="00E407E9" w:rsidRDefault="009801A5" w:rsidP="00F74504">
            <w:pPr>
              <w:jc w:val="both"/>
              <w:rPr>
                <w:sz w:val="20"/>
                <w:szCs w:val="20"/>
              </w:rPr>
            </w:pP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70"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1A3EBC"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39299</w:t>
            </w:r>
          </w:p>
        </w:tc>
        <w:tc>
          <w:tcPr>
            <w:tcW w:w="4457" w:type="pct"/>
          </w:tcPr>
          <w:p w:rsidR="009801A5" w:rsidRPr="00E407E9" w:rsidRDefault="009801A5" w:rsidP="00F74504">
            <w:pPr>
              <w:pStyle w:val="SCCLsocParty"/>
              <w:jc w:val="both"/>
              <w:rPr>
                <w:b/>
                <w:sz w:val="20"/>
                <w:szCs w:val="20"/>
              </w:rPr>
            </w:pPr>
            <w:r w:rsidRPr="00E407E9">
              <w:rPr>
                <w:b/>
                <w:sz w:val="20"/>
                <w:szCs w:val="20"/>
              </w:rPr>
              <w:t>Peter Gerard Coffey c. Sa Majesté la Reine</w:t>
            </w:r>
          </w:p>
          <w:p w:rsidR="009801A5" w:rsidRPr="00E407E9" w:rsidRDefault="009801A5" w:rsidP="00F74504">
            <w:pPr>
              <w:jc w:val="both"/>
              <w:rPr>
                <w:sz w:val="20"/>
                <w:szCs w:val="20"/>
                <w:lang w:val="fr-CA"/>
              </w:rPr>
            </w:pPr>
            <w:r w:rsidRPr="00E407E9">
              <w:rPr>
                <w:sz w:val="20"/>
                <w:szCs w:val="20"/>
                <w:lang w:val="fr-CA"/>
              </w:rPr>
              <w:t>(C.-B.) (Criminelle) (Sur autorisation)</w:t>
            </w:r>
          </w:p>
        </w:tc>
      </w:tr>
      <w:tr w:rsidR="009801A5" w:rsidRPr="001A3EBC" w:rsidTr="00F74504">
        <w:tc>
          <w:tcPr>
            <w:tcW w:w="5000" w:type="pct"/>
            <w:gridSpan w:val="2"/>
          </w:tcPr>
          <w:p w:rsidR="009801A5" w:rsidRPr="00E407E9" w:rsidRDefault="000C6047" w:rsidP="00F74504">
            <w:pPr>
              <w:jc w:val="both"/>
              <w:rPr>
                <w:sz w:val="20"/>
                <w:szCs w:val="20"/>
                <w:lang w:val="fr-CA"/>
              </w:rPr>
            </w:pPr>
            <w:r w:rsidRPr="00E407E9">
              <w:rPr>
                <w:sz w:val="20"/>
                <w:szCs w:val="20"/>
                <w:lang w:val="fr-CA"/>
              </w:rPr>
              <w:t>La demande d’autorisation d’appel de l’arrêt de la Cour d’appel de la Colombie-Britannique (Vancouver), numéro CA45765, 2020 BCCA 195, daté du 22 juin 2020, est rejetée.</w:t>
            </w:r>
          </w:p>
          <w:p w:rsidR="000C6047" w:rsidRPr="00E407E9" w:rsidRDefault="000C6047" w:rsidP="00F74504">
            <w:pPr>
              <w:jc w:val="both"/>
              <w:rPr>
                <w:sz w:val="20"/>
                <w:szCs w:val="20"/>
                <w:lang w:val="fr-CA"/>
              </w:rPr>
            </w:pPr>
          </w:p>
        </w:tc>
      </w:tr>
      <w:tr w:rsidR="009801A5" w:rsidRPr="001A3EBC" w:rsidTr="00F74504">
        <w:tc>
          <w:tcPr>
            <w:tcW w:w="5000" w:type="pct"/>
            <w:gridSpan w:val="2"/>
          </w:tcPr>
          <w:p w:rsidR="009801A5" w:rsidRPr="00E407E9" w:rsidRDefault="009801A5" w:rsidP="00F74504">
            <w:pPr>
              <w:jc w:val="both"/>
              <w:rPr>
                <w:sz w:val="20"/>
                <w:szCs w:val="20"/>
                <w:lang w:val="fr-CA"/>
              </w:rPr>
            </w:pPr>
            <w:r w:rsidRPr="00E407E9">
              <w:rPr>
                <w:sz w:val="20"/>
                <w:szCs w:val="20"/>
                <w:lang w:val="fr-CA"/>
              </w:rPr>
              <w:t>Droit criminel — Détermination de la peine — Facteurs devant être pris en considération — Délinquant autochtone — La Cour d’appel a</w:t>
            </w:r>
            <w:r w:rsidRPr="00E407E9">
              <w:rPr>
                <w:sz w:val="20"/>
                <w:szCs w:val="20"/>
                <w:lang w:val="fr-CA"/>
              </w:rPr>
              <w:noBreakHyphen/>
              <w:t>t</w:t>
            </w:r>
            <w:r w:rsidRPr="00E407E9">
              <w:rPr>
                <w:sz w:val="20"/>
                <w:szCs w:val="20"/>
                <w:lang w:val="fr-CA"/>
              </w:rPr>
              <w:noBreakHyphen/>
              <w:t xml:space="preserve">elle commis une erreur lorsqu’elle a conclu que le juge qui a déterminé la peine a suffisamment tenu compte des principes énoncés dans l’affaire </w:t>
            </w:r>
            <w:r w:rsidRPr="00E407E9">
              <w:rPr>
                <w:i/>
                <w:sz w:val="20"/>
                <w:szCs w:val="20"/>
                <w:lang w:val="fr-CA"/>
              </w:rPr>
              <w:t>Gladue </w:t>
            </w:r>
            <w:r w:rsidRPr="00E407E9">
              <w:rPr>
                <w:sz w:val="20"/>
                <w:szCs w:val="20"/>
                <w:lang w:val="fr-CA"/>
              </w:rPr>
              <w:t>? — La Cour d’appel a</w:t>
            </w:r>
            <w:r w:rsidRPr="00E407E9">
              <w:rPr>
                <w:sz w:val="20"/>
                <w:szCs w:val="20"/>
                <w:lang w:val="fr-CA"/>
              </w:rPr>
              <w:noBreakHyphen/>
              <w:t>t</w:t>
            </w:r>
            <w:r w:rsidRPr="00E407E9">
              <w:rPr>
                <w:sz w:val="20"/>
                <w:szCs w:val="20"/>
                <w:lang w:val="fr-CA"/>
              </w:rPr>
              <w:noBreakHyphen/>
              <w:t>elle commis une erreur lorsqu’elle a conclu que le juge qui a déterminé la peine a dûment tenu compte de la gravité de l’infraction ?</w:t>
            </w:r>
          </w:p>
        </w:tc>
      </w:tr>
      <w:tr w:rsidR="009801A5" w:rsidRPr="001A3EBC" w:rsidTr="00F74504">
        <w:tc>
          <w:tcPr>
            <w:tcW w:w="5000" w:type="pct"/>
            <w:gridSpan w:val="2"/>
          </w:tcPr>
          <w:p w:rsidR="009801A5" w:rsidRPr="00E407E9" w:rsidRDefault="009801A5" w:rsidP="00F74504">
            <w:pPr>
              <w:jc w:val="both"/>
              <w:rPr>
                <w:sz w:val="20"/>
                <w:szCs w:val="20"/>
                <w:lang w:val="fr-CA"/>
              </w:rPr>
            </w:pPr>
          </w:p>
        </w:tc>
      </w:tr>
    </w:tbl>
    <w:p w:rsidR="00886B54" w:rsidRPr="00E407E9" w:rsidRDefault="00886B54">
      <w:pPr>
        <w:rPr>
          <w:lang w:val="fr-CA"/>
        </w:rPr>
      </w:pPr>
      <w:r w:rsidRPr="00E407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E407E9" w:rsidTr="00F74504">
        <w:tc>
          <w:tcPr>
            <w:tcW w:w="5000" w:type="pct"/>
            <w:gridSpan w:val="3"/>
          </w:tcPr>
          <w:p w:rsidR="009801A5" w:rsidRPr="00E407E9" w:rsidRDefault="009801A5" w:rsidP="00F74504">
            <w:pPr>
              <w:jc w:val="both"/>
              <w:rPr>
                <w:sz w:val="20"/>
                <w:szCs w:val="20"/>
                <w:lang w:val="fr-CA"/>
              </w:rPr>
            </w:pPr>
            <w:r w:rsidRPr="00E407E9">
              <w:rPr>
                <w:sz w:val="20"/>
                <w:szCs w:val="20"/>
                <w:lang w:val="fr-CA"/>
              </w:rPr>
              <w:lastRenderedPageBreak/>
              <w:t>La GRC a exécuté un mandat de perquisition dans une propriété rurale de sept acres en Colombie</w:t>
            </w:r>
            <w:r w:rsidRPr="00E407E9">
              <w:rPr>
                <w:sz w:val="20"/>
                <w:szCs w:val="20"/>
                <w:lang w:val="fr-CA"/>
              </w:rPr>
              <w:noBreakHyphen/>
              <w:t>Britannique qu’occupait le demandeur et d’autres personnes. Une vaste installation de culture de la marihuana commerciale bien</w:t>
            </w:r>
            <w:r w:rsidRPr="00E407E9">
              <w:rPr>
                <w:sz w:val="20"/>
                <w:szCs w:val="20"/>
                <w:lang w:val="fr-CA"/>
              </w:rPr>
              <w:noBreakHyphen/>
              <w:t>établie et sophistiquée a été découverte sur la propriété, qui renfermait environ 4 200 plants de marihuana à divers stades de croissance. Trois personnes associées à la propriété détenaient des licences pour cultiver la marihuana à des fins médicales personnelles. Ensemble, ces licences ne visaient qu’approximativement 530 à 550 plants. Le demandeur avait fait partie d’un groupe qui cherchait à obtenir une licence de production légale, mais leur demande a été rejetée en 2014. Un document qui a été saisi durant la perquisition, et dont le demandeur était l’auteur, indiquait qu’une récolte de 44,5 livres de marihuana avait été vendue au prix de 93 600 $. Le demandeur a été déclaré coupable de production et de possession de marihuana en vue d’en faire le trafic. Le demandeur a été condamné à une peine d’emprisonnement de 12 mois. Son appel visant cette peine a été rejeté.</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22 décembre 2017</w:t>
            </w:r>
          </w:p>
          <w:p w:rsidR="009801A5" w:rsidRPr="00E407E9" w:rsidRDefault="009801A5" w:rsidP="00F74504">
            <w:pPr>
              <w:jc w:val="both"/>
              <w:rPr>
                <w:sz w:val="20"/>
                <w:szCs w:val="20"/>
                <w:lang w:val="fr-CA"/>
              </w:rPr>
            </w:pPr>
            <w:r w:rsidRPr="00E407E9">
              <w:rPr>
                <w:sz w:val="20"/>
                <w:szCs w:val="20"/>
                <w:lang w:val="fr-CA"/>
              </w:rPr>
              <w:t>Cour provinciale de la Colombie</w:t>
            </w:r>
            <w:r w:rsidRPr="00E407E9">
              <w:rPr>
                <w:sz w:val="20"/>
                <w:szCs w:val="20"/>
                <w:lang w:val="fr-CA"/>
              </w:rPr>
              <w:noBreakHyphen/>
              <w:t>Britannique</w:t>
            </w:r>
          </w:p>
          <w:p w:rsidR="009801A5" w:rsidRPr="00E407E9" w:rsidRDefault="009801A5" w:rsidP="00F74504">
            <w:pPr>
              <w:jc w:val="both"/>
              <w:rPr>
                <w:sz w:val="20"/>
                <w:szCs w:val="20"/>
                <w:lang w:val="fr-CA"/>
              </w:rPr>
            </w:pPr>
            <w:r w:rsidRPr="00E407E9">
              <w:rPr>
                <w:sz w:val="20"/>
                <w:szCs w:val="20"/>
                <w:lang w:val="fr-CA"/>
              </w:rPr>
              <w:t>(Juge Solomon)</w:t>
            </w:r>
          </w:p>
          <w:p w:rsidR="009801A5" w:rsidRPr="00E407E9" w:rsidRDefault="00CE6E62" w:rsidP="00F74504">
            <w:pPr>
              <w:jc w:val="both"/>
              <w:rPr>
                <w:sz w:val="20"/>
                <w:szCs w:val="20"/>
                <w:lang w:val="fr-CA"/>
              </w:rPr>
            </w:pPr>
            <w:hyperlink r:id="rId30" w:history="1">
              <w:r w:rsidR="009801A5" w:rsidRPr="00E407E9">
                <w:rPr>
                  <w:rStyle w:val="Hyperlink"/>
                  <w:sz w:val="20"/>
                  <w:szCs w:val="20"/>
                  <w:lang w:val="fr-CA"/>
                </w:rPr>
                <w:t>2017 BCPC 449</w:t>
              </w:r>
            </w:hyperlink>
            <w:r w:rsidR="009801A5" w:rsidRPr="00E407E9">
              <w:rPr>
                <w:sz w:val="20"/>
                <w:szCs w:val="20"/>
                <w:lang w:val="fr-CA"/>
              </w:rPr>
              <w:t xml:space="preserve"> </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Déclaration de culpabilité prononcée : production et possession de marihuana en vue d’en faire le trafic. </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3 décembre 2018</w:t>
            </w:r>
          </w:p>
          <w:p w:rsidR="009801A5" w:rsidRPr="00E407E9" w:rsidRDefault="009801A5" w:rsidP="00F74504">
            <w:pPr>
              <w:jc w:val="both"/>
              <w:rPr>
                <w:sz w:val="20"/>
                <w:szCs w:val="20"/>
                <w:lang w:val="fr-CA"/>
              </w:rPr>
            </w:pPr>
            <w:r w:rsidRPr="00E407E9">
              <w:rPr>
                <w:sz w:val="20"/>
                <w:szCs w:val="20"/>
                <w:lang w:val="fr-CA"/>
              </w:rPr>
              <w:t>Cour provinciale de la Colombie</w:t>
            </w:r>
            <w:r w:rsidRPr="00E407E9">
              <w:rPr>
                <w:sz w:val="20"/>
                <w:szCs w:val="20"/>
                <w:lang w:val="fr-CA"/>
              </w:rPr>
              <w:noBreakHyphen/>
              <w:t>Britannique</w:t>
            </w:r>
          </w:p>
          <w:p w:rsidR="009801A5" w:rsidRPr="00E407E9" w:rsidRDefault="009801A5" w:rsidP="00F74504">
            <w:pPr>
              <w:jc w:val="both"/>
              <w:rPr>
                <w:sz w:val="20"/>
                <w:szCs w:val="20"/>
                <w:lang w:val="fr-CA"/>
              </w:rPr>
            </w:pPr>
            <w:r w:rsidRPr="00E407E9">
              <w:rPr>
                <w:sz w:val="20"/>
                <w:szCs w:val="20"/>
                <w:lang w:val="fr-CA"/>
              </w:rPr>
              <w:t>(Juge Solomon)</w:t>
            </w:r>
          </w:p>
          <w:p w:rsidR="009801A5" w:rsidRPr="00E407E9" w:rsidRDefault="00CE6E62" w:rsidP="00F74504">
            <w:pPr>
              <w:jc w:val="both"/>
              <w:rPr>
                <w:sz w:val="20"/>
                <w:szCs w:val="20"/>
                <w:lang w:val="fr-CA"/>
              </w:rPr>
            </w:pPr>
            <w:hyperlink r:id="rId31" w:history="1">
              <w:r w:rsidR="009801A5" w:rsidRPr="00E407E9">
                <w:rPr>
                  <w:rStyle w:val="Hyperlink"/>
                  <w:sz w:val="20"/>
                  <w:szCs w:val="20"/>
                  <w:lang w:val="fr-CA"/>
                </w:rPr>
                <w:t>2018 BCPC 386</w:t>
              </w:r>
            </w:hyperlink>
            <w:r w:rsidR="009801A5" w:rsidRPr="00E407E9">
              <w:rPr>
                <w:sz w:val="20"/>
                <w:szCs w:val="20"/>
                <w:lang w:val="fr-CA"/>
              </w:rPr>
              <w:t xml:space="preserve"> </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Peine d’emprisonnement de 12 mois imposée. </w:t>
            </w: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22 juin 2020</w:t>
            </w:r>
          </w:p>
          <w:p w:rsidR="009801A5" w:rsidRPr="00E407E9" w:rsidRDefault="009801A5" w:rsidP="00F74504">
            <w:pPr>
              <w:jc w:val="both"/>
              <w:rPr>
                <w:sz w:val="20"/>
                <w:szCs w:val="20"/>
                <w:lang w:val="fr-CA"/>
              </w:rPr>
            </w:pPr>
            <w:r w:rsidRPr="00E407E9">
              <w:rPr>
                <w:sz w:val="20"/>
                <w:szCs w:val="20"/>
                <w:lang w:val="fr-CA"/>
              </w:rPr>
              <w:t>Cour d’appel de la Colombie</w:t>
            </w:r>
            <w:r w:rsidRPr="00E407E9">
              <w:rPr>
                <w:sz w:val="20"/>
                <w:szCs w:val="20"/>
                <w:lang w:val="fr-CA"/>
              </w:rPr>
              <w:noBreakHyphen/>
              <w:t>Britannique (Vancouver)</w:t>
            </w:r>
          </w:p>
          <w:p w:rsidR="009801A5" w:rsidRPr="00E407E9" w:rsidRDefault="009801A5" w:rsidP="00F74504">
            <w:pPr>
              <w:jc w:val="both"/>
              <w:rPr>
                <w:sz w:val="20"/>
                <w:szCs w:val="20"/>
              </w:rPr>
            </w:pPr>
            <w:r w:rsidRPr="00E407E9">
              <w:rPr>
                <w:sz w:val="20"/>
                <w:szCs w:val="20"/>
              </w:rPr>
              <w:t>(Juges Harris, Fitch, Butler)</w:t>
            </w:r>
          </w:p>
          <w:p w:rsidR="009801A5" w:rsidRPr="00E407E9" w:rsidRDefault="00CE6E62" w:rsidP="00F74504">
            <w:pPr>
              <w:jc w:val="both"/>
              <w:rPr>
                <w:sz w:val="20"/>
                <w:szCs w:val="20"/>
              </w:rPr>
            </w:pPr>
            <w:hyperlink r:id="rId32" w:history="1">
              <w:r w:rsidR="009801A5" w:rsidRPr="00E407E9">
                <w:rPr>
                  <w:rStyle w:val="Hyperlink"/>
                  <w:sz w:val="20"/>
                  <w:szCs w:val="20"/>
                </w:rPr>
                <w:t>2020 BCCA 195</w:t>
              </w:r>
            </w:hyperlink>
            <w:r w:rsidR="009801A5" w:rsidRPr="00E407E9">
              <w:rPr>
                <w:sz w:val="20"/>
                <w:szCs w:val="20"/>
              </w:rPr>
              <w:t>; CA45765</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Appel visant la peine rejeté.</w:t>
            </w:r>
          </w:p>
          <w:p w:rsidR="009801A5" w:rsidRPr="00E407E9" w:rsidRDefault="009801A5" w:rsidP="00F74504">
            <w:pPr>
              <w:jc w:val="both"/>
              <w:rPr>
                <w:sz w:val="20"/>
                <w:szCs w:val="20"/>
                <w:lang w:val="fr-CA"/>
              </w:rPr>
            </w:pPr>
          </w:p>
        </w:tc>
      </w:tr>
      <w:tr w:rsidR="009801A5" w:rsidRPr="00E407E9" w:rsidTr="00F74504">
        <w:tc>
          <w:tcPr>
            <w:tcW w:w="2427" w:type="pct"/>
          </w:tcPr>
          <w:p w:rsidR="009801A5" w:rsidRPr="00E407E9" w:rsidRDefault="009801A5" w:rsidP="00F74504">
            <w:pPr>
              <w:jc w:val="both"/>
              <w:rPr>
                <w:sz w:val="20"/>
                <w:szCs w:val="20"/>
                <w:lang w:val="fr-CA"/>
              </w:rPr>
            </w:pPr>
            <w:r w:rsidRPr="00E407E9">
              <w:rPr>
                <w:sz w:val="20"/>
                <w:szCs w:val="20"/>
                <w:lang w:val="fr-CA"/>
              </w:rPr>
              <w:t>15 juillet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Demande d’autorisation d’appel présentée.</w:t>
            </w:r>
          </w:p>
          <w:p w:rsidR="009801A5" w:rsidRPr="00E407E9" w:rsidRDefault="009801A5" w:rsidP="00F74504">
            <w:pPr>
              <w:jc w:val="both"/>
              <w:rPr>
                <w:sz w:val="20"/>
                <w:szCs w:val="20"/>
                <w:lang w:val="fr-CA"/>
              </w:rPr>
            </w:pPr>
          </w:p>
        </w:tc>
      </w:tr>
    </w:tbl>
    <w:p w:rsidR="009801A5" w:rsidRPr="00E407E9" w:rsidRDefault="009801A5" w:rsidP="009801A5">
      <w:pPr>
        <w:jc w:val="both"/>
        <w:rPr>
          <w:sz w:val="20"/>
          <w:lang w:val="fr-CA"/>
        </w:rPr>
      </w:pPr>
    </w:p>
    <w:p w:rsidR="009801A5" w:rsidRPr="00E407E9" w:rsidRDefault="00CE6E62" w:rsidP="009801A5">
      <w:pPr>
        <w:jc w:val="both"/>
        <w:rPr>
          <w:sz w:val="20"/>
          <w:szCs w:val="20"/>
          <w:lang w:val="fr-CA"/>
        </w:rPr>
      </w:pPr>
      <w:r>
        <w:rPr>
          <w:sz w:val="20"/>
        </w:rPr>
        <w:pict>
          <v:rect id="_x0000_i1071"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39099</w:t>
            </w:r>
          </w:p>
        </w:tc>
        <w:tc>
          <w:tcPr>
            <w:tcW w:w="4457" w:type="pct"/>
            <w:gridSpan w:val="3"/>
          </w:tcPr>
          <w:p w:rsidR="009801A5" w:rsidRPr="00E407E9" w:rsidRDefault="000C6047" w:rsidP="00F74504">
            <w:pPr>
              <w:pStyle w:val="SCCLsocParty"/>
              <w:jc w:val="both"/>
              <w:rPr>
                <w:b/>
                <w:sz w:val="20"/>
                <w:szCs w:val="20"/>
                <w:lang w:val="en-US"/>
              </w:rPr>
            </w:pPr>
            <w:r w:rsidRPr="00E407E9">
              <w:rPr>
                <w:b/>
                <w:sz w:val="20"/>
                <w:szCs w:val="20"/>
                <w:lang w:val="en-US"/>
              </w:rPr>
              <w:t>Kennedy Trust for Rheumatology Research, Janssen Biotech Inc., Janssen Inc., CILAG GmbH International and CILAG AG</w:t>
            </w:r>
            <w:r w:rsidR="009801A5" w:rsidRPr="00E407E9">
              <w:rPr>
                <w:b/>
                <w:sz w:val="20"/>
                <w:szCs w:val="20"/>
                <w:lang w:val="en-US"/>
              </w:rPr>
              <w:t xml:space="preserve"> v. </w:t>
            </w:r>
            <w:r w:rsidRPr="00E407E9">
              <w:rPr>
                <w:b/>
                <w:sz w:val="20"/>
                <w:szCs w:val="20"/>
                <w:lang w:val="en-US"/>
              </w:rPr>
              <w:t>Pfizer Canada ULC (formerly Hospira Healthcare Corporation and Pfizer Canada Inc.), Celltrion Healthcare Co. Ltd. and Celltrion Inc.</w:t>
            </w:r>
          </w:p>
          <w:p w:rsidR="009801A5" w:rsidRPr="00E407E9" w:rsidRDefault="009801A5" w:rsidP="00F74504">
            <w:pPr>
              <w:pStyle w:val="SCCLsocSubfileSeparator0"/>
              <w:rPr>
                <w:sz w:val="20"/>
                <w:szCs w:val="20"/>
              </w:rPr>
            </w:pPr>
            <w:r w:rsidRPr="00E407E9">
              <w:rPr>
                <w:sz w:val="20"/>
                <w:szCs w:val="20"/>
              </w:rPr>
              <w:t>- and between -</w:t>
            </w:r>
          </w:p>
          <w:p w:rsidR="009801A5" w:rsidRPr="00E407E9" w:rsidRDefault="000C6047" w:rsidP="00F74504">
            <w:pPr>
              <w:pStyle w:val="SCCLsocParty"/>
              <w:jc w:val="both"/>
              <w:rPr>
                <w:b/>
                <w:sz w:val="20"/>
                <w:szCs w:val="20"/>
                <w:lang w:val="en-US"/>
              </w:rPr>
            </w:pPr>
            <w:r w:rsidRPr="00E407E9">
              <w:rPr>
                <w:b/>
                <w:sz w:val="20"/>
                <w:szCs w:val="20"/>
                <w:lang w:val="en-US"/>
              </w:rPr>
              <w:t xml:space="preserve">Pfizer Canada ULC (formerly Hospira Healthcare Corporation and Pfizer Canada Inc.), Celltrion Healthcare Co. Ltd. and Celltrion Inc. </w:t>
            </w:r>
            <w:r w:rsidR="009801A5" w:rsidRPr="00E407E9">
              <w:rPr>
                <w:b/>
                <w:sz w:val="20"/>
                <w:szCs w:val="20"/>
                <w:lang w:val="en-US"/>
              </w:rPr>
              <w:t xml:space="preserve">v. </w:t>
            </w:r>
            <w:r w:rsidRPr="00E407E9">
              <w:rPr>
                <w:b/>
                <w:sz w:val="20"/>
                <w:szCs w:val="20"/>
                <w:lang w:val="en-US"/>
              </w:rPr>
              <w:t>Kennedy Trust for Rheumatology Research, Janssen Biotech Inc., Janssen Inc., CILAG GmbH International and CILAG AG</w:t>
            </w:r>
          </w:p>
          <w:p w:rsidR="009801A5" w:rsidRPr="00E407E9" w:rsidRDefault="009801A5" w:rsidP="00F74504">
            <w:pPr>
              <w:jc w:val="both"/>
              <w:rPr>
                <w:sz w:val="20"/>
                <w:szCs w:val="20"/>
              </w:rPr>
            </w:pPr>
            <w:r w:rsidRPr="00E407E9">
              <w:rPr>
                <w:sz w:val="20"/>
                <w:szCs w:val="20"/>
              </w:rPr>
              <w:t>(F</w:t>
            </w:r>
            <w:r w:rsidRPr="00E407E9">
              <w:rPr>
                <w:sz w:val="20"/>
              </w:rPr>
              <w:t>.</w:t>
            </w:r>
            <w:r w:rsidRPr="00E407E9">
              <w:rPr>
                <w:sz w:val="20"/>
                <w:szCs w:val="20"/>
              </w:rPr>
              <w:t>C</w:t>
            </w:r>
            <w:r w:rsidRPr="00E407E9">
              <w:rPr>
                <w:sz w:val="20"/>
              </w:rPr>
              <w:t>.</w:t>
            </w:r>
            <w:r w:rsidRPr="00E407E9">
              <w:rPr>
                <w:sz w:val="20"/>
                <w:szCs w:val="20"/>
              </w:rPr>
              <w:t>) (Civil) (By Leave)</w:t>
            </w:r>
          </w:p>
        </w:tc>
      </w:tr>
      <w:tr w:rsidR="009801A5" w:rsidRPr="00E407E9" w:rsidTr="00F74504">
        <w:tc>
          <w:tcPr>
            <w:tcW w:w="5000" w:type="pct"/>
            <w:gridSpan w:val="4"/>
          </w:tcPr>
          <w:p w:rsidR="000C6047" w:rsidRPr="00E407E9" w:rsidRDefault="000C6047" w:rsidP="000C6047">
            <w:pPr>
              <w:jc w:val="both"/>
              <w:rPr>
                <w:sz w:val="20"/>
                <w:szCs w:val="20"/>
              </w:rPr>
            </w:pPr>
            <w:r w:rsidRPr="00E407E9">
              <w:rPr>
                <w:sz w:val="20"/>
                <w:szCs w:val="20"/>
              </w:rPr>
              <w:t>The applications for leave to appeal from the judgment of the Federal Court of Appeal, Number A-338-18, 2020 FCA 30, dated January 30, 2020, are dismissed with costs.</w:t>
            </w:r>
          </w:p>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t>Intellectual property — Patents — Medicines — Patent found to be valid and infringed — On appeal, matter remitted to trial judge to reconsider issues of obviousness and anticipation — Whether inventive concept is a necessary component of the obviousness test — How is the inventive concept defined? — Is the state of the art subject to the discoverability criterion? — Does the “obvious to try” test apply to process or outcomes? — Can a speculative piece of art anticipate a patent?</w:t>
            </w:r>
            <w:r w:rsidRPr="00E407E9">
              <w:rPr>
                <w:b/>
                <w:sz w:val="20"/>
                <w:szCs w:val="20"/>
              </w:rPr>
              <w:t xml:space="preserve"> — </w:t>
            </w:r>
            <w:r w:rsidRPr="00E407E9">
              <w:rPr>
                <w:sz w:val="20"/>
                <w:szCs w:val="20"/>
              </w:rPr>
              <w:t>Where a patent’s claims include the use of a known drug for a known medical purpose, with the alleged invention being the use of the drug to treat a patient population with a specific medical profile, should courts look to the substance of the patent’s claims to assess whether it is an unpatentable method of medical treatment? — Can a person be liable for infringing a patent by inducing a third party to infringe, if the alleged inducement does not relate to all of the essential elements of the patent claims?</w:t>
            </w:r>
          </w:p>
          <w:p w:rsidR="009801A5" w:rsidRPr="00E407E9" w:rsidRDefault="009801A5" w:rsidP="00F74504">
            <w:pPr>
              <w:jc w:val="both"/>
              <w:rPr>
                <w:b/>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lastRenderedPageBreak/>
              <w:t>Hospira Healthcare Corporation and the other plaintiffs (collectively “Hospira”) brought an action to impeach the 630 Patent. That patent is owned by the Kennedy Trust for Rheumatology Research (with the other respondents, collectively, “Kennedy”) and it counterclaimed for patent infringement. The 630 Patent details the adjunctive use of methotrexate (“MTX”) and the anti</w:t>
            </w:r>
            <w:r w:rsidRPr="00E407E9">
              <w:rPr>
                <w:sz w:val="20"/>
                <w:szCs w:val="20"/>
              </w:rPr>
              <w:noBreakHyphen/>
              <w:t>tumour necrosis factor</w:t>
            </w:r>
            <w:r w:rsidRPr="00E407E9">
              <w:rPr>
                <w:sz w:val="20"/>
                <w:szCs w:val="20"/>
              </w:rPr>
              <w:noBreakHyphen/>
              <w:t>a antibody “infliximab” for the treatment of rheumatoid arthritis (“RA”) and other autoimmune diseases. It is sold in Canada under the name “Remicade.”The 630 Patent expired on August 1, 2017. Hospira markets, uses and sells the biosimilar infliximab in Canada under the commercial name “Inflectra” as a treatment for RA. Prior to the 630 Patent, MTX was well known as a treatment for serious cases of RA but many patients with the disease did not completely respond to it. In the early and mid</w:t>
            </w:r>
            <w:r w:rsidRPr="00E407E9">
              <w:rPr>
                <w:sz w:val="20"/>
                <w:szCs w:val="20"/>
              </w:rPr>
              <w:noBreakHyphen/>
              <w:t>1990s, existing treatments for RA were sub</w:t>
            </w:r>
            <w:r w:rsidRPr="00E407E9">
              <w:rPr>
                <w:sz w:val="20"/>
                <w:szCs w:val="20"/>
              </w:rPr>
              <w:noBreakHyphen/>
              <w:t>optimal with respect to efficacy and side</w:t>
            </w:r>
            <w:r w:rsidRPr="00E407E9">
              <w:rPr>
                <w:sz w:val="20"/>
                <w:szCs w:val="20"/>
              </w:rPr>
              <w:noBreakHyphen/>
              <w:t>effects. The inventors of the 630 Patent tried combining MTX and infliximab and obtained positive results, in terms of enhanced efficacy and sustained duration of effect. Hospira brought an action to attack the validity of the 630 Patent. Kennedy counterclaimed that the 630 Patent had been and would continue to be infringed. The trial judge dismissed Hospira’s action, and granted Kennedy’s counterclaim, finding that the patent was valid and infringed. This decision was overturned in part on appeal, on the basis that the trial judge had erred in his consideration of some of the prior art when determining the issues of anticipation and obviousness. The Federal Court of Appeal remitted the matter back to the trial judge to reconsider those two issues.</w:t>
            </w:r>
          </w:p>
        </w:tc>
      </w:tr>
      <w:tr w:rsidR="009801A5" w:rsidRPr="00E407E9" w:rsidTr="00F74504">
        <w:tc>
          <w:tcPr>
            <w:tcW w:w="5000" w:type="pct"/>
            <w:gridSpan w:val="4"/>
          </w:tcPr>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September 28, 2018</w:t>
            </w:r>
          </w:p>
          <w:p w:rsidR="009801A5" w:rsidRPr="00E407E9" w:rsidRDefault="009801A5" w:rsidP="00F74504">
            <w:pPr>
              <w:jc w:val="both"/>
              <w:rPr>
                <w:sz w:val="20"/>
                <w:szCs w:val="20"/>
              </w:rPr>
            </w:pPr>
            <w:r w:rsidRPr="00E407E9">
              <w:rPr>
                <w:sz w:val="20"/>
                <w:szCs w:val="20"/>
              </w:rPr>
              <w:t>Federal Court</w:t>
            </w:r>
          </w:p>
          <w:p w:rsidR="009801A5" w:rsidRPr="00E407E9" w:rsidRDefault="009801A5" w:rsidP="00F74504">
            <w:pPr>
              <w:jc w:val="both"/>
              <w:rPr>
                <w:sz w:val="20"/>
                <w:szCs w:val="20"/>
              </w:rPr>
            </w:pPr>
            <w:r w:rsidRPr="00E407E9">
              <w:rPr>
                <w:sz w:val="20"/>
                <w:szCs w:val="20"/>
              </w:rPr>
              <w:t>(Phelan J.)</w:t>
            </w:r>
          </w:p>
          <w:p w:rsidR="009801A5" w:rsidRPr="00E407E9" w:rsidRDefault="00CE6E62" w:rsidP="00F74504">
            <w:pPr>
              <w:jc w:val="both"/>
              <w:rPr>
                <w:rStyle w:val="Hyperlink"/>
                <w:sz w:val="20"/>
                <w:szCs w:val="20"/>
              </w:rPr>
            </w:pPr>
            <w:hyperlink r:id="rId33" w:history="1">
              <w:r w:rsidR="009801A5" w:rsidRPr="00E407E9">
                <w:rPr>
                  <w:rStyle w:val="Hyperlink"/>
                  <w:sz w:val="20"/>
                  <w:szCs w:val="20"/>
                </w:rPr>
                <w:t>2018 FC 259</w:t>
              </w:r>
            </w:hyperlink>
          </w:p>
          <w:p w:rsidR="009801A5" w:rsidRPr="00E407E9" w:rsidRDefault="009801A5" w:rsidP="00F74504">
            <w:pPr>
              <w:jc w:val="both"/>
              <w:rPr>
                <w:color w:val="0000FF" w:themeColor="hyperlink"/>
                <w:sz w:val="20"/>
                <w:szCs w:val="20"/>
                <w:u w:val="single"/>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Hospira’s action to invalidate 630 Patent dismissed; Kennedy’s 630 Patent found to be valid and infringed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January 30, 2020</w:t>
            </w:r>
          </w:p>
          <w:p w:rsidR="009801A5" w:rsidRPr="00E407E9" w:rsidRDefault="009801A5" w:rsidP="00F74504">
            <w:pPr>
              <w:jc w:val="both"/>
              <w:rPr>
                <w:sz w:val="20"/>
                <w:szCs w:val="20"/>
              </w:rPr>
            </w:pPr>
            <w:r w:rsidRPr="00E407E9">
              <w:rPr>
                <w:sz w:val="20"/>
                <w:szCs w:val="20"/>
              </w:rPr>
              <w:t>Federal Court of Appeal</w:t>
            </w:r>
          </w:p>
          <w:p w:rsidR="009801A5" w:rsidRPr="00E407E9" w:rsidRDefault="009801A5" w:rsidP="00F74504">
            <w:pPr>
              <w:jc w:val="both"/>
              <w:rPr>
                <w:sz w:val="20"/>
                <w:szCs w:val="20"/>
              </w:rPr>
            </w:pPr>
            <w:r w:rsidRPr="00E407E9">
              <w:rPr>
                <w:sz w:val="20"/>
                <w:szCs w:val="20"/>
              </w:rPr>
              <w:t>(Nadon, Rivoalen and Locke JJ.A.)</w:t>
            </w:r>
          </w:p>
          <w:p w:rsidR="009801A5" w:rsidRPr="00E407E9" w:rsidRDefault="00CE6E62" w:rsidP="00F74504">
            <w:pPr>
              <w:jc w:val="both"/>
              <w:rPr>
                <w:sz w:val="20"/>
                <w:szCs w:val="20"/>
              </w:rPr>
            </w:pPr>
            <w:hyperlink r:id="rId34" w:history="1">
              <w:r w:rsidR="009801A5" w:rsidRPr="00E407E9">
                <w:rPr>
                  <w:rStyle w:val="Hyperlink"/>
                  <w:sz w:val="20"/>
                  <w:szCs w:val="20"/>
                </w:rPr>
                <w:t>2020 FCA 30</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Hospira’s appeal allowed in part; Issues of anticipation and obviousness remitted to trial judge for reconsideration</w:t>
            </w:r>
          </w:p>
          <w:p w:rsidR="009801A5" w:rsidRPr="00E407E9" w:rsidRDefault="009801A5" w:rsidP="00F74504">
            <w:pPr>
              <w:jc w:val="both"/>
              <w:rPr>
                <w:sz w:val="20"/>
                <w:szCs w:val="20"/>
              </w:rPr>
            </w:pP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March 30,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Applications for leave to appeal filed</w:t>
            </w:r>
          </w:p>
          <w:p w:rsidR="009801A5" w:rsidRPr="00E407E9" w:rsidRDefault="009801A5" w:rsidP="00F74504">
            <w:pPr>
              <w:jc w:val="both"/>
              <w:rPr>
                <w:sz w:val="20"/>
                <w:szCs w:val="20"/>
              </w:rPr>
            </w:pP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72"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39099</w:t>
            </w:r>
          </w:p>
        </w:tc>
        <w:tc>
          <w:tcPr>
            <w:tcW w:w="4457" w:type="pct"/>
          </w:tcPr>
          <w:p w:rsidR="009801A5" w:rsidRPr="00E407E9" w:rsidRDefault="000C6047" w:rsidP="00F74504">
            <w:pPr>
              <w:pStyle w:val="SCCLsocParty"/>
              <w:jc w:val="both"/>
              <w:rPr>
                <w:b/>
                <w:sz w:val="20"/>
                <w:szCs w:val="20"/>
              </w:rPr>
            </w:pPr>
            <w:r w:rsidRPr="00E407E9">
              <w:rPr>
                <w:b/>
                <w:sz w:val="20"/>
                <w:szCs w:val="20"/>
              </w:rPr>
              <w:t>Kennedy Trust for Rheumatology Research, Janssen Biotech Inc., Janssen Inc., CILAG GmbH International et CILAG AG</w:t>
            </w:r>
            <w:r w:rsidR="009801A5" w:rsidRPr="00E407E9">
              <w:rPr>
                <w:b/>
                <w:sz w:val="20"/>
                <w:szCs w:val="20"/>
              </w:rPr>
              <w:t xml:space="preserve"> c. </w:t>
            </w:r>
            <w:r w:rsidRPr="00E407E9">
              <w:rPr>
                <w:b/>
                <w:sz w:val="20"/>
                <w:szCs w:val="20"/>
              </w:rPr>
              <w:t>Pfizer Canada SRI (anciennement Corporation de soins de la santé Hospira et Pfizer Canada Inc.), Celltrion Healthcare Co. Ltd. et Celltrion Inc.</w:t>
            </w:r>
          </w:p>
          <w:p w:rsidR="009801A5" w:rsidRPr="00E407E9" w:rsidRDefault="009801A5" w:rsidP="00F74504">
            <w:pPr>
              <w:pStyle w:val="SCCLsocSubfileSeparator0"/>
              <w:rPr>
                <w:sz w:val="20"/>
                <w:szCs w:val="20"/>
                <w:lang w:val="fr-CA"/>
              </w:rPr>
            </w:pPr>
            <w:r w:rsidRPr="00E407E9">
              <w:rPr>
                <w:sz w:val="20"/>
                <w:szCs w:val="20"/>
                <w:lang w:val="fr-CA"/>
              </w:rPr>
              <w:t>- et entre -</w:t>
            </w:r>
          </w:p>
          <w:p w:rsidR="009801A5" w:rsidRPr="00E407E9" w:rsidRDefault="000C6047" w:rsidP="00F74504">
            <w:pPr>
              <w:pStyle w:val="SCCLsocParty"/>
              <w:jc w:val="both"/>
              <w:rPr>
                <w:b/>
                <w:sz w:val="20"/>
                <w:szCs w:val="20"/>
              </w:rPr>
            </w:pPr>
            <w:r w:rsidRPr="00E407E9">
              <w:rPr>
                <w:b/>
                <w:sz w:val="20"/>
                <w:szCs w:val="20"/>
              </w:rPr>
              <w:t>Pfizer Canada SRI (anciennement Corporation de soins de la santé Hospira et Pfizer Canada Inc.), Celltrion Healthcare Co. Ltd. et Celltrion Inc.</w:t>
            </w:r>
            <w:r w:rsidR="009801A5" w:rsidRPr="00E407E9">
              <w:rPr>
                <w:b/>
                <w:sz w:val="20"/>
                <w:szCs w:val="20"/>
              </w:rPr>
              <w:t xml:space="preserve"> c. </w:t>
            </w:r>
            <w:r w:rsidRPr="00E407E9">
              <w:rPr>
                <w:b/>
                <w:sz w:val="20"/>
                <w:szCs w:val="20"/>
              </w:rPr>
              <w:t>Kennedy Trust for Rheumatology Research, Janssen Biotech Inc., Janssen Inc., CILAG GmbH International et CILAG AG</w:t>
            </w:r>
          </w:p>
          <w:p w:rsidR="009801A5" w:rsidRPr="00E407E9" w:rsidRDefault="009801A5" w:rsidP="00F74504">
            <w:pPr>
              <w:jc w:val="both"/>
              <w:rPr>
                <w:sz w:val="20"/>
                <w:szCs w:val="20"/>
                <w:lang w:val="fr-CA"/>
              </w:rPr>
            </w:pPr>
            <w:r w:rsidRPr="00E407E9">
              <w:rPr>
                <w:sz w:val="20"/>
                <w:szCs w:val="20"/>
                <w:lang w:val="fr-CA"/>
              </w:rPr>
              <w:t>(C</w:t>
            </w:r>
            <w:r w:rsidRPr="00E407E9">
              <w:rPr>
                <w:sz w:val="20"/>
                <w:lang w:val="fr-CA"/>
              </w:rPr>
              <w:t>.</w:t>
            </w:r>
            <w:r w:rsidRPr="00E407E9">
              <w:rPr>
                <w:sz w:val="20"/>
                <w:szCs w:val="20"/>
                <w:lang w:val="fr-CA"/>
              </w:rPr>
              <w:t>F</w:t>
            </w:r>
            <w:r w:rsidRPr="00E407E9">
              <w:rPr>
                <w:sz w:val="20"/>
                <w:lang w:val="fr-CA"/>
              </w:rPr>
              <w:t>.</w:t>
            </w:r>
            <w:r w:rsidRPr="00E407E9">
              <w:rPr>
                <w:sz w:val="20"/>
                <w:szCs w:val="20"/>
                <w:lang w:val="fr-CA"/>
              </w:rPr>
              <w:t>) (Civile) (Autorisation)</w:t>
            </w:r>
          </w:p>
        </w:tc>
      </w:tr>
      <w:tr w:rsidR="009801A5" w:rsidRPr="001A3EBC" w:rsidTr="00F74504">
        <w:tc>
          <w:tcPr>
            <w:tcW w:w="5000" w:type="pct"/>
            <w:gridSpan w:val="2"/>
          </w:tcPr>
          <w:p w:rsidR="009801A5" w:rsidRPr="00E407E9" w:rsidRDefault="000C6047" w:rsidP="00F74504">
            <w:pPr>
              <w:jc w:val="both"/>
              <w:rPr>
                <w:sz w:val="20"/>
                <w:szCs w:val="20"/>
                <w:lang w:val="fr-CA"/>
              </w:rPr>
            </w:pPr>
            <w:r w:rsidRPr="00E407E9">
              <w:rPr>
                <w:sz w:val="20"/>
                <w:szCs w:val="20"/>
                <w:lang w:val="fr-CA"/>
              </w:rPr>
              <w:t>Les demandes d’autorisation d’appel de l’arrêt de la Cour d’appel fédérale, numéro A-338-18, 2020 FCA 30, daté du 30 janvier 2020, sont rejetées avec dépens.</w:t>
            </w:r>
          </w:p>
          <w:p w:rsidR="000C6047" w:rsidRPr="00E407E9" w:rsidRDefault="000C6047" w:rsidP="00F74504">
            <w:pPr>
              <w:jc w:val="both"/>
              <w:rPr>
                <w:sz w:val="20"/>
                <w:szCs w:val="20"/>
                <w:lang w:val="fr-CA"/>
              </w:rPr>
            </w:pPr>
          </w:p>
        </w:tc>
      </w:tr>
    </w:tbl>
    <w:p w:rsidR="00886B54" w:rsidRPr="00E407E9" w:rsidRDefault="00886B54">
      <w:pPr>
        <w:rPr>
          <w:lang w:val="fr-CA"/>
        </w:rPr>
      </w:pPr>
      <w:r w:rsidRPr="00E407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1A3EBC" w:rsidTr="00F74504">
        <w:tc>
          <w:tcPr>
            <w:tcW w:w="5000" w:type="pct"/>
            <w:gridSpan w:val="3"/>
          </w:tcPr>
          <w:p w:rsidR="009801A5" w:rsidRPr="00E407E9" w:rsidRDefault="009801A5" w:rsidP="00F74504">
            <w:pPr>
              <w:jc w:val="both"/>
              <w:rPr>
                <w:sz w:val="20"/>
                <w:szCs w:val="20"/>
                <w:lang w:val="fr-CA"/>
              </w:rPr>
            </w:pPr>
            <w:r w:rsidRPr="00E407E9">
              <w:rPr>
                <w:sz w:val="20"/>
                <w:szCs w:val="20"/>
                <w:lang w:val="fr-CA"/>
              </w:rPr>
              <w:lastRenderedPageBreak/>
              <w:t>Propriété intellectuelle — Brevets — Médicaments — Conclusion de validité et de contrefaçon d’un brevet — En appel, l’affaire a été renvoyée au juge de première instance pour réexamen des questions d’évidence et d’anticipation — Une idée originale est</w:t>
            </w:r>
            <w:r w:rsidRPr="00E407E9">
              <w:rPr>
                <w:sz w:val="20"/>
                <w:szCs w:val="20"/>
                <w:lang w:val="fr-CA"/>
              </w:rPr>
              <w:noBreakHyphen/>
              <w:t>elle une composante nécessaire du critère de l’évidence? — Comment se définit l’idée originale? — L’état de la technique est</w:t>
            </w:r>
            <w:r w:rsidRPr="00E407E9">
              <w:rPr>
                <w:sz w:val="20"/>
                <w:szCs w:val="20"/>
                <w:lang w:val="fr-CA"/>
              </w:rPr>
              <w:noBreakHyphen/>
              <w:t>il assujetti au critère de la possibilité de découverte? — Le critère de « l’essai allant de soi » s’applique</w:t>
            </w:r>
            <w:r w:rsidRPr="00E407E9">
              <w:rPr>
                <w:sz w:val="20"/>
                <w:szCs w:val="20"/>
                <w:lang w:val="fr-CA"/>
              </w:rPr>
              <w:noBreakHyphen/>
              <w:t>t</w:t>
            </w:r>
            <w:r w:rsidRPr="00E407E9">
              <w:rPr>
                <w:sz w:val="20"/>
                <w:szCs w:val="20"/>
                <w:lang w:val="fr-CA"/>
              </w:rPr>
              <w:noBreakHyphen/>
              <w:t>il au processus ou aux résultats? — Un élément hypothétique de l’art antérieur permet</w:t>
            </w:r>
            <w:r w:rsidRPr="00E407E9">
              <w:rPr>
                <w:sz w:val="20"/>
                <w:szCs w:val="20"/>
                <w:lang w:val="fr-CA"/>
              </w:rPr>
              <w:noBreakHyphen/>
              <w:t>il d’anticiper un brevet? — Dans le cas où des revendications d’un brevet incluent l’utilisation d’un médicament connu à une fin médicale connue, et où l’invention alléguée consiste en l’utilisation du médicament pour traiter une population de patients ayant un profil médical précis, les tribunaux devraient</w:t>
            </w:r>
            <w:r w:rsidRPr="00E407E9">
              <w:rPr>
                <w:sz w:val="20"/>
                <w:szCs w:val="20"/>
                <w:lang w:val="fr-CA"/>
              </w:rPr>
              <w:noBreakHyphen/>
              <w:t>ils se pencher sur le fond des revendications pour déterminer si le brevet constitue une méthode de traitement médical non brevetable? — Une personne peut</w:t>
            </w:r>
            <w:r w:rsidRPr="00E407E9">
              <w:rPr>
                <w:sz w:val="20"/>
                <w:szCs w:val="20"/>
                <w:lang w:val="fr-CA"/>
              </w:rPr>
              <w:noBreakHyphen/>
              <w:t>elle être tenue responsable de contrefaçon d’un brevet pour avoir incité un tiers à la contrefaçon si l’incitation reprochée ne se rapporte pas à tous les éléments essentiels des revendications du brevet?</w:t>
            </w:r>
          </w:p>
          <w:p w:rsidR="009801A5" w:rsidRPr="00E407E9" w:rsidRDefault="009801A5" w:rsidP="00F74504">
            <w:pPr>
              <w:jc w:val="both"/>
              <w:rPr>
                <w:b/>
                <w:sz w:val="20"/>
                <w:szCs w:val="20"/>
                <w:lang w:val="fr-CA"/>
              </w:rPr>
            </w:pPr>
          </w:p>
        </w:tc>
      </w:tr>
      <w:tr w:rsidR="009801A5" w:rsidRPr="001A3EBC" w:rsidTr="00F74504">
        <w:tc>
          <w:tcPr>
            <w:tcW w:w="5000" w:type="pct"/>
            <w:gridSpan w:val="3"/>
          </w:tcPr>
          <w:p w:rsidR="009801A5" w:rsidRPr="00E407E9" w:rsidRDefault="009801A5" w:rsidP="00F74504">
            <w:pPr>
              <w:jc w:val="both"/>
              <w:rPr>
                <w:sz w:val="20"/>
                <w:szCs w:val="20"/>
                <w:lang w:val="fr-CA"/>
              </w:rPr>
            </w:pPr>
            <w:r w:rsidRPr="00E407E9">
              <w:rPr>
                <w:sz w:val="20"/>
                <w:szCs w:val="20"/>
                <w:lang w:val="fr-CA"/>
              </w:rPr>
              <w:t>La Corporation de soins de la santé Hospira et les autres plaignantes (collectivement « Hospira ») ont intenté une action en invalidation du brevet 630. Ce brevet appartient à la Kennedy Trust for Rheumatology Research (ainsi qu’aux autres intimées, collectivement « Kennedy ») et Kennedy a présenté une demande reconventionnelle en contrefaçon de brevet. Le brevet 630 décrit en détail l’utilisation complémentaire du méthotrexate (« MTX ») et de l’anticorps inhibiteur du facteur de nécrose tumorale</w:t>
            </w:r>
            <w:r w:rsidRPr="00E407E9">
              <w:rPr>
                <w:sz w:val="20"/>
                <w:szCs w:val="20"/>
                <w:lang w:val="fr-CA"/>
              </w:rPr>
              <w:noBreakHyphen/>
              <w:t>a dénommé « infliximab » pour traiter la polyarthrite rhumatoïde (« PAR ») et d’autres maladies auto</w:t>
            </w:r>
            <w:r w:rsidRPr="00E407E9">
              <w:rPr>
                <w:sz w:val="20"/>
                <w:szCs w:val="20"/>
                <w:lang w:val="fr-CA"/>
              </w:rPr>
              <w:noBreakHyphen/>
              <w:t>immunes. L’infliximab est vendu au Canada sous le nom de « Remicade ». Le brevet 630 est arrivé à échéance le 1</w:t>
            </w:r>
            <w:r w:rsidRPr="00E407E9">
              <w:rPr>
                <w:sz w:val="20"/>
                <w:szCs w:val="20"/>
                <w:vertAlign w:val="superscript"/>
                <w:lang w:val="fr-CA"/>
              </w:rPr>
              <w:t>er</w:t>
            </w:r>
            <w:r w:rsidRPr="00E407E9">
              <w:rPr>
                <w:sz w:val="20"/>
                <w:szCs w:val="20"/>
                <w:lang w:val="fr-CA"/>
              </w:rPr>
              <w:t> août 2017. Hospira commercialise, utilise et vend un médicament biosimilaire à l’infliximab au Canada sous la dénomination commerciale d’« Inflectra » comme traitement de la PAR. Avant l’existence du brevet 630, le MTX constituait un traitement bien connu des cas graves de PAR, mais celui</w:t>
            </w:r>
            <w:r w:rsidRPr="00E407E9">
              <w:rPr>
                <w:sz w:val="20"/>
                <w:szCs w:val="20"/>
                <w:lang w:val="fr-CA"/>
              </w:rPr>
              <w:noBreakHyphen/>
              <w:t>ci n’agissait pas complètement sur de nombreux patients atteints de maladie. Au début et au milieu des années 1990, les traitements existants pour la PAR n’étaient pas optimaux en matière d’efficacité et d’effets secondaires. Les inventeurs du brevet 630 ont essayé de combiner le MTX et l’infliximab, et ont obtenu des résultats positifs en ce qui a trait à l’amélioration de l’efficacité et au maintien de la durée d’effet. Hospira a intenté une action pour contester la validité du brevet 630. Par demande reconventionnelle, Kennedy a fait valoir que le brevet 630 avait été contrefait et continuerait de l’être. Le juge de première instance a rejeté l’action d’Hospira et a accueilli la demande reconventionnelle de Kennedy, concluant à la validité et à la contrefaçon du brevet. Cette décision a été infirmée en partie en appel, au motif que le juge de première instance avait commis une erreur dans son examen d’une partie de l’art antérieur au moment où il avait statué sur les questions d’anticipation et d’évidence. La Cour d’appel fédérale a renvoyé l’affaire au juge de première instance pour réexamen de ces deux questions.</w:t>
            </w:r>
          </w:p>
        </w:tc>
      </w:tr>
      <w:tr w:rsidR="009801A5" w:rsidRPr="001A3EBC" w:rsidTr="00F74504">
        <w:tc>
          <w:tcPr>
            <w:tcW w:w="5000" w:type="pct"/>
            <w:gridSpan w:val="3"/>
          </w:tcPr>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29 septembre 2018</w:t>
            </w:r>
          </w:p>
          <w:p w:rsidR="009801A5" w:rsidRPr="00E407E9" w:rsidRDefault="009801A5" w:rsidP="00F74504">
            <w:pPr>
              <w:jc w:val="both"/>
              <w:rPr>
                <w:sz w:val="20"/>
                <w:szCs w:val="20"/>
                <w:lang w:val="fr-CA"/>
              </w:rPr>
            </w:pPr>
            <w:r w:rsidRPr="00E407E9">
              <w:rPr>
                <w:sz w:val="20"/>
                <w:szCs w:val="20"/>
                <w:lang w:val="fr-CA"/>
              </w:rPr>
              <w:t>Cour fédérale</w:t>
            </w:r>
          </w:p>
          <w:p w:rsidR="009801A5" w:rsidRPr="00E407E9" w:rsidRDefault="009801A5" w:rsidP="00F74504">
            <w:pPr>
              <w:jc w:val="both"/>
              <w:rPr>
                <w:sz w:val="20"/>
                <w:szCs w:val="20"/>
                <w:lang w:val="fr-CA"/>
              </w:rPr>
            </w:pPr>
            <w:r w:rsidRPr="00E407E9">
              <w:rPr>
                <w:sz w:val="20"/>
                <w:szCs w:val="20"/>
                <w:lang w:val="fr-CA"/>
              </w:rPr>
              <w:t>(Juge Phelan)</w:t>
            </w:r>
          </w:p>
          <w:p w:rsidR="009801A5" w:rsidRPr="00E407E9" w:rsidRDefault="00CE6E62" w:rsidP="00F74504">
            <w:pPr>
              <w:jc w:val="both"/>
              <w:rPr>
                <w:rStyle w:val="Hyperlink"/>
                <w:sz w:val="20"/>
                <w:szCs w:val="20"/>
                <w:lang w:val="fr-CA"/>
              </w:rPr>
            </w:pPr>
            <w:hyperlink r:id="rId35" w:history="1">
              <w:r w:rsidR="009801A5" w:rsidRPr="00E407E9">
                <w:rPr>
                  <w:rStyle w:val="Hyperlink"/>
                  <w:sz w:val="20"/>
                  <w:szCs w:val="20"/>
                  <w:lang w:val="fr-CA"/>
                </w:rPr>
                <w:t>2018 CF 259</w:t>
              </w:r>
            </w:hyperlink>
          </w:p>
          <w:p w:rsidR="009801A5" w:rsidRPr="00E407E9" w:rsidRDefault="009801A5" w:rsidP="00F74504">
            <w:pPr>
              <w:jc w:val="both"/>
              <w:rPr>
                <w:color w:val="0000FF" w:themeColor="hyperlink"/>
                <w:sz w:val="20"/>
                <w:szCs w:val="20"/>
                <w:u w:val="single"/>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Jugement rejetant l’action intentée par Hospira pour faire invalider le brevet 630; conclusion de validité et de contrefaçon du brevet 630 de Kennedy </w:t>
            </w: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30 janvier 2020</w:t>
            </w:r>
          </w:p>
          <w:p w:rsidR="009801A5" w:rsidRPr="00E407E9" w:rsidRDefault="009801A5" w:rsidP="00F74504">
            <w:pPr>
              <w:jc w:val="both"/>
              <w:rPr>
                <w:sz w:val="20"/>
                <w:szCs w:val="20"/>
                <w:lang w:val="fr-CA"/>
              </w:rPr>
            </w:pPr>
            <w:r w:rsidRPr="00E407E9">
              <w:rPr>
                <w:sz w:val="20"/>
                <w:szCs w:val="20"/>
                <w:lang w:val="fr-CA"/>
              </w:rPr>
              <w:t>Cour d’appel fédérale</w:t>
            </w:r>
          </w:p>
          <w:p w:rsidR="009801A5" w:rsidRPr="00E407E9" w:rsidRDefault="009801A5" w:rsidP="00F74504">
            <w:pPr>
              <w:jc w:val="both"/>
              <w:rPr>
                <w:sz w:val="20"/>
                <w:szCs w:val="20"/>
                <w:lang w:val="fr-CA"/>
              </w:rPr>
            </w:pPr>
            <w:r w:rsidRPr="00E407E9">
              <w:rPr>
                <w:sz w:val="20"/>
                <w:szCs w:val="20"/>
                <w:lang w:val="fr-CA"/>
              </w:rPr>
              <w:t>(Juges Nadon, Rivoalen et Locke)</w:t>
            </w:r>
          </w:p>
          <w:p w:rsidR="009801A5" w:rsidRPr="00E407E9" w:rsidRDefault="00CE6E62" w:rsidP="00F74504">
            <w:pPr>
              <w:jc w:val="both"/>
              <w:rPr>
                <w:sz w:val="20"/>
                <w:szCs w:val="20"/>
                <w:lang w:val="fr-CA"/>
              </w:rPr>
            </w:pPr>
            <w:hyperlink r:id="rId36" w:history="1">
              <w:r w:rsidR="009801A5" w:rsidRPr="00E407E9">
                <w:rPr>
                  <w:rStyle w:val="Hyperlink"/>
                  <w:sz w:val="20"/>
                  <w:szCs w:val="20"/>
                  <w:lang w:val="fr-CA"/>
                </w:rPr>
                <w:t>2020 CAF 30</w:t>
              </w:r>
            </w:hyperlink>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Arrêt accueillant en partie l’appel d’Hospira; questions relatives à l’anticipation et à l’évidence renvoyées au juge de première instance pour réexamen</w:t>
            </w:r>
          </w:p>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p>
        </w:tc>
      </w:tr>
      <w:tr w:rsidR="009801A5" w:rsidRPr="00E407E9" w:rsidTr="00F74504">
        <w:tc>
          <w:tcPr>
            <w:tcW w:w="2427" w:type="pct"/>
          </w:tcPr>
          <w:p w:rsidR="009801A5" w:rsidRPr="00E407E9" w:rsidRDefault="009801A5" w:rsidP="00F74504">
            <w:pPr>
              <w:jc w:val="both"/>
              <w:rPr>
                <w:sz w:val="20"/>
                <w:szCs w:val="20"/>
                <w:lang w:val="fr-CA"/>
              </w:rPr>
            </w:pPr>
            <w:r w:rsidRPr="00E407E9">
              <w:rPr>
                <w:sz w:val="20"/>
                <w:szCs w:val="20"/>
                <w:lang w:val="fr-CA"/>
              </w:rPr>
              <w:t>30 mars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Dépôt de demandes d’autorisation d’appel</w:t>
            </w:r>
          </w:p>
          <w:p w:rsidR="009801A5" w:rsidRPr="00E407E9" w:rsidRDefault="009801A5" w:rsidP="00F74504">
            <w:pPr>
              <w:jc w:val="both"/>
              <w:rPr>
                <w:sz w:val="20"/>
                <w:szCs w:val="20"/>
                <w:lang w:val="fr-CA"/>
              </w:rPr>
            </w:pPr>
          </w:p>
        </w:tc>
      </w:tr>
    </w:tbl>
    <w:p w:rsidR="009801A5" w:rsidRPr="00E407E9" w:rsidRDefault="009801A5" w:rsidP="009801A5">
      <w:pPr>
        <w:jc w:val="both"/>
        <w:rPr>
          <w:sz w:val="20"/>
          <w:szCs w:val="20"/>
          <w:lang w:val="fr-CA"/>
        </w:rPr>
      </w:pPr>
    </w:p>
    <w:p w:rsidR="009801A5" w:rsidRPr="00E407E9" w:rsidRDefault="00CE6E62" w:rsidP="009801A5">
      <w:pPr>
        <w:widowControl w:val="0"/>
        <w:jc w:val="both"/>
        <w:rPr>
          <w:sz w:val="20"/>
          <w:szCs w:val="20"/>
          <w:lang w:val="fr-CA"/>
        </w:rPr>
      </w:pPr>
      <w:r>
        <w:rPr>
          <w:sz w:val="20"/>
        </w:rPr>
        <w:pict>
          <v:rect id="_x0000_i1073"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39293</w:t>
            </w:r>
          </w:p>
        </w:tc>
        <w:tc>
          <w:tcPr>
            <w:tcW w:w="4457" w:type="pct"/>
            <w:gridSpan w:val="3"/>
          </w:tcPr>
          <w:p w:rsidR="009801A5" w:rsidRPr="00E407E9" w:rsidRDefault="009801A5" w:rsidP="00F74504">
            <w:pPr>
              <w:pStyle w:val="SCCLsocParty"/>
              <w:jc w:val="both"/>
              <w:rPr>
                <w:b/>
                <w:sz w:val="20"/>
                <w:szCs w:val="20"/>
                <w:lang w:val="en-US"/>
              </w:rPr>
            </w:pPr>
            <w:r w:rsidRPr="00E407E9">
              <w:rPr>
                <w:b/>
                <w:sz w:val="20"/>
                <w:szCs w:val="20"/>
                <w:lang w:val="en-US"/>
              </w:rPr>
              <w:t>Horizons ETFS Management (Canada) Inc. v. Graham Wright</w:t>
            </w:r>
          </w:p>
          <w:p w:rsidR="009801A5" w:rsidRPr="00E407E9" w:rsidRDefault="009801A5" w:rsidP="00F74504">
            <w:pPr>
              <w:jc w:val="both"/>
              <w:rPr>
                <w:sz w:val="20"/>
                <w:szCs w:val="20"/>
              </w:rPr>
            </w:pPr>
            <w:r w:rsidRPr="00E407E9">
              <w:rPr>
                <w:sz w:val="20"/>
                <w:szCs w:val="20"/>
              </w:rPr>
              <w:t>(Ont.) (Civil) (By Leave)</w:t>
            </w:r>
          </w:p>
        </w:tc>
      </w:tr>
      <w:tr w:rsidR="009801A5" w:rsidRPr="00E407E9" w:rsidTr="00F74504">
        <w:tc>
          <w:tcPr>
            <w:tcW w:w="5000" w:type="pct"/>
            <w:gridSpan w:val="4"/>
          </w:tcPr>
          <w:p w:rsidR="009801A5" w:rsidRPr="00E407E9" w:rsidRDefault="000C6047" w:rsidP="00F74504">
            <w:pPr>
              <w:jc w:val="both"/>
              <w:rPr>
                <w:sz w:val="20"/>
                <w:szCs w:val="20"/>
              </w:rPr>
            </w:pPr>
            <w:r w:rsidRPr="00E407E9">
              <w:rPr>
                <w:sz w:val="20"/>
                <w:szCs w:val="20"/>
              </w:rPr>
              <w:t>The application for leave to appeal and the application for leave to cross-appeal from the judgment of the Court of Appeal for Ontario, Numbers C67205 and C67410, 2020 ONCA 337, dated June 1, 2020, are dismissed with costs.</w:t>
            </w:r>
          </w:p>
          <w:p w:rsidR="000C6047" w:rsidRPr="00E407E9" w:rsidRDefault="000C6047"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lastRenderedPageBreak/>
              <w:t>Civil procedure — Class actions — Certification — Negligence — Securities — Whether the categories of liability for negligence causing pure economic loss should be expanded to include an investment fund creator designing a new fund — Whether the manager of a passively managed investment fund has a duty to step in and take positive action to prevent investors from suffering pure economic losses — Whether ETF investors may advance a claim created by provincial securities legislation for alleged misrepresentations contained in a prospectus filed in connection with a continuous distribution ETF</w:t>
            </w:r>
          </w:p>
        </w:tc>
      </w:tr>
      <w:tr w:rsidR="009801A5" w:rsidRPr="00E407E9" w:rsidTr="00F74504">
        <w:tc>
          <w:tcPr>
            <w:tcW w:w="5000" w:type="pct"/>
            <w:gridSpan w:val="4"/>
          </w:tcPr>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The applicant Horizons (respondent on the application for leave to cross</w:t>
            </w:r>
            <w:r w:rsidRPr="00E407E9">
              <w:rPr>
                <w:sz w:val="20"/>
                <w:szCs w:val="20"/>
              </w:rPr>
              <w:noBreakHyphen/>
              <w:t>appeal) created and managed an exchange traded fund known as the Horizons BetaPro S&amp;P VIX Short</w:t>
            </w:r>
            <w:r w:rsidRPr="00E407E9">
              <w:rPr>
                <w:sz w:val="20"/>
                <w:szCs w:val="20"/>
              </w:rPr>
              <w:noBreakHyphen/>
              <w:t>Term Futures Daily Inverse ETF. The respondent Mr. Wright (applicant on the application for leave to cross</w:t>
            </w:r>
            <w:r w:rsidRPr="00E407E9">
              <w:rPr>
                <w:sz w:val="20"/>
                <w:szCs w:val="20"/>
              </w:rPr>
              <w:noBreakHyphen/>
              <w:t xml:space="preserve">appeal) was one of the investors who purchased units of this ETF. On February 5, 2018, the ETF suffered dramatic losses in the aftermarket due to a rise in market volatility. In May 2018, Mr. Wright commenced a proposed class action against Horizons pursuant to the </w:t>
            </w:r>
            <w:r w:rsidRPr="00E407E9">
              <w:rPr>
                <w:i/>
                <w:sz w:val="20"/>
                <w:szCs w:val="20"/>
              </w:rPr>
              <w:t>Class Proceedings Act, 1992</w:t>
            </w:r>
            <w:r w:rsidRPr="00E407E9">
              <w:rPr>
                <w:sz w:val="20"/>
                <w:szCs w:val="20"/>
              </w:rPr>
              <w:t xml:space="preserve"> (S.O. 1992, c. 6), seeking general damages, calculated based on the capital losses experienced by the ETF, on behalf of himself and other unitholders. </w:t>
            </w:r>
          </w:p>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 xml:space="preserve">The Ontario Superior Court dismissed the motion for certification of the action as a class proceeding, as well as the action itself. It considered that the action did not disclose a reasonable cause of action. In its view, it was plain and obvious both that Mr. Wright and the putative class members did not have a common law negligence claim against Horizons, and that they did not have a cause of action under s. 130 of the Ontario </w:t>
            </w:r>
            <w:r w:rsidRPr="00E407E9">
              <w:rPr>
                <w:i/>
                <w:sz w:val="20"/>
                <w:szCs w:val="20"/>
              </w:rPr>
              <w:t>Securities Act</w:t>
            </w:r>
            <w:r w:rsidRPr="00E407E9">
              <w:rPr>
                <w:sz w:val="20"/>
                <w:szCs w:val="20"/>
              </w:rPr>
              <w:t xml:space="preserve"> (R.S.O. 1990, c. S.5). The Court of Appeal allowed the appeal in part. If found that there was a reasonable prospect of demonstrating that the claim fell within a recognized duty of care under the category of negligent performance of a service, and allowed Mr. Wright to amend the statement of claim such that it would contain the material facts necessary to establish that there was a cause of action under s. 130. The matter was remitted to the certification judge to determine whether the remaining criteria for certification were met. </w:t>
            </w:r>
          </w:p>
        </w:tc>
      </w:tr>
      <w:tr w:rsidR="009801A5" w:rsidRPr="00E407E9" w:rsidTr="00F74504">
        <w:tc>
          <w:tcPr>
            <w:tcW w:w="5000" w:type="pct"/>
            <w:gridSpan w:val="4"/>
          </w:tcPr>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June 20, 2019</w:t>
            </w:r>
          </w:p>
          <w:p w:rsidR="009801A5" w:rsidRPr="00E407E9" w:rsidRDefault="009801A5" w:rsidP="00F74504">
            <w:pPr>
              <w:jc w:val="both"/>
              <w:rPr>
                <w:sz w:val="20"/>
                <w:szCs w:val="20"/>
              </w:rPr>
            </w:pPr>
            <w:r w:rsidRPr="00E407E9">
              <w:rPr>
                <w:sz w:val="20"/>
                <w:szCs w:val="20"/>
              </w:rPr>
              <w:t>Ontario Superior Court of Justice</w:t>
            </w:r>
          </w:p>
          <w:p w:rsidR="009801A5" w:rsidRPr="00E407E9" w:rsidRDefault="009801A5" w:rsidP="00F74504">
            <w:pPr>
              <w:jc w:val="both"/>
              <w:rPr>
                <w:sz w:val="20"/>
                <w:szCs w:val="20"/>
              </w:rPr>
            </w:pPr>
            <w:r w:rsidRPr="00E407E9">
              <w:rPr>
                <w:sz w:val="20"/>
                <w:szCs w:val="20"/>
              </w:rPr>
              <w:t>(Perell J.)</w:t>
            </w:r>
          </w:p>
          <w:p w:rsidR="009801A5" w:rsidRPr="00E407E9" w:rsidRDefault="00CE6E62" w:rsidP="00F74504">
            <w:pPr>
              <w:jc w:val="both"/>
              <w:rPr>
                <w:sz w:val="20"/>
                <w:szCs w:val="20"/>
              </w:rPr>
            </w:pPr>
            <w:hyperlink r:id="rId37" w:history="1">
              <w:r w:rsidR="009801A5" w:rsidRPr="00E407E9">
                <w:rPr>
                  <w:rStyle w:val="Hyperlink"/>
                  <w:sz w:val="20"/>
                  <w:szCs w:val="20"/>
                </w:rPr>
                <w:t>2019 ONSC 3827</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Mr. Wright’s motion for certification of action as a class proceeding and action dismissed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June 1, 2020</w:t>
            </w:r>
          </w:p>
          <w:p w:rsidR="009801A5" w:rsidRPr="00E407E9" w:rsidRDefault="009801A5" w:rsidP="00F74504">
            <w:pPr>
              <w:jc w:val="both"/>
              <w:rPr>
                <w:sz w:val="20"/>
                <w:szCs w:val="20"/>
              </w:rPr>
            </w:pPr>
            <w:r w:rsidRPr="00E407E9">
              <w:rPr>
                <w:sz w:val="20"/>
                <w:szCs w:val="20"/>
              </w:rPr>
              <w:t>Court of Appeal for Ontario</w:t>
            </w:r>
          </w:p>
          <w:p w:rsidR="009801A5" w:rsidRPr="00E407E9" w:rsidRDefault="009801A5" w:rsidP="00F74504">
            <w:pPr>
              <w:jc w:val="both"/>
              <w:rPr>
                <w:sz w:val="20"/>
                <w:szCs w:val="20"/>
              </w:rPr>
            </w:pPr>
            <w:r w:rsidRPr="00E407E9">
              <w:rPr>
                <w:sz w:val="20"/>
                <w:szCs w:val="20"/>
              </w:rPr>
              <w:t>(Lauwers, Hourigan and Thorburn JJ.A.)</w:t>
            </w:r>
          </w:p>
          <w:p w:rsidR="009801A5" w:rsidRPr="00E407E9" w:rsidRDefault="00CE6E62" w:rsidP="00F74504">
            <w:pPr>
              <w:jc w:val="both"/>
              <w:rPr>
                <w:sz w:val="20"/>
                <w:szCs w:val="20"/>
              </w:rPr>
            </w:pPr>
            <w:hyperlink r:id="rId38" w:history="1">
              <w:r w:rsidR="009801A5" w:rsidRPr="00E407E9">
                <w:rPr>
                  <w:rStyle w:val="Hyperlink"/>
                  <w:sz w:val="20"/>
                  <w:szCs w:val="20"/>
                </w:rPr>
                <w:t>2020 ONCA 337</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Appeal allowed in part; action remitted to Perell J. to determine whether criteria for certification met</w:t>
            </w:r>
          </w:p>
          <w:p w:rsidR="009801A5" w:rsidRPr="00E407E9" w:rsidRDefault="009801A5" w:rsidP="00F74504">
            <w:pPr>
              <w:jc w:val="both"/>
              <w:rPr>
                <w:sz w:val="20"/>
                <w:szCs w:val="20"/>
              </w:rPr>
            </w:pP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August 19, 2020</w:t>
            </w:r>
          </w:p>
          <w:p w:rsidR="009801A5" w:rsidRPr="00E407E9" w:rsidRDefault="009801A5" w:rsidP="00F74504">
            <w:pPr>
              <w:jc w:val="both"/>
              <w:rPr>
                <w:sz w:val="20"/>
                <w:szCs w:val="20"/>
              </w:rPr>
            </w:pPr>
            <w:r w:rsidRPr="00E407E9">
              <w:rPr>
                <w:sz w:val="20"/>
                <w:szCs w:val="20"/>
              </w:rPr>
              <w:t>Supreme Court of Canada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Horizons’ application for leave to appeal filed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September 23,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Mr. Wright’s application for leave to cross</w:t>
            </w:r>
            <w:r w:rsidRPr="00E407E9">
              <w:rPr>
                <w:sz w:val="20"/>
                <w:szCs w:val="20"/>
              </w:rPr>
              <w:noBreakHyphen/>
              <w:t>appeal filed</w:t>
            </w: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74"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39293</w:t>
            </w:r>
          </w:p>
        </w:tc>
        <w:tc>
          <w:tcPr>
            <w:tcW w:w="4457" w:type="pct"/>
          </w:tcPr>
          <w:p w:rsidR="009801A5" w:rsidRPr="00E407E9" w:rsidRDefault="009801A5" w:rsidP="00F74504">
            <w:pPr>
              <w:pStyle w:val="SCCLsocParty"/>
              <w:jc w:val="both"/>
              <w:rPr>
                <w:b/>
                <w:sz w:val="20"/>
                <w:szCs w:val="20"/>
              </w:rPr>
            </w:pPr>
            <w:r w:rsidRPr="00E407E9">
              <w:rPr>
                <w:b/>
                <w:sz w:val="20"/>
                <w:szCs w:val="20"/>
              </w:rPr>
              <w:t>Horizons ETFS Management (Canada) Inc. c. Graham Wright</w:t>
            </w:r>
          </w:p>
          <w:p w:rsidR="009801A5" w:rsidRPr="00E407E9" w:rsidRDefault="009801A5" w:rsidP="00F74504">
            <w:pPr>
              <w:jc w:val="both"/>
              <w:rPr>
                <w:sz w:val="20"/>
                <w:szCs w:val="20"/>
                <w:lang w:val="fr-CA"/>
              </w:rPr>
            </w:pPr>
            <w:r w:rsidRPr="00E407E9">
              <w:rPr>
                <w:sz w:val="20"/>
                <w:szCs w:val="20"/>
                <w:lang w:val="fr-CA"/>
              </w:rPr>
              <w:t>(Ont.) (Civile) (Autorisation)</w:t>
            </w:r>
          </w:p>
        </w:tc>
      </w:tr>
      <w:tr w:rsidR="009801A5" w:rsidRPr="001A3EBC" w:rsidTr="00F74504">
        <w:tc>
          <w:tcPr>
            <w:tcW w:w="5000" w:type="pct"/>
            <w:gridSpan w:val="2"/>
          </w:tcPr>
          <w:p w:rsidR="009801A5" w:rsidRPr="00E407E9" w:rsidRDefault="000C6047" w:rsidP="00F74504">
            <w:pPr>
              <w:jc w:val="both"/>
              <w:rPr>
                <w:sz w:val="20"/>
                <w:szCs w:val="20"/>
                <w:lang w:val="fr-CA"/>
              </w:rPr>
            </w:pPr>
            <w:r w:rsidRPr="00E407E9">
              <w:rPr>
                <w:sz w:val="20"/>
                <w:szCs w:val="20"/>
                <w:lang w:val="fr-CA"/>
              </w:rPr>
              <w:t>La demande d’autorisation d’appel et la demande d’autorisation d’appel incident de l’arrêt de la Cour d’appel de l’Ontario, numéros C67205 et C67410, 2020 ONCA 337, daté du 1</w:t>
            </w:r>
            <w:r w:rsidRPr="00E407E9">
              <w:rPr>
                <w:sz w:val="20"/>
                <w:szCs w:val="20"/>
                <w:vertAlign w:val="superscript"/>
                <w:lang w:val="fr-CA"/>
              </w:rPr>
              <w:t>er</w:t>
            </w:r>
            <w:r w:rsidRPr="00E407E9">
              <w:rPr>
                <w:sz w:val="20"/>
                <w:szCs w:val="20"/>
                <w:lang w:val="fr-CA"/>
              </w:rPr>
              <w:t> juin 2020, sont rejetées avec dépens.</w:t>
            </w:r>
          </w:p>
          <w:p w:rsidR="000C6047" w:rsidRPr="00E407E9" w:rsidRDefault="000C6047" w:rsidP="00F74504">
            <w:pPr>
              <w:jc w:val="both"/>
              <w:rPr>
                <w:sz w:val="20"/>
                <w:szCs w:val="20"/>
                <w:lang w:val="fr-CA"/>
              </w:rPr>
            </w:pPr>
          </w:p>
        </w:tc>
      </w:tr>
    </w:tbl>
    <w:p w:rsidR="00886B54" w:rsidRPr="00E407E9" w:rsidRDefault="00886B54">
      <w:pPr>
        <w:rPr>
          <w:lang w:val="fr-CA"/>
        </w:rPr>
      </w:pPr>
      <w:r w:rsidRPr="00E407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1A3EBC" w:rsidTr="00F74504">
        <w:tc>
          <w:tcPr>
            <w:tcW w:w="5000" w:type="pct"/>
            <w:gridSpan w:val="3"/>
          </w:tcPr>
          <w:p w:rsidR="009801A5" w:rsidRPr="00E407E9" w:rsidRDefault="009801A5" w:rsidP="00F74504">
            <w:pPr>
              <w:jc w:val="both"/>
              <w:rPr>
                <w:sz w:val="20"/>
                <w:szCs w:val="20"/>
                <w:lang w:val="fr-CA"/>
              </w:rPr>
            </w:pPr>
            <w:r w:rsidRPr="00E407E9">
              <w:rPr>
                <w:sz w:val="20"/>
                <w:szCs w:val="20"/>
                <w:lang w:val="fr-CA"/>
              </w:rPr>
              <w:lastRenderedPageBreak/>
              <w:t>Procédure civile — Recours collectifs — Certification — Négligence — Valeurs mobilières — Les catégories de responsabilité pour négligence causant des pertes purement financières devraient</w:t>
            </w:r>
            <w:r w:rsidRPr="00E407E9">
              <w:rPr>
                <w:sz w:val="20"/>
                <w:szCs w:val="20"/>
                <w:lang w:val="fr-CA"/>
              </w:rPr>
              <w:noBreakHyphen/>
              <w:t>elles être élargies afin d’y inclure un créateur de fonds d’investissement qui met au point un nouveau fonds? — Le gestionnaire d’un fonds d’investissement géré passivement a</w:t>
            </w:r>
            <w:r w:rsidRPr="00E407E9">
              <w:rPr>
                <w:sz w:val="20"/>
                <w:szCs w:val="20"/>
                <w:lang w:val="fr-CA"/>
              </w:rPr>
              <w:noBreakHyphen/>
              <w:t>t</w:t>
            </w:r>
            <w:r w:rsidRPr="00E407E9">
              <w:rPr>
                <w:sz w:val="20"/>
                <w:szCs w:val="20"/>
                <w:lang w:val="fr-CA"/>
              </w:rPr>
              <w:noBreakHyphen/>
              <w:t>il l’obligation d’intervenir et de prendre des mesures concrètes pour empêcher que les investisseurs ne subissent des pertes purement financières? — Les investisseurs du FNB peuvent</w:t>
            </w:r>
            <w:r w:rsidRPr="00E407E9">
              <w:rPr>
                <w:sz w:val="20"/>
                <w:szCs w:val="20"/>
                <w:lang w:val="fr-CA"/>
              </w:rPr>
              <w:noBreakHyphen/>
              <w:t>ils faire valoir une réclamation créée par la loi provinciale à l’égard d’allégations de présentation inexacte des faits dans un prospectus déposé relativement à un placement continu FNB?</w:t>
            </w:r>
          </w:p>
        </w:tc>
      </w:tr>
      <w:tr w:rsidR="009801A5" w:rsidRPr="001A3EBC" w:rsidTr="00F74504">
        <w:tc>
          <w:tcPr>
            <w:tcW w:w="5000" w:type="pct"/>
            <w:gridSpan w:val="3"/>
          </w:tcPr>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La demanderesse Horizons (intimée dans la demande d’autorisation d’appel incident) a créé et géré un fonds négocié en bourse connu sous le nom de Horizons BetaPro S&amp;P VIX Short</w:t>
            </w:r>
            <w:r w:rsidRPr="00E407E9">
              <w:rPr>
                <w:sz w:val="20"/>
                <w:szCs w:val="20"/>
                <w:lang w:val="fr-CA"/>
              </w:rPr>
              <w:noBreakHyphen/>
              <w:t xml:space="preserve">Term Futures Daily Inverse ETF. L’intimé M. Wright (demandeur dans la demande d’autorisation d’appel incident) était l’un des investisseurs ayant acheté des unités de ce FNB. Le 5 février 2018, le FNB a subi des pertes considérables dans le marché secondaire en raison d’une hausse de la volatilité des marchés. En mai 2018, M. Wright a introduit un recours collectif envisagé contre Horizons en vertu de la </w:t>
            </w:r>
            <w:r w:rsidRPr="00E407E9">
              <w:rPr>
                <w:i/>
                <w:sz w:val="20"/>
                <w:szCs w:val="20"/>
                <w:lang w:val="fr-CA"/>
              </w:rPr>
              <w:t>Loi de 1992 sur les recours collectifs</w:t>
            </w:r>
            <w:r w:rsidRPr="00E407E9">
              <w:rPr>
                <w:sz w:val="20"/>
                <w:szCs w:val="20"/>
                <w:lang w:val="fr-CA"/>
              </w:rPr>
              <w:t xml:space="preserve"> (L.O. 1992, c. 6), et a sollicité des dommages</w:t>
            </w:r>
            <w:r w:rsidRPr="00E407E9">
              <w:rPr>
                <w:sz w:val="20"/>
                <w:szCs w:val="20"/>
                <w:lang w:val="fr-CA"/>
              </w:rPr>
              <w:noBreakHyphen/>
              <w:t>intérêts généraux, calculés en fonction des pertes en capital subies par le FNB, pour son compte et pour celui des autres détenteurs d’unités.</w:t>
            </w:r>
          </w:p>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La Cour supérieure de justice de l’Ontario a rejeté la motion en certification de l’action en tant que recours collectif, ainsi que l’action elle</w:t>
            </w:r>
            <w:r w:rsidRPr="00E407E9">
              <w:rPr>
                <w:sz w:val="20"/>
                <w:szCs w:val="20"/>
                <w:lang w:val="fr-CA"/>
              </w:rPr>
              <w:noBreakHyphen/>
              <w:t xml:space="preserve">même. Elle a estimé que l’action ne révélait pas une cause d’action raisonnable. À son avis, il était manifeste et évident que M. Wright et les membres du groupe proposé n’avaient pas un droit d’action en common law pour négligence contre Horizons, et qu’ils n’avaient pas de recours en vertu de l’art. 130 de la </w:t>
            </w:r>
            <w:r w:rsidRPr="00E407E9">
              <w:rPr>
                <w:i/>
                <w:sz w:val="20"/>
                <w:szCs w:val="20"/>
                <w:lang w:val="fr-CA"/>
              </w:rPr>
              <w:t>Loi sur les valeurs mobilières</w:t>
            </w:r>
            <w:r w:rsidRPr="00E407E9">
              <w:rPr>
                <w:sz w:val="20"/>
                <w:szCs w:val="20"/>
                <w:lang w:val="fr-CA"/>
              </w:rPr>
              <w:t xml:space="preserve"> de l’Ontario (L.R.O. 1990, c. S.5). La Cour d’appel a fait droit à l’appel en partie. Elle a conclu qu’il était raisonnablement possible de démontrer que la réclamation relevait d’une obligation de diligence reconnue dans la catégorie de la prestation négligente d’un service, et elle a permis à M. Wright de modifier la déclaration de sorte que celle</w:t>
            </w:r>
            <w:r w:rsidRPr="00E407E9">
              <w:rPr>
                <w:sz w:val="20"/>
                <w:szCs w:val="20"/>
                <w:lang w:val="fr-CA"/>
              </w:rPr>
              <w:noBreakHyphen/>
              <w:t>ci contienne les faits importants nécessaires pour établir l’existence d’une cause d’action fondée sur l’art. 130. L’affaire a été renvoyée au juge saisi de la demande de certification pour que celui</w:t>
            </w:r>
            <w:r w:rsidRPr="00E407E9">
              <w:rPr>
                <w:sz w:val="20"/>
                <w:szCs w:val="20"/>
                <w:lang w:val="fr-CA"/>
              </w:rPr>
              <w:noBreakHyphen/>
              <w:t xml:space="preserve">ci détermine si les autres conditions de certification étaient remplies. </w:t>
            </w:r>
          </w:p>
        </w:tc>
      </w:tr>
      <w:tr w:rsidR="009801A5" w:rsidRPr="001A3EBC" w:rsidTr="00F74504">
        <w:tc>
          <w:tcPr>
            <w:tcW w:w="5000" w:type="pct"/>
            <w:gridSpan w:val="3"/>
          </w:tcPr>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20 juin 2019</w:t>
            </w:r>
          </w:p>
          <w:p w:rsidR="009801A5" w:rsidRPr="00E407E9" w:rsidRDefault="009801A5" w:rsidP="00F74504">
            <w:pPr>
              <w:jc w:val="both"/>
              <w:rPr>
                <w:sz w:val="20"/>
                <w:szCs w:val="20"/>
                <w:lang w:val="fr-CA"/>
              </w:rPr>
            </w:pPr>
            <w:r w:rsidRPr="00E407E9">
              <w:rPr>
                <w:sz w:val="20"/>
                <w:szCs w:val="20"/>
                <w:lang w:val="fr-CA"/>
              </w:rPr>
              <w:t>Cour supérieure de justice de l’Ontario</w:t>
            </w:r>
          </w:p>
          <w:p w:rsidR="009801A5" w:rsidRPr="00E407E9" w:rsidRDefault="009801A5" w:rsidP="00F74504">
            <w:pPr>
              <w:jc w:val="both"/>
              <w:rPr>
                <w:sz w:val="20"/>
                <w:szCs w:val="20"/>
                <w:lang w:val="fr-CA"/>
              </w:rPr>
            </w:pPr>
            <w:r w:rsidRPr="00E407E9">
              <w:rPr>
                <w:sz w:val="20"/>
                <w:szCs w:val="20"/>
                <w:lang w:val="fr-CA"/>
              </w:rPr>
              <w:t>(Juge Perell)</w:t>
            </w:r>
          </w:p>
          <w:p w:rsidR="009801A5" w:rsidRPr="00E407E9" w:rsidRDefault="00CE6E62" w:rsidP="00F74504">
            <w:pPr>
              <w:jc w:val="both"/>
              <w:rPr>
                <w:sz w:val="20"/>
                <w:szCs w:val="20"/>
                <w:lang w:val="fr-CA"/>
              </w:rPr>
            </w:pPr>
            <w:hyperlink r:id="rId39" w:history="1">
              <w:r w:rsidR="009801A5" w:rsidRPr="00E407E9">
                <w:rPr>
                  <w:rStyle w:val="Hyperlink"/>
                  <w:sz w:val="20"/>
                  <w:szCs w:val="20"/>
                  <w:lang w:val="fr-CA"/>
                </w:rPr>
                <w:t>2019 ONSC 3827</w:t>
              </w:r>
            </w:hyperlink>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Jugement rejetant la motion en certification de l’action en tant que recours collectif présentée par M. Wright, ainsi que l’action</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1</w:t>
            </w:r>
            <w:r w:rsidRPr="00E407E9">
              <w:rPr>
                <w:sz w:val="20"/>
                <w:szCs w:val="20"/>
                <w:vertAlign w:val="superscript"/>
                <w:lang w:val="fr-CA"/>
              </w:rPr>
              <w:t>er</w:t>
            </w:r>
            <w:r w:rsidRPr="00E407E9">
              <w:rPr>
                <w:sz w:val="20"/>
                <w:szCs w:val="20"/>
                <w:lang w:val="fr-CA"/>
              </w:rPr>
              <w:t xml:space="preserve"> juin 2020</w:t>
            </w:r>
          </w:p>
          <w:p w:rsidR="009801A5" w:rsidRPr="00E407E9" w:rsidRDefault="009801A5" w:rsidP="00F74504">
            <w:pPr>
              <w:jc w:val="both"/>
              <w:rPr>
                <w:sz w:val="20"/>
                <w:szCs w:val="20"/>
                <w:lang w:val="fr-CA"/>
              </w:rPr>
            </w:pPr>
            <w:r w:rsidRPr="00E407E9">
              <w:rPr>
                <w:sz w:val="20"/>
                <w:szCs w:val="20"/>
                <w:lang w:val="fr-CA"/>
              </w:rPr>
              <w:t>Cour d’appel de l’Ontario</w:t>
            </w:r>
          </w:p>
          <w:p w:rsidR="009801A5" w:rsidRPr="00E407E9" w:rsidRDefault="009801A5" w:rsidP="00F74504">
            <w:pPr>
              <w:jc w:val="both"/>
              <w:rPr>
                <w:sz w:val="20"/>
                <w:szCs w:val="20"/>
              </w:rPr>
            </w:pPr>
            <w:r w:rsidRPr="00E407E9">
              <w:rPr>
                <w:sz w:val="20"/>
                <w:szCs w:val="20"/>
              </w:rPr>
              <w:t>(Juges Lauwers, Hourigan et Thorburn)</w:t>
            </w:r>
          </w:p>
          <w:p w:rsidR="009801A5" w:rsidRPr="00E407E9" w:rsidRDefault="00CE6E62" w:rsidP="00F74504">
            <w:pPr>
              <w:jc w:val="both"/>
              <w:rPr>
                <w:sz w:val="20"/>
                <w:szCs w:val="20"/>
              </w:rPr>
            </w:pPr>
            <w:hyperlink r:id="rId40" w:history="1">
              <w:r w:rsidR="009801A5" w:rsidRPr="00E407E9">
                <w:rPr>
                  <w:rStyle w:val="Hyperlink"/>
                  <w:sz w:val="20"/>
                  <w:szCs w:val="20"/>
                </w:rPr>
                <w:t>2020 ONCA 337</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Arrêt accueillant l’appel en partie; action renvoyée au juge Perell pour que celui</w:t>
            </w:r>
            <w:r w:rsidRPr="00E407E9">
              <w:rPr>
                <w:sz w:val="20"/>
                <w:szCs w:val="20"/>
                <w:lang w:val="fr-CA"/>
              </w:rPr>
              <w:noBreakHyphen/>
              <w:t>ci détermine si les conditions de certification sont remplies</w:t>
            </w:r>
          </w:p>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19 août 2020</w:t>
            </w:r>
          </w:p>
          <w:p w:rsidR="009801A5" w:rsidRPr="00E407E9" w:rsidRDefault="009801A5" w:rsidP="00F74504">
            <w:pPr>
              <w:jc w:val="both"/>
              <w:rPr>
                <w:sz w:val="20"/>
                <w:szCs w:val="20"/>
                <w:lang w:val="fr-CA"/>
              </w:rPr>
            </w:pPr>
            <w:r w:rsidRPr="00E407E9">
              <w:rPr>
                <w:sz w:val="20"/>
                <w:szCs w:val="20"/>
                <w:lang w:val="fr-CA"/>
              </w:rPr>
              <w:t>Cour suprême du Canada</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Dépôt d’une demande d’autorisation d’appel par Horizons</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23 septembre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Dépôt d’une demande d’autorisation d’appel incident par M. Wright</w:t>
            </w:r>
          </w:p>
        </w:tc>
      </w:tr>
    </w:tbl>
    <w:p w:rsidR="009801A5" w:rsidRPr="00E407E9" w:rsidRDefault="009801A5" w:rsidP="009801A5">
      <w:pPr>
        <w:jc w:val="both"/>
        <w:rPr>
          <w:sz w:val="20"/>
          <w:lang w:val="fr-CA"/>
        </w:rPr>
      </w:pPr>
    </w:p>
    <w:p w:rsidR="009801A5" w:rsidRPr="00E407E9" w:rsidRDefault="00CE6E62" w:rsidP="009801A5">
      <w:pPr>
        <w:jc w:val="both"/>
        <w:rPr>
          <w:sz w:val="20"/>
          <w:szCs w:val="20"/>
          <w:lang w:val="fr-CA"/>
        </w:rPr>
      </w:pPr>
      <w:r>
        <w:rPr>
          <w:sz w:val="20"/>
        </w:rPr>
        <w:pict>
          <v:rect id="_x0000_i1075"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p w:rsidR="00886B54" w:rsidRPr="00E407E9" w:rsidRDefault="00886B54">
      <w:r w:rsidRPr="00E407E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lastRenderedPageBreak/>
              <w:t>39133</w:t>
            </w:r>
          </w:p>
        </w:tc>
        <w:tc>
          <w:tcPr>
            <w:tcW w:w="4457" w:type="pct"/>
            <w:gridSpan w:val="3"/>
          </w:tcPr>
          <w:p w:rsidR="009801A5" w:rsidRPr="00E407E9" w:rsidRDefault="009801A5" w:rsidP="00F74504">
            <w:pPr>
              <w:pStyle w:val="SCCLsocParty"/>
              <w:jc w:val="both"/>
              <w:rPr>
                <w:b/>
                <w:sz w:val="20"/>
                <w:szCs w:val="20"/>
                <w:lang w:val="en-US"/>
              </w:rPr>
            </w:pPr>
            <w:r w:rsidRPr="00E407E9">
              <w:rPr>
                <w:b/>
                <w:sz w:val="20"/>
                <w:szCs w:val="20"/>
                <w:lang w:val="en-US"/>
              </w:rPr>
              <w:t>Her Majesty the Queen v. J.J.</w:t>
            </w:r>
          </w:p>
          <w:p w:rsidR="009801A5" w:rsidRPr="00E407E9" w:rsidRDefault="009801A5" w:rsidP="00F74504">
            <w:pPr>
              <w:jc w:val="both"/>
              <w:rPr>
                <w:sz w:val="20"/>
                <w:szCs w:val="20"/>
              </w:rPr>
            </w:pPr>
            <w:r w:rsidRPr="00E407E9">
              <w:rPr>
                <w:sz w:val="20"/>
                <w:szCs w:val="20"/>
              </w:rPr>
              <w:t>(B.C.) (Criminal) (By Leave)</w:t>
            </w:r>
          </w:p>
        </w:tc>
      </w:tr>
      <w:tr w:rsidR="009801A5" w:rsidRPr="00E407E9" w:rsidTr="00F74504">
        <w:tc>
          <w:tcPr>
            <w:tcW w:w="5000" w:type="pct"/>
            <w:gridSpan w:val="4"/>
          </w:tcPr>
          <w:p w:rsidR="00F74504" w:rsidRPr="00E407E9" w:rsidRDefault="00F74504" w:rsidP="00F74504">
            <w:pPr>
              <w:jc w:val="both"/>
              <w:rPr>
                <w:sz w:val="20"/>
                <w:szCs w:val="20"/>
              </w:rPr>
            </w:pPr>
            <w:r w:rsidRPr="00E407E9">
              <w:rPr>
                <w:sz w:val="20"/>
                <w:szCs w:val="20"/>
              </w:rPr>
              <w:t>The motion for an extension of time to serve and file the application for leave to cross-appeal is granted. The application for leave to cross-appeal from the judgment of the Supreme Court of British Columbia, Number X081421, 2020 BCSC 349, dated March 11, 2020, is granted.</w:t>
            </w:r>
          </w:p>
          <w:p w:rsidR="00F74504" w:rsidRPr="00E407E9" w:rsidRDefault="00F74504" w:rsidP="00F74504">
            <w:pPr>
              <w:jc w:val="both"/>
              <w:rPr>
                <w:sz w:val="20"/>
                <w:szCs w:val="20"/>
              </w:rPr>
            </w:pPr>
          </w:p>
          <w:p w:rsidR="00F74504" w:rsidRPr="00E407E9" w:rsidRDefault="00F74504" w:rsidP="00F74504">
            <w:pPr>
              <w:jc w:val="both"/>
              <w:rPr>
                <w:sz w:val="20"/>
                <w:szCs w:val="20"/>
              </w:rPr>
            </w:pPr>
            <w:r w:rsidRPr="00E407E9">
              <w:rPr>
                <w:sz w:val="20"/>
                <w:szCs w:val="20"/>
              </w:rPr>
              <w:t xml:space="preserve">The schedule for serving and filing materials will be </w:t>
            </w:r>
            <w:r w:rsidRPr="00E407E9">
              <w:rPr>
                <w:rStyle w:val="solexhl2"/>
                <w:sz w:val="20"/>
                <w:szCs w:val="20"/>
              </w:rPr>
              <w:t>set by the Acting Registrar.</w:t>
            </w:r>
          </w:p>
          <w:p w:rsidR="009801A5" w:rsidRPr="00E407E9" w:rsidRDefault="009801A5" w:rsidP="00F74504">
            <w:pPr>
              <w:pStyle w:val="SCCBanSummary0"/>
              <w:rPr>
                <w:smallCaps w:val="0"/>
                <w:sz w:val="20"/>
                <w:szCs w:val="20"/>
              </w:rPr>
            </w:pPr>
          </w:p>
        </w:tc>
      </w:tr>
      <w:tr w:rsidR="009801A5" w:rsidRPr="00E407E9" w:rsidTr="00F74504">
        <w:tc>
          <w:tcPr>
            <w:tcW w:w="5000" w:type="pct"/>
            <w:gridSpan w:val="4"/>
          </w:tcPr>
          <w:p w:rsidR="009801A5" w:rsidRPr="00E407E9" w:rsidRDefault="009801A5" w:rsidP="00F74504">
            <w:pPr>
              <w:pStyle w:val="SCCBanSummary0"/>
              <w:rPr>
                <w:sz w:val="20"/>
                <w:szCs w:val="20"/>
              </w:rPr>
            </w:pPr>
            <w:r w:rsidRPr="00E407E9">
              <w:rPr>
                <w:sz w:val="20"/>
                <w:szCs w:val="20"/>
              </w:rPr>
              <w:t>(Publication ban in case)</w:t>
            </w:r>
          </w:p>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i/>
                <w:sz w:val="20"/>
                <w:szCs w:val="20"/>
              </w:rPr>
              <w:t>Charter of Rights</w:t>
            </w:r>
            <w:r w:rsidRPr="00E407E9">
              <w:rPr>
                <w:sz w:val="20"/>
                <w:szCs w:val="20"/>
              </w:rPr>
              <w:t xml:space="preserve"> — Constitutional law — Criminal law — Admissibility and use of third party records in the possession of the accused for certain enumerated sexual offences — Interlocutory constitutional ruling in which the trial judge held that the seven</w:t>
            </w:r>
            <w:r w:rsidRPr="00E407E9">
              <w:rPr>
                <w:sz w:val="20"/>
                <w:szCs w:val="20"/>
              </w:rPr>
              <w:noBreakHyphen/>
              <w:t xml:space="preserve">day notice requirement in s. 278.93(4) of the </w:t>
            </w:r>
            <w:r w:rsidRPr="00E407E9">
              <w:rPr>
                <w:i/>
                <w:sz w:val="20"/>
                <w:szCs w:val="20"/>
              </w:rPr>
              <w:t>Criminal Code</w:t>
            </w:r>
            <w:r w:rsidRPr="00E407E9">
              <w:rPr>
                <w:sz w:val="20"/>
                <w:szCs w:val="20"/>
              </w:rPr>
              <w:t xml:space="preserve"> violated s. 7 of the </w:t>
            </w:r>
            <w:r w:rsidRPr="00E407E9">
              <w:rPr>
                <w:i/>
                <w:sz w:val="20"/>
                <w:szCs w:val="20"/>
              </w:rPr>
              <w:t xml:space="preserve">Charter </w:t>
            </w:r>
            <w:r w:rsidRPr="00E407E9">
              <w:rPr>
                <w:sz w:val="20"/>
                <w:szCs w:val="20"/>
              </w:rPr>
              <w:t xml:space="preserve">and could not be saved under s. 1  — Whether the trial judge erred in concluding that s. 278.93(4) was constitutionally flawed – Whether it is in the public interest for this Court to determine the constitutionality of s. 278.93(4) — Whether inconsistent trial decisions have resulted in a patchwork of different procedures across the country — Whether the only avenue of appeal lies to this Court pursuant to s. 40 of the </w:t>
            </w:r>
            <w:r w:rsidRPr="00E407E9">
              <w:rPr>
                <w:i/>
                <w:sz w:val="20"/>
                <w:szCs w:val="20"/>
              </w:rPr>
              <w:t xml:space="preserve">Supreme Court Act </w:t>
            </w:r>
            <w:r w:rsidRPr="00E407E9">
              <w:rPr>
                <w:sz w:val="20"/>
                <w:szCs w:val="20"/>
              </w:rPr>
              <w:t>and the “dual proceeding” principles in</w:t>
            </w:r>
            <w:r w:rsidRPr="00E407E9">
              <w:rPr>
                <w:i/>
                <w:sz w:val="20"/>
                <w:szCs w:val="20"/>
              </w:rPr>
              <w:t xml:space="preserve"> R</w:t>
            </w:r>
            <w:r w:rsidRPr="00E407E9">
              <w:rPr>
                <w:sz w:val="20"/>
                <w:szCs w:val="20"/>
              </w:rPr>
              <w:t xml:space="preserve">. v. </w:t>
            </w:r>
            <w:r w:rsidRPr="00E407E9">
              <w:rPr>
                <w:i/>
                <w:sz w:val="20"/>
                <w:szCs w:val="20"/>
              </w:rPr>
              <w:t>Laba,</w:t>
            </w:r>
            <w:r w:rsidRPr="00E407E9">
              <w:rPr>
                <w:sz w:val="20"/>
                <w:szCs w:val="20"/>
              </w:rPr>
              <w:t xml:space="preserve"> [1994] 3 S.C.R. 965 —</w:t>
            </w:r>
            <w:r w:rsidRPr="00E407E9">
              <w:rPr>
                <w:i/>
                <w:sz w:val="20"/>
                <w:szCs w:val="20"/>
              </w:rPr>
              <w:t>Charter of Rights and Freedoms</w:t>
            </w:r>
            <w:r w:rsidRPr="00E407E9">
              <w:rPr>
                <w:sz w:val="20"/>
                <w:szCs w:val="20"/>
              </w:rPr>
              <w:t xml:space="preserve">, ss. 1 and 7 — Constitutionality of </w:t>
            </w:r>
            <w:r w:rsidRPr="00E407E9">
              <w:rPr>
                <w:rFonts w:eastAsia="Arial"/>
                <w:color w:val="000000"/>
                <w:sz w:val="20"/>
                <w:szCs w:val="20"/>
              </w:rPr>
              <w:t xml:space="preserve">ss. 278.92 to 278.94 </w:t>
            </w:r>
            <w:r w:rsidRPr="00E407E9">
              <w:rPr>
                <w:sz w:val="20"/>
                <w:szCs w:val="20"/>
              </w:rPr>
              <w:t xml:space="preserve">of the </w:t>
            </w:r>
            <w:r w:rsidRPr="00E407E9">
              <w:rPr>
                <w:i/>
                <w:sz w:val="20"/>
                <w:szCs w:val="20"/>
              </w:rPr>
              <w:t>Criminal Code</w:t>
            </w:r>
            <w:r w:rsidRPr="00E407E9">
              <w:rPr>
                <w:rFonts w:eastAsia="Arial"/>
                <w:color w:val="000000"/>
                <w:sz w:val="20"/>
                <w:szCs w:val="20"/>
              </w:rPr>
              <w:t xml:space="preserve"> </w:t>
            </w:r>
            <w:r w:rsidRPr="00E407E9">
              <w:rPr>
                <w:sz w:val="20"/>
                <w:szCs w:val="20"/>
              </w:rPr>
              <w:t xml:space="preserve">— </w:t>
            </w:r>
            <w:r w:rsidRPr="00E407E9">
              <w:rPr>
                <w:rFonts w:eastAsia="Arial"/>
                <w:color w:val="000000"/>
                <w:sz w:val="20"/>
                <w:szCs w:val="20"/>
              </w:rPr>
              <w:t xml:space="preserve">Whether the records screening regime in ss. 278.92 to 278.94 of the </w:t>
            </w:r>
            <w:r w:rsidRPr="00E407E9">
              <w:rPr>
                <w:rFonts w:eastAsia="Arial"/>
                <w:i/>
                <w:color w:val="000000"/>
                <w:sz w:val="20"/>
                <w:szCs w:val="20"/>
              </w:rPr>
              <w:t xml:space="preserve">Criminal Code </w:t>
            </w:r>
            <w:r w:rsidRPr="00E407E9">
              <w:rPr>
                <w:rFonts w:eastAsia="Arial"/>
                <w:color w:val="000000"/>
                <w:sz w:val="20"/>
                <w:szCs w:val="20"/>
              </w:rPr>
              <w:t xml:space="preserve">violates ss. 7, 11(c), or 11(d) of the </w:t>
            </w:r>
            <w:r w:rsidRPr="00E407E9">
              <w:rPr>
                <w:rFonts w:eastAsia="Arial"/>
                <w:i/>
                <w:color w:val="000000"/>
                <w:sz w:val="20"/>
                <w:szCs w:val="20"/>
              </w:rPr>
              <w:t xml:space="preserve">Charter </w:t>
            </w:r>
            <w:r w:rsidRPr="00E407E9">
              <w:rPr>
                <w:rFonts w:eastAsia="Arial"/>
                <w:color w:val="000000"/>
                <w:sz w:val="20"/>
                <w:szCs w:val="20"/>
              </w:rPr>
              <w:t xml:space="preserve">in a manner that cannot be justified under s. 1 of the </w:t>
            </w:r>
            <w:r w:rsidRPr="00E407E9">
              <w:rPr>
                <w:rFonts w:eastAsia="Arial"/>
                <w:i/>
                <w:color w:val="000000"/>
                <w:sz w:val="20"/>
                <w:szCs w:val="20"/>
              </w:rPr>
              <w:t>Charter</w:t>
            </w:r>
            <w:r w:rsidRPr="00E407E9">
              <w:rPr>
                <w:rFonts w:eastAsia="Arial"/>
                <w:color w:val="000000"/>
                <w:sz w:val="20"/>
                <w:szCs w:val="20"/>
              </w:rPr>
              <w:t xml:space="preserve"> </w:t>
            </w:r>
            <w:r w:rsidRPr="00E407E9">
              <w:rPr>
                <w:sz w:val="20"/>
                <w:szCs w:val="20"/>
              </w:rPr>
              <w:t xml:space="preserve">— </w:t>
            </w:r>
            <w:r w:rsidRPr="00E407E9">
              <w:rPr>
                <w:i/>
                <w:sz w:val="20"/>
                <w:szCs w:val="20"/>
              </w:rPr>
              <w:t>Charter of Rights and Freedoms</w:t>
            </w:r>
            <w:r w:rsidRPr="00E407E9">
              <w:rPr>
                <w:sz w:val="20"/>
                <w:szCs w:val="20"/>
              </w:rPr>
              <w:t>, ss. 1, 7, 11(c), and 11(d).</w:t>
            </w:r>
          </w:p>
        </w:tc>
      </w:tr>
      <w:tr w:rsidR="009801A5" w:rsidRPr="00E407E9" w:rsidTr="00F74504">
        <w:tc>
          <w:tcPr>
            <w:tcW w:w="5000" w:type="pct"/>
            <w:gridSpan w:val="4"/>
          </w:tcPr>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On July 23, 2020, this Court granted the Crown’s application for leave to appeal from an interlocutory constitutional ruling in which Duncan J. held that the seven</w:t>
            </w:r>
            <w:r w:rsidRPr="00E407E9">
              <w:rPr>
                <w:sz w:val="20"/>
                <w:szCs w:val="20"/>
              </w:rPr>
              <w:noBreakHyphen/>
              <w:t xml:space="preserve">day notice requirement in s. 278.93(4) of the </w:t>
            </w:r>
            <w:r w:rsidRPr="00E407E9">
              <w:rPr>
                <w:i/>
                <w:sz w:val="20"/>
                <w:szCs w:val="20"/>
              </w:rPr>
              <w:t>Code</w:t>
            </w:r>
            <w:r w:rsidRPr="00E407E9">
              <w:rPr>
                <w:sz w:val="20"/>
                <w:szCs w:val="20"/>
              </w:rPr>
              <w:t xml:space="preserve"> violated s. 7 of the </w:t>
            </w:r>
            <w:r w:rsidRPr="00E407E9">
              <w:rPr>
                <w:i/>
                <w:sz w:val="20"/>
                <w:szCs w:val="20"/>
              </w:rPr>
              <w:t xml:space="preserve">Charter </w:t>
            </w:r>
            <w:r w:rsidRPr="00E407E9">
              <w:rPr>
                <w:sz w:val="20"/>
                <w:szCs w:val="20"/>
              </w:rPr>
              <w:t xml:space="preserve">and could not be saved under s. 1. Duncan J. “read down” s. 278.93(4) of the </w:t>
            </w:r>
            <w:r w:rsidRPr="00E407E9">
              <w:rPr>
                <w:i/>
                <w:sz w:val="20"/>
                <w:szCs w:val="20"/>
              </w:rPr>
              <w:t>Code</w:t>
            </w:r>
            <w:r w:rsidRPr="00E407E9">
              <w:rPr>
                <w:sz w:val="20"/>
                <w:szCs w:val="20"/>
              </w:rPr>
              <w:t xml:space="preserve"> to: (1) remove the seven day notice requirement in s. 278.93(4) only as it applies to s. 278.92 applications; and (2) provide that s. 278.92 applications should be made “at the conclusion of the complainant’s examination in chief, or as otherwise required by the judge, provincial court judge or justice in the interests of justice”. </w:t>
            </w:r>
            <w:r w:rsidRPr="00E407E9">
              <w:rPr>
                <w:color w:val="000000"/>
                <w:sz w:val="20"/>
                <w:szCs w:val="20"/>
              </w:rPr>
              <w:t>J.J. has filed an application for leave to cross</w:t>
            </w:r>
            <w:r w:rsidRPr="00E407E9">
              <w:rPr>
                <w:color w:val="000000"/>
                <w:sz w:val="20"/>
                <w:szCs w:val="20"/>
              </w:rPr>
              <w:noBreakHyphen/>
              <w:t xml:space="preserve">appeal regarding the </w:t>
            </w:r>
            <w:r w:rsidRPr="00E407E9">
              <w:rPr>
                <w:sz w:val="20"/>
                <w:szCs w:val="20"/>
              </w:rPr>
              <w:t xml:space="preserve">constitutionality of </w:t>
            </w:r>
            <w:r w:rsidRPr="00E407E9">
              <w:rPr>
                <w:rFonts w:eastAsia="Arial"/>
                <w:color w:val="000000"/>
                <w:sz w:val="20"/>
                <w:szCs w:val="20"/>
              </w:rPr>
              <w:t xml:space="preserve">ss. 278.92 to 278.94 </w:t>
            </w:r>
            <w:r w:rsidRPr="00E407E9">
              <w:rPr>
                <w:sz w:val="20"/>
                <w:szCs w:val="20"/>
              </w:rPr>
              <w:t xml:space="preserve">of the </w:t>
            </w:r>
            <w:r w:rsidRPr="00E407E9">
              <w:rPr>
                <w:i/>
                <w:sz w:val="20"/>
                <w:szCs w:val="20"/>
              </w:rPr>
              <w:t>Criminal Code</w:t>
            </w:r>
            <w:r w:rsidRPr="00E407E9">
              <w:rPr>
                <w:sz w:val="20"/>
                <w:szCs w:val="20"/>
              </w:rPr>
              <w:t>.</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January 6, 2020</w:t>
            </w:r>
          </w:p>
          <w:p w:rsidR="009801A5" w:rsidRPr="00E407E9" w:rsidRDefault="009801A5" w:rsidP="00F74504">
            <w:pPr>
              <w:jc w:val="both"/>
              <w:rPr>
                <w:sz w:val="20"/>
                <w:szCs w:val="20"/>
              </w:rPr>
            </w:pPr>
            <w:r w:rsidRPr="00E407E9">
              <w:rPr>
                <w:sz w:val="20"/>
                <w:szCs w:val="20"/>
              </w:rPr>
              <w:t>Supreme Court of British Columbia</w:t>
            </w:r>
          </w:p>
          <w:p w:rsidR="009801A5" w:rsidRPr="00E407E9" w:rsidRDefault="009801A5" w:rsidP="00F74504">
            <w:pPr>
              <w:jc w:val="both"/>
              <w:rPr>
                <w:sz w:val="20"/>
                <w:szCs w:val="20"/>
              </w:rPr>
            </w:pPr>
            <w:r w:rsidRPr="00E407E9">
              <w:rPr>
                <w:sz w:val="20"/>
                <w:szCs w:val="20"/>
              </w:rPr>
              <w:t>(Duncan J.)</w:t>
            </w:r>
          </w:p>
          <w:p w:rsidR="009801A5" w:rsidRPr="00E407E9" w:rsidRDefault="00CE6E62" w:rsidP="00F74504">
            <w:pPr>
              <w:jc w:val="both"/>
              <w:rPr>
                <w:sz w:val="20"/>
                <w:szCs w:val="20"/>
              </w:rPr>
            </w:pPr>
            <w:hyperlink r:id="rId41" w:history="1">
              <w:r w:rsidR="009801A5" w:rsidRPr="00E407E9">
                <w:rPr>
                  <w:rStyle w:val="Hyperlink"/>
                  <w:sz w:val="20"/>
                  <w:szCs w:val="20"/>
                </w:rPr>
                <w:t>2020 BCSC 29</w:t>
              </w:r>
            </w:hyperlink>
            <w:r w:rsidR="009801A5" w:rsidRPr="00E407E9">
              <w:rPr>
                <w:sz w:val="20"/>
                <w:szCs w:val="20"/>
              </w:rPr>
              <w:t xml:space="preserve"> </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Constitutional ruling: the seven</w:t>
            </w:r>
            <w:r w:rsidRPr="00E407E9">
              <w:rPr>
                <w:sz w:val="20"/>
                <w:szCs w:val="20"/>
              </w:rPr>
              <w:noBreakHyphen/>
              <w:t xml:space="preserve">day notice requirement in s. 278.93(4) of the </w:t>
            </w:r>
            <w:r w:rsidRPr="00E407E9">
              <w:rPr>
                <w:i/>
                <w:sz w:val="20"/>
                <w:szCs w:val="20"/>
              </w:rPr>
              <w:t>Criminal Code</w:t>
            </w:r>
            <w:r w:rsidRPr="00E407E9">
              <w:rPr>
                <w:sz w:val="20"/>
                <w:szCs w:val="20"/>
              </w:rPr>
              <w:t xml:space="preserve"> violates s. 7 of the </w:t>
            </w:r>
            <w:r w:rsidRPr="00E407E9">
              <w:rPr>
                <w:i/>
                <w:sz w:val="20"/>
                <w:szCs w:val="20"/>
              </w:rPr>
              <w:t>Charter</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March 11, 2020</w:t>
            </w:r>
          </w:p>
          <w:p w:rsidR="009801A5" w:rsidRPr="00E407E9" w:rsidRDefault="009801A5" w:rsidP="00F74504">
            <w:pPr>
              <w:jc w:val="both"/>
              <w:rPr>
                <w:sz w:val="20"/>
                <w:szCs w:val="20"/>
              </w:rPr>
            </w:pPr>
            <w:r w:rsidRPr="00E407E9">
              <w:rPr>
                <w:sz w:val="20"/>
                <w:szCs w:val="20"/>
              </w:rPr>
              <w:t>Supreme Court of British Columbia</w:t>
            </w:r>
          </w:p>
          <w:p w:rsidR="009801A5" w:rsidRPr="00E407E9" w:rsidRDefault="009801A5" w:rsidP="00F74504">
            <w:pPr>
              <w:jc w:val="both"/>
              <w:rPr>
                <w:sz w:val="20"/>
                <w:szCs w:val="20"/>
              </w:rPr>
            </w:pPr>
            <w:r w:rsidRPr="00E407E9">
              <w:rPr>
                <w:sz w:val="20"/>
                <w:szCs w:val="20"/>
              </w:rPr>
              <w:t>(Duncan J.)</w:t>
            </w:r>
          </w:p>
          <w:p w:rsidR="009801A5" w:rsidRPr="00E407E9" w:rsidRDefault="00CE6E62" w:rsidP="00F74504">
            <w:pPr>
              <w:jc w:val="both"/>
              <w:rPr>
                <w:sz w:val="20"/>
                <w:szCs w:val="20"/>
              </w:rPr>
            </w:pPr>
            <w:hyperlink r:id="rId42" w:history="1">
              <w:r w:rsidR="009801A5" w:rsidRPr="00E407E9">
                <w:rPr>
                  <w:rStyle w:val="Hyperlink"/>
                  <w:sz w:val="20"/>
                  <w:szCs w:val="20"/>
                </w:rPr>
                <w:t>2020 BCSC 349</w:t>
              </w:r>
            </w:hyperlink>
            <w:r w:rsidR="009801A5" w:rsidRPr="00E407E9">
              <w:rPr>
                <w:sz w:val="20"/>
                <w:szCs w:val="20"/>
              </w:rPr>
              <w:t xml:space="preserve"> </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 xml:space="preserve">Remedy ruling: s. 278.93(4) of the </w:t>
            </w:r>
            <w:r w:rsidRPr="00E407E9">
              <w:rPr>
                <w:i/>
                <w:sz w:val="20"/>
                <w:szCs w:val="20"/>
              </w:rPr>
              <w:t>Criminal Code</w:t>
            </w:r>
            <w:r w:rsidRPr="00E407E9">
              <w:rPr>
                <w:sz w:val="20"/>
                <w:szCs w:val="20"/>
              </w:rPr>
              <w:t xml:space="preserve"> cannot be saved under s. 1</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April 17, 2020</w:t>
            </w:r>
          </w:p>
          <w:p w:rsidR="009801A5" w:rsidRPr="00E407E9" w:rsidRDefault="009801A5" w:rsidP="00F74504">
            <w:pPr>
              <w:jc w:val="both"/>
              <w:rPr>
                <w:sz w:val="20"/>
                <w:szCs w:val="20"/>
              </w:rPr>
            </w:pPr>
            <w:r w:rsidRPr="00E407E9">
              <w:rPr>
                <w:sz w:val="20"/>
                <w:szCs w:val="20"/>
              </w:rPr>
              <w:t>Supreme Court of Canada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filed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July 23, 2020</w:t>
            </w:r>
          </w:p>
          <w:p w:rsidR="009801A5" w:rsidRPr="00E407E9" w:rsidRDefault="009801A5" w:rsidP="00F74504">
            <w:pPr>
              <w:jc w:val="both"/>
              <w:rPr>
                <w:sz w:val="20"/>
                <w:szCs w:val="20"/>
              </w:rPr>
            </w:pPr>
            <w:r w:rsidRPr="00E407E9">
              <w:rPr>
                <w:sz w:val="20"/>
                <w:szCs w:val="20"/>
              </w:rPr>
              <w:t>Supreme Court of Canada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granted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October 14, 2020</w:t>
            </w:r>
          </w:p>
          <w:p w:rsidR="009801A5" w:rsidRPr="00E407E9" w:rsidRDefault="009801A5" w:rsidP="00F74504">
            <w:pPr>
              <w:jc w:val="both"/>
              <w:rPr>
                <w:sz w:val="20"/>
                <w:szCs w:val="20"/>
              </w:rPr>
            </w:pPr>
            <w:r w:rsidRPr="00E407E9">
              <w:rPr>
                <w:sz w:val="20"/>
                <w:szCs w:val="20"/>
              </w:rPr>
              <w:t>Supreme Court of Canada</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Motion for an extension of time to serve and file application for leave to cross-appeal and application for leave to cross-appeal filed</w:t>
            </w: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76"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39133</w:t>
            </w:r>
          </w:p>
        </w:tc>
        <w:tc>
          <w:tcPr>
            <w:tcW w:w="4457" w:type="pct"/>
            <w:gridSpan w:val="3"/>
          </w:tcPr>
          <w:p w:rsidR="009801A5" w:rsidRPr="00E407E9" w:rsidRDefault="009801A5" w:rsidP="00F74504">
            <w:pPr>
              <w:pStyle w:val="SCCLsocParty"/>
              <w:jc w:val="both"/>
              <w:rPr>
                <w:b/>
                <w:sz w:val="20"/>
                <w:szCs w:val="20"/>
              </w:rPr>
            </w:pPr>
            <w:r w:rsidRPr="00E407E9">
              <w:rPr>
                <w:b/>
                <w:sz w:val="20"/>
                <w:szCs w:val="20"/>
              </w:rPr>
              <w:t>Sa Majesté la Reine c. J.J.</w:t>
            </w:r>
          </w:p>
          <w:p w:rsidR="009801A5" w:rsidRPr="00E407E9" w:rsidRDefault="009801A5" w:rsidP="00F74504">
            <w:pPr>
              <w:jc w:val="both"/>
              <w:rPr>
                <w:sz w:val="20"/>
                <w:szCs w:val="20"/>
                <w:lang w:val="fr-CA"/>
              </w:rPr>
            </w:pPr>
            <w:r w:rsidRPr="00E407E9">
              <w:rPr>
                <w:sz w:val="20"/>
                <w:szCs w:val="20"/>
                <w:lang w:val="fr-CA"/>
              </w:rPr>
              <w:t>(C.</w:t>
            </w:r>
            <w:r w:rsidRPr="00E407E9">
              <w:rPr>
                <w:sz w:val="20"/>
                <w:szCs w:val="20"/>
                <w:lang w:val="fr-CA"/>
              </w:rPr>
              <w:noBreakHyphen/>
              <w:t>B.) (Criminelle) (Autorisation)</w:t>
            </w:r>
          </w:p>
        </w:tc>
      </w:tr>
      <w:tr w:rsidR="009801A5" w:rsidRPr="001A3EBC" w:rsidTr="00F74504">
        <w:tc>
          <w:tcPr>
            <w:tcW w:w="5000" w:type="pct"/>
            <w:gridSpan w:val="4"/>
          </w:tcPr>
          <w:p w:rsidR="00F74504" w:rsidRPr="00E407E9" w:rsidRDefault="00F74504" w:rsidP="00F74504">
            <w:pPr>
              <w:jc w:val="both"/>
              <w:rPr>
                <w:sz w:val="20"/>
                <w:szCs w:val="20"/>
                <w:lang w:val="fr-CA"/>
              </w:rPr>
            </w:pPr>
            <w:r w:rsidRPr="00E407E9">
              <w:rPr>
                <w:sz w:val="20"/>
                <w:szCs w:val="20"/>
                <w:lang w:val="fr-CA"/>
              </w:rPr>
              <w:t xml:space="preserve">La requête en prorogation du délai de signification et de dépôt de la demande d’autorisation d’appel </w:t>
            </w:r>
            <w:r w:rsidRPr="00E407E9">
              <w:rPr>
                <w:color w:val="000000"/>
                <w:sz w:val="20"/>
                <w:szCs w:val="20"/>
                <w:lang w:val="fr-CA"/>
              </w:rPr>
              <w:t>incident</w:t>
            </w:r>
            <w:r w:rsidRPr="00E407E9">
              <w:rPr>
                <w:sz w:val="20"/>
                <w:szCs w:val="20"/>
                <w:lang w:val="fr-CA"/>
              </w:rPr>
              <w:t xml:space="preserve"> est accueillie. La demande d’autorisation d’appel </w:t>
            </w:r>
            <w:r w:rsidRPr="00E407E9">
              <w:rPr>
                <w:color w:val="000000"/>
                <w:sz w:val="20"/>
                <w:szCs w:val="20"/>
                <w:lang w:val="fr-CA"/>
              </w:rPr>
              <w:t>incident</w:t>
            </w:r>
            <w:r w:rsidRPr="00E407E9">
              <w:rPr>
                <w:sz w:val="20"/>
                <w:szCs w:val="20"/>
                <w:lang w:val="fr-CA"/>
              </w:rPr>
              <w:t xml:space="preserve"> de l’arrêt de la Cour suprême de la Colombie-Britannique, numéro X081421, 2020 BCSC 349, daté du 11 mars 2020, est accueillie.</w:t>
            </w:r>
          </w:p>
          <w:p w:rsidR="00F74504" w:rsidRPr="00E407E9" w:rsidRDefault="00F74504" w:rsidP="00F74504">
            <w:pPr>
              <w:jc w:val="both"/>
              <w:rPr>
                <w:sz w:val="20"/>
                <w:szCs w:val="20"/>
                <w:lang w:val="fr-CA"/>
              </w:rPr>
            </w:pPr>
          </w:p>
          <w:p w:rsidR="009801A5" w:rsidRPr="00E407E9" w:rsidRDefault="00F74504" w:rsidP="00F74504">
            <w:pPr>
              <w:pStyle w:val="SCCBanSummary0"/>
              <w:rPr>
                <w:smallCaps w:val="0"/>
                <w:lang w:val="fr-CA"/>
              </w:rPr>
            </w:pPr>
            <w:r w:rsidRPr="00E407E9">
              <w:rPr>
                <w:smallCaps w:val="0"/>
                <w:sz w:val="20"/>
                <w:szCs w:val="20"/>
                <w:lang w:val="fr-CA"/>
              </w:rPr>
              <w:t>L’échéancier pour la signification et le dépôt des documents sera fixé par le registraire par intérim.</w:t>
            </w:r>
          </w:p>
          <w:p w:rsidR="00F74504" w:rsidRPr="00E407E9" w:rsidRDefault="00F74504" w:rsidP="00F74504">
            <w:pPr>
              <w:rPr>
                <w:lang w:val="fr-CA"/>
              </w:rPr>
            </w:pPr>
          </w:p>
        </w:tc>
      </w:tr>
      <w:tr w:rsidR="009801A5" w:rsidRPr="001A3EBC" w:rsidTr="00F74504">
        <w:tc>
          <w:tcPr>
            <w:tcW w:w="5000" w:type="pct"/>
            <w:gridSpan w:val="4"/>
          </w:tcPr>
          <w:p w:rsidR="009801A5" w:rsidRPr="00E407E9" w:rsidRDefault="009801A5" w:rsidP="00F74504">
            <w:pPr>
              <w:pStyle w:val="SCCBanSummary0"/>
              <w:rPr>
                <w:sz w:val="20"/>
                <w:szCs w:val="20"/>
                <w:lang w:val="fr-CA"/>
              </w:rPr>
            </w:pPr>
            <w:r w:rsidRPr="00E407E9">
              <w:rPr>
                <w:sz w:val="20"/>
                <w:szCs w:val="20"/>
                <w:lang w:val="fr-CA"/>
              </w:rPr>
              <w:t>(Ordonnance de non publication dans le dossier)</w:t>
            </w:r>
          </w:p>
          <w:p w:rsidR="009801A5" w:rsidRPr="00E407E9" w:rsidRDefault="009801A5" w:rsidP="00F74504">
            <w:pPr>
              <w:jc w:val="both"/>
              <w:rPr>
                <w:sz w:val="20"/>
                <w:szCs w:val="20"/>
                <w:lang w:val="fr-CA"/>
              </w:rPr>
            </w:pPr>
          </w:p>
        </w:tc>
      </w:tr>
      <w:tr w:rsidR="009801A5" w:rsidRPr="001A3EBC" w:rsidTr="00F74504">
        <w:tc>
          <w:tcPr>
            <w:tcW w:w="5000" w:type="pct"/>
            <w:gridSpan w:val="4"/>
          </w:tcPr>
          <w:p w:rsidR="009801A5" w:rsidRPr="00E407E9" w:rsidRDefault="009801A5" w:rsidP="00F74504">
            <w:pPr>
              <w:jc w:val="both"/>
              <w:rPr>
                <w:sz w:val="20"/>
                <w:szCs w:val="20"/>
                <w:lang w:val="fr-CA"/>
              </w:rPr>
            </w:pPr>
            <w:r w:rsidRPr="00E407E9">
              <w:rPr>
                <w:i/>
                <w:sz w:val="20"/>
                <w:szCs w:val="20"/>
                <w:lang w:val="fr-CA"/>
              </w:rPr>
              <w:t xml:space="preserve">Charte des droits </w:t>
            </w:r>
            <w:r w:rsidRPr="00E407E9">
              <w:rPr>
                <w:sz w:val="20"/>
                <w:szCs w:val="20"/>
                <w:lang w:val="fr-CA"/>
              </w:rPr>
              <w:t xml:space="preserve">— Droit constitutionnel — Droit criminel — Admissibilité et utilisation des dossiers d’une tierce partie en la possession de l’accusé concernant certaines infractions sexuelles énumérées — Décision interlocutoire en matière constitutionnelle dans laquelle le juge de première instance a conclu que l’avis de sept jours exigé aux termes du par. 278.93(4) du </w:t>
            </w:r>
            <w:r w:rsidRPr="00E407E9">
              <w:rPr>
                <w:i/>
                <w:sz w:val="20"/>
                <w:szCs w:val="20"/>
                <w:lang w:val="fr-CA"/>
              </w:rPr>
              <w:t>Code</w:t>
            </w:r>
            <w:r w:rsidRPr="00E407E9">
              <w:rPr>
                <w:sz w:val="20"/>
                <w:szCs w:val="20"/>
                <w:lang w:val="fr-CA"/>
              </w:rPr>
              <w:t xml:space="preserve"> </w:t>
            </w:r>
            <w:r w:rsidRPr="00E407E9">
              <w:rPr>
                <w:i/>
                <w:sz w:val="20"/>
                <w:szCs w:val="20"/>
                <w:lang w:val="fr-CA"/>
              </w:rPr>
              <w:t>criminel</w:t>
            </w:r>
            <w:r w:rsidRPr="00E407E9">
              <w:rPr>
                <w:sz w:val="20"/>
                <w:szCs w:val="20"/>
                <w:lang w:val="fr-CA"/>
              </w:rPr>
              <w:t xml:space="preserve"> portait atteinte à l’art. 7 de la </w:t>
            </w:r>
            <w:r w:rsidRPr="00E407E9">
              <w:rPr>
                <w:i/>
                <w:sz w:val="20"/>
                <w:szCs w:val="20"/>
                <w:lang w:val="fr-CA"/>
              </w:rPr>
              <w:t>Charte</w:t>
            </w:r>
            <w:r w:rsidRPr="00E407E9">
              <w:rPr>
                <w:sz w:val="20"/>
                <w:szCs w:val="20"/>
                <w:lang w:val="fr-CA"/>
              </w:rPr>
              <w:t xml:space="preserve"> et ne pouvait être justifié au regard de l’article premier — Le juge de première instance a</w:t>
            </w:r>
            <w:r w:rsidRPr="00E407E9">
              <w:rPr>
                <w:sz w:val="20"/>
                <w:szCs w:val="20"/>
                <w:lang w:val="fr-CA"/>
              </w:rPr>
              <w:noBreakHyphen/>
              <w:t>t</w:t>
            </w:r>
            <w:r w:rsidRPr="00E407E9">
              <w:rPr>
                <w:sz w:val="20"/>
                <w:szCs w:val="20"/>
                <w:lang w:val="fr-CA"/>
              </w:rPr>
              <w:noBreakHyphen/>
              <w:t>il eu tort de conclure que le par. 278.93(4) était entaché d’un vice constitutionnel? — Est</w:t>
            </w:r>
            <w:r w:rsidRPr="00E407E9">
              <w:rPr>
                <w:sz w:val="20"/>
                <w:szCs w:val="20"/>
                <w:lang w:val="fr-CA"/>
              </w:rPr>
              <w:noBreakHyphen/>
              <w:t>il dans l’intérêt du public que la Cour statue sur la constitutionnalité du par. 278.93(4)? — Des décisions incompatibles de tribunaux de première instance ont</w:t>
            </w:r>
            <w:r w:rsidRPr="00E407E9">
              <w:rPr>
                <w:sz w:val="20"/>
                <w:szCs w:val="20"/>
                <w:lang w:val="fr-CA"/>
              </w:rPr>
              <w:noBreakHyphen/>
              <w:t>elles mené à une multiplicité de procédures différentes partout au pays? — La seule voie d’appel relève</w:t>
            </w:r>
            <w:r w:rsidRPr="00E407E9">
              <w:rPr>
                <w:sz w:val="20"/>
                <w:szCs w:val="20"/>
                <w:lang w:val="fr-CA"/>
              </w:rPr>
              <w:noBreakHyphen/>
              <w:t>t</w:t>
            </w:r>
            <w:r w:rsidRPr="00E407E9">
              <w:rPr>
                <w:sz w:val="20"/>
                <w:szCs w:val="20"/>
                <w:lang w:val="fr-CA"/>
              </w:rPr>
              <w:noBreakHyphen/>
              <w:t xml:space="preserve">elle de la Cour au titre de l’art. 40 de la </w:t>
            </w:r>
            <w:r w:rsidRPr="00E407E9">
              <w:rPr>
                <w:i/>
                <w:sz w:val="20"/>
                <w:szCs w:val="20"/>
                <w:lang w:val="fr-CA"/>
              </w:rPr>
              <w:t>Loi sur la Cour suprême</w:t>
            </w:r>
            <w:r w:rsidRPr="00E407E9">
              <w:rPr>
                <w:sz w:val="20"/>
                <w:szCs w:val="20"/>
                <w:lang w:val="fr-CA"/>
              </w:rPr>
              <w:t xml:space="preserve"> et les principes de « doubles procédures » de l’arrêt </w:t>
            </w:r>
            <w:r w:rsidRPr="00E407E9">
              <w:rPr>
                <w:i/>
                <w:sz w:val="20"/>
                <w:szCs w:val="20"/>
                <w:lang w:val="fr-CA"/>
              </w:rPr>
              <w:t>R</w:t>
            </w:r>
            <w:r w:rsidRPr="00E407E9">
              <w:rPr>
                <w:sz w:val="20"/>
                <w:szCs w:val="20"/>
                <w:lang w:val="fr-CA"/>
              </w:rPr>
              <w:t xml:space="preserve">. c. </w:t>
            </w:r>
            <w:r w:rsidRPr="00E407E9">
              <w:rPr>
                <w:i/>
                <w:sz w:val="20"/>
                <w:szCs w:val="20"/>
                <w:lang w:val="fr-CA"/>
              </w:rPr>
              <w:t>Laba,</w:t>
            </w:r>
            <w:r w:rsidRPr="00E407E9">
              <w:rPr>
                <w:sz w:val="20"/>
                <w:szCs w:val="20"/>
                <w:lang w:val="fr-CA"/>
              </w:rPr>
              <w:t xml:space="preserve"> [1994] 3 R.C.S. 965? — </w:t>
            </w:r>
            <w:r w:rsidRPr="00E407E9">
              <w:rPr>
                <w:i/>
                <w:sz w:val="20"/>
                <w:szCs w:val="20"/>
                <w:lang w:val="fr-CA"/>
              </w:rPr>
              <w:t>Charte des droits et libertés</w:t>
            </w:r>
            <w:r w:rsidRPr="00E407E9">
              <w:rPr>
                <w:sz w:val="20"/>
                <w:szCs w:val="20"/>
                <w:lang w:val="fr-CA"/>
              </w:rPr>
              <w:t>, article premier et article 7 — Constitutionnalité des art.</w:t>
            </w:r>
            <w:r w:rsidRPr="00E407E9">
              <w:rPr>
                <w:rFonts w:eastAsia="Arial"/>
                <w:color w:val="000000"/>
                <w:sz w:val="20"/>
                <w:szCs w:val="20"/>
                <w:lang w:val="fr-CA"/>
              </w:rPr>
              <w:t> 278.92 à 278.94</w:t>
            </w:r>
            <w:r w:rsidRPr="00E407E9">
              <w:rPr>
                <w:sz w:val="20"/>
                <w:szCs w:val="20"/>
                <w:lang w:val="fr-CA"/>
              </w:rPr>
              <w:t xml:space="preserve"> du </w:t>
            </w:r>
            <w:r w:rsidRPr="00E407E9">
              <w:rPr>
                <w:i/>
                <w:sz w:val="20"/>
                <w:szCs w:val="20"/>
                <w:lang w:val="fr-CA"/>
              </w:rPr>
              <w:t>Code criminel</w:t>
            </w:r>
            <w:r w:rsidRPr="00E407E9">
              <w:rPr>
                <w:rFonts w:eastAsia="Arial"/>
                <w:color w:val="000000"/>
                <w:sz w:val="20"/>
                <w:szCs w:val="20"/>
                <w:lang w:val="fr-CA"/>
              </w:rPr>
              <w:t xml:space="preserve"> </w:t>
            </w:r>
            <w:r w:rsidRPr="00E407E9">
              <w:rPr>
                <w:sz w:val="20"/>
                <w:szCs w:val="20"/>
                <w:lang w:val="fr-CA"/>
              </w:rPr>
              <w:t>— Le système d’examen des dossiers prévu aux art.</w:t>
            </w:r>
            <w:r w:rsidRPr="00E407E9">
              <w:rPr>
                <w:rFonts w:eastAsia="Arial"/>
                <w:color w:val="000000"/>
                <w:sz w:val="20"/>
                <w:szCs w:val="20"/>
                <w:lang w:val="fr-CA"/>
              </w:rPr>
              <w:t xml:space="preserve"> 278.92 à 278.94 </w:t>
            </w:r>
            <w:r w:rsidRPr="00E407E9">
              <w:rPr>
                <w:sz w:val="20"/>
                <w:szCs w:val="20"/>
                <w:lang w:val="fr-CA"/>
              </w:rPr>
              <w:t xml:space="preserve">du </w:t>
            </w:r>
            <w:r w:rsidRPr="00E407E9">
              <w:rPr>
                <w:i/>
                <w:sz w:val="20"/>
                <w:szCs w:val="20"/>
                <w:lang w:val="fr-CA"/>
              </w:rPr>
              <w:t>Code criminel</w:t>
            </w:r>
            <w:r w:rsidRPr="00E407E9">
              <w:rPr>
                <w:sz w:val="20"/>
                <w:szCs w:val="20"/>
                <w:lang w:val="fr-CA"/>
              </w:rPr>
              <w:t xml:space="preserve"> contrevient</w:t>
            </w:r>
            <w:r w:rsidRPr="00E407E9">
              <w:rPr>
                <w:sz w:val="20"/>
                <w:szCs w:val="20"/>
                <w:lang w:val="fr-CA"/>
              </w:rPr>
              <w:noBreakHyphen/>
              <w:t>il à l’art.</w:t>
            </w:r>
            <w:r w:rsidRPr="00E407E9">
              <w:rPr>
                <w:rFonts w:eastAsia="Arial"/>
                <w:color w:val="000000"/>
                <w:sz w:val="20"/>
                <w:szCs w:val="20"/>
                <w:lang w:val="fr-CA"/>
              </w:rPr>
              <w:t xml:space="preserve"> 7, et aux al. 11c), ou 11d) de la </w:t>
            </w:r>
            <w:r w:rsidRPr="00E407E9">
              <w:rPr>
                <w:rFonts w:eastAsia="Arial"/>
                <w:i/>
                <w:color w:val="000000"/>
                <w:sz w:val="20"/>
                <w:szCs w:val="20"/>
                <w:lang w:val="fr-CA"/>
              </w:rPr>
              <w:t>Charte</w:t>
            </w:r>
            <w:r w:rsidRPr="00E407E9">
              <w:rPr>
                <w:rFonts w:eastAsia="Arial"/>
                <w:color w:val="000000"/>
                <w:sz w:val="20"/>
                <w:szCs w:val="20"/>
                <w:lang w:val="fr-CA"/>
              </w:rPr>
              <w:t xml:space="preserve"> d’une manière ne pouvant être justifiée au regard de l’article premier de la </w:t>
            </w:r>
            <w:r w:rsidRPr="00E407E9">
              <w:rPr>
                <w:rFonts w:eastAsia="Arial"/>
                <w:i/>
                <w:color w:val="000000"/>
                <w:sz w:val="20"/>
                <w:szCs w:val="20"/>
                <w:lang w:val="fr-CA"/>
              </w:rPr>
              <w:t>Charte</w:t>
            </w:r>
            <w:r w:rsidRPr="00E407E9">
              <w:rPr>
                <w:rFonts w:eastAsia="Arial"/>
                <w:color w:val="000000"/>
                <w:sz w:val="20"/>
                <w:szCs w:val="20"/>
                <w:lang w:val="fr-CA"/>
              </w:rPr>
              <w:t xml:space="preserve">? </w:t>
            </w:r>
            <w:r w:rsidRPr="00E407E9">
              <w:rPr>
                <w:sz w:val="20"/>
                <w:szCs w:val="20"/>
                <w:lang w:val="fr-CA"/>
              </w:rPr>
              <w:t xml:space="preserve">— </w:t>
            </w:r>
            <w:r w:rsidRPr="00E407E9">
              <w:rPr>
                <w:i/>
                <w:sz w:val="20"/>
                <w:szCs w:val="20"/>
                <w:lang w:val="fr-CA"/>
              </w:rPr>
              <w:t>Charte des droits et libertés</w:t>
            </w:r>
            <w:r w:rsidRPr="00E407E9">
              <w:rPr>
                <w:sz w:val="20"/>
                <w:szCs w:val="20"/>
                <w:lang w:val="fr-CA"/>
              </w:rPr>
              <w:t>, articles premier, 7; al. 11c), et 11d).</w:t>
            </w:r>
          </w:p>
        </w:tc>
      </w:tr>
      <w:tr w:rsidR="009801A5" w:rsidRPr="001A3EBC" w:rsidTr="00F74504">
        <w:tc>
          <w:tcPr>
            <w:tcW w:w="5000" w:type="pct"/>
            <w:gridSpan w:val="4"/>
          </w:tcPr>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 xml:space="preserve">Le 23 juillet 2020, la Cour a accueilli la demande d’autorisation de la Couronne visant à interjeter appel d’une décision interlocutoire en matière constitutionnelle dans laquelle le juge Duncan a statué que l’obligation de donner un préavis de sept jours prévue au par. 278.93(4) du </w:t>
            </w:r>
            <w:r w:rsidRPr="00E407E9">
              <w:rPr>
                <w:i/>
                <w:sz w:val="20"/>
                <w:szCs w:val="20"/>
                <w:lang w:val="fr-CA"/>
              </w:rPr>
              <w:t>Code</w:t>
            </w:r>
            <w:r w:rsidRPr="00E407E9">
              <w:rPr>
                <w:sz w:val="20"/>
                <w:szCs w:val="20"/>
                <w:lang w:val="fr-CA"/>
              </w:rPr>
              <w:t xml:space="preserve"> contrevenait à l’art. 7 de la </w:t>
            </w:r>
            <w:r w:rsidRPr="00E407E9">
              <w:rPr>
                <w:i/>
                <w:sz w:val="20"/>
                <w:szCs w:val="20"/>
                <w:lang w:val="fr-CA"/>
              </w:rPr>
              <w:t>Charte</w:t>
            </w:r>
            <w:r w:rsidRPr="00E407E9">
              <w:rPr>
                <w:sz w:val="20"/>
                <w:szCs w:val="20"/>
                <w:lang w:val="fr-CA"/>
              </w:rPr>
              <w:t xml:space="preserve"> et ne pouvait être justifiée au regard de l’article premier. Le juge Duncan a donné une « interprétation atténuante » du par. 278.93(4) du </w:t>
            </w:r>
            <w:r w:rsidRPr="00E407E9">
              <w:rPr>
                <w:i/>
                <w:sz w:val="20"/>
                <w:szCs w:val="20"/>
                <w:lang w:val="fr-CA"/>
              </w:rPr>
              <w:t>Code</w:t>
            </w:r>
            <w:r w:rsidRPr="00E407E9">
              <w:rPr>
                <w:sz w:val="20"/>
                <w:szCs w:val="20"/>
                <w:lang w:val="fr-CA"/>
              </w:rPr>
              <w:t xml:space="preserve"> afin de : (1) retirer l’obligation relative au préavis de sept jours prévue au par. 278.93(4) uniquement à l’égard des demandes présentées en application de l’art. 278.92; (2) statuer que les demandes présentées au titre de l’art. 278.92 devraient l’être [</w:t>
            </w:r>
            <w:r w:rsidRPr="00E407E9">
              <w:rPr>
                <w:smallCaps/>
                <w:sz w:val="20"/>
                <w:szCs w:val="20"/>
                <w:lang w:val="fr-CA"/>
              </w:rPr>
              <w:t>traduction</w:t>
            </w:r>
            <w:r w:rsidRPr="00E407E9">
              <w:rPr>
                <w:sz w:val="20"/>
                <w:szCs w:val="20"/>
                <w:lang w:val="fr-CA"/>
              </w:rPr>
              <w:t xml:space="preserve">] « à la fin de l’interrogatoire principal du plaignant, ou selon ce qui est par ailleurs exigé par le juge, le juge de la cour provinciale ou le juge de paix dans l’intérêt de la justice ». </w:t>
            </w:r>
            <w:r w:rsidRPr="00E407E9">
              <w:rPr>
                <w:color w:val="000000"/>
                <w:sz w:val="20"/>
                <w:szCs w:val="20"/>
                <w:lang w:val="fr-CA"/>
              </w:rPr>
              <w:t>J.J. a déposé une demande d’autorisation d’appel incident concernant la constitutionnalité des art.</w:t>
            </w:r>
            <w:r w:rsidRPr="00E407E9">
              <w:rPr>
                <w:rFonts w:eastAsia="Arial"/>
                <w:color w:val="000000"/>
                <w:sz w:val="20"/>
                <w:szCs w:val="20"/>
                <w:lang w:val="fr-CA"/>
              </w:rPr>
              <w:t> 278.92 à 278.94</w:t>
            </w:r>
            <w:r w:rsidRPr="00E407E9">
              <w:rPr>
                <w:sz w:val="20"/>
                <w:szCs w:val="20"/>
                <w:lang w:val="fr-CA"/>
              </w:rPr>
              <w:t xml:space="preserve"> du </w:t>
            </w:r>
            <w:r w:rsidRPr="00E407E9">
              <w:rPr>
                <w:i/>
                <w:sz w:val="20"/>
                <w:szCs w:val="20"/>
                <w:lang w:val="fr-CA"/>
              </w:rPr>
              <w:t>Code criminel</w:t>
            </w:r>
            <w:r w:rsidRPr="00E407E9">
              <w:rPr>
                <w:sz w:val="20"/>
                <w:szCs w:val="20"/>
                <w:lang w:val="fr-CA"/>
              </w:rPr>
              <w:t xml:space="preserve">. </w:t>
            </w:r>
          </w:p>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6 janvier 2020</w:t>
            </w:r>
          </w:p>
          <w:p w:rsidR="009801A5" w:rsidRPr="00E407E9" w:rsidRDefault="009801A5" w:rsidP="00F74504">
            <w:pPr>
              <w:jc w:val="both"/>
              <w:rPr>
                <w:sz w:val="20"/>
                <w:szCs w:val="20"/>
                <w:lang w:val="fr-CA"/>
              </w:rPr>
            </w:pPr>
            <w:r w:rsidRPr="00E407E9">
              <w:rPr>
                <w:sz w:val="20"/>
                <w:szCs w:val="20"/>
                <w:lang w:val="fr-CA"/>
              </w:rPr>
              <w:t>Cour suprême de la Colombie</w:t>
            </w:r>
            <w:r w:rsidRPr="00E407E9">
              <w:rPr>
                <w:sz w:val="20"/>
                <w:szCs w:val="20"/>
                <w:lang w:val="fr-CA"/>
              </w:rPr>
              <w:noBreakHyphen/>
              <w:t>Britannique</w:t>
            </w:r>
          </w:p>
          <w:p w:rsidR="009801A5" w:rsidRPr="00E407E9" w:rsidRDefault="009801A5" w:rsidP="00F74504">
            <w:pPr>
              <w:jc w:val="both"/>
              <w:rPr>
                <w:sz w:val="20"/>
                <w:szCs w:val="20"/>
                <w:lang w:val="fr-CA"/>
              </w:rPr>
            </w:pPr>
            <w:r w:rsidRPr="00E407E9">
              <w:rPr>
                <w:sz w:val="20"/>
                <w:szCs w:val="20"/>
                <w:lang w:val="fr-CA"/>
              </w:rPr>
              <w:t>(juge Duncan)</w:t>
            </w:r>
          </w:p>
          <w:p w:rsidR="009801A5" w:rsidRPr="00E407E9" w:rsidRDefault="00CE6E62" w:rsidP="00F74504">
            <w:pPr>
              <w:jc w:val="both"/>
              <w:rPr>
                <w:sz w:val="20"/>
                <w:szCs w:val="20"/>
                <w:lang w:val="fr-CA"/>
              </w:rPr>
            </w:pPr>
            <w:hyperlink r:id="rId43" w:history="1">
              <w:r w:rsidR="009801A5" w:rsidRPr="00E407E9">
                <w:rPr>
                  <w:rStyle w:val="Hyperlink"/>
                  <w:sz w:val="20"/>
                  <w:szCs w:val="20"/>
                  <w:lang w:val="fr-CA"/>
                </w:rPr>
                <w:t>2020 BCSC 29</w:t>
              </w:r>
            </w:hyperlink>
            <w:r w:rsidR="009801A5" w:rsidRPr="00E407E9">
              <w:rPr>
                <w:sz w:val="20"/>
                <w:szCs w:val="20"/>
                <w:lang w:val="fr-CA"/>
              </w:rPr>
              <w:t xml:space="preserve"> </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p w:rsidR="009801A5" w:rsidRPr="00E407E9" w:rsidRDefault="009801A5" w:rsidP="00F74504">
            <w:pPr>
              <w:tabs>
                <w:tab w:val="left" w:pos="413"/>
              </w:tabs>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Décision en matière constitutionnelle : l’obligation de donner un préavis de sept jours prévue au par. 278.93(4) du </w:t>
            </w:r>
            <w:r w:rsidRPr="00E407E9">
              <w:rPr>
                <w:i/>
                <w:sz w:val="20"/>
                <w:szCs w:val="20"/>
                <w:lang w:val="fr-CA"/>
              </w:rPr>
              <w:t>Code criminel</w:t>
            </w:r>
            <w:r w:rsidRPr="00E407E9">
              <w:rPr>
                <w:sz w:val="20"/>
                <w:szCs w:val="20"/>
                <w:lang w:val="fr-CA"/>
              </w:rPr>
              <w:t xml:space="preserve"> contrevient à l’art. 7 de la </w:t>
            </w:r>
            <w:r w:rsidRPr="00E407E9">
              <w:rPr>
                <w:i/>
                <w:sz w:val="20"/>
                <w:szCs w:val="20"/>
                <w:lang w:val="fr-CA"/>
              </w:rPr>
              <w:t>Charte</w:t>
            </w:r>
          </w:p>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11 mars 2020</w:t>
            </w:r>
          </w:p>
          <w:p w:rsidR="009801A5" w:rsidRPr="00E407E9" w:rsidRDefault="009801A5" w:rsidP="00F74504">
            <w:pPr>
              <w:jc w:val="both"/>
              <w:rPr>
                <w:sz w:val="20"/>
                <w:szCs w:val="20"/>
                <w:lang w:val="fr-CA"/>
              </w:rPr>
            </w:pPr>
            <w:r w:rsidRPr="00E407E9">
              <w:rPr>
                <w:sz w:val="20"/>
                <w:szCs w:val="20"/>
                <w:lang w:val="fr-CA"/>
              </w:rPr>
              <w:t>Cour suprême de la Colombie</w:t>
            </w:r>
            <w:r w:rsidRPr="00E407E9">
              <w:rPr>
                <w:sz w:val="20"/>
                <w:szCs w:val="20"/>
                <w:lang w:val="fr-CA"/>
              </w:rPr>
              <w:noBreakHyphen/>
              <w:t>Britannique</w:t>
            </w:r>
          </w:p>
          <w:p w:rsidR="009801A5" w:rsidRPr="00E407E9" w:rsidRDefault="009801A5" w:rsidP="00F74504">
            <w:pPr>
              <w:jc w:val="both"/>
              <w:rPr>
                <w:sz w:val="20"/>
                <w:szCs w:val="20"/>
                <w:lang w:val="fr-CA"/>
              </w:rPr>
            </w:pPr>
            <w:r w:rsidRPr="00E407E9">
              <w:rPr>
                <w:sz w:val="20"/>
                <w:szCs w:val="20"/>
                <w:lang w:val="fr-CA"/>
              </w:rPr>
              <w:t>(juge Duncan)</w:t>
            </w:r>
          </w:p>
          <w:p w:rsidR="009801A5" w:rsidRPr="00E407E9" w:rsidRDefault="00CE6E62" w:rsidP="00F74504">
            <w:pPr>
              <w:jc w:val="both"/>
              <w:rPr>
                <w:sz w:val="20"/>
                <w:szCs w:val="20"/>
                <w:lang w:val="fr-CA"/>
              </w:rPr>
            </w:pPr>
            <w:hyperlink r:id="rId44" w:history="1">
              <w:r w:rsidR="009801A5" w:rsidRPr="00E407E9">
                <w:rPr>
                  <w:rStyle w:val="Hyperlink"/>
                  <w:sz w:val="20"/>
                  <w:szCs w:val="20"/>
                  <w:lang w:val="fr-CA"/>
                </w:rPr>
                <w:t>2020 BCSC 349</w:t>
              </w:r>
            </w:hyperlink>
            <w:r w:rsidR="009801A5" w:rsidRPr="00E407E9">
              <w:rPr>
                <w:sz w:val="20"/>
                <w:szCs w:val="20"/>
                <w:lang w:val="fr-CA"/>
              </w:rPr>
              <w:t xml:space="preserve"> </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Décision sur la réparation : le par. 278.93(4) du </w:t>
            </w:r>
            <w:r w:rsidRPr="00E407E9">
              <w:rPr>
                <w:i/>
                <w:sz w:val="20"/>
                <w:szCs w:val="20"/>
                <w:lang w:val="fr-CA"/>
              </w:rPr>
              <w:t>Code criminel</w:t>
            </w:r>
            <w:r w:rsidRPr="00E407E9">
              <w:rPr>
                <w:sz w:val="20"/>
                <w:szCs w:val="20"/>
                <w:lang w:val="fr-CA"/>
              </w:rPr>
              <w:t xml:space="preserve"> ne peut être justifié au regard de l’article premier </w:t>
            </w:r>
          </w:p>
          <w:p w:rsidR="009801A5" w:rsidRPr="00E407E9" w:rsidRDefault="009801A5" w:rsidP="00F74504">
            <w:pPr>
              <w:jc w:val="both"/>
              <w:rPr>
                <w:sz w:val="20"/>
                <w:szCs w:val="20"/>
                <w:lang w:val="fr-CA"/>
              </w:rPr>
            </w:pPr>
          </w:p>
        </w:tc>
      </w:tr>
      <w:tr w:rsidR="009801A5" w:rsidRPr="00E407E9"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17 avril 2020</w:t>
            </w:r>
          </w:p>
          <w:p w:rsidR="009801A5" w:rsidRPr="00E407E9" w:rsidRDefault="009801A5" w:rsidP="00F74504">
            <w:pPr>
              <w:jc w:val="both"/>
              <w:rPr>
                <w:sz w:val="20"/>
                <w:szCs w:val="20"/>
                <w:lang w:val="fr-CA"/>
              </w:rPr>
            </w:pPr>
            <w:r w:rsidRPr="00E407E9">
              <w:rPr>
                <w:sz w:val="20"/>
                <w:szCs w:val="20"/>
                <w:lang w:val="fr-CA"/>
              </w:rPr>
              <w:t>Cour suprême du Canada</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Demande d’autorisation d’appel déposée</w:t>
            </w:r>
          </w:p>
          <w:p w:rsidR="009801A5" w:rsidRPr="00E407E9" w:rsidRDefault="009801A5" w:rsidP="00F74504">
            <w:pPr>
              <w:jc w:val="both"/>
              <w:rPr>
                <w:sz w:val="20"/>
                <w:szCs w:val="20"/>
                <w:lang w:val="fr-CA"/>
              </w:rPr>
            </w:pPr>
          </w:p>
        </w:tc>
      </w:tr>
      <w:tr w:rsidR="009801A5" w:rsidRPr="00E407E9"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23 juillet 2020</w:t>
            </w:r>
          </w:p>
          <w:p w:rsidR="009801A5" w:rsidRPr="00E407E9" w:rsidRDefault="009801A5" w:rsidP="00F74504">
            <w:pPr>
              <w:jc w:val="both"/>
              <w:rPr>
                <w:sz w:val="20"/>
                <w:szCs w:val="20"/>
                <w:lang w:val="fr-CA"/>
              </w:rPr>
            </w:pPr>
            <w:r w:rsidRPr="00E407E9">
              <w:rPr>
                <w:sz w:val="20"/>
                <w:szCs w:val="20"/>
                <w:lang w:val="fr-CA"/>
              </w:rPr>
              <w:t>Cour suprême du Canada</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Demande d’autorisation d’appel accueillie</w:t>
            </w:r>
          </w:p>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lastRenderedPageBreak/>
              <w:t>14 octobre 2020</w:t>
            </w:r>
          </w:p>
          <w:p w:rsidR="009801A5" w:rsidRPr="00E407E9" w:rsidRDefault="009801A5" w:rsidP="00F74504">
            <w:pPr>
              <w:jc w:val="both"/>
              <w:rPr>
                <w:sz w:val="20"/>
                <w:szCs w:val="20"/>
                <w:lang w:val="fr-CA"/>
              </w:rPr>
            </w:pPr>
            <w:r w:rsidRPr="00E407E9">
              <w:rPr>
                <w:sz w:val="20"/>
                <w:szCs w:val="20"/>
                <w:lang w:val="fr-CA"/>
              </w:rPr>
              <w:t>Cour suprême du Canada</w:t>
            </w:r>
          </w:p>
          <w:p w:rsidR="009801A5" w:rsidRPr="00E407E9" w:rsidRDefault="009801A5" w:rsidP="00F74504">
            <w:pPr>
              <w:jc w:val="both"/>
              <w:rPr>
                <w:sz w:val="20"/>
                <w:szCs w:val="20"/>
                <w:lang w:val="fr-CA"/>
              </w:rPr>
            </w:pPr>
          </w:p>
        </w:tc>
        <w:tc>
          <w:tcPr>
            <w:tcW w:w="243" w:type="pct"/>
          </w:tcPr>
          <w:p w:rsidR="009801A5" w:rsidRPr="00E407E9" w:rsidRDefault="009801A5" w:rsidP="00F74504">
            <w:pPr>
              <w:tabs>
                <w:tab w:val="left" w:pos="428"/>
              </w:tabs>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Requête en vue de la prorogation du délai pour signifier et déposer la demande d’autorisation d’appel incident et demande d’autoris</w:t>
            </w:r>
            <w:r w:rsidRPr="00E407E9">
              <w:rPr>
                <w:sz w:val="20"/>
                <w:lang w:val="fr-CA"/>
              </w:rPr>
              <w:t>ation d’appel incident déposées</w:t>
            </w:r>
          </w:p>
        </w:tc>
      </w:tr>
    </w:tbl>
    <w:p w:rsidR="009801A5" w:rsidRPr="00E407E9" w:rsidRDefault="009801A5" w:rsidP="009801A5">
      <w:pPr>
        <w:jc w:val="both"/>
        <w:rPr>
          <w:sz w:val="20"/>
          <w:szCs w:val="20"/>
          <w:lang w:val="fr-CA"/>
        </w:rPr>
      </w:pPr>
    </w:p>
    <w:p w:rsidR="009801A5" w:rsidRPr="00E407E9" w:rsidRDefault="00CE6E62" w:rsidP="009801A5">
      <w:pPr>
        <w:widowControl w:val="0"/>
        <w:jc w:val="both"/>
        <w:rPr>
          <w:sz w:val="20"/>
          <w:lang w:val="fr-CA"/>
        </w:rPr>
      </w:pPr>
      <w:r>
        <w:rPr>
          <w:sz w:val="20"/>
        </w:rPr>
        <w:pict>
          <v:rect id="_x0000_i1077"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39266</w:t>
            </w:r>
          </w:p>
        </w:tc>
        <w:tc>
          <w:tcPr>
            <w:tcW w:w="4457" w:type="pct"/>
            <w:gridSpan w:val="3"/>
          </w:tcPr>
          <w:p w:rsidR="009801A5" w:rsidRPr="00E407E9" w:rsidRDefault="009801A5" w:rsidP="00F74504">
            <w:pPr>
              <w:pStyle w:val="SCCLsocParty"/>
              <w:jc w:val="both"/>
              <w:rPr>
                <w:b/>
                <w:sz w:val="20"/>
                <w:szCs w:val="20"/>
                <w:lang w:val="en-US"/>
              </w:rPr>
            </w:pPr>
            <w:r w:rsidRPr="00E407E9">
              <w:rPr>
                <w:b/>
                <w:sz w:val="20"/>
                <w:szCs w:val="20"/>
                <w:lang w:val="en-US"/>
              </w:rPr>
              <w:t>Air Passenger Rights v. Canadian Transportation Agency</w:t>
            </w:r>
          </w:p>
          <w:p w:rsidR="009801A5" w:rsidRPr="00E407E9" w:rsidRDefault="009801A5" w:rsidP="00F74504">
            <w:pPr>
              <w:jc w:val="both"/>
              <w:rPr>
                <w:sz w:val="20"/>
                <w:szCs w:val="20"/>
              </w:rPr>
            </w:pPr>
            <w:r w:rsidRPr="00E407E9">
              <w:rPr>
                <w:sz w:val="20"/>
                <w:szCs w:val="20"/>
              </w:rPr>
              <w:t>(F</w:t>
            </w:r>
            <w:r w:rsidRPr="00E407E9">
              <w:rPr>
                <w:sz w:val="20"/>
              </w:rPr>
              <w:t>.</w:t>
            </w:r>
            <w:r w:rsidRPr="00E407E9">
              <w:rPr>
                <w:sz w:val="20"/>
                <w:szCs w:val="20"/>
              </w:rPr>
              <w:t>C</w:t>
            </w:r>
            <w:r w:rsidRPr="00E407E9">
              <w:rPr>
                <w:sz w:val="20"/>
              </w:rPr>
              <w:t>.</w:t>
            </w:r>
            <w:r w:rsidRPr="00E407E9">
              <w:rPr>
                <w:sz w:val="20"/>
                <w:szCs w:val="20"/>
              </w:rPr>
              <w:t>) (Civil) (By Leave)</w:t>
            </w:r>
          </w:p>
        </w:tc>
      </w:tr>
      <w:tr w:rsidR="009801A5" w:rsidRPr="00E407E9" w:rsidTr="00F74504">
        <w:tc>
          <w:tcPr>
            <w:tcW w:w="5000" w:type="pct"/>
            <w:gridSpan w:val="4"/>
          </w:tcPr>
          <w:p w:rsidR="009801A5" w:rsidRPr="00E407E9" w:rsidRDefault="00F74504" w:rsidP="00F74504">
            <w:pPr>
              <w:jc w:val="both"/>
              <w:rPr>
                <w:sz w:val="20"/>
                <w:szCs w:val="20"/>
              </w:rPr>
            </w:pPr>
            <w:r w:rsidRPr="00E407E9">
              <w:rPr>
                <w:sz w:val="20"/>
                <w:szCs w:val="20"/>
              </w:rPr>
              <w:t>The application for leave to appeal from the judgment of the Federal Court of Appeal, Number A-102-20, 2020 FCA 92, dated May 22, 2020, is dismissed without costs.</w:t>
            </w:r>
          </w:p>
          <w:p w:rsidR="00F74504" w:rsidRPr="00E407E9" w:rsidRDefault="00F74504"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t xml:space="preserve">Administrative law — Injunctions — Judicial review — Judgments and orders — Interlocutory orders — What is the correct test for availability of judicial review in the federal courts — What is the national and consistent approach to irreparable harm in the </w:t>
            </w:r>
            <w:r w:rsidRPr="00E407E9">
              <w:rPr>
                <w:i/>
                <w:sz w:val="20"/>
                <w:szCs w:val="20"/>
              </w:rPr>
              <w:t>RJR</w:t>
            </w:r>
            <w:r w:rsidRPr="00E407E9">
              <w:rPr>
                <w:i/>
                <w:sz w:val="20"/>
                <w:szCs w:val="20"/>
              </w:rPr>
              <w:noBreakHyphen/>
              <w:t>MacDonald</w:t>
            </w:r>
            <w:r w:rsidRPr="00E407E9">
              <w:rPr>
                <w:sz w:val="20"/>
                <w:szCs w:val="20"/>
              </w:rPr>
              <w:t xml:space="preserve"> framework for litigants seeking interim relief in the public interest — </w:t>
            </w:r>
            <w:r w:rsidRPr="00E407E9">
              <w:rPr>
                <w:i/>
                <w:sz w:val="20"/>
                <w:szCs w:val="20"/>
              </w:rPr>
              <w:t>RJR</w:t>
            </w:r>
            <w:r w:rsidRPr="00E407E9">
              <w:rPr>
                <w:i/>
                <w:sz w:val="20"/>
                <w:szCs w:val="20"/>
              </w:rPr>
              <w:noBreakHyphen/>
              <w:t>MacDonald Inc. v. Canada (Attorney General)</w:t>
            </w:r>
            <w:r w:rsidRPr="00E407E9">
              <w:rPr>
                <w:sz w:val="20"/>
                <w:szCs w:val="20"/>
              </w:rPr>
              <w:t>, [1994] 1 S.C.R. 311, 111 D.L.R. (4</w:t>
            </w:r>
            <w:r w:rsidRPr="00E407E9">
              <w:rPr>
                <w:sz w:val="20"/>
                <w:szCs w:val="20"/>
                <w:vertAlign w:val="superscript"/>
              </w:rPr>
              <w:t>th</w:t>
            </w:r>
            <w:r w:rsidRPr="00E407E9">
              <w:rPr>
                <w:sz w:val="20"/>
                <w:szCs w:val="20"/>
              </w:rPr>
              <w:t>) 385</w:t>
            </w:r>
          </w:p>
        </w:tc>
      </w:tr>
      <w:tr w:rsidR="009801A5" w:rsidRPr="00E407E9" w:rsidTr="00F74504">
        <w:tc>
          <w:tcPr>
            <w:tcW w:w="5000" w:type="pct"/>
            <w:gridSpan w:val="4"/>
          </w:tcPr>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 xml:space="preserve">In response to border closures, travel bans and advisories, and flight cancellations, the respondent issued two public statements on its website suggesting it could be reasonable for airlines to provide passengers with travel vouchers rather than refunds for flights cancelled for pandemic-related reasons. It was also stated that any complaint brought to the Agency would be considered on its own merits. The applicant advocacy group commenced an application for judicial review of the public statements and brought a motion for an interlocutory order requiring the statements to be removed from the respondent’s website and seeking to enjoin the respondent’s members from dealing with passenger complaints on refunds, due to a reasonable apprehension of bias. The applicant argued that the statements purport to relieve airline carriers from the obligation to provide passenger refunds both for flight cancellations beyond their control and within their control, and submits that the statements are an unsolicited advance ruling on how passenger complaints about lack of refunds will be decided. </w:t>
            </w:r>
          </w:p>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 xml:space="preserve">The Federal Court of Appeal dismissed the motion. It determined that irreparable harm had not been established to support an interlocutory order enjoining members of the respondent from dealing with passenger complaints. There was no evidence before the court that the members had been involved in making the statements and, even if they had, actual passenger complaints could address the concern of bias in applications for judicial review brought before the court. The request for an order to remove the two statements from the respondent’s website required the applicant to establish a strong </w:t>
            </w:r>
            <w:r w:rsidRPr="00E407E9">
              <w:rPr>
                <w:i/>
                <w:sz w:val="20"/>
                <w:szCs w:val="20"/>
              </w:rPr>
              <w:t>prima facie</w:t>
            </w:r>
            <w:r w:rsidRPr="00E407E9">
              <w:rPr>
                <w:sz w:val="20"/>
                <w:szCs w:val="20"/>
              </w:rPr>
              <w:t xml:space="preserve"> case for the underlying application for judicial review. This could not be done, given that the administrative actions being challenged in the judicial review application (the statements) are not amenable to judicial review.</w:t>
            </w:r>
          </w:p>
        </w:tc>
      </w:tr>
      <w:tr w:rsidR="009801A5" w:rsidRPr="00E407E9" w:rsidTr="00F74504">
        <w:tc>
          <w:tcPr>
            <w:tcW w:w="5000" w:type="pct"/>
            <w:gridSpan w:val="4"/>
          </w:tcPr>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May 22, 2020</w:t>
            </w:r>
          </w:p>
          <w:p w:rsidR="009801A5" w:rsidRPr="00E407E9" w:rsidRDefault="009801A5" w:rsidP="00F74504">
            <w:pPr>
              <w:jc w:val="both"/>
              <w:rPr>
                <w:sz w:val="20"/>
                <w:szCs w:val="20"/>
              </w:rPr>
            </w:pPr>
            <w:r w:rsidRPr="00E407E9">
              <w:rPr>
                <w:sz w:val="20"/>
                <w:szCs w:val="20"/>
              </w:rPr>
              <w:t>Federal Court of Appeal</w:t>
            </w:r>
          </w:p>
          <w:p w:rsidR="009801A5" w:rsidRPr="00E407E9" w:rsidRDefault="009801A5" w:rsidP="00F74504">
            <w:pPr>
              <w:jc w:val="both"/>
              <w:rPr>
                <w:sz w:val="20"/>
                <w:szCs w:val="20"/>
              </w:rPr>
            </w:pPr>
            <w:r w:rsidRPr="00E407E9">
              <w:rPr>
                <w:sz w:val="20"/>
                <w:szCs w:val="20"/>
              </w:rPr>
              <w:t>(Mactavish J.A.)</w:t>
            </w:r>
          </w:p>
          <w:p w:rsidR="009801A5" w:rsidRPr="00E407E9" w:rsidRDefault="00CE6E62" w:rsidP="00F74504">
            <w:pPr>
              <w:jc w:val="both"/>
              <w:rPr>
                <w:sz w:val="20"/>
                <w:szCs w:val="20"/>
              </w:rPr>
            </w:pPr>
            <w:hyperlink r:id="rId45" w:history="1">
              <w:r w:rsidR="009801A5" w:rsidRPr="00E407E9">
                <w:rPr>
                  <w:rStyle w:val="Hyperlink"/>
                  <w:sz w:val="20"/>
                  <w:szCs w:val="20"/>
                </w:rPr>
                <w:t>2020 FCA 92</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Applicant’s motion for an interlocutory order requiring removal of statements from the respondent’s website and enjoining members from dealing with passenger complaints on refunds, dismissed.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August 4,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filed.</w:t>
            </w:r>
          </w:p>
          <w:p w:rsidR="009801A5" w:rsidRPr="00E407E9" w:rsidRDefault="009801A5" w:rsidP="00F74504">
            <w:pPr>
              <w:jc w:val="both"/>
              <w:rPr>
                <w:sz w:val="20"/>
                <w:szCs w:val="20"/>
              </w:rPr>
            </w:pP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78"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39266</w:t>
            </w:r>
          </w:p>
        </w:tc>
        <w:tc>
          <w:tcPr>
            <w:tcW w:w="4457" w:type="pct"/>
            <w:gridSpan w:val="3"/>
          </w:tcPr>
          <w:p w:rsidR="009801A5" w:rsidRPr="00E407E9" w:rsidRDefault="00F74504" w:rsidP="00F74504">
            <w:pPr>
              <w:pStyle w:val="SCCLsocParty"/>
              <w:jc w:val="both"/>
              <w:rPr>
                <w:b/>
                <w:sz w:val="20"/>
                <w:szCs w:val="20"/>
              </w:rPr>
            </w:pPr>
            <w:r w:rsidRPr="00E407E9">
              <w:rPr>
                <w:b/>
                <w:sz w:val="20"/>
                <w:szCs w:val="20"/>
              </w:rPr>
              <w:t>Air Passenger Rights</w:t>
            </w:r>
            <w:r w:rsidR="009801A5" w:rsidRPr="00E407E9">
              <w:rPr>
                <w:b/>
                <w:sz w:val="20"/>
                <w:szCs w:val="20"/>
              </w:rPr>
              <w:t xml:space="preserve"> c. Office des transports du Canada</w:t>
            </w:r>
          </w:p>
          <w:p w:rsidR="009801A5" w:rsidRPr="00E407E9" w:rsidRDefault="009801A5" w:rsidP="00F74504">
            <w:pPr>
              <w:jc w:val="both"/>
              <w:rPr>
                <w:sz w:val="20"/>
                <w:szCs w:val="20"/>
                <w:lang w:val="fr-CA"/>
              </w:rPr>
            </w:pPr>
            <w:r w:rsidRPr="00E407E9">
              <w:rPr>
                <w:sz w:val="20"/>
                <w:szCs w:val="20"/>
                <w:lang w:val="fr-CA"/>
              </w:rPr>
              <w:t>(C</w:t>
            </w:r>
            <w:r w:rsidRPr="00E407E9">
              <w:rPr>
                <w:sz w:val="20"/>
                <w:lang w:val="fr-CA"/>
              </w:rPr>
              <w:t>.</w:t>
            </w:r>
            <w:r w:rsidRPr="00E407E9">
              <w:rPr>
                <w:sz w:val="20"/>
                <w:szCs w:val="20"/>
                <w:lang w:val="fr-CA"/>
              </w:rPr>
              <w:t>F</w:t>
            </w:r>
            <w:r w:rsidRPr="00E407E9">
              <w:rPr>
                <w:sz w:val="20"/>
                <w:lang w:val="fr-CA"/>
              </w:rPr>
              <w:t>.</w:t>
            </w:r>
            <w:r w:rsidRPr="00E407E9">
              <w:rPr>
                <w:sz w:val="20"/>
                <w:szCs w:val="20"/>
                <w:lang w:val="fr-CA"/>
              </w:rPr>
              <w:t>) (Civile) (Autorisation)</w:t>
            </w:r>
          </w:p>
        </w:tc>
      </w:tr>
      <w:tr w:rsidR="009801A5" w:rsidRPr="001A3EBC" w:rsidTr="00F74504">
        <w:tc>
          <w:tcPr>
            <w:tcW w:w="5000" w:type="pct"/>
            <w:gridSpan w:val="4"/>
          </w:tcPr>
          <w:p w:rsidR="009801A5" w:rsidRPr="00E407E9" w:rsidRDefault="00F74504" w:rsidP="00F74504">
            <w:pPr>
              <w:jc w:val="both"/>
              <w:rPr>
                <w:sz w:val="20"/>
                <w:szCs w:val="20"/>
                <w:lang w:val="fr-CA"/>
              </w:rPr>
            </w:pPr>
            <w:r w:rsidRPr="00E407E9">
              <w:rPr>
                <w:sz w:val="20"/>
                <w:szCs w:val="20"/>
                <w:lang w:val="fr-CA"/>
              </w:rPr>
              <w:t>La demande d’autorisation d’appel de l’arrêt de la Cour d’appel fédérale, numéro A-102-20, 2020 CAF 92, daté du 22 mai 2020, est rejetée sans dépens.</w:t>
            </w:r>
          </w:p>
          <w:p w:rsidR="00F74504" w:rsidRPr="00E407E9" w:rsidRDefault="00F74504" w:rsidP="00F74504">
            <w:pPr>
              <w:jc w:val="both"/>
              <w:rPr>
                <w:sz w:val="20"/>
                <w:szCs w:val="20"/>
                <w:lang w:val="fr-CA"/>
              </w:rPr>
            </w:pPr>
          </w:p>
        </w:tc>
      </w:tr>
      <w:tr w:rsidR="009801A5" w:rsidRPr="001A3EBC" w:rsidTr="00F74504">
        <w:tc>
          <w:tcPr>
            <w:tcW w:w="5000" w:type="pct"/>
            <w:gridSpan w:val="4"/>
          </w:tcPr>
          <w:p w:rsidR="009801A5" w:rsidRPr="00E407E9" w:rsidRDefault="009801A5" w:rsidP="00F74504">
            <w:pPr>
              <w:jc w:val="both"/>
              <w:rPr>
                <w:sz w:val="20"/>
                <w:szCs w:val="20"/>
                <w:lang w:val="fr-CA"/>
              </w:rPr>
            </w:pPr>
            <w:r w:rsidRPr="00E407E9">
              <w:rPr>
                <w:sz w:val="20"/>
                <w:szCs w:val="20"/>
                <w:lang w:val="fr-CA"/>
              </w:rPr>
              <w:lastRenderedPageBreak/>
              <w:t xml:space="preserve">Droit administratif — Injonctions — Contrôle judiciaire — Jugements et ordonnances — Ordonnances interlocutoires — Quel est le critère adéquat qui permet aux cours fédérales d’être saisies d’une demande de contrôle judiciaire? — Quelle est l’approche nationale et cohérente quant au préjudice irréparable établie dans le cadre d’analyse de l’arrêt </w:t>
            </w:r>
            <w:r w:rsidRPr="00E407E9">
              <w:rPr>
                <w:i/>
                <w:sz w:val="20"/>
                <w:szCs w:val="20"/>
                <w:lang w:val="fr-CA"/>
              </w:rPr>
              <w:t>RJR</w:t>
            </w:r>
            <w:r w:rsidRPr="00E407E9">
              <w:rPr>
                <w:i/>
                <w:sz w:val="20"/>
                <w:szCs w:val="20"/>
                <w:lang w:val="fr-CA"/>
              </w:rPr>
              <w:noBreakHyphen/>
              <w:t>MacDonald</w:t>
            </w:r>
            <w:r w:rsidRPr="00E407E9">
              <w:rPr>
                <w:sz w:val="20"/>
                <w:szCs w:val="20"/>
                <w:lang w:val="fr-CA"/>
              </w:rPr>
              <w:t xml:space="preserve"> pour les plaideurs qui sollicitent une réparation provisoire au nom de l’intérêt public? — </w:t>
            </w:r>
            <w:r w:rsidRPr="00E407E9">
              <w:rPr>
                <w:i/>
                <w:sz w:val="20"/>
                <w:szCs w:val="20"/>
                <w:lang w:val="fr-CA"/>
              </w:rPr>
              <w:t>RJR</w:t>
            </w:r>
            <w:r w:rsidRPr="00E407E9">
              <w:rPr>
                <w:i/>
                <w:sz w:val="20"/>
                <w:szCs w:val="20"/>
                <w:lang w:val="fr-CA"/>
              </w:rPr>
              <w:noBreakHyphen/>
              <w:t>MacDonald Inc. c. Canada (Procureur général)</w:t>
            </w:r>
            <w:r w:rsidRPr="00E407E9">
              <w:rPr>
                <w:sz w:val="20"/>
                <w:szCs w:val="20"/>
                <w:lang w:val="fr-CA"/>
              </w:rPr>
              <w:t>, [1994] 1 R.C.S. 311, 111 D.L.R. (4</w:t>
            </w:r>
            <w:r w:rsidRPr="00E407E9">
              <w:rPr>
                <w:sz w:val="20"/>
                <w:szCs w:val="20"/>
                <w:vertAlign w:val="superscript"/>
                <w:lang w:val="fr-CA"/>
              </w:rPr>
              <w:t>th</w:t>
            </w:r>
            <w:r w:rsidRPr="00E407E9">
              <w:rPr>
                <w:sz w:val="20"/>
                <w:szCs w:val="20"/>
                <w:lang w:val="fr-CA"/>
              </w:rPr>
              <w:t>) 385</w:t>
            </w:r>
          </w:p>
        </w:tc>
      </w:tr>
      <w:tr w:rsidR="009801A5" w:rsidRPr="001A3EBC" w:rsidTr="00F74504">
        <w:tc>
          <w:tcPr>
            <w:tcW w:w="5000" w:type="pct"/>
            <w:gridSpan w:val="4"/>
          </w:tcPr>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En réponse aux fermetures des frontières, aux avis aux voyageurs, aux interdictions de voyager, et aux annulations de vols, le défendeur a publié sur son site Web deux déclarations publiques laissant entendre qu’il serait raisonnable que les compagnies aériennes offrent aux voyageurs, dont les vols ont été annulés pour des raisons liées à la pandémie, des crédits de voyage plutôt que de leur rembourser le prix de leurs billets. L’Office a également déclaré que le bien</w:t>
            </w:r>
            <w:r w:rsidRPr="00E407E9">
              <w:rPr>
                <w:sz w:val="20"/>
                <w:szCs w:val="20"/>
                <w:lang w:val="fr-CA"/>
              </w:rPr>
              <w:noBreakHyphen/>
              <w:t xml:space="preserve">fondé de toute plainte qui sera portée à son attention sera examiné. Le demandeur, le groupe de défense des droits, a présenté une demande de contrôle judiciaire à l’encontre des déclarations publiques de l’Office et a présenté une requête visant à obtenir une ordonnance interlocutoire enjoignant à l’Office de retirer lesdites déclarations de son site Web et demandant qu’il soit interdit aux membres de l’Office de traiter les plaintes des passagers concernant des remboursements, au motif qu’il existait une crainte raisonnable de partialité. Le demandeur a fait valoir que les déclarations étaient censées dégager les compagnies aériennes de leur obligation de rembourser les passagers à la fois lorsque les vols sont annulés pour des raisons indépendantes de leur volonté, mais aussi lorsque les vols sont annulés pour des raisons attribuables aux compagnies aériennes, et il a soutenu que les déclarations en cause équivalent à une décision anticipée non sollicitée quant à la manière dont l’Office traitera les plaintes des passagers relatives à l’absence de remboursement. </w:t>
            </w:r>
          </w:p>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La Cour d’appel fédérale a rejeté la requête. Elle a statué que le préjudice irréparable qui permet l’octroi d’une ordonnance interlocutoire enjoignant aux membres du défendeur de traiter les plaintes des passagers n’avait pas été établi. La Cour ne disposait pas de preuve établissant que les membres avaient participé à l’élaboration des déclarations, et, même si cela avait été le cas, les plaintes des passagers pouvaient invoquer la question de la partialité dans des demandes de contrôle judiciaire présentées à la Cour. La demande en vue de l’obtention d’une ordonnance enjoignant la suppression des deux déclarations du site Web du défendeur nécessitait que le demandeur établisse que la demande de contrôle judiciaire sous</w:t>
            </w:r>
            <w:r w:rsidRPr="00E407E9">
              <w:rPr>
                <w:sz w:val="20"/>
                <w:szCs w:val="20"/>
                <w:lang w:val="fr-CA"/>
              </w:rPr>
              <w:noBreakHyphen/>
              <w:t xml:space="preserve">jacente soulève </w:t>
            </w:r>
            <w:r w:rsidRPr="00E407E9">
              <w:rPr>
                <w:i/>
                <w:sz w:val="20"/>
                <w:szCs w:val="20"/>
                <w:lang w:val="fr-CA"/>
              </w:rPr>
              <w:t>prima facie</w:t>
            </w:r>
            <w:r w:rsidRPr="00E407E9">
              <w:rPr>
                <w:sz w:val="20"/>
                <w:szCs w:val="20"/>
                <w:lang w:val="fr-CA"/>
              </w:rPr>
              <w:t xml:space="preserve"> une question sérieuse à trancher. Il n’a pas pu en être ainsi, car les actions administratives contestées dans le cadre de la demande de contrôle judiciaire (les déclarations) ne sont pas susceptibles de </w:t>
            </w:r>
            <w:r w:rsidRPr="00E407E9">
              <w:rPr>
                <w:sz w:val="20"/>
                <w:lang w:val="fr-CA"/>
              </w:rPr>
              <w:t>contrôle judiciaire.</w:t>
            </w:r>
          </w:p>
        </w:tc>
      </w:tr>
      <w:tr w:rsidR="009801A5" w:rsidRPr="001A3EBC" w:rsidTr="00F74504">
        <w:tc>
          <w:tcPr>
            <w:tcW w:w="5000" w:type="pct"/>
            <w:gridSpan w:val="4"/>
          </w:tcPr>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22 mai 2020</w:t>
            </w:r>
          </w:p>
          <w:p w:rsidR="009801A5" w:rsidRPr="00E407E9" w:rsidRDefault="009801A5" w:rsidP="00F74504">
            <w:pPr>
              <w:jc w:val="both"/>
              <w:rPr>
                <w:sz w:val="20"/>
                <w:szCs w:val="20"/>
                <w:lang w:val="fr-CA"/>
              </w:rPr>
            </w:pPr>
            <w:r w:rsidRPr="00E407E9">
              <w:rPr>
                <w:sz w:val="20"/>
                <w:szCs w:val="20"/>
                <w:lang w:val="fr-CA"/>
              </w:rPr>
              <w:t>Cour d’appel fédérale</w:t>
            </w:r>
          </w:p>
          <w:p w:rsidR="009801A5" w:rsidRPr="00E407E9" w:rsidRDefault="009801A5" w:rsidP="00F74504">
            <w:pPr>
              <w:jc w:val="both"/>
              <w:rPr>
                <w:sz w:val="20"/>
                <w:szCs w:val="20"/>
                <w:lang w:val="fr-CA"/>
              </w:rPr>
            </w:pPr>
            <w:r w:rsidRPr="00E407E9">
              <w:rPr>
                <w:sz w:val="20"/>
                <w:szCs w:val="20"/>
                <w:lang w:val="fr-CA"/>
              </w:rPr>
              <w:t>(juge Mactavish)</w:t>
            </w:r>
          </w:p>
          <w:p w:rsidR="009801A5" w:rsidRPr="00E407E9" w:rsidRDefault="00CE6E62" w:rsidP="00F74504">
            <w:pPr>
              <w:jc w:val="both"/>
              <w:rPr>
                <w:sz w:val="20"/>
                <w:szCs w:val="20"/>
                <w:lang w:val="fr-CA"/>
              </w:rPr>
            </w:pPr>
            <w:hyperlink r:id="rId46" w:history="1">
              <w:r w:rsidR="009801A5" w:rsidRPr="00E407E9">
                <w:rPr>
                  <w:rStyle w:val="Hyperlink"/>
                  <w:sz w:val="20"/>
                  <w:szCs w:val="20"/>
                  <w:lang w:val="fr-CA"/>
                </w:rPr>
                <w:t>2020 CAF 92</w:t>
              </w:r>
            </w:hyperlink>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Rejet de la requête présentée par le demandeur en vue de l’obtention d’une ordonnance interlocutoire exigeant le retrait des déclarations du site Web du défendeur et enjoignant aux membres de traiter les plaintes des passagers concernant les remboursements. </w:t>
            </w:r>
          </w:p>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4 août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Dépôt de la demande d’autorisation d’appel.</w:t>
            </w:r>
          </w:p>
          <w:p w:rsidR="009801A5" w:rsidRPr="00E407E9" w:rsidRDefault="009801A5" w:rsidP="00F74504">
            <w:pPr>
              <w:jc w:val="both"/>
              <w:rPr>
                <w:sz w:val="20"/>
                <w:szCs w:val="20"/>
                <w:lang w:val="fr-CA"/>
              </w:rPr>
            </w:pPr>
          </w:p>
        </w:tc>
      </w:tr>
    </w:tbl>
    <w:p w:rsidR="009801A5" w:rsidRPr="00E407E9" w:rsidRDefault="009801A5" w:rsidP="009801A5">
      <w:pPr>
        <w:jc w:val="both"/>
        <w:rPr>
          <w:sz w:val="20"/>
          <w:szCs w:val="20"/>
          <w:lang w:val="fr-CA"/>
        </w:rPr>
      </w:pPr>
    </w:p>
    <w:p w:rsidR="009801A5" w:rsidRPr="00E407E9" w:rsidRDefault="00CE6E62" w:rsidP="009801A5">
      <w:pPr>
        <w:widowControl w:val="0"/>
        <w:jc w:val="both"/>
        <w:rPr>
          <w:sz w:val="20"/>
          <w:lang w:val="fr-CA"/>
        </w:rPr>
      </w:pPr>
      <w:r>
        <w:rPr>
          <w:sz w:val="20"/>
        </w:rPr>
        <w:pict>
          <v:rect id="_x0000_i1079"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39117</w:t>
            </w:r>
          </w:p>
        </w:tc>
        <w:tc>
          <w:tcPr>
            <w:tcW w:w="4457" w:type="pct"/>
            <w:gridSpan w:val="3"/>
          </w:tcPr>
          <w:p w:rsidR="009801A5" w:rsidRPr="00E407E9" w:rsidRDefault="009801A5" w:rsidP="00F74504">
            <w:pPr>
              <w:pStyle w:val="SCCLsocParty"/>
              <w:jc w:val="both"/>
              <w:rPr>
                <w:b/>
                <w:sz w:val="20"/>
                <w:szCs w:val="20"/>
                <w:lang w:val="en-US"/>
              </w:rPr>
            </w:pPr>
            <w:r w:rsidRPr="00E407E9">
              <w:rPr>
                <w:b/>
                <w:sz w:val="20"/>
                <w:szCs w:val="20"/>
                <w:lang w:val="en-US"/>
              </w:rPr>
              <w:t>Daniel Ammazzini</w:t>
            </w:r>
            <w:r w:rsidR="00F74504" w:rsidRPr="00E407E9">
              <w:rPr>
                <w:b/>
                <w:sz w:val="20"/>
                <w:szCs w:val="20"/>
                <w:lang w:val="en-US"/>
              </w:rPr>
              <w:t xml:space="preserve"> and</w:t>
            </w:r>
            <w:r w:rsidRPr="00E407E9">
              <w:rPr>
                <w:b/>
                <w:sz w:val="20"/>
                <w:szCs w:val="20"/>
                <w:lang w:val="en-US"/>
              </w:rPr>
              <w:t xml:space="preserve"> Olson Goldsmiths Inc. v. </w:t>
            </w:r>
            <w:r w:rsidR="00F74504" w:rsidRPr="00E407E9">
              <w:rPr>
                <w:b/>
                <w:sz w:val="20"/>
                <w:szCs w:val="20"/>
                <w:lang w:val="en-US"/>
              </w:rPr>
              <w:t>Anglo American PLC, De Beers Canada Inc., De Beers S.A., De Beers Centenary A.G., De Beers Canada Holdings Inc., De Beers UK Limited and Kirk Brant`</w:t>
            </w:r>
          </w:p>
          <w:p w:rsidR="009801A5" w:rsidRPr="00E407E9" w:rsidRDefault="009801A5" w:rsidP="00F74504">
            <w:pPr>
              <w:jc w:val="both"/>
              <w:rPr>
                <w:sz w:val="20"/>
                <w:szCs w:val="20"/>
              </w:rPr>
            </w:pPr>
            <w:r w:rsidRPr="00E407E9">
              <w:rPr>
                <w:sz w:val="20"/>
                <w:szCs w:val="20"/>
              </w:rPr>
              <w:t>(Sask.) (Civil) (By Leave)</w:t>
            </w:r>
          </w:p>
        </w:tc>
      </w:tr>
      <w:tr w:rsidR="009801A5" w:rsidRPr="00E407E9" w:rsidTr="009801A5">
        <w:trPr>
          <w:trHeight w:val="298"/>
        </w:trPr>
        <w:tc>
          <w:tcPr>
            <w:tcW w:w="5000" w:type="pct"/>
            <w:gridSpan w:val="4"/>
          </w:tcPr>
          <w:p w:rsidR="00F74504" w:rsidRPr="00E407E9" w:rsidRDefault="00F74504" w:rsidP="00F74504">
            <w:pPr>
              <w:jc w:val="both"/>
              <w:rPr>
                <w:sz w:val="20"/>
                <w:szCs w:val="20"/>
              </w:rPr>
            </w:pPr>
            <w:r w:rsidRPr="00E407E9">
              <w:rPr>
                <w:sz w:val="20"/>
                <w:szCs w:val="20"/>
              </w:rPr>
              <w:t>The motion for an extension of time to serve and file the application for leave to appeal is granted. The motion to serve and file an amended memorandum of argument for the application for leave to appeal is dismissed with costs. The application for leave to appeal from the judgment of the Court of Appeal for Saskatchewan, Number CACV3391, 2019 SKCA 142, dated December 24, 2019, is dismissed with costs.</w:t>
            </w:r>
          </w:p>
          <w:p w:rsidR="009801A5" w:rsidRPr="00E407E9" w:rsidRDefault="009801A5" w:rsidP="00F74504">
            <w:pPr>
              <w:jc w:val="both"/>
              <w:rPr>
                <w:sz w:val="20"/>
                <w:szCs w:val="20"/>
              </w:rPr>
            </w:pPr>
          </w:p>
        </w:tc>
      </w:tr>
      <w:tr w:rsidR="009801A5" w:rsidRPr="00E407E9" w:rsidTr="00F74504">
        <w:trPr>
          <w:trHeight w:val="1249"/>
        </w:trPr>
        <w:tc>
          <w:tcPr>
            <w:tcW w:w="5000" w:type="pct"/>
            <w:gridSpan w:val="4"/>
          </w:tcPr>
          <w:p w:rsidR="009801A5" w:rsidRPr="00E407E9" w:rsidRDefault="009801A5" w:rsidP="00F74504">
            <w:pPr>
              <w:jc w:val="both"/>
              <w:rPr>
                <w:sz w:val="20"/>
                <w:szCs w:val="20"/>
              </w:rPr>
            </w:pPr>
            <w:r w:rsidRPr="00E407E9">
              <w:rPr>
                <w:sz w:val="20"/>
                <w:szCs w:val="20"/>
              </w:rPr>
              <w:lastRenderedPageBreak/>
              <w:t>Civil procedure — Class actions — Appeals — Judgments and Orders — Leave to appeal to Court of Appeal of Saskatchewan dismissed — What degree of scrutiny are courts expected to apply to any proposed settlement agreement and what factors are or should be relevant to the determination — Where an individual “opts out” of a class action, what limits, if any, are placed on the individual’s future litigation rights vis</w:t>
            </w:r>
            <w:r w:rsidRPr="00E407E9">
              <w:rPr>
                <w:sz w:val="20"/>
                <w:szCs w:val="20"/>
              </w:rPr>
              <w:noBreakHyphen/>
              <w:t>à</w:t>
            </w:r>
            <w:r w:rsidRPr="00E407E9">
              <w:rPr>
                <w:sz w:val="20"/>
                <w:szCs w:val="20"/>
              </w:rPr>
              <w:noBreakHyphen/>
              <w:t>vis the defendants in the class action.</w:t>
            </w:r>
          </w:p>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color w:val="000000" w:themeColor="text1"/>
                <w:sz w:val="20"/>
                <w:szCs w:val="20"/>
                <w:lang w:val="en"/>
              </w:rPr>
            </w:pPr>
            <w:r w:rsidRPr="00E407E9">
              <w:rPr>
                <w:sz w:val="20"/>
                <w:szCs w:val="20"/>
              </w:rPr>
              <w:t>In 2011 the applicants brought a proposed multi</w:t>
            </w:r>
            <w:r w:rsidRPr="00E407E9">
              <w:rPr>
                <w:sz w:val="20"/>
                <w:szCs w:val="20"/>
              </w:rPr>
              <w:noBreakHyphen/>
              <w:t xml:space="preserve">jurisdictional class action in Saskatchewan under </w:t>
            </w:r>
            <w:r w:rsidRPr="00E407E9">
              <w:rPr>
                <w:i/>
                <w:sz w:val="20"/>
                <w:szCs w:val="20"/>
              </w:rPr>
              <w:t xml:space="preserve">The Class </w:t>
            </w:r>
            <w:r w:rsidRPr="00E407E9">
              <w:rPr>
                <w:i/>
                <w:color w:val="000000" w:themeColor="text1"/>
                <w:sz w:val="20"/>
                <w:szCs w:val="20"/>
              </w:rPr>
              <w:t>Actions Act</w:t>
            </w:r>
            <w:r w:rsidRPr="00E407E9">
              <w:rPr>
                <w:color w:val="000000" w:themeColor="text1"/>
                <w:sz w:val="20"/>
                <w:szCs w:val="20"/>
              </w:rPr>
              <w:t xml:space="preserve">, </w:t>
            </w:r>
            <w:hyperlink r:id="rId47" w:history="1">
              <w:r w:rsidRPr="00E407E9">
                <w:rPr>
                  <w:rStyle w:val="Hyperlink"/>
                  <w:sz w:val="20"/>
                </w:rPr>
                <w:t>SS 2001, c C</w:t>
              </w:r>
              <w:r w:rsidRPr="00E407E9">
                <w:rPr>
                  <w:rStyle w:val="Hyperlink"/>
                  <w:sz w:val="20"/>
                </w:rPr>
                <w:noBreakHyphen/>
                <w:t>12.01</w:t>
              </w:r>
            </w:hyperlink>
            <w:r w:rsidRPr="00E407E9">
              <w:rPr>
                <w:color w:val="000000" w:themeColor="text1"/>
                <w:sz w:val="20"/>
                <w:szCs w:val="20"/>
              </w:rPr>
              <w:t xml:space="preserve">, alleging that the </w:t>
            </w:r>
            <w:r w:rsidRPr="00E407E9">
              <w:rPr>
                <w:sz w:val="20"/>
                <w:szCs w:val="20"/>
              </w:rPr>
              <w:t xml:space="preserve">respondents wrongfully restricted the global supply of diamonds to artificially inflate pricing. Previously, an action raising similar common issues was commenced and certified as a class action in B.C., and was certified for the </w:t>
            </w:r>
            <w:r w:rsidRPr="00E407E9">
              <w:rPr>
                <w:color w:val="000000" w:themeColor="text1"/>
                <w:sz w:val="20"/>
                <w:szCs w:val="20"/>
              </w:rPr>
              <w:t xml:space="preserve">purposes of settlement by courts in Ontario and </w:t>
            </w:r>
            <w:r w:rsidRPr="00E407E9">
              <w:rPr>
                <w:color w:val="000000" w:themeColor="text1"/>
                <w:sz w:val="20"/>
                <w:szCs w:val="20"/>
                <w:lang w:val="en"/>
              </w:rPr>
              <w:t>Qu</w:t>
            </w:r>
            <w:r w:rsidRPr="00E407E9">
              <w:rPr>
                <w:color w:val="000000" w:themeColor="text1"/>
                <w:sz w:val="20"/>
                <w:szCs w:val="20"/>
              </w:rPr>
              <w:t>é</w:t>
            </w:r>
            <w:r w:rsidRPr="00E407E9">
              <w:rPr>
                <w:color w:val="000000" w:themeColor="text1"/>
                <w:sz w:val="20"/>
                <w:szCs w:val="20"/>
                <w:lang w:val="en"/>
              </w:rPr>
              <w:t xml:space="preserve">bec. </w:t>
            </w:r>
            <w:r w:rsidRPr="00E407E9">
              <w:rPr>
                <w:color w:val="000000" w:themeColor="text1"/>
                <w:sz w:val="20"/>
                <w:szCs w:val="20"/>
              </w:rPr>
              <w:t xml:space="preserve">On application by the representative plaintiffs in the BC and Ontario actions, a conditional stay of the Saskatchewan action was granted </w:t>
            </w:r>
            <w:hyperlink r:id="rId48" w:history="1">
              <w:r w:rsidRPr="00E407E9">
                <w:rPr>
                  <w:color w:val="000000" w:themeColor="text1"/>
                  <w:sz w:val="20"/>
                  <w:szCs w:val="20"/>
                  <w:lang w:val="en"/>
                </w:rPr>
                <w:t>2016 SKQB 53</w:t>
              </w:r>
            </w:hyperlink>
            <w:r w:rsidRPr="00E407E9">
              <w:rPr>
                <w:color w:val="000000" w:themeColor="text1"/>
                <w:sz w:val="20"/>
                <w:szCs w:val="20"/>
              </w:rPr>
              <w:t xml:space="preserve">, aff’d </w:t>
            </w:r>
            <w:hyperlink r:id="rId49" w:history="1">
              <w:r w:rsidRPr="00E407E9">
                <w:rPr>
                  <w:color w:val="000000" w:themeColor="text1"/>
                  <w:sz w:val="20"/>
                  <w:szCs w:val="20"/>
                  <w:lang w:val="en"/>
                </w:rPr>
                <w:t>2016 SKCA 164</w:t>
              </w:r>
            </w:hyperlink>
            <w:r w:rsidRPr="00E407E9">
              <w:rPr>
                <w:color w:val="000000" w:themeColor="text1"/>
                <w:sz w:val="20"/>
                <w:szCs w:val="20"/>
              </w:rPr>
              <w:t xml:space="preserve">, pending the decision on the certification action in Ontario. </w:t>
            </w:r>
          </w:p>
          <w:p w:rsidR="009801A5" w:rsidRPr="00E407E9" w:rsidRDefault="009801A5" w:rsidP="00F74504">
            <w:pPr>
              <w:jc w:val="both"/>
              <w:rPr>
                <w:color w:val="000000" w:themeColor="text1"/>
                <w:sz w:val="20"/>
                <w:szCs w:val="20"/>
                <w:lang w:val="en"/>
              </w:rPr>
            </w:pPr>
          </w:p>
          <w:p w:rsidR="009801A5" w:rsidRPr="00E407E9" w:rsidRDefault="009801A5" w:rsidP="00F74504">
            <w:pPr>
              <w:jc w:val="both"/>
              <w:rPr>
                <w:sz w:val="20"/>
                <w:szCs w:val="20"/>
              </w:rPr>
            </w:pPr>
            <w:r w:rsidRPr="00E407E9">
              <w:rPr>
                <w:color w:val="000000" w:themeColor="text1"/>
                <w:sz w:val="20"/>
                <w:szCs w:val="20"/>
              </w:rPr>
              <w:t xml:space="preserve">A settlement agreement has since </w:t>
            </w:r>
            <w:r w:rsidRPr="00E407E9">
              <w:rPr>
                <w:sz w:val="20"/>
                <w:szCs w:val="20"/>
              </w:rPr>
              <w:t xml:space="preserve">been reached by the plaintiffs in the Ontario, B.C. and Quebec actions, providing for payment by the respondents of the amount of $9.4 million for the benefit of the class, being all persons in Canada who purchased gem grade diamonds from January 1, 1994 to October 14, 2016. The settlement agreement requires the dismissal of those three class actions and either the dismissal or a permanent stay of the Saskatchewan action. Court approval of the settlement agreement has been obtained in Ontario, B.C. and </w:t>
            </w:r>
            <w:r w:rsidRPr="00E407E9">
              <w:rPr>
                <w:color w:val="333333"/>
                <w:sz w:val="20"/>
                <w:szCs w:val="20"/>
                <w:lang w:val="en"/>
              </w:rPr>
              <w:t>Qu</w:t>
            </w:r>
            <w:r w:rsidRPr="00E407E9">
              <w:rPr>
                <w:sz w:val="20"/>
                <w:szCs w:val="20"/>
              </w:rPr>
              <w:t>e</w:t>
            </w:r>
            <w:r w:rsidRPr="00E407E9">
              <w:rPr>
                <w:color w:val="333333"/>
                <w:sz w:val="20"/>
                <w:szCs w:val="20"/>
                <w:lang w:val="en"/>
              </w:rPr>
              <w:t xml:space="preserve">bec. </w:t>
            </w:r>
            <w:r w:rsidRPr="00E407E9">
              <w:rPr>
                <w:sz w:val="20"/>
                <w:szCs w:val="20"/>
              </w:rPr>
              <w:t>The Court of Queen’s Bench of Saskatchewan granted the respondents’ application for a permanent stay of the Saskatchewan action and a Judge of the Court of Appeal for Saskatchewan denied leave to appeal that decision. The applicants seek leave to appeal those decisions, arguing that the settlement agreement is unfair and that the decisions jeopardize the litigation rights of those who opt</w:t>
            </w:r>
            <w:r w:rsidRPr="00E407E9">
              <w:rPr>
                <w:sz w:val="20"/>
                <w:szCs w:val="20"/>
              </w:rPr>
              <w:noBreakHyphen/>
              <w:t xml:space="preserve">out. </w:t>
            </w:r>
          </w:p>
        </w:tc>
      </w:tr>
      <w:tr w:rsidR="009801A5" w:rsidRPr="00E407E9" w:rsidTr="00F74504">
        <w:tc>
          <w:tcPr>
            <w:tcW w:w="5000" w:type="pct"/>
            <w:gridSpan w:val="4"/>
          </w:tcPr>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March 4, 2019</w:t>
            </w:r>
          </w:p>
          <w:p w:rsidR="009801A5" w:rsidRPr="00E407E9" w:rsidRDefault="009801A5" w:rsidP="00F74504">
            <w:pPr>
              <w:jc w:val="both"/>
              <w:rPr>
                <w:sz w:val="20"/>
                <w:szCs w:val="20"/>
              </w:rPr>
            </w:pPr>
            <w:r w:rsidRPr="00E407E9">
              <w:rPr>
                <w:sz w:val="20"/>
                <w:szCs w:val="20"/>
              </w:rPr>
              <w:t>Court of Queen’s Bench of Saskatchewan</w:t>
            </w:r>
          </w:p>
          <w:p w:rsidR="009801A5" w:rsidRPr="00E407E9" w:rsidRDefault="009801A5" w:rsidP="00F74504">
            <w:pPr>
              <w:jc w:val="both"/>
              <w:rPr>
                <w:sz w:val="20"/>
                <w:szCs w:val="20"/>
              </w:rPr>
            </w:pPr>
            <w:r w:rsidRPr="00E407E9">
              <w:rPr>
                <w:sz w:val="20"/>
                <w:szCs w:val="20"/>
              </w:rPr>
              <w:t>(Currie J.)</w:t>
            </w:r>
          </w:p>
          <w:p w:rsidR="009801A5" w:rsidRPr="00E407E9" w:rsidRDefault="00CE6E62" w:rsidP="00F74504">
            <w:pPr>
              <w:jc w:val="both"/>
              <w:rPr>
                <w:sz w:val="20"/>
                <w:szCs w:val="20"/>
              </w:rPr>
            </w:pPr>
            <w:hyperlink r:id="rId50" w:history="1">
              <w:r w:rsidR="009801A5" w:rsidRPr="00E407E9">
                <w:rPr>
                  <w:rStyle w:val="Hyperlink"/>
                  <w:sz w:val="20"/>
                  <w:szCs w:val="20"/>
                </w:rPr>
                <w:t>2019 SKQB 60</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a permanent stay of class action proceedings granted.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December 24, 2019</w:t>
            </w:r>
          </w:p>
          <w:p w:rsidR="009801A5" w:rsidRPr="00E407E9" w:rsidRDefault="009801A5" w:rsidP="00F74504">
            <w:pPr>
              <w:jc w:val="both"/>
              <w:rPr>
                <w:sz w:val="20"/>
                <w:szCs w:val="20"/>
              </w:rPr>
            </w:pPr>
            <w:r w:rsidRPr="00E407E9">
              <w:rPr>
                <w:sz w:val="20"/>
                <w:szCs w:val="20"/>
              </w:rPr>
              <w:t>Court of Appeal for Saskatchewan</w:t>
            </w:r>
          </w:p>
          <w:p w:rsidR="009801A5" w:rsidRPr="00E407E9" w:rsidRDefault="009801A5" w:rsidP="00F74504">
            <w:pPr>
              <w:jc w:val="both"/>
              <w:rPr>
                <w:sz w:val="20"/>
                <w:szCs w:val="20"/>
              </w:rPr>
            </w:pPr>
            <w:r w:rsidRPr="00E407E9">
              <w:rPr>
                <w:sz w:val="20"/>
                <w:szCs w:val="20"/>
              </w:rPr>
              <w:t>(Caldwell J.A.)</w:t>
            </w:r>
          </w:p>
          <w:p w:rsidR="009801A5" w:rsidRPr="00E407E9" w:rsidRDefault="00CE6E62" w:rsidP="00F74504">
            <w:pPr>
              <w:jc w:val="both"/>
              <w:rPr>
                <w:sz w:val="20"/>
                <w:szCs w:val="20"/>
                <w:lang w:val="en"/>
              </w:rPr>
            </w:pPr>
            <w:hyperlink r:id="rId51" w:history="1">
              <w:r w:rsidR="009801A5" w:rsidRPr="00E407E9">
                <w:rPr>
                  <w:rStyle w:val="Hyperlink"/>
                  <w:sz w:val="20"/>
                  <w:szCs w:val="20"/>
                </w:rPr>
                <w:t>2019 SKCA 142</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dismissed.</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March 6,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Motion for an extension of time to serve and file leave application and application for leave to appeal filed.</w:t>
            </w: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80"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39117</w:t>
            </w:r>
          </w:p>
        </w:tc>
        <w:tc>
          <w:tcPr>
            <w:tcW w:w="4457" w:type="pct"/>
            <w:gridSpan w:val="3"/>
          </w:tcPr>
          <w:p w:rsidR="009801A5" w:rsidRPr="00E407E9" w:rsidRDefault="009801A5" w:rsidP="00F74504">
            <w:pPr>
              <w:pStyle w:val="SCCLsocParty"/>
              <w:jc w:val="both"/>
              <w:rPr>
                <w:b/>
                <w:sz w:val="20"/>
                <w:szCs w:val="20"/>
              </w:rPr>
            </w:pPr>
            <w:r w:rsidRPr="00E407E9">
              <w:rPr>
                <w:b/>
                <w:sz w:val="20"/>
                <w:szCs w:val="20"/>
              </w:rPr>
              <w:t>Daniel Ammazzini</w:t>
            </w:r>
            <w:r w:rsidR="00F74504" w:rsidRPr="00E407E9">
              <w:rPr>
                <w:b/>
                <w:sz w:val="20"/>
                <w:szCs w:val="20"/>
              </w:rPr>
              <w:t xml:space="preserve"> et</w:t>
            </w:r>
            <w:r w:rsidRPr="00E407E9">
              <w:rPr>
                <w:b/>
                <w:sz w:val="20"/>
                <w:szCs w:val="20"/>
              </w:rPr>
              <w:t xml:space="preserve"> Olson Goldsmiths Inc. c. </w:t>
            </w:r>
            <w:r w:rsidR="00F74504" w:rsidRPr="00E407E9">
              <w:rPr>
                <w:b/>
                <w:sz w:val="20"/>
                <w:szCs w:val="20"/>
              </w:rPr>
              <w:t>Anglo American PLC, De Beers Canada Inc., De Beers S.A., De Beers Centenary A.G., De Beers Canada Holdings Inc., De Beers UK Limited et Kirk Brant</w:t>
            </w:r>
          </w:p>
          <w:p w:rsidR="009801A5" w:rsidRPr="00E407E9" w:rsidRDefault="009801A5" w:rsidP="00F74504">
            <w:pPr>
              <w:jc w:val="both"/>
              <w:rPr>
                <w:sz w:val="20"/>
                <w:szCs w:val="20"/>
                <w:lang w:val="fr-CA"/>
              </w:rPr>
            </w:pPr>
            <w:r w:rsidRPr="00E407E9">
              <w:rPr>
                <w:sz w:val="20"/>
                <w:szCs w:val="20"/>
                <w:lang w:val="fr-CA"/>
              </w:rPr>
              <w:t>(Sask.) (Civile) (Autorisation)</w:t>
            </w:r>
          </w:p>
        </w:tc>
      </w:tr>
      <w:tr w:rsidR="009801A5" w:rsidRPr="001A3EBC" w:rsidTr="00F74504">
        <w:tc>
          <w:tcPr>
            <w:tcW w:w="5000" w:type="pct"/>
            <w:gridSpan w:val="4"/>
          </w:tcPr>
          <w:p w:rsidR="009801A5" w:rsidRPr="00E407E9" w:rsidRDefault="00F74504" w:rsidP="00F74504">
            <w:pPr>
              <w:jc w:val="both"/>
              <w:rPr>
                <w:sz w:val="20"/>
                <w:szCs w:val="20"/>
                <w:lang w:val="fr-CA"/>
              </w:rPr>
            </w:pPr>
            <w:r w:rsidRPr="00E407E9">
              <w:rPr>
                <w:sz w:val="20"/>
                <w:szCs w:val="20"/>
                <w:lang w:val="fr-CA"/>
              </w:rPr>
              <w:t>La requête en prorogation du délai de signification et de dépôt de la demande d’autorisation d’appel est accueillie. La requête visant à signifier et déposer un mémoire modifié pour la demande d’autorisation d’appel est rejetée avec dépens. La demande d’autorisation d’appel de l’arrêt de la Cour d’appel de la Saskatchewan, numéro CACV3391, 2019 SKCA 142, daté du 24 décembre 2019, est rejetée avec dépens.</w:t>
            </w:r>
          </w:p>
          <w:p w:rsidR="00F74504" w:rsidRPr="00E407E9" w:rsidRDefault="00F74504" w:rsidP="00F74504">
            <w:pPr>
              <w:jc w:val="both"/>
              <w:rPr>
                <w:sz w:val="20"/>
                <w:szCs w:val="20"/>
                <w:lang w:val="fr-CA"/>
              </w:rPr>
            </w:pPr>
          </w:p>
        </w:tc>
      </w:tr>
      <w:tr w:rsidR="009801A5" w:rsidRPr="001A3EBC" w:rsidTr="00F74504">
        <w:tc>
          <w:tcPr>
            <w:tcW w:w="5000" w:type="pct"/>
            <w:gridSpan w:val="4"/>
          </w:tcPr>
          <w:p w:rsidR="009801A5" w:rsidRPr="00E407E9" w:rsidRDefault="009801A5" w:rsidP="00F74504">
            <w:pPr>
              <w:jc w:val="both"/>
              <w:rPr>
                <w:sz w:val="20"/>
                <w:szCs w:val="20"/>
                <w:lang w:val="fr-CA"/>
              </w:rPr>
            </w:pPr>
            <w:r w:rsidRPr="00E407E9">
              <w:rPr>
                <w:sz w:val="20"/>
                <w:szCs w:val="20"/>
                <w:lang w:val="fr-CA"/>
              </w:rPr>
              <w:t>Procédure civile — Recours collectifs — Appels — Jugements et ordonnances — Rejet de la demande d’autorisation d’appel à la Cour d’appel de la Saskatchewan — Quel niveau de rigueur s’attend</w:t>
            </w:r>
            <w:r w:rsidRPr="00E407E9">
              <w:rPr>
                <w:sz w:val="20"/>
                <w:szCs w:val="20"/>
                <w:lang w:val="fr-CA"/>
              </w:rPr>
              <w:noBreakHyphen/>
              <w:t>on à ce que les tribunaux appliquent à tout projet de convention de règlement et quels facteurs doivent ou devraient être pertinents dans la décision? — Lorsqu’une personne « se désengage » d’un recours collectif, quelles limites, s’il en existe, sont imposées aux droits de la personne de s’adresser aux tribunaux vis</w:t>
            </w:r>
            <w:r w:rsidRPr="00E407E9">
              <w:rPr>
                <w:sz w:val="20"/>
                <w:szCs w:val="20"/>
                <w:lang w:val="fr-CA"/>
              </w:rPr>
              <w:noBreakHyphen/>
              <w:t>à</w:t>
            </w:r>
            <w:r w:rsidRPr="00E407E9">
              <w:rPr>
                <w:sz w:val="20"/>
                <w:szCs w:val="20"/>
                <w:lang w:val="fr-CA"/>
              </w:rPr>
              <w:noBreakHyphen/>
              <w:t xml:space="preserve">vis des défendeurs dans le recours collectif? </w:t>
            </w:r>
          </w:p>
          <w:p w:rsidR="009801A5" w:rsidRPr="00E407E9" w:rsidRDefault="009801A5" w:rsidP="00F74504">
            <w:pPr>
              <w:jc w:val="both"/>
              <w:rPr>
                <w:sz w:val="20"/>
                <w:szCs w:val="20"/>
                <w:lang w:val="fr-CA"/>
              </w:rPr>
            </w:pPr>
          </w:p>
        </w:tc>
      </w:tr>
      <w:tr w:rsidR="009801A5" w:rsidRPr="001A3EBC" w:rsidTr="00F74504">
        <w:tc>
          <w:tcPr>
            <w:tcW w:w="5000" w:type="pct"/>
            <w:gridSpan w:val="4"/>
          </w:tcPr>
          <w:p w:rsidR="009801A5" w:rsidRPr="00E407E9" w:rsidRDefault="009801A5" w:rsidP="00F74504">
            <w:pPr>
              <w:jc w:val="both"/>
              <w:rPr>
                <w:sz w:val="20"/>
                <w:szCs w:val="20"/>
                <w:lang w:val="fr-CA"/>
              </w:rPr>
            </w:pPr>
            <w:r w:rsidRPr="00E407E9">
              <w:rPr>
                <w:sz w:val="20"/>
                <w:szCs w:val="20"/>
                <w:lang w:val="fr-CA"/>
              </w:rPr>
              <w:lastRenderedPageBreak/>
              <w:t>En 2011, les demandeurs ont présenté un projet de recours collectif relevant de plusieurs provinces en Saskatchewan, au titre de la</w:t>
            </w:r>
            <w:r w:rsidRPr="00E407E9">
              <w:rPr>
                <w:i/>
                <w:sz w:val="20"/>
                <w:szCs w:val="20"/>
                <w:lang w:val="fr-CA"/>
              </w:rPr>
              <w:t xml:space="preserve"> Loi sur les recours collectifs</w:t>
            </w:r>
            <w:r w:rsidRPr="00E407E9">
              <w:rPr>
                <w:sz w:val="20"/>
                <w:szCs w:val="20"/>
                <w:lang w:val="fr-CA"/>
              </w:rPr>
              <w:t>,</w:t>
            </w:r>
            <w:hyperlink r:id="rId52" w:history="1">
              <w:r w:rsidRPr="00E407E9">
                <w:rPr>
                  <w:rStyle w:val="Hyperlink"/>
                  <w:sz w:val="20"/>
                  <w:szCs w:val="20"/>
                  <w:lang w:val="fr-CA"/>
                </w:rPr>
                <w:t xml:space="preserve"> LS 2001, c C</w:t>
              </w:r>
              <w:r w:rsidRPr="00E407E9">
                <w:rPr>
                  <w:rStyle w:val="Hyperlink"/>
                  <w:sz w:val="20"/>
                  <w:szCs w:val="20"/>
                  <w:lang w:val="fr-CA"/>
                </w:rPr>
                <w:noBreakHyphen/>
                <w:t>12.01</w:t>
              </w:r>
            </w:hyperlink>
            <w:r w:rsidRPr="00E407E9">
              <w:rPr>
                <w:sz w:val="20"/>
                <w:szCs w:val="20"/>
                <w:lang w:val="fr-CA"/>
              </w:rPr>
              <w:t>, faisant valoir que les défendeurs avaient erronément limité l’approvisionnement mondial en diamants dans le but d’augmenter artificiellement les prix. Auparavant, une action soulevant des questions communes et semblables avait été intentée et certifiée en tant que recours collectif en Colombie</w:t>
            </w:r>
            <w:r w:rsidRPr="00E407E9">
              <w:rPr>
                <w:sz w:val="20"/>
                <w:szCs w:val="20"/>
                <w:lang w:val="fr-CA"/>
              </w:rPr>
              <w:noBreakHyphen/>
              <w:t xml:space="preserve">Britannique, et avait été certifiée aux fins de règlement par les tribunaux en Ontario et au Québec. À la demande des représentants des demandeurs dans les actions en Colombie-Britannique et en Ontario, une suspension conditionnelle de l’action en Saskatchewan a été accueillie dans la cause </w:t>
            </w:r>
            <w:hyperlink r:id="rId53" w:history="1">
              <w:r w:rsidRPr="00E407E9">
                <w:rPr>
                  <w:sz w:val="20"/>
                  <w:szCs w:val="20"/>
                  <w:lang w:val="fr-CA"/>
                </w:rPr>
                <w:t>2016 SKQB 53</w:t>
              </w:r>
            </w:hyperlink>
            <w:r w:rsidRPr="00E407E9">
              <w:rPr>
                <w:sz w:val="20"/>
                <w:szCs w:val="20"/>
                <w:lang w:val="fr-CA"/>
              </w:rPr>
              <w:t xml:space="preserve">, confirmée par </w:t>
            </w:r>
            <w:hyperlink r:id="rId54" w:history="1">
              <w:r w:rsidRPr="00E407E9">
                <w:rPr>
                  <w:sz w:val="20"/>
                  <w:szCs w:val="20"/>
                  <w:lang w:val="fr-CA"/>
                </w:rPr>
                <w:t>2016 SKCA 164</w:t>
              </w:r>
            </w:hyperlink>
            <w:r w:rsidRPr="00E407E9">
              <w:rPr>
                <w:sz w:val="20"/>
                <w:szCs w:val="20"/>
                <w:lang w:val="fr-CA"/>
              </w:rPr>
              <w:t>, dans l’attente de la décision concernant la certification de l’action en Ontario.</w:t>
            </w:r>
          </w:p>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Une convention de règlement a depuis été conclue par les demandeurs dans les actions en Ontario, en Colombie</w:t>
            </w:r>
            <w:r w:rsidRPr="00E407E9">
              <w:rPr>
                <w:sz w:val="20"/>
                <w:szCs w:val="20"/>
                <w:lang w:val="fr-CA"/>
              </w:rPr>
              <w:noBreakHyphen/>
              <w:t>Britannique et au Québec selon laquelle les défendeurs devaient payer 9 400 000 $ au groupe, c’est</w:t>
            </w:r>
            <w:r w:rsidRPr="00E407E9">
              <w:rPr>
                <w:sz w:val="20"/>
                <w:szCs w:val="20"/>
                <w:lang w:val="fr-CA"/>
              </w:rPr>
              <w:noBreakHyphen/>
              <w:t>à</w:t>
            </w:r>
            <w:r w:rsidRPr="00E407E9">
              <w:rPr>
                <w:sz w:val="20"/>
                <w:szCs w:val="20"/>
                <w:lang w:val="fr-CA"/>
              </w:rPr>
              <w:noBreakHyphen/>
              <w:t>dire toutes les personnes qui ont acheté au Canada des bijoux classifiés comme des diamants du 1</w:t>
            </w:r>
            <w:r w:rsidRPr="00E407E9">
              <w:rPr>
                <w:sz w:val="20"/>
                <w:szCs w:val="20"/>
                <w:vertAlign w:val="superscript"/>
                <w:lang w:val="fr-CA"/>
              </w:rPr>
              <w:t>er</w:t>
            </w:r>
            <w:r w:rsidRPr="00E407E9">
              <w:rPr>
                <w:sz w:val="20"/>
                <w:szCs w:val="20"/>
                <w:lang w:val="fr-CA"/>
              </w:rPr>
              <w:t xml:space="preserve"> janvier 1994 au 14 octobre 2016. La convention de règlement exigeait le rejet de ces trois recours collectifs et le rejet ou la suspension définitive de l’action en Saskatchewan. La convention de règlement a été approuvée par les tribunaux en Ontario, en Colombie</w:t>
            </w:r>
            <w:r w:rsidRPr="00E407E9">
              <w:rPr>
                <w:sz w:val="20"/>
                <w:szCs w:val="20"/>
                <w:lang w:val="fr-CA"/>
              </w:rPr>
              <w:noBreakHyphen/>
              <w:t xml:space="preserve">Britannique et au Québec. La Cour du banc de la Reine de la Saskatchewan a accueilli la demande des défendeurs en vue de la suspension définitive de l’action en Saskatchewan, et un juge de la Cour d’appel de la Saskatchewan a rejeté la demande d’autorisation d’interjeter appel de cette décision. Les demandeurs sollicitent l’autorisation d’interjeter appel de ces décisions, faisant valoir que la convention de règlement est injuste et que les décisions mettent en péril les droits de s’adresser aux tribunaux pour les personnes qui se désengagent du recours collectif. </w:t>
            </w:r>
          </w:p>
        </w:tc>
      </w:tr>
      <w:tr w:rsidR="009801A5" w:rsidRPr="001A3EBC" w:rsidTr="00F74504">
        <w:tc>
          <w:tcPr>
            <w:tcW w:w="5000" w:type="pct"/>
            <w:gridSpan w:val="4"/>
          </w:tcPr>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4 mars 2019</w:t>
            </w:r>
          </w:p>
          <w:p w:rsidR="009801A5" w:rsidRPr="00E407E9" w:rsidRDefault="009801A5" w:rsidP="00F74504">
            <w:pPr>
              <w:jc w:val="both"/>
              <w:rPr>
                <w:sz w:val="20"/>
                <w:szCs w:val="20"/>
                <w:lang w:val="fr-CA"/>
              </w:rPr>
            </w:pPr>
            <w:r w:rsidRPr="00E407E9">
              <w:rPr>
                <w:sz w:val="20"/>
                <w:szCs w:val="20"/>
                <w:lang w:val="fr-CA"/>
              </w:rPr>
              <w:t>Cour du banc de la Reine de la Saskatchewan</w:t>
            </w:r>
          </w:p>
          <w:p w:rsidR="009801A5" w:rsidRPr="00E407E9" w:rsidRDefault="009801A5" w:rsidP="00F74504">
            <w:pPr>
              <w:jc w:val="both"/>
              <w:rPr>
                <w:sz w:val="20"/>
                <w:szCs w:val="20"/>
                <w:lang w:val="fr-CA"/>
              </w:rPr>
            </w:pPr>
            <w:r w:rsidRPr="00E407E9">
              <w:rPr>
                <w:sz w:val="20"/>
                <w:szCs w:val="20"/>
                <w:lang w:val="fr-CA"/>
              </w:rPr>
              <w:t>(juge Currie)</w:t>
            </w:r>
          </w:p>
          <w:p w:rsidR="009801A5" w:rsidRPr="00E407E9" w:rsidRDefault="00CE6E62" w:rsidP="00F74504">
            <w:pPr>
              <w:jc w:val="both"/>
              <w:rPr>
                <w:sz w:val="20"/>
                <w:szCs w:val="20"/>
                <w:lang w:val="fr-CA"/>
              </w:rPr>
            </w:pPr>
            <w:hyperlink r:id="rId55" w:history="1">
              <w:r w:rsidR="009801A5" w:rsidRPr="00E407E9">
                <w:rPr>
                  <w:rStyle w:val="Hyperlink"/>
                  <w:sz w:val="20"/>
                  <w:szCs w:val="20"/>
                  <w:lang w:val="fr-CA"/>
                </w:rPr>
                <w:t>2019 SKQB 60</w:t>
              </w:r>
            </w:hyperlink>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Demande de suspension définitive du recours collectif accueillie.</w:t>
            </w:r>
          </w:p>
          <w:p w:rsidR="009801A5" w:rsidRPr="00E407E9" w:rsidRDefault="009801A5" w:rsidP="00F74504">
            <w:pPr>
              <w:jc w:val="both"/>
              <w:rPr>
                <w:sz w:val="20"/>
                <w:szCs w:val="20"/>
                <w:lang w:val="fr-CA"/>
              </w:rPr>
            </w:pPr>
          </w:p>
        </w:tc>
      </w:tr>
      <w:tr w:rsidR="009801A5" w:rsidRPr="00E407E9"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24 décembre 2019</w:t>
            </w:r>
          </w:p>
          <w:p w:rsidR="009801A5" w:rsidRPr="00E407E9" w:rsidRDefault="009801A5" w:rsidP="00F74504">
            <w:pPr>
              <w:jc w:val="both"/>
              <w:rPr>
                <w:sz w:val="20"/>
                <w:szCs w:val="20"/>
                <w:lang w:val="fr-CA"/>
              </w:rPr>
            </w:pPr>
            <w:r w:rsidRPr="00E407E9">
              <w:rPr>
                <w:sz w:val="20"/>
                <w:szCs w:val="20"/>
                <w:lang w:val="fr-CA"/>
              </w:rPr>
              <w:t>Cour d’appel de la Saskatchewan</w:t>
            </w:r>
          </w:p>
          <w:p w:rsidR="009801A5" w:rsidRPr="00E407E9" w:rsidRDefault="009801A5" w:rsidP="00F74504">
            <w:pPr>
              <w:jc w:val="both"/>
              <w:rPr>
                <w:sz w:val="20"/>
                <w:szCs w:val="20"/>
                <w:lang w:val="fr-CA"/>
              </w:rPr>
            </w:pPr>
            <w:r w:rsidRPr="00E407E9">
              <w:rPr>
                <w:sz w:val="20"/>
                <w:szCs w:val="20"/>
                <w:lang w:val="fr-CA"/>
              </w:rPr>
              <w:t>(juge Caldwell)</w:t>
            </w:r>
          </w:p>
          <w:p w:rsidR="009801A5" w:rsidRPr="00E407E9" w:rsidRDefault="00CE6E62" w:rsidP="00F74504">
            <w:pPr>
              <w:jc w:val="both"/>
              <w:rPr>
                <w:sz w:val="20"/>
                <w:szCs w:val="20"/>
                <w:lang w:val="fr-CA"/>
              </w:rPr>
            </w:pPr>
            <w:hyperlink r:id="rId56" w:history="1">
              <w:r w:rsidR="009801A5" w:rsidRPr="00E407E9">
                <w:rPr>
                  <w:rStyle w:val="Hyperlink"/>
                  <w:sz w:val="20"/>
                  <w:szCs w:val="20"/>
                  <w:lang w:val="fr-CA"/>
                </w:rPr>
                <w:t>2019 SKCA 142</w:t>
              </w:r>
            </w:hyperlink>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Demande d’autorisation d’appel rejetée.</w:t>
            </w:r>
          </w:p>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6 mars 2020</w:t>
            </w:r>
          </w:p>
          <w:p w:rsidR="009801A5" w:rsidRPr="00E407E9" w:rsidRDefault="009801A5" w:rsidP="00F74504">
            <w:pPr>
              <w:jc w:val="both"/>
              <w:rPr>
                <w:sz w:val="20"/>
                <w:szCs w:val="20"/>
                <w:lang w:val="fr-CA"/>
              </w:rPr>
            </w:pPr>
            <w:r w:rsidRPr="00E407E9">
              <w:rPr>
                <w:sz w:val="20"/>
                <w:szCs w:val="20"/>
                <w:lang w:val="fr-CA"/>
              </w:rPr>
              <w:t>Cour suprême du Canada</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Requête en vue de la prorogation du délai pour servir et déposer une demande d’autorisation d’appel et demande d’autorisation d’appel déposées.</w:t>
            </w:r>
          </w:p>
        </w:tc>
      </w:tr>
    </w:tbl>
    <w:p w:rsidR="009801A5" w:rsidRPr="00E407E9" w:rsidRDefault="009801A5" w:rsidP="009801A5">
      <w:pPr>
        <w:jc w:val="both"/>
        <w:rPr>
          <w:sz w:val="20"/>
          <w:lang w:val="fr-CA"/>
        </w:rPr>
      </w:pPr>
    </w:p>
    <w:p w:rsidR="009801A5" w:rsidRPr="00E407E9" w:rsidRDefault="00CE6E62" w:rsidP="009801A5">
      <w:pPr>
        <w:jc w:val="both"/>
        <w:rPr>
          <w:sz w:val="20"/>
          <w:szCs w:val="20"/>
          <w:lang w:val="fr-CA"/>
        </w:rPr>
      </w:pPr>
      <w:r>
        <w:rPr>
          <w:sz w:val="20"/>
        </w:rPr>
        <w:pict>
          <v:rect id="_x0000_i1081"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39332</w:t>
            </w:r>
          </w:p>
        </w:tc>
        <w:tc>
          <w:tcPr>
            <w:tcW w:w="4457" w:type="pct"/>
          </w:tcPr>
          <w:p w:rsidR="009801A5" w:rsidRPr="00E407E9" w:rsidRDefault="009801A5" w:rsidP="00F74504">
            <w:pPr>
              <w:pStyle w:val="SCCLsocParty"/>
              <w:jc w:val="both"/>
              <w:rPr>
                <w:b/>
                <w:sz w:val="20"/>
                <w:szCs w:val="20"/>
                <w:lang w:val="en-US"/>
              </w:rPr>
            </w:pPr>
            <w:r w:rsidRPr="00E407E9">
              <w:rPr>
                <w:b/>
                <w:sz w:val="20"/>
                <w:szCs w:val="20"/>
                <w:lang w:val="en-US"/>
              </w:rPr>
              <w:t>Zacky Deleon, Jaime Restrepo</w:t>
            </w:r>
            <w:r w:rsidR="00F74504" w:rsidRPr="00E407E9">
              <w:rPr>
                <w:b/>
                <w:sz w:val="20"/>
                <w:szCs w:val="20"/>
                <w:lang w:val="en-US"/>
              </w:rPr>
              <w:t xml:space="preserve"> and</w:t>
            </w:r>
            <w:r w:rsidRPr="00E407E9">
              <w:rPr>
                <w:b/>
                <w:sz w:val="20"/>
                <w:szCs w:val="20"/>
                <w:lang w:val="en-US"/>
              </w:rPr>
              <w:t xml:space="preserve"> Michael Dwight Allen v. Her Majesty the Queen</w:t>
            </w:r>
          </w:p>
          <w:p w:rsidR="009801A5" w:rsidRPr="00E407E9" w:rsidRDefault="009801A5" w:rsidP="00F74504">
            <w:pPr>
              <w:jc w:val="both"/>
              <w:rPr>
                <w:sz w:val="20"/>
                <w:szCs w:val="20"/>
              </w:rPr>
            </w:pPr>
            <w:r w:rsidRPr="00E407E9">
              <w:rPr>
                <w:sz w:val="20"/>
                <w:szCs w:val="20"/>
              </w:rPr>
              <w:t>(Ont.) (Criminal) (By Leave)</w:t>
            </w:r>
          </w:p>
        </w:tc>
      </w:tr>
      <w:tr w:rsidR="009801A5" w:rsidRPr="00E407E9" w:rsidTr="00F74504">
        <w:tc>
          <w:tcPr>
            <w:tcW w:w="5000" w:type="pct"/>
            <w:gridSpan w:val="2"/>
          </w:tcPr>
          <w:p w:rsidR="00F74504" w:rsidRPr="00E407E9" w:rsidRDefault="00F74504" w:rsidP="00F74504">
            <w:pPr>
              <w:jc w:val="both"/>
              <w:rPr>
                <w:sz w:val="20"/>
                <w:szCs w:val="20"/>
              </w:rPr>
            </w:pPr>
            <w:r w:rsidRPr="00E407E9">
              <w:rPr>
                <w:sz w:val="20"/>
                <w:szCs w:val="20"/>
              </w:rPr>
              <w:t>The motion for an extension of time to serve and file the application for leave to appeal is dismissed. In any event, had the motion for an extension of time been granted, the application for leave to appeal from the judgment of the Court of Appeal for Ontario, Numbers M47018, M47019 and M47020, 2018 ONCA 498, dated May 31, 2018, would have been dismissed.</w:t>
            </w:r>
          </w:p>
          <w:p w:rsidR="009801A5" w:rsidRPr="00E407E9" w:rsidRDefault="009801A5" w:rsidP="00F74504">
            <w:pPr>
              <w:jc w:val="both"/>
              <w:rPr>
                <w:sz w:val="20"/>
                <w:szCs w:val="20"/>
              </w:rPr>
            </w:pPr>
          </w:p>
        </w:tc>
      </w:tr>
    </w:tbl>
    <w:p w:rsidR="00886B54" w:rsidRPr="00E407E9" w:rsidRDefault="00886B54">
      <w:r w:rsidRPr="00E407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E407E9" w:rsidTr="00F74504">
        <w:tc>
          <w:tcPr>
            <w:tcW w:w="5000" w:type="pct"/>
            <w:gridSpan w:val="3"/>
          </w:tcPr>
          <w:p w:rsidR="009801A5" w:rsidRPr="00E407E9" w:rsidRDefault="009801A5" w:rsidP="00F74504">
            <w:pPr>
              <w:jc w:val="both"/>
              <w:rPr>
                <w:sz w:val="20"/>
                <w:szCs w:val="20"/>
              </w:rPr>
            </w:pPr>
            <w:r w:rsidRPr="00E407E9">
              <w:rPr>
                <w:sz w:val="20"/>
                <w:szCs w:val="20"/>
              </w:rPr>
              <w:lastRenderedPageBreak/>
              <w:t>Criminal law — Evidence — Whether the Court of Appeal erred in dismissing the applicants’ application to admit a witness’ affidavit as fresh evidence on appeal.</w:t>
            </w:r>
          </w:p>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The Applicants Allen, Deleon and Restrepo were convicted of first degree murder in July 2008 for the execution</w:t>
            </w:r>
            <w:r w:rsidRPr="00E407E9">
              <w:rPr>
                <w:sz w:val="20"/>
                <w:szCs w:val="20"/>
              </w:rPr>
              <w:noBreakHyphen/>
              <w:t xml:space="preserve">style shooting of Mauricio Castro that took place in July 2005. Mr. Restrepo was the leader of a Toronto drug distribution network that owed approximately $1 million to Castro. The Crown had argued that Mr. Restrepo arranged the murder to extinguish the debt and to steal cocaine belonging to Mr. Castro, that Mr. Allen was the actual killer and that Mr. Deleon was deeply involved in the enterprise both before and after the killing took place. In his address to the jury, the trial judge issued a strong </w:t>
            </w:r>
            <w:r w:rsidRPr="00E407E9">
              <w:rPr>
                <w:i/>
                <w:sz w:val="20"/>
                <w:szCs w:val="20"/>
              </w:rPr>
              <w:t xml:space="preserve">Vetrovec </w:t>
            </w:r>
            <w:r w:rsidRPr="00E407E9">
              <w:rPr>
                <w:sz w:val="20"/>
                <w:szCs w:val="20"/>
              </w:rPr>
              <w:t>warning for one of the witnesses, a milder warning for another and declined to warn the jury about a third witness, K. The applicants’ appeals were dismissed on November 30, 2011. Subsequently, K swore an affidavit asserting that his evidence at trial was false. On August 12, 2015, the applicants sought leave to appeal the decision of the Court of Appeal, a motion to extend time and they also sought to have K’s affidavit admitted as fresh evidence. On February 16, 2016, the case was remanded to the Court of Appeal to determine the admissibility of the fresh evidence. The remainder of the application for leave to appeal was held in abeyance pending a determination of the fresh evidence application. On May 31, 2018, the Court of Appeal dismissed the applicants’ motion to adduce fresh evidence and on September 4, 2018, the applicants’ motion to extend time to serve and file the application for leave to appeal from the November 30, 2011, decision of the Court of Appeal was dismissed without prejudice to the applicants’ right to serve and file an application for leave to appeal from the decision of the Court of Appeal dated May 31, 2018.</w:t>
            </w:r>
          </w:p>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July 10, 2008</w:t>
            </w:r>
          </w:p>
          <w:p w:rsidR="009801A5" w:rsidRPr="00E407E9" w:rsidRDefault="009801A5" w:rsidP="00F74504">
            <w:pPr>
              <w:jc w:val="both"/>
              <w:rPr>
                <w:sz w:val="20"/>
                <w:szCs w:val="20"/>
              </w:rPr>
            </w:pPr>
            <w:r w:rsidRPr="00E407E9">
              <w:rPr>
                <w:sz w:val="20"/>
                <w:szCs w:val="20"/>
              </w:rPr>
              <w:t>Ontario Superior Court of Justice</w:t>
            </w:r>
          </w:p>
          <w:p w:rsidR="009801A5" w:rsidRPr="00E407E9" w:rsidRDefault="009801A5" w:rsidP="00F74504">
            <w:pPr>
              <w:jc w:val="both"/>
              <w:rPr>
                <w:sz w:val="20"/>
                <w:szCs w:val="20"/>
              </w:rPr>
            </w:pPr>
            <w:r w:rsidRPr="00E407E9">
              <w:rPr>
                <w:sz w:val="20"/>
                <w:szCs w:val="20"/>
              </w:rPr>
              <w:t>(Thomas J.)</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Applicants convicted of first degree murder</w:t>
            </w:r>
          </w:p>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November 30, 2011</w:t>
            </w:r>
          </w:p>
          <w:p w:rsidR="009801A5" w:rsidRPr="00E407E9" w:rsidRDefault="009801A5" w:rsidP="00F74504">
            <w:pPr>
              <w:jc w:val="both"/>
              <w:rPr>
                <w:sz w:val="20"/>
                <w:szCs w:val="20"/>
              </w:rPr>
            </w:pPr>
            <w:r w:rsidRPr="00E407E9">
              <w:rPr>
                <w:sz w:val="20"/>
                <w:szCs w:val="20"/>
              </w:rPr>
              <w:t>Court of Appeal for Ontario</w:t>
            </w:r>
          </w:p>
          <w:p w:rsidR="009801A5" w:rsidRPr="00E407E9" w:rsidRDefault="009801A5" w:rsidP="00F74504">
            <w:pPr>
              <w:jc w:val="both"/>
              <w:rPr>
                <w:sz w:val="20"/>
                <w:szCs w:val="20"/>
              </w:rPr>
            </w:pPr>
            <w:r w:rsidRPr="00E407E9">
              <w:rPr>
                <w:sz w:val="20"/>
                <w:szCs w:val="20"/>
              </w:rPr>
              <w:t>(MacPherson, Blair and Epstein JJ.A.)</w:t>
            </w:r>
          </w:p>
          <w:p w:rsidR="009801A5" w:rsidRPr="00E407E9" w:rsidRDefault="00CE6E62" w:rsidP="00F74504">
            <w:pPr>
              <w:jc w:val="both"/>
              <w:rPr>
                <w:sz w:val="20"/>
                <w:szCs w:val="20"/>
              </w:rPr>
            </w:pPr>
            <w:hyperlink r:id="rId57" w:history="1">
              <w:r w:rsidR="009801A5" w:rsidRPr="00E407E9">
                <w:rPr>
                  <w:rStyle w:val="Hyperlink"/>
                  <w:sz w:val="20"/>
                  <w:szCs w:val="20"/>
                </w:rPr>
                <w:t>2011 ONCA 752</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Appeals dismissed</w:t>
            </w:r>
          </w:p>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May 31, 2018</w:t>
            </w:r>
          </w:p>
          <w:p w:rsidR="009801A5" w:rsidRPr="00E407E9" w:rsidRDefault="009801A5" w:rsidP="00F74504">
            <w:pPr>
              <w:jc w:val="both"/>
              <w:rPr>
                <w:sz w:val="20"/>
                <w:szCs w:val="20"/>
              </w:rPr>
            </w:pPr>
            <w:r w:rsidRPr="00E407E9">
              <w:rPr>
                <w:sz w:val="20"/>
                <w:szCs w:val="20"/>
              </w:rPr>
              <w:t>Court of Appeal for Ontario</w:t>
            </w:r>
          </w:p>
          <w:p w:rsidR="009801A5" w:rsidRPr="00E407E9" w:rsidRDefault="009801A5" w:rsidP="00F74504">
            <w:pPr>
              <w:jc w:val="both"/>
              <w:rPr>
                <w:sz w:val="20"/>
                <w:szCs w:val="20"/>
              </w:rPr>
            </w:pPr>
            <w:r w:rsidRPr="00E407E9">
              <w:rPr>
                <w:sz w:val="20"/>
                <w:szCs w:val="20"/>
              </w:rPr>
              <w:t>(Watt, Hourigan and Miller JJ.A.)</w:t>
            </w:r>
          </w:p>
          <w:p w:rsidR="009801A5" w:rsidRPr="00E407E9" w:rsidRDefault="00CE6E62" w:rsidP="00F74504">
            <w:pPr>
              <w:jc w:val="both"/>
              <w:rPr>
                <w:sz w:val="20"/>
                <w:szCs w:val="20"/>
              </w:rPr>
            </w:pPr>
            <w:hyperlink r:id="rId58" w:history="1">
              <w:r w:rsidR="009801A5" w:rsidRPr="00E407E9">
                <w:rPr>
                  <w:rStyle w:val="Hyperlink"/>
                  <w:sz w:val="20"/>
                  <w:szCs w:val="20"/>
                </w:rPr>
                <w:t>2018 ONCA 498</w:t>
              </w:r>
            </w:hyperlink>
            <w:r w:rsidR="009801A5" w:rsidRPr="00E407E9">
              <w:rPr>
                <w:sz w:val="20"/>
                <w:szCs w:val="20"/>
              </w:rPr>
              <w:t>; M47018, M47019, M47020</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Applicants’ application to introduce proposed fresh evidence dismissed; dismissal of appeals confirmed</w:t>
            </w:r>
          </w:p>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September 21,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Motion for extension of time and Application for leave to appeal filed</w:t>
            </w: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82"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39332</w:t>
            </w:r>
          </w:p>
        </w:tc>
        <w:tc>
          <w:tcPr>
            <w:tcW w:w="4457" w:type="pct"/>
          </w:tcPr>
          <w:p w:rsidR="009801A5" w:rsidRPr="00E407E9" w:rsidRDefault="009801A5" w:rsidP="00F74504">
            <w:pPr>
              <w:pStyle w:val="SCCLsocParty"/>
              <w:jc w:val="both"/>
              <w:rPr>
                <w:b/>
                <w:sz w:val="20"/>
                <w:szCs w:val="20"/>
              </w:rPr>
            </w:pPr>
            <w:r w:rsidRPr="00E407E9">
              <w:rPr>
                <w:b/>
                <w:sz w:val="20"/>
                <w:szCs w:val="20"/>
              </w:rPr>
              <w:t>Zacky Deleon, Jaime Restrepo</w:t>
            </w:r>
            <w:r w:rsidR="00F74504" w:rsidRPr="00E407E9">
              <w:rPr>
                <w:b/>
                <w:sz w:val="20"/>
                <w:szCs w:val="20"/>
              </w:rPr>
              <w:t xml:space="preserve"> et</w:t>
            </w:r>
            <w:r w:rsidRPr="00E407E9">
              <w:rPr>
                <w:b/>
                <w:sz w:val="20"/>
                <w:szCs w:val="20"/>
              </w:rPr>
              <w:t xml:space="preserve"> Michael Dwight Allen c. Sa Majesté la Reine</w:t>
            </w:r>
          </w:p>
          <w:p w:rsidR="009801A5" w:rsidRPr="00E407E9" w:rsidRDefault="009801A5" w:rsidP="00F74504">
            <w:pPr>
              <w:jc w:val="both"/>
              <w:rPr>
                <w:sz w:val="20"/>
                <w:szCs w:val="20"/>
              </w:rPr>
            </w:pPr>
            <w:r w:rsidRPr="00E407E9">
              <w:rPr>
                <w:sz w:val="20"/>
                <w:szCs w:val="20"/>
              </w:rPr>
              <w:t>(Ont.) (Criminelle) (Autorisation)</w:t>
            </w:r>
          </w:p>
        </w:tc>
      </w:tr>
      <w:tr w:rsidR="009801A5" w:rsidRPr="001A3EBC" w:rsidTr="00F74504">
        <w:tc>
          <w:tcPr>
            <w:tcW w:w="5000" w:type="pct"/>
            <w:gridSpan w:val="2"/>
          </w:tcPr>
          <w:p w:rsidR="009801A5" w:rsidRPr="00E407E9" w:rsidRDefault="00F74504" w:rsidP="00F74504">
            <w:pPr>
              <w:jc w:val="both"/>
              <w:rPr>
                <w:sz w:val="20"/>
                <w:szCs w:val="20"/>
                <w:lang w:val="fr-CA"/>
              </w:rPr>
            </w:pPr>
            <w:r w:rsidRPr="00E407E9">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numéros  M47018, M47019 et M47020, 2018 ONCA 498, daté du 31 mai 2018, aurait été rejetée.</w:t>
            </w:r>
          </w:p>
          <w:p w:rsidR="00F74504" w:rsidRPr="00E407E9" w:rsidRDefault="00F74504" w:rsidP="00F74504">
            <w:pPr>
              <w:jc w:val="both"/>
              <w:rPr>
                <w:sz w:val="20"/>
                <w:szCs w:val="20"/>
                <w:lang w:val="fr-CA"/>
              </w:rPr>
            </w:pPr>
          </w:p>
        </w:tc>
      </w:tr>
    </w:tbl>
    <w:p w:rsidR="00886B54" w:rsidRPr="00E407E9" w:rsidRDefault="00886B54">
      <w:pPr>
        <w:rPr>
          <w:lang w:val="fr-CA"/>
        </w:rPr>
      </w:pPr>
      <w:r w:rsidRPr="00E407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1A3EBC" w:rsidTr="00F74504">
        <w:tc>
          <w:tcPr>
            <w:tcW w:w="5000" w:type="pct"/>
            <w:gridSpan w:val="3"/>
          </w:tcPr>
          <w:p w:rsidR="009801A5" w:rsidRPr="00E407E9" w:rsidRDefault="009801A5" w:rsidP="00F74504">
            <w:pPr>
              <w:jc w:val="both"/>
              <w:rPr>
                <w:sz w:val="20"/>
                <w:szCs w:val="20"/>
                <w:lang w:val="fr-CA"/>
              </w:rPr>
            </w:pPr>
            <w:r w:rsidRPr="00E407E9">
              <w:rPr>
                <w:sz w:val="20"/>
                <w:szCs w:val="20"/>
                <w:lang w:val="fr-CA"/>
              </w:rPr>
              <w:lastRenderedPageBreak/>
              <w:t>Droit criminel — Preuve — La Cour d’appel a</w:t>
            </w:r>
            <w:r w:rsidRPr="00E407E9">
              <w:rPr>
                <w:sz w:val="20"/>
                <w:szCs w:val="20"/>
                <w:lang w:val="fr-CA"/>
              </w:rPr>
              <w:noBreakHyphen/>
              <w:t>t</w:t>
            </w:r>
            <w:r w:rsidRPr="00E407E9">
              <w:rPr>
                <w:sz w:val="20"/>
                <w:szCs w:val="20"/>
                <w:lang w:val="fr-CA"/>
              </w:rPr>
              <w:noBreakHyphen/>
              <w:t xml:space="preserve">elle commis une erreur en rejetant la demande des demandeurs d’accepter l’affidavit d’un témoin comme nouvel élément de preuve en appel? </w:t>
            </w:r>
          </w:p>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 xml:space="preserve">Les demandeurs, Allen, Deleon et Restrepo ont été déclarés coupables en juillet 2008 du meurtre au premier degré sous forme de fusillade de style d’exécution de Mauricio Castro, qui a eu lieu en juillet 2005. M. Restrepo était le chef d’un réseau torontois de distribution de drogues qui devait environ un million de dollars à Castro. La Couronne a soutenu que M. Restrepo a commandité le meurtre pour éteindre la dette et voler la cocaïne appartenant à M. Castro, que M. Allen était le véritable meurtrier, et que M. Deleon avait activement participé à l’entreprise avant et après le meurtre. Dans son exposé au jury, le juge de première instance a donné une solide mise en garde de type </w:t>
            </w:r>
            <w:r w:rsidRPr="00E407E9">
              <w:rPr>
                <w:i/>
                <w:sz w:val="20"/>
                <w:szCs w:val="20"/>
                <w:lang w:val="fr-CA"/>
              </w:rPr>
              <w:t>Vetrovec</w:t>
            </w:r>
            <w:r w:rsidRPr="00E407E9">
              <w:rPr>
                <w:sz w:val="20"/>
                <w:szCs w:val="20"/>
                <w:lang w:val="fr-CA"/>
              </w:rPr>
              <w:t xml:space="preserve"> concernant l’un des témoins, une moindre mise en garde concernant un autre témoin et s’est abstenu de mettre en garde le jury au sujet de K, un troisième témoin. Le 30 novembre 2011, les appels interjetés par les demandeurs ont été rejetés. Subséquemment, K a souscrit un affidavit affirmant que lors du procès son témoignage était faux. Le 12 août 2015, les demandeurs ont sollicité : l’autorisation d’interjeter appel de l’arrêt de la Cour d’appel, une requête en prorogation de délai, et ils ont aussi demandé que l’affidavit de K soit admis à titre de nouvel élément de preuve. Le 16 février 2016, la cause a été renvoyée à la Cour d’appel pour que celle</w:t>
            </w:r>
            <w:r w:rsidRPr="00E407E9">
              <w:rPr>
                <w:sz w:val="20"/>
                <w:szCs w:val="20"/>
                <w:lang w:val="fr-CA"/>
              </w:rPr>
              <w:noBreakHyphen/>
              <w:t>ci détermine l’admissibilité du nouvel élément de preuve. Le reste de la demande d’autorisation d’appel a été suspendu dans l’attente d’une décision concernant la demande relative au nouvel élément de preuve. Le 31 mai 2018, la Cour d’appel a rejeté la requête des demandeurs visant à produire en nouvel élément de preuve et, le 4 septembre 2018, la requête en prorogation de délai des demandeurs pour signifier et déposer la demande d’autorisation d’appel de l’arrêt de la Cour d’appel du 30 novembre 2011 a été rejetée sous réserve du droit des demandeurs de signifier et déposer une demande d’autorisation d’appel de l’arrêt de la Cour d’appel du 31 mai 2018.</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10 juillet 2008</w:t>
            </w:r>
          </w:p>
          <w:p w:rsidR="009801A5" w:rsidRPr="00E407E9" w:rsidRDefault="009801A5" w:rsidP="00F74504">
            <w:pPr>
              <w:jc w:val="both"/>
              <w:rPr>
                <w:sz w:val="20"/>
                <w:szCs w:val="20"/>
                <w:lang w:val="fr-CA"/>
              </w:rPr>
            </w:pPr>
            <w:r w:rsidRPr="00E407E9">
              <w:rPr>
                <w:sz w:val="20"/>
                <w:szCs w:val="20"/>
                <w:lang w:val="fr-CA"/>
              </w:rPr>
              <w:t xml:space="preserve">Cour supérieure de justice de l’Ontario </w:t>
            </w:r>
          </w:p>
          <w:p w:rsidR="009801A5" w:rsidRPr="00E407E9" w:rsidRDefault="009801A5" w:rsidP="00F74504">
            <w:pPr>
              <w:jc w:val="both"/>
              <w:rPr>
                <w:sz w:val="20"/>
                <w:szCs w:val="20"/>
              </w:rPr>
            </w:pPr>
            <w:r w:rsidRPr="00E407E9">
              <w:rPr>
                <w:sz w:val="20"/>
                <w:szCs w:val="20"/>
              </w:rPr>
              <w:t>(juge Thomas)</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Demandeurs déclarés coupables de meurtre au premier degré</w:t>
            </w:r>
          </w:p>
          <w:p w:rsidR="009801A5" w:rsidRPr="00E407E9" w:rsidRDefault="009801A5" w:rsidP="00F74504">
            <w:pPr>
              <w:jc w:val="both"/>
              <w:rPr>
                <w:sz w:val="20"/>
                <w:szCs w:val="20"/>
                <w:lang w:val="fr-CA"/>
              </w:rPr>
            </w:pPr>
          </w:p>
        </w:tc>
      </w:tr>
      <w:tr w:rsidR="009801A5" w:rsidRPr="00E407E9" w:rsidTr="00F74504">
        <w:tc>
          <w:tcPr>
            <w:tcW w:w="2427" w:type="pct"/>
          </w:tcPr>
          <w:p w:rsidR="009801A5" w:rsidRPr="00E407E9" w:rsidRDefault="009801A5" w:rsidP="00F74504">
            <w:pPr>
              <w:jc w:val="both"/>
              <w:rPr>
                <w:sz w:val="20"/>
                <w:szCs w:val="20"/>
                <w:lang w:val="fr-CA"/>
              </w:rPr>
            </w:pPr>
            <w:r w:rsidRPr="00E407E9">
              <w:rPr>
                <w:sz w:val="20"/>
                <w:szCs w:val="20"/>
                <w:lang w:val="fr-CA"/>
              </w:rPr>
              <w:t>30 novembre 2011</w:t>
            </w:r>
          </w:p>
          <w:p w:rsidR="009801A5" w:rsidRPr="00E407E9" w:rsidRDefault="009801A5" w:rsidP="00F74504">
            <w:pPr>
              <w:jc w:val="both"/>
              <w:rPr>
                <w:sz w:val="20"/>
                <w:szCs w:val="20"/>
                <w:lang w:val="fr-CA"/>
              </w:rPr>
            </w:pPr>
            <w:r w:rsidRPr="00E407E9">
              <w:rPr>
                <w:sz w:val="20"/>
                <w:szCs w:val="20"/>
                <w:lang w:val="fr-CA"/>
              </w:rPr>
              <w:t xml:space="preserve">Cour d’appel de l’Ontario </w:t>
            </w:r>
          </w:p>
          <w:p w:rsidR="009801A5" w:rsidRPr="00E407E9" w:rsidRDefault="009801A5" w:rsidP="00F74504">
            <w:pPr>
              <w:jc w:val="both"/>
              <w:rPr>
                <w:sz w:val="20"/>
                <w:szCs w:val="20"/>
                <w:lang w:val="fr-CA"/>
              </w:rPr>
            </w:pPr>
            <w:r w:rsidRPr="00E407E9">
              <w:rPr>
                <w:sz w:val="20"/>
                <w:szCs w:val="20"/>
                <w:lang w:val="fr-CA"/>
              </w:rPr>
              <w:t>(juges MacPherson, Blair et Epstein)</w:t>
            </w:r>
          </w:p>
          <w:p w:rsidR="009801A5" w:rsidRPr="00E407E9" w:rsidRDefault="00CE6E62" w:rsidP="00F74504">
            <w:pPr>
              <w:jc w:val="both"/>
              <w:rPr>
                <w:sz w:val="20"/>
                <w:szCs w:val="20"/>
              </w:rPr>
            </w:pPr>
            <w:hyperlink r:id="rId59" w:history="1">
              <w:r w:rsidR="009801A5" w:rsidRPr="00E407E9">
                <w:rPr>
                  <w:rStyle w:val="Hyperlink"/>
                  <w:sz w:val="20"/>
                  <w:szCs w:val="20"/>
                </w:rPr>
                <w:t>2011 ONCA 752</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Rejet des appels</w:t>
            </w:r>
          </w:p>
          <w:p w:rsidR="009801A5" w:rsidRPr="00E407E9" w:rsidRDefault="009801A5" w:rsidP="00F74504">
            <w:pPr>
              <w:jc w:val="both"/>
              <w:rPr>
                <w:sz w:val="20"/>
                <w:szCs w:val="20"/>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31 mai 2018</w:t>
            </w:r>
          </w:p>
          <w:p w:rsidR="009801A5" w:rsidRPr="00E407E9" w:rsidRDefault="009801A5" w:rsidP="00F74504">
            <w:pPr>
              <w:jc w:val="both"/>
              <w:rPr>
                <w:sz w:val="20"/>
                <w:szCs w:val="20"/>
                <w:lang w:val="fr-CA"/>
              </w:rPr>
            </w:pPr>
            <w:r w:rsidRPr="00E407E9">
              <w:rPr>
                <w:sz w:val="20"/>
                <w:szCs w:val="20"/>
                <w:lang w:val="fr-CA"/>
              </w:rPr>
              <w:t xml:space="preserve">Cour d’appel de l’Ontario </w:t>
            </w:r>
          </w:p>
          <w:p w:rsidR="009801A5" w:rsidRPr="00E407E9" w:rsidRDefault="009801A5" w:rsidP="00F74504">
            <w:pPr>
              <w:jc w:val="both"/>
              <w:rPr>
                <w:sz w:val="20"/>
                <w:szCs w:val="20"/>
                <w:lang w:val="fr-CA"/>
              </w:rPr>
            </w:pPr>
            <w:r w:rsidRPr="00E407E9">
              <w:rPr>
                <w:sz w:val="20"/>
                <w:szCs w:val="20"/>
                <w:lang w:val="fr-CA"/>
              </w:rPr>
              <w:t>(juges Watt, Hourigan et Miller)</w:t>
            </w:r>
          </w:p>
          <w:p w:rsidR="009801A5" w:rsidRPr="00E407E9" w:rsidRDefault="00CE6E62" w:rsidP="00F74504">
            <w:pPr>
              <w:jc w:val="both"/>
              <w:rPr>
                <w:sz w:val="20"/>
                <w:szCs w:val="20"/>
              </w:rPr>
            </w:pPr>
            <w:hyperlink r:id="rId60" w:history="1">
              <w:r w:rsidR="009801A5" w:rsidRPr="00E407E9">
                <w:rPr>
                  <w:rStyle w:val="Hyperlink"/>
                  <w:sz w:val="20"/>
                  <w:szCs w:val="20"/>
                </w:rPr>
                <w:t>2018 ONCA 498</w:t>
              </w:r>
            </w:hyperlink>
            <w:r w:rsidR="009801A5" w:rsidRPr="00E407E9">
              <w:rPr>
                <w:sz w:val="20"/>
                <w:szCs w:val="20"/>
              </w:rPr>
              <w:t>; M47018, M47019, M47020</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Rejet de la demande des demandeurs pour la production d’un nouvel élément de preuve; rejet des appels confirmé </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21 septembre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Dépôt de la requête en vue de la prorogation de délai et de la demande d’autorisation d’appel </w:t>
            </w:r>
          </w:p>
        </w:tc>
      </w:tr>
    </w:tbl>
    <w:p w:rsidR="009801A5" w:rsidRPr="00E407E9" w:rsidRDefault="009801A5" w:rsidP="009801A5">
      <w:pPr>
        <w:jc w:val="both"/>
        <w:rPr>
          <w:sz w:val="20"/>
          <w:szCs w:val="20"/>
          <w:lang w:val="fr-CA"/>
        </w:rPr>
      </w:pPr>
    </w:p>
    <w:p w:rsidR="009801A5" w:rsidRPr="00E407E9" w:rsidRDefault="00CE6E62" w:rsidP="009801A5">
      <w:pPr>
        <w:widowControl w:val="0"/>
        <w:jc w:val="both"/>
        <w:rPr>
          <w:sz w:val="20"/>
          <w:lang w:val="fr-CA"/>
        </w:rPr>
      </w:pPr>
      <w:r>
        <w:rPr>
          <w:sz w:val="20"/>
        </w:rPr>
        <w:pict>
          <v:rect id="_x0000_i1083"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39282</w:t>
            </w:r>
          </w:p>
        </w:tc>
        <w:tc>
          <w:tcPr>
            <w:tcW w:w="4457" w:type="pct"/>
            <w:gridSpan w:val="3"/>
          </w:tcPr>
          <w:p w:rsidR="009801A5" w:rsidRPr="00E407E9" w:rsidRDefault="009801A5" w:rsidP="00F74504">
            <w:pPr>
              <w:pStyle w:val="SCCLsocParty"/>
              <w:jc w:val="both"/>
              <w:rPr>
                <w:b/>
                <w:sz w:val="20"/>
                <w:szCs w:val="20"/>
                <w:lang w:val="en-US"/>
              </w:rPr>
            </w:pPr>
            <w:r w:rsidRPr="00E407E9">
              <w:rPr>
                <w:b/>
                <w:sz w:val="20"/>
                <w:szCs w:val="20"/>
                <w:lang w:val="en-US"/>
              </w:rPr>
              <w:t>Gary Gautam dba Cambie General Store, Festival Cinemas Ltd., 568028 B.C. Ltd. dba Thai Away Home</w:t>
            </w:r>
            <w:r w:rsidR="00012EEA" w:rsidRPr="00E407E9">
              <w:rPr>
                <w:b/>
                <w:sz w:val="20"/>
                <w:szCs w:val="20"/>
                <w:lang w:val="en-US"/>
              </w:rPr>
              <w:t xml:space="preserve"> and</w:t>
            </w:r>
            <w:r w:rsidRPr="00E407E9">
              <w:rPr>
                <w:b/>
                <w:sz w:val="20"/>
                <w:szCs w:val="20"/>
                <w:lang w:val="en-US"/>
              </w:rPr>
              <w:t xml:space="preserve"> Dale Dubberley v. South Coast British Columbia Transportation Authority</w:t>
            </w:r>
          </w:p>
          <w:p w:rsidR="009801A5" w:rsidRPr="00E407E9" w:rsidRDefault="009801A5" w:rsidP="00F74504">
            <w:pPr>
              <w:jc w:val="both"/>
              <w:rPr>
                <w:sz w:val="20"/>
                <w:szCs w:val="20"/>
              </w:rPr>
            </w:pPr>
            <w:r w:rsidRPr="00E407E9">
              <w:rPr>
                <w:sz w:val="20"/>
                <w:szCs w:val="20"/>
              </w:rPr>
              <w:t>(B.C.) (Civil) (By Leave)</w:t>
            </w:r>
          </w:p>
        </w:tc>
      </w:tr>
      <w:tr w:rsidR="009801A5" w:rsidRPr="00E407E9" w:rsidTr="00F74504">
        <w:tc>
          <w:tcPr>
            <w:tcW w:w="5000" w:type="pct"/>
            <w:gridSpan w:val="4"/>
          </w:tcPr>
          <w:p w:rsidR="00012EEA" w:rsidRPr="00E407E9" w:rsidRDefault="00012EEA" w:rsidP="00012EEA">
            <w:pPr>
              <w:jc w:val="both"/>
              <w:rPr>
                <w:sz w:val="20"/>
                <w:szCs w:val="20"/>
              </w:rPr>
            </w:pPr>
            <w:r w:rsidRPr="00E407E9">
              <w:rPr>
                <w:sz w:val="20"/>
                <w:szCs w:val="20"/>
              </w:rPr>
              <w:t>The application for leave to appeal from the judgment of the Court of Appeal for British Columbia (Vancouver), Number CA45628, 2020 BCCA 135, dated May 13, 2020, is dismissed without costs.</w:t>
            </w:r>
          </w:p>
          <w:p w:rsidR="009801A5" w:rsidRPr="00E407E9" w:rsidRDefault="009801A5" w:rsidP="00F74504">
            <w:pPr>
              <w:jc w:val="both"/>
              <w:rPr>
                <w:sz w:val="20"/>
                <w:szCs w:val="20"/>
              </w:rPr>
            </w:pPr>
          </w:p>
        </w:tc>
      </w:tr>
      <w:tr w:rsidR="009801A5" w:rsidRPr="00E407E9" w:rsidTr="00F74504">
        <w:tc>
          <w:tcPr>
            <w:tcW w:w="5000" w:type="pct"/>
            <w:gridSpan w:val="4"/>
          </w:tcPr>
          <w:p w:rsidR="009801A5" w:rsidRPr="00E407E9" w:rsidRDefault="009801A5" w:rsidP="00F74504">
            <w:pPr>
              <w:jc w:val="both"/>
              <w:rPr>
                <w:sz w:val="20"/>
                <w:szCs w:val="20"/>
              </w:rPr>
            </w:pPr>
            <w:r w:rsidRPr="00E407E9">
              <w:rPr>
                <w:sz w:val="20"/>
                <w:szCs w:val="20"/>
              </w:rPr>
              <w:t>Expropriation — Limitation of actions — Injurious affection — Whether the limitation provision in Canadian expropriation legislation require that the claim for injurious affection be made before construction of the public works has completed — What knowledge of the impact of construction of the public work is the owner of an impacted property interest required to have in order to trigger the one year limitation period — Who has the burden of proof concerning the knowledge necessary to trigger the limitation period under Canadian expropriation legislation?</w:t>
            </w:r>
          </w:p>
        </w:tc>
      </w:tr>
      <w:tr w:rsidR="009801A5" w:rsidRPr="00E407E9" w:rsidTr="00F74504">
        <w:tc>
          <w:tcPr>
            <w:tcW w:w="5000" w:type="pct"/>
            <w:gridSpan w:val="4"/>
          </w:tcPr>
          <w:p w:rsidR="009801A5" w:rsidRPr="00E407E9" w:rsidRDefault="009801A5" w:rsidP="00F74504">
            <w:pPr>
              <w:jc w:val="both"/>
              <w:rPr>
                <w:sz w:val="20"/>
                <w:szCs w:val="20"/>
              </w:rPr>
            </w:pPr>
          </w:p>
          <w:p w:rsidR="009801A5" w:rsidRPr="00E407E9" w:rsidRDefault="009801A5" w:rsidP="00F74504">
            <w:pPr>
              <w:jc w:val="both"/>
              <w:rPr>
                <w:sz w:val="20"/>
                <w:szCs w:val="20"/>
              </w:rPr>
            </w:pPr>
            <w:r w:rsidRPr="00E407E9">
              <w:rPr>
                <w:sz w:val="20"/>
                <w:szCs w:val="20"/>
              </w:rPr>
              <w:t xml:space="preserve">South Coast British Columbia Transportation Authority (TransLink) began construction on the Canada Line rapid transit in Vancouver, BC in the fall of 2005. A portion of the construction passed through Cambie street, disrupting businesses there. On November 10, 2008 Gary Gautam (Cambie General Store) started an action under the </w:t>
            </w:r>
            <w:r w:rsidRPr="00E407E9">
              <w:rPr>
                <w:i/>
                <w:sz w:val="20"/>
                <w:szCs w:val="20"/>
              </w:rPr>
              <w:t>Class Proceedings Act</w:t>
            </w:r>
            <w:r w:rsidRPr="00E407E9">
              <w:rPr>
                <w:sz w:val="20"/>
                <w:szCs w:val="20"/>
              </w:rPr>
              <w:t>, RSBC 1996 c. 50, seeking damages for nuisance caused by the construction. The action was certified as a class proceeding and common issues were established in 2015. The action proceeded to a summary trial against TransLink, the only named defendant with expropriating powers. The trial judge awarded compensation to the applicants for injurious affection. However, a majority of the Court of Appeal for British Columbia ordered a new trial for two of the applicants, due to the trial judge’s incorrect interpretation of the limitation period, analysis of unreasonable interference, and improper assessment of damages. A dissenting judge at the Court of Appeal would have ordered a new trial on the limitation period and not altered the trial judge’s assessment of damages.</w:t>
            </w:r>
          </w:p>
        </w:tc>
      </w:tr>
      <w:tr w:rsidR="009801A5" w:rsidRPr="00E407E9" w:rsidTr="00F74504">
        <w:tc>
          <w:tcPr>
            <w:tcW w:w="5000" w:type="pct"/>
            <w:gridSpan w:val="4"/>
          </w:tcPr>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September 4, 2018</w:t>
            </w:r>
          </w:p>
          <w:p w:rsidR="009801A5" w:rsidRPr="00E407E9" w:rsidRDefault="009801A5" w:rsidP="00F74504">
            <w:pPr>
              <w:jc w:val="both"/>
              <w:rPr>
                <w:sz w:val="20"/>
                <w:szCs w:val="20"/>
              </w:rPr>
            </w:pPr>
            <w:r w:rsidRPr="00E407E9">
              <w:rPr>
                <w:sz w:val="20"/>
                <w:szCs w:val="20"/>
              </w:rPr>
              <w:t>Supreme Court of British Columbia</w:t>
            </w:r>
          </w:p>
          <w:p w:rsidR="009801A5" w:rsidRPr="00E407E9" w:rsidRDefault="009801A5" w:rsidP="00F74504">
            <w:pPr>
              <w:jc w:val="both"/>
              <w:rPr>
                <w:sz w:val="20"/>
                <w:szCs w:val="20"/>
              </w:rPr>
            </w:pPr>
            <w:r w:rsidRPr="00E407E9">
              <w:rPr>
                <w:sz w:val="20"/>
                <w:szCs w:val="20"/>
              </w:rPr>
              <w:t>(Grauer J.)</w:t>
            </w:r>
          </w:p>
          <w:p w:rsidR="009801A5" w:rsidRPr="00E407E9" w:rsidRDefault="00CE6E62" w:rsidP="00F74504">
            <w:pPr>
              <w:jc w:val="both"/>
              <w:rPr>
                <w:sz w:val="20"/>
                <w:szCs w:val="20"/>
              </w:rPr>
            </w:pPr>
            <w:hyperlink r:id="rId61" w:history="1">
              <w:r w:rsidR="009801A5" w:rsidRPr="00E407E9">
                <w:rPr>
                  <w:rStyle w:val="Hyperlink"/>
                  <w:sz w:val="20"/>
                  <w:szCs w:val="20"/>
                </w:rPr>
                <w:t>2018 BCSC 1515</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Claims for injurious affection affirmed; No claims barred by limitation periods.</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May 13, 2020</w:t>
            </w:r>
          </w:p>
          <w:p w:rsidR="009801A5" w:rsidRPr="00E407E9" w:rsidRDefault="009801A5" w:rsidP="00F74504">
            <w:pPr>
              <w:jc w:val="both"/>
              <w:rPr>
                <w:sz w:val="20"/>
                <w:szCs w:val="20"/>
              </w:rPr>
            </w:pPr>
            <w:r w:rsidRPr="00E407E9">
              <w:rPr>
                <w:sz w:val="20"/>
                <w:szCs w:val="20"/>
              </w:rPr>
              <w:t xml:space="preserve">Court of Appeal for British Columbia </w:t>
            </w:r>
          </w:p>
          <w:p w:rsidR="009801A5" w:rsidRPr="00E407E9" w:rsidRDefault="009801A5" w:rsidP="00F74504">
            <w:pPr>
              <w:jc w:val="both"/>
              <w:rPr>
                <w:sz w:val="20"/>
                <w:szCs w:val="20"/>
              </w:rPr>
            </w:pPr>
            <w:r w:rsidRPr="00E407E9">
              <w:rPr>
                <w:sz w:val="20"/>
                <w:szCs w:val="20"/>
              </w:rPr>
              <w:t>(Vancouver)</w:t>
            </w:r>
          </w:p>
          <w:p w:rsidR="009801A5" w:rsidRPr="00E407E9" w:rsidRDefault="009801A5" w:rsidP="00F74504">
            <w:pPr>
              <w:jc w:val="both"/>
              <w:rPr>
                <w:sz w:val="20"/>
                <w:szCs w:val="20"/>
              </w:rPr>
            </w:pPr>
            <w:r w:rsidRPr="00E407E9">
              <w:rPr>
                <w:sz w:val="20"/>
                <w:szCs w:val="20"/>
              </w:rPr>
              <w:t>(Groberman and Stromberg</w:t>
            </w:r>
            <w:r w:rsidRPr="00E407E9">
              <w:rPr>
                <w:sz w:val="20"/>
                <w:szCs w:val="20"/>
              </w:rPr>
              <w:noBreakHyphen/>
              <w:t xml:space="preserve">Stein JJ.A.; </w:t>
            </w:r>
          </w:p>
          <w:p w:rsidR="009801A5" w:rsidRPr="00E407E9" w:rsidRDefault="009801A5" w:rsidP="00F74504">
            <w:pPr>
              <w:jc w:val="both"/>
              <w:rPr>
                <w:sz w:val="20"/>
                <w:szCs w:val="20"/>
              </w:rPr>
            </w:pPr>
            <w:r w:rsidRPr="00E407E9">
              <w:rPr>
                <w:sz w:val="20"/>
                <w:szCs w:val="20"/>
              </w:rPr>
              <w:t>Griffin J.A. dissenting)</w:t>
            </w:r>
          </w:p>
          <w:p w:rsidR="009801A5" w:rsidRPr="00E407E9" w:rsidRDefault="00CE6E62" w:rsidP="00F74504">
            <w:pPr>
              <w:jc w:val="both"/>
              <w:rPr>
                <w:sz w:val="20"/>
                <w:szCs w:val="20"/>
              </w:rPr>
            </w:pPr>
            <w:hyperlink r:id="rId62" w:history="1">
              <w:r w:rsidR="009801A5" w:rsidRPr="00E407E9">
                <w:rPr>
                  <w:rStyle w:val="Hyperlink"/>
                  <w:sz w:val="20"/>
                  <w:szCs w:val="20"/>
                </w:rPr>
                <w:t>2020 BCCA 135</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Appeal allowed; Cambie General Store’s claim dismissed; New trial ordered for Festival Cinemas and Thai Away Home.</w:t>
            </w:r>
          </w:p>
          <w:p w:rsidR="009801A5" w:rsidRPr="00E407E9" w:rsidRDefault="009801A5" w:rsidP="00F74504">
            <w:pPr>
              <w:jc w:val="both"/>
              <w:rPr>
                <w:sz w:val="20"/>
                <w:szCs w:val="20"/>
              </w:rPr>
            </w:pPr>
          </w:p>
        </w:tc>
      </w:tr>
      <w:tr w:rsidR="009801A5" w:rsidRPr="00E407E9" w:rsidTr="00F74504">
        <w:tc>
          <w:tcPr>
            <w:tcW w:w="2427" w:type="pct"/>
            <w:gridSpan w:val="2"/>
          </w:tcPr>
          <w:p w:rsidR="009801A5" w:rsidRPr="00E407E9" w:rsidRDefault="009801A5" w:rsidP="00F74504">
            <w:pPr>
              <w:jc w:val="both"/>
              <w:rPr>
                <w:sz w:val="20"/>
                <w:szCs w:val="20"/>
              </w:rPr>
            </w:pPr>
            <w:r w:rsidRPr="00E407E9">
              <w:rPr>
                <w:sz w:val="20"/>
                <w:szCs w:val="20"/>
              </w:rPr>
              <w:t>August 11,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filed</w:t>
            </w:r>
          </w:p>
          <w:p w:rsidR="009801A5" w:rsidRPr="00E407E9" w:rsidRDefault="009801A5" w:rsidP="00F74504">
            <w:pPr>
              <w:jc w:val="both"/>
              <w:rPr>
                <w:sz w:val="20"/>
                <w:szCs w:val="20"/>
              </w:rPr>
            </w:pP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84"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39282</w:t>
            </w:r>
          </w:p>
        </w:tc>
        <w:tc>
          <w:tcPr>
            <w:tcW w:w="4457" w:type="pct"/>
          </w:tcPr>
          <w:p w:rsidR="009801A5" w:rsidRPr="00E407E9" w:rsidRDefault="009801A5" w:rsidP="00F74504">
            <w:pPr>
              <w:pStyle w:val="SCCLsocParty"/>
              <w:jc w:val="both"/>
              <w:rPr>
                <w:b/>
                <w:sz w:val="20"/>
                <w:szCs w:val="20"/>
                <w:lang w:val="en-US"/>
              </w:rPr>
            </w:pPr>
            <w:r w:rsidRPr="00E407E9">
              <w:rPr>
                <w:b/>
                <w:sz w:val="20"/>
                <w:szCs w:val="20"/>
                <w:lang w:val="en-US"/>
              </w:rPr>
              <w:t>Gary Gautam dba Cambie General Store, Festival Cinemas Ltd., 568028 B.C. Ltd. dba Thai Away Home</w:t>
            </w:r>
            <w:r w:rsidR="00012EEA" w:rsidRPr="00E407E9">
              <w:rPr>
                <w:b/>
                <w:sz w:val="20"/>
                <w:szCs w:val="20"/>
                <w:lang w:val="en-US"/>
              </w:rPr>
              <w:t xml:space="preserve"> et</w:t>
            </w:r>
            <w:r w:rsidRPr="00E407E9">
              <w:rPr>
                <w:b/>
                <w:sz w:val="20"/>
                <w:szCs w:val="20"/>
                <w:lang w:val="en-US"/>
              </w:rPr>
              <w:t xml:space="preserve"> Dale Dubberley c. South Coast British Columbia Transportation Authority</w:t>
            </w:r>
          </w:p>
          <w:p w:rsidR="009801A5" w:rsidRPr="00E407E9" w:rsidRDefault="009801A5" w:rsidP="00F74504">
            <w:pPr>
              <w:jc w:val="both"/>
              <w:rPr>
                <w:sz w:val="20"/>
                <w:szCs w:val="20"/>
              </w:rPr>
            </w:pPr>
            <w:r w:rsidRPr="00E407E9">
              <w:rPr>
                <w:sz w:val="20"/>
                <w:szCs w:val="20"/>
              </w:rPr>
              <w:t>(C.</w:t>
            </w:r>
            <w:r w:rsidRPr="00E407E9">
              <w:rPr>
                <w:sz w:val="20"/>
                <w:szCs w:val="20"/>
              </w:rPr>
              <w:noBreakHyphen/>
              <w:t>B.) (Civile) (Autorisation)</w:t>
            </w:r>
          </w:p>
        </w:tc>
      </w:tr>
      <w:tr w:rsidR="009801A5" w:rsidRPr="001A3EBC" w:rsidTr="00F74504">
        <w:tc>
          <w:tcPr>
            <w:tcW w:w="5000" w:type="pct"/>
            <w:gridSpan w:val="2"/>
          </w:tcPr>
          <w:p w:rsidR="009801A5" w:rsidRPr="00E407E9" w:rsidRDefault="00012EEA" w:rsidP="00F74504">
            <w:pPr>
              <w:jc w:val="both"/>
              <w:rPr>
                <w:sz w:val="20"/>
                <w:szCs w:val="20"/>
                <w:lang w:val="fr-CA"/>
              </w:rPr>
            </w:pPr>
            <w:r w:rsidRPr="00E407E9">
              <w:rPr>
                <w:sz w:val="20"/>
                <w:szCs w:val="20"/>
                <w:lang w:val="fr-CA"/>
              </w:rPr>
              <w:t>La demande d’autorisation d’appel de l’arrêt de la Cour d’appel de la Colombie-Britannique (Vancouver), numéro CA45628,  2020 BCCA 135, daté du 13 mai 2020, est rejetée sans dépens.</w:t>
            </w:r>
          </w:p>
          <w:p w:rsidR="00012EEA" w:rsidRPr="00E407E9" w:rsidRDefault="00012EEA" w:rsidP="00F74504">
            <w:pPr>
              <w:jc w:val="both"/>
              <w:rPr>
                <w:sz w:val="20"/>
                <w:szCs w:val="20"/>
                <w:lang w:val="fr-CA"/>
              </w:rPr>
            </w:pPr>
          </w:p>
        </w:tc>
      </w:tr>
      <w:tr w:rsidR="009801A5" w:rsidRPr="001A3EBC" w:rsidTr="00F74504">
        <w:tc>
          <w:tcPr>
            <w:tcW w:w="5000" w:type="pct"/>
            <w:gridSpan w:val="2"/>
          </w:tcPr>
          <w:p w:rsidR="009801A5" w:rsidRPr="00E407E9" w:rsidRDefault="009801A5" w:rsidP="00F74504">
            <w:pPr>
              <w:jc w:val="both"/>
              <w:rPr>
                <w:sz w:val="20"/>
                <w:szCs w:val="20"/>
                <w:lang w:val="fr-CA"/>
              </w:rPr>
            </w:pPr>
            <w:r w:rsidRPr="00E407E9">
              <w:rPr>
                <w:sz w:val="20"/>
                <w:szCs w:val="20"/>
                <w:lang w:val="fr-CA"/>
              </w:rPr>
              <w:t>Expropriation — Prescription — Trouble de jouissance — La disposition relative au délai de prescription dans une loi canadienne sur l’expropriation exige</w:t>
            </w:r>
            <w:r w:rsidRPr="00E407E9">
              <w:rPr>
                <w:sz w:val="20"/>
                <w:szCs w:val="20"/>
                <w:lang w:val="fr-CA"/>
              </w:rPr>
              <w:noBreakHyphen/>
              <w:t>t</w:t>
            </w:r>
            <w:r w:rsidRPr="00E407E9">
              <w:rPr>
                <w:sz w:val="20"/>
                <w:szCs w:val="20"/>
                <w:lang w:val="fr-CA"/>
              </w:rPr>
              <w:noBreakHyphen/>
              <w:t>elle que l’action relative au trouble de jouissance soit présentée avant que la construction de l’ouvrage public ne soit complétée? — Quelle connaissance des répercussions de la construction de l’ouvrage public le propriétaire d’un immeuble touché doit</w:t>
            </w:r>
            <w:r w:rsidRPr="00E407E9">
              <w:rPr>
                <w:sz w:val="20"/>
                <w:szCs w:val="20"/>
                <w:lang w:val="fr-CA"/>
              </w:rPr>
              <w:noBreakHyphen/>
              <w:t>il avoir afin de déclencher le délai de prescription d’un an? — À qui incombe</w:t>
            </w:r>
            <w:r w:rsidRPr="00E407E9">
              <w:rPr>
                <w:sz w:val="20"/>
                <w:szCs w:val="20"/>
                <w:lang w:val="fr-CA"/>
              </w:rPr>
              <w:noBreakHyphen/>
              <w:t>t</w:t>
            </w:r>
            <w:r w:rsidRPr="00E407E9">
              <w:rPr>
                <w:sz w:val="20"/>
                <w:szCs w:val="20"/>
                <w:lang w:val="fr-CA"/>
              </w:rPr>
              <w:noBreakHyphen/>
              <w:t>il de prouver la connaissance nécessaire permettant de déclencher le délai de prescription au titre de la loi canadienne sur l’expropriation?</w:t>
            </w:r>
          </w:p>
          <w:p w:rsidR="00886B54" w:rsidRPr="00E407E9" w:rsidRDefault="00886B54" w:rsidP="00F74504">
            <w:pPr>
              <w:jc w:val="both"/>
              <w:rPr>
                <w:sz w:val="20"/>
                <w:szCs w:val="20"/>
                <w:lang w:val="fr-CA"/>
              </w:rPr>
            </w:pPr>
          </w:p>
        </w:tc>
      </w:tr>
    </w:tbl>
    <w:p w:rsidR="00886B54" w:rsidRPr="00E407E9" w:rsidRDefault="00886B54">
      <w:pPr>
        <w:rPr>
          <w:lang w:val="fr-CA"/>
        </w:rPr>
      </w:pPr>
      <w:r w:rsidRPr="00E407E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1A3EBC" w:rsidTr="00F74504">
        <w:tc>
          <w:tcPr>
            <w:tcW w:w="5000" w:type="pct"/>
            <w:gridSpan w:val="3"/>
          </w:tcPr>
          <w:p w:rsidR="009801A5" w:rsidRPr="00E407E9" w:rsidRDefault="009801A5" w:rsidP="00F74504">
            <w:pPr>
              <w:jc w:val="both"/>
              <w:rPr>
                <w:sz w:val="20"/>
                <w:szCs w:val="20"/>
                <w:lang w:val="fr-CA"/>
              </w:rPr>
            </w:pPr>
            <w:r w:rsidRPr="00E407E9">
              <w:rPr>
                <w:sz w:val="20"/>
                <w:szCs w:val="20"/>
                <w:lang w:val="fr-CA"/>
              </w:rPr>
              <w:lastRenderedPageBreak/>
              <w:t>South Coast British Columbia Transportation Authority (TransLink) a commencé la construction de la Canada Line rapid transit à Vancouver, en Colombie</w:t>
            </w:r>
            <w:r w:rsidRPr="00E407E9">
              <w:rPr>
                <w:sz w:val="20"/>
                <w:szCs w:val="20"/>
                <w:lang w:val="fr-CA"/>
              </w:rPr>
              <w:noBreakHyphen/>
              <w:t>Britannique, pendant l’automne 2005. Une partie des travaux de construction passait par la rue Cambie, causant des nuisances aux entreprises s’y trouvant. Le 10 novembre 2008, Gary Gautam (Cambie General Store) a intenté une action au titre de la</w:t>
            </w:r>
            <w:r w:rsidRPr="00E407E9">
              <w:rPr>
                <w:i/>
                <w:sz w:val="20"/>
                <w:szCs w:val="20"/>
                <w:lang w:val="fr-CA"/>
              </w:rPr>
              <w:t xml:space="preserve"> Class Proceedings Act</w:t>
            </w:r>
            <w:r w:rsidRPr="00E407E9">
              <w:rPr>
                <w:sz w:val="20"/>
                <w:szCs w:val="20"/>
                <w:lang w:val="fr-CA"/>
              </w:rPr>
              <w:t>, RSBC 1996 c. 50, sollicitant des dommages</w:t>
            </w:r>
            <w:r w:rsidRPr="00E407E9">
              <w:rPr>
                <w:sz w:val="20"/>
                <w:szCs w:val="20"/>
                <w:lang w:val="fr-CA"/>
              </w:rPr>
              <w:noBreakHyphen/>
              <w:t>intérêts pour les nuisances causées par les travaux de construction. L’action a été certifiée comme un recours collectif, et les questions communes ont été établies en 2015. L’action s’est poursuivie en une procédure de procès sommaire contre TransLink, le seul défendeur nommé ayant des pouvoirs d’expropriation. Le juge de première instance a accordé une réparation aux demandeurs pour le trouble de jouissance. Toutefois, les juges majoritaires de la Cour d’appel de la Colombie</w:t>
            </w:r>
            <w:r w:rsidRPr="00E407E9">
              <w:rPr>
                <w:sz w:val="20"/>
                <w:szCs w:val="20"/>
                <w:lang w:val="fr-CA"/>
              </w:rPr>
              <w:noBreakHyphen/>
              <w:t>Britannique ont ordonné un nouveau procès pour deux des demandeurs, au motif que le juge de première instance avait erronément interprété le délai de prescription, avait mené une analyse déraisonnable de l’entrave, et avait inadéquatement évalué les dommages</w:t>
            </w:r>
            <w:r w:rsidRPr="00E407E9">
              <w:rPr>
                <w:sz w:val="20"/>
                <w:szCs w:val="20"/>
                <w:lang w:val="fr-CA"/>
              </w:rPr>
              <w:noBreakHyphen/>
              <w:t>intérêts. Une juge dissidente de la Cour d’appel aurait ordonné un nouveau procès sur le délai de prescription et n’aurait pas modifié l’évaluation des dommages</w:t>
            </w:r>
            <w:r w:rsidRPr="00E407E9">
              <w:rPr>
                <w:sz w:val="20"/>
                <w:szCs w:val="20"/>
                <w:lang w:val="fr-CA"/>
              </w:rPr>
              <w:noBreakHyphen/>
              <w:t>intérêts faite par le juge de première instance.</w:t>
            </w:r>
          </w:p>
        </w:tc>
      </w:tr>
      <w:tr w:rsidR="009801A5" w:rsidRPr="001A3EBC" w:rsidTr="00F74504">
        <w:tc>
          <w:tcPr>
            <w:tcW w:w="5000" w:type="pct"/>
            <w:gridSpan w:val="3"/>
          </w:tcPr>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4 septembre 2018</w:t>
            </w:r>
          </w:p>
          <w:p w:rsidR="009801A5" w:rsidRPr="00E407E9" w:rsidRDefault="009801A5" w:rsidP="00F74504">
            <w:pPr>
              <w:jc w:val="both"/>
              <w:rPr>
                <w:sz w:val="20"/>
                <w:szCs w:val="20"/>
                <w:lang w:val="fr-CA"/>
              </w:rPr>
            </w:pPr>
            <w:r w:rsidRPr="00E407E9">
              <w:rPr>
                <w:sz w:val="20"/>
                <w:szCs w:val="20"/>
                <w:lang w:val="fr-CA"/>
              </w:rPr>
              <w:t>Cour suprême de la Colombie</w:t>
            </w:r>
            <w:r w:rsidRPr="00E407E9">
              <w:rPr>
                <w:sz w:val="20"/>
                <w:szCs w:val="20"/>
                <w:lang w:val="fr-CA"/>
              </w:rPr>
              <w:noBreakHyphen/>
              <w:t xml:space="preserve">Britannique </w:t>
            </w:r>
          </w:p>
          <w:p w:rsidR="009801A5" w:rsidRPr="00E407E9" w:rsidRDefault="009801A5" w:rsidP="00F74504">
            <w:pPr>
              <w:jc w:val="both"/>
              <w:rPr>
                <w:sz w:val="20"/>
                <w:szCs w:val="20"/>
              </w:rPr>
            </w:pPr>
            <w:r w:rsidRPr="00E407E9">
              <w:rPr>
                <w:sz w:val="20"/>
                <w:szCs w:val="20"/>
              </w:rPr>
              <w:t>(juge Grauer)</w:t>
            </w:r>
          </w:p>
          <w:p w:rsidR="009801A5" w:rsidRPr="00E407E9" w:rsidRDefault="00CE6E62" w:rsidP="00F74504">
            <w:pPr>
              <w:jc w:val="both"/>
              <w:rPr>
                <w:sz w:val="20"/>
                <w:szCs w:val="20"/>
              </w:rPr>
            </w:pPr>
            <w:hyperlink r:id="rId63" w:history="1">
              <w:r w:rsidR="009801A5" w:rsidRPr="00E407E9">
                <w:rPr>
                  <w:rStyle w:val="Hyperlink"/>
                  <w:sz w:val="20"/>
                  <w:szCs w:val="20"/>
                </w:rPr>
                <w:t>2018 BCSC 1515</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Actions en trouble de jouissance confirmées; aucune action n’est prescrite.</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13 mai 2020</w:t>
            </w:r>
          </w:p>
          <w:p w:rsidR="009801A5" w:rsidRPr="00E407E9" w:rsidRDefault="009801A5" w:rsidP="00F74504">
            <w:pPr>
              <w:jc w:val="both"/>
              <w:rPr>
                <w:sz w:val="20"/>
                <w:szCs w:val="20"/>
                <w:lang w:val="fr-CA"/>
              </w:rPr>
            </w:pPr>
            <w:r w:rsidRPr="00E407E9">
              <w:rPr>
                <w:sz w:val="20"/>
                <w:szCs w:val="20"/>
                <w:lang w:val="fr-CA"/>
              </w:rPr>
              <w:t>Cour d’appel de la Colombie</w:t>
            </w:r>
            <w:r w:rsidRPr="00E407E9">
              <w:rPr>
                <w:sz w:val="20"/>
                <w:szCs w:val="20"/>
                <w:lang w:val="fr-CA"/>
              </w:rPr>
              <w:noBreakHyphen/>
              <w:t xml:space="preserve">Britannique </w:t>
            </w:r>
          </w:p>
          <w:p w:rsidR="009801A5" w:rsidRPr="00E407E9" w:rsidRDefault="009801A5" w:rsidP="00F74504">
            <w:pPr>
              <w:jc w:val="both"/>
              <w:rPr>
                <w:sz w:val="20"/>
                <w:szCs w:val="20"/>
                <w:lang w:val="fr-CA"/>
              </w:rPr>
            </w:pPr>
            <w:r w:rsidRPr="00E407E9">
              <w:rPr>
                <w:sz w:val="20"/>
                <w:szCs w:val="20"/>
                <w:lang w:val="fr-CA"/>
              </w:rPr>
              <w:t>(Vancouver)</w:t>
            </w:r>
          </w:p>
          <w:p w:rsidR="009801A5" w:rsidRPr="00E407E9" w:rsidRDefault="009801A5" w:rsidP="00F74504">
            <w:pPr>
              <w:jc w:val="both"/>
              <w:rPr>
                <w:sz w:val="20"/>
                <w:szCs w:val="20"/>
                <w:lang w:val="fr-CA"/>
              </w:rPr>
            </w:pPr>
            <w:r w:rsidRPr="00E407E9">
              <w:rPr>
                <w:sz w:val="20"/>
                <w:szCs w:val="20"/>
                <w:lang w:val="fr-CA"/>
              </w:rPr>
              <w:t>(juges Groberman et Stromberg</w:t>
            </w:r>
            <w:r w:rsidRPr="00E407E9">
              <w:rPr>
                <w:sz w:val="20"/>
                <w:szCs w:val="20"/>
                <w:lang w:val="fr-CA"/>
              </w:rPr>
              <w:noBreakHyphen/>
              <w:t xml:space="preserve">Stein; </w:t>
            </w:r>
          </w:p>
          <w:p w:rsidR="009801A5" w:rsidRPr="00E407E9" w:rsidRDefault="009801A5" w:rsidP="00F74504">
            <w:pPr>
              <w:jc w:val="both"/>
              <w:rPr>
                <w:sz w:val="20"/>
                <w:szCs w:val="20"/>
              </w:rPr>
            </w:pPr>
            <w:r w:rsidRPr="00E407E9">
              <w:rPr>
                <w:sz w:val="20"/>
                <w:szCs w:val="20"/>
              </w:rPr>
              <w:t>Griffin, dissidente)</w:t>
            </w:r>
          </w:p>
          <w:p w:rsidR="009801A5" w:rsidRPr="00E407E9" w:rsidRDefault="00CE6E62" w:rsidP="00F74504">
            <w:pPr>
              <w:jc w:val="both"/>
              <w:rPr>
                <w:sz w:val="20"/>
                <w:szCs w:val="20"/>
              </w:rPr>
            </w:pPr>
            <w:hyperlink r:id="rId64" w:history="1">
              <w:r w:rsidR="009801A5" w:rsidRPr="00E407E9">
                <w:rPr>
                  <w:rStyle w:val="Hyperlink"/>
                  <w:sz w:val="20"/>
                  <w:szCs w:val="20"/>
                </w:rPr>
                <w:t>2020 BCCA 135</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lang w:val="fr-CA"/>
              </w:rPr>
            </w:pPr>
            <w:r w:rsidRPr="00E407E9">
              <w:rPr>
                <w:sz w:val="20"/>
                <w:szCs w:val="20"/>
                <w:lang w:val="fr-CA"/>
              </w:rPr>
              <w:t>Appel accueilli; rejet de l’action de Cambie General Store; ordonnance de tenue d’un nouveau procès pour Festival Cinemas et Thai Away Home.</w:t>
            </w:r>
          </w:p>
          <w:p w:rsidR="009801A5" w:rsidRPr="00E407E9" w:rsidRDefault="009801A5" w:rsidP="00F74504">
            <w:pPr>
              <w:jc w:val="both"/>
              <w:rPr>
                <w:sz w:val="20"/>
                <w:szCs w:val="20"/>
                <w:lang w:val="fr-CA"/>
              </w:rPr>
            </w:pPr>
          </w:p>
        </w:tc>
      </w:tr>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t>11 août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Dépôt de la demande d’autorisation d’appel.</w:t>
            </w:r>
          </w:p>
          <w:p w:rsidR="009801A5" w:rsidRPr="00E407E9" w:rsidRDefault="009801A5" w:rsidP="00F74504">
            <w:pPr>
              <w:jc w:val="both"/>
              <w:rPr>
                <w:sz w:val="20"/>
                <w:szCs w:val="20"/>
                <w:lang w:val="fr-CA"/>
              </w:rPr>
            </w:pPr>
          </w:p>
        </w:tc>
      </w:tr>
    </w:tbl>
    <w:p w:rsidR="009801A5" w:rsidRPr="00E407E9" w:rsidRDefault="009801A5" w:rsidP="009801A5">
      <w:pPr>
        <w:jc w:val="both"/>
        <w:rPr>
          <w:sz w:val="20"/>
          <w:lang w:val="fr-CA"/>
        </w:rPr>
      </w:pPr>
    </w:p>
    <w:p w:rsidR="009801A5" w:rsidRPr="00E407E9" w:rsidRDefault="00CE6E62" w:rsidP="009801A5">
      <w:pPr>
        <w:jc w:val="both"/>
        <w:rPr>
          <w:sz w:val="20"/>
          <w:szCs w:val="20"/>
          <w:lang w:val="fr-CA"/>
        </w:rPr>
      </w:pPr>
      <w:r>
        <w:rPr>
          <w:sz w:val="20"/>
        </w:rPr>
        <w:pict>
          <v:rect id="_x0000_i1085" style="width:2in;height:1pt" o:hrpct="0" o:hralign="center" o:hrstd="t" o:hrnoshade="t" o:hr="t" fillcolor="black [3213]" stroked="f"/>
        </w:pict>
      </w:r>
    </w:p>
    <w:p w:rsidR="009801A5" w:rsidRPr="00E407E9" w:rsidRDefault="009801A5" w:rsidP="009801A5">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801A5" w:rsidRPr="00E407E9" w:rsidTr="00F74504">
        <w:tc>
          <w:tcPr>
            <w:tcW w:w="543" w:type="pct"/>
          </w:tcPr>
          <w:p w:rsidR="009801A5" w:rsidRPr="00E407E9" w:rsidRDefault="009801A5" w:rsidP="00F74504">
            <w:pPr>
              <w:jc w:val="both"/>
              <w:rPr>
                <w:sz w:val="20"/>
                <w:szCs w:val="20"/>
              </w:rPr>
            </w:pPr>
            <w:r w:rsidRPr="00E407E9">
              <w:rPr>
                <w:rStyle w:val="SCCFileNumberChar"/>
                <w:sz w:val="20"/>
                <w:szCs w:val="20"/>
              </w:rPr>
              <w:t>39312</w:t>
            </w:r>
          </w:p>
        </w:tc>
        <w:tc>
          <w:tcPr>
            <w:tcW w:w="4457" w:type="pct"/>
          </w:tcPr>
          <w:p w:rsidR="009801A5" w:rsidRPr="00E407E9" w:rsidRDefault="009801A5" w:rsidP="00F74504">
            <w:pPr>
              <w:pStyle w:val="SCCLsocParty"/>
              <w:jc w:val="both"/>
              <w:rPr>
                <w:b/>
                <w:sz w:val="20"/>
                <w:szCs w:val="20"/>
                <w:lang w:val="en-US"/>
              </w:rPr>
            </w:pPr>
            <w:r w:rsidRPr="00E407E9">
              <w:rPr>
                <w:b/>
                <w:sz w:val="20"/>
                <w:szCs w:val="20"/>
                <w:lang w:val="en-US"/>
              </w:rPr>
              <w:t>Jaswant Singh Chahal v. Sarbjit Kaur Chahal aka Sarbjit Chahal</w:t>
            </w:r>
          </w:p>
          <w:p w:rsidR="009801A5" w:rsidRPr="00E407E9" w:rsidRDefault="009801A5" w:rsidP="00F74504">
            <w:pPr>
              <w:jc w:val="both"/>
              <w:rPr>
                <w:sz w:val="20"/>
                <w:szCs w:val="20"/>
              </w:rPr>
            </w:pPr>
            <w:r w:rsidRPr="00E407E9">
              <w:rPr>
                <w:sz w:val="20"/>
                <w:szCs w:val="20"/>
              </w:rPr>
              <w:t>(B.C.) (Civil) (By Leave)</w:t>
            </w:r>
          </w:p>
        </w:tc>
      </w:tr>
      <w:tr w:rsidR="009801A5" w:rsidRPr="00E407E9" w:rsidTr="00F74504">
        <w:tc>
          <w:tcPr>
            <w:tcW w:w="5000" w:type="pct"/>
            <w:gridSpan w:val="2"/>
          </w:tcPr>
          <w:p w:rsidR="00012EEA" w:rsidRPr="00E407E9" w:rsidRDefault="00012EEA" w:rsidP="00012EEA">
            <w:pPr>
              <w:jc w:val="both"/>
              <w:rPr>
                <w:sz w:val="20"/>
                <w:szCs w:val="20"/>
              </w:rPr>
            </w:pPr>
            <w:r w:rsidRPr="00E407E9">
              <w:rPr>
                <w:sz w:val="20"/>
                <w:szCs w:val="20"/>
              </w:rPr>
              <w:t>The application for leave to appeal from the judgment of the Court of Appeal for British Columbia (Vancouver), Number CA45444, 2020 BCCA 147, dated May 21, 2020, is dismissed with costs.</w:t>
            </w:r>
          </w:p>
          <w:p w:rsidR="009801A5" w:rsidRPr="00E407E9" w:rsidRDefault="009801A5" w:rsidP="00F74504">
            <w:pPr>
              <w:jc w:val="both"/>
              <w:rPr>
                <w:sz w:val="20"/>
                <w:szCs w:val="20"/>
              </w:rPr>
            </w:pPr>
          </w:p>
        </w:tc>
      </w:tr>
      <w:tr w:rsidR="009801A5" w:rsidRPr="00E407E9" w:rsidTr="00F74504">
        <w:tc>
          <w:tcPr>
            <w:tcW w:w="5000" w:type="pct"/>
            <w:gridSpan w:val="2"/>
          </w:tcPr>
          <w:p w:rsidR="009801A5" w:rsidRPr="00E407E9" w:rsidRDefault="009801A5" w:rsidP="00F74504">
            <w:pPr>
              <w:jc w:val="both"/>
              <w:rPr>
                <w:sz w:val="20"/>
                <w:szCs w:val="20"/>
              </w:rPr>
            </w:pPr>
            <w:r w:rsidRPr="00E407E9">
              <w:rPr>
                <w:sz w:val="20"/>
                <w:szCs w:val="20"/>
              </w:rPr>
              <w:t>Property — Trusts — Gifts — Presumption of resulting trust — Business assets — Beneficial ownership — Lower courts finding shares of business transferred to daughter</w:t>
            </w:r>
            <w:r w:rsidRPr="00E407E9">
              <w:rPr>
                <w:sz w:val="20"/>
                <w:szCs w:val="20"/>
              </w:rPr>
              <w:noBreakHyphen/>
              <w:t>in</w:t>
            </w:r>
            <w:r w:rsidRPr="00E407E9">
              <w:rPr>
                <w:sz w:val="20"/>
                <w:szCs w:val="20"/>
              </w:rPr>
              <w:noBreakHyphen/>
              <w:t>law were gifts — When there is gratuitous transfer and that transfer is being challenged, must trial judge apply presumption of resulting trust before embarking on weighing of evidence and does the onus matter — Whether Court of Appeal erred in finding resulting trust analysis was not warranted — What test is to be applied to make finding of gift — Whether finding of gift needs to be inconsistent with any other intention or purpose — Whether evidence of corroboration is required at common law.</w:t>
            </w:r>
          </w:p>
        </w:tc>
      </w:tr>
      <w:tr w:rsidR="009801A5" w:rsidRPr="00E407E9" w:rsidTr="00F74504">
        <w:tc>
          <w:tcPr>
            <w:tcW w:w="5000" w:type="pct"/>
            <w:gridSpan w:val="2"/>
          </w:tcPr>
          <w:p w:rsidR="009801A5" w:rsidRPr="00E407E9" w:rsidRDefault="009801A5" w:rsidP="00F74504">
            <w:pPr>
              <w:jc w:val="both"/>
              <w:rPr>
                <w:sz w:val="20"/>
                <w:szCs w:val="20"/>
              </w:rPr>
            </w:pPr>
          </w:p>
          <w:p w:rsidR="009801A5" w:rsidRPr="00E407E9" w:rsidRDefault="009801A5" w:rsidP="00F74504">
            <w:pPr>
              <w:jc w:val="both"/>
              <w:rPr>
                <w:sz w:val="20"/>
                <w:szCs w:val="20"/>
                <w:lang w:val="en"/>
              </w:rPr>
            </w:pPr>
            <w:r w:rsidRPr="00E407E9">
              <w:rPr>
                <w:sz w:val="20"/>
                <w:szCs w:val="20"/>
                <w:lang w:val="en"/>
              </w:rPr>
              <w:t xml:space="preserve">The applicant claims that the respondent is holding business shares in trust for him, on the basis that he transferred them to her pursuant to a void agreement. The applicant sought an order that the shares and the dividends be returned to him. The respondent’s position is that the shares were a gift and that she is entitled to retain the dividends. The trial judge held that the respondent is entitled to a declaration that she is the beneficial owner of these shares. The Court of Appeal dismissed the appeal. </w:t>
            </w:r>
          </w:p>
        </w:tc>
      </w:tr>
      <w:tr w:rsidR="009801A5" w:rsidRPr="00E407E9" w:rsidTr="00F74504">
        <w:tc>
          <w:tcPr>
            <w:tcW w:w="5000" w:type="pct"/>
            <w:gridSpan w:val="2"/>
          </w:tcPr>
          <w:p w:rsidR="009801A5" w:rsidRPr="00E407E9" w:rsidRDefault="009801A5" w:rsidP="00F74504">
            <w:pPr>
              <w:jc w:val="both"/>
              <w:rPr>
                <w:sz w:val="20"/>
                <w:szCs w:val="20"/>
              </w:rPr>
            </w:pPr>
          </w:p>
        </w:tc>
      </w:tr>
    </w:tbl>
    <w:p w:rsidR="00886B54" w:rsidRPr="00E407E9" w:rsidRDefault="00886B54">
      <w:r w:rsidRPr="00E407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E407E9" w:rsidTr="00F74504">
        <w:tc>
          <w:tcPr>
            <w:tcW w:w="2427" w:type="pct"/>
          </w:tcPr>
          <w:p w:rsidR="009801A5" w:rsidRPr="00E407E9" w:rsidRDefault="009801A5" w:rsidP="00F74504">
            <w:pPr>
              <w:jc w:val="both"/>
              <w:rPr>
                <w:sz w:val="20"/>
                <w:szCs w:val="20"/>
              </w:rPr>
            </w:pPr>
            <w:r w:rsidRPr="00E407E9">
              <w:rPr>
                <w:sz w:val="20"/>
                <w:szCs w:val="20"/>
              </w:rPr>
              <w:lastRenderedPageBreak/>
              <w:t>June 13, 2018</w:t>
            </w:r>
          </w:p>
          <w:p w:rsidR="009801A5" w:rsidRPr="00E407E9" w:rsidRDefault="009801A5" w:rsidP="00F74504">
            <w:pPr>
              <w:jc w:val="both"/>
              <w:rPr>
                <w:sz w:val="20"/>
                <w:szCs w:val="20"/>
              </w:rPr>
            </w:pPr>
            <w:r w:rsidRPr="00E407E9">
              <w:rPr>
                <w:sz w:val="20"/>
                <w:szCs w:val="20"/>
              </w:rPr>
              <w:t>Supreme Court of British Columbia</w:t>
            </w:r>
          </w:p>
          <w:p w:rsidR="009801A5" w:rsidRPr="00E407E9" w:rsidRDefault="009801A5" w:rsidP="00F74504">
            <w:pPr>
              <w:jc w:val="both"/>
              <w:rPr>
                <w:sz w:val="20"/>
                <w:szCs w:val="20"/>
              </w:rPr>
            </w:pPr>
            <w:r w:rsidRPr="00E407E9">
              <w:rPr>
                <w:sz w:val="20"/>
                <w:szCs w:val="20"/>
              </w:rPr>
              <w:t>(Gray J.)</w:t>
            </w:r>
          </w:p>
          <w:p w:rsidR="009801A5" w:rsidRPr="00E407E9" w:rsidRDefault="00CE6E62" w:rsidP="00F74504">
            <w:pPr>
              <w:jc w:val="both"/>
              <w:rPr>
                <w:sz w:val="20"/>
                <w:szCs w:val="20"/>
              </w:rPr>
            </w:pPr>
            <w:hyperlink r:id="rId65" w:history="1">
              <w:r w:rsidR="009801A5" w:rsidRPr="00E407E9">
                <w:rPr>
                  <w:rStyle w:val="Hyperlink"/>
                  <w:sz w:val="20"/>
                  <w:szCs w:val="20"/>
                </w:rPr>
                <w:t>2018 BCSC 964</w:t>
              </w:r>
            </w:hyperlink>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lang w:val="en"/>
              </w:rPr>
              <w:t>Respondent entitled to declaration that she is beneficial owner of 37 shares in 448 registered in her name.</w:t>
            </w:r>
            <w:r w:rsidRPr="00E407E9">
              <w:rPr>
                <w:sz w:val="20"/>
                <w:szCs w:val="20"/>
              </w:rPr>
              <w:t xml:space="preserve"> </w:t>
            </w: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May 21, 2020</w:t>
            </w:r>
          </w:p>
          <w:p w:rsidR="009801A5" w:rsidRPr="00E407E9" w:rsidRDefault="009801A5" w:rsidP="00F74504">
            <w:pPr>
              <w:jc w:val="both"/>
              <w:rPr>
                <w:sz w:val="20"/>
                <w:szCs w:val="20"/>
              </w:rPr>
            </w:pPr>
            <w:r w:rsidRPr="00E407E9">
              <w:rPr>
                <w:sz w:val="20"/>
                <w:szCs w:val="20"/>
              </w:rPr>
              <w:t xml:space="preserve">Court of Appeal for British Columbia </w:t>
            </w:r>
          </w:p>
          <w:p w:rsidR="009801A5" w:rsidRPr="00E407E9" w:rsidRDefault="009801A5" w:rsidP="00F74504">
            <w:pPr>
              <w:jc w:val="both"/>
              <w:rPr>
                <w:sz w:val="20"/>
                <w:szCs w:val="20"/>
              </w:rPr>
            </w:pPr>
            <w:r w:rsidRPr="00E407E9">
              <w:rPr>
                <w:sz w:val="20"/>
                <w:szCs w:val="20"/>
              </w:rPr>
              <w:t>(Vancouver)</w:t>
            </w:r>
          </w:p>
          <w:p w:rsidR="009801A5" w:rsidRPr="00E407E9" w:rsidRDefault="009801A5" w:rsidP="00F74504">
            <w:pPr>
              <w:jc w:val="both"/>
              <w:rPr>
                <w:sz w:val="20"/>
                <w:szCs w:val="20"/>
              </w:rPr>
            </w:pPr>
            <w:r w:rsidRPr="00E407E9">
              <w:rPr>
                <w:sz w:val="20"/>
                <w:szCs w:val="20"/>
              </w:rPr>
              <w:t>(Newbury, Dickson and Butler JJ.A.)</w:t>
            </w:r>
          </w:p>
          <w:p w:rsidR="009801A5" w:rsidRPr="00E407E9" w:rsidRDefault="00CE6E62" w:rsidP="00F74504">
            <w:pPr>
              <w:jc w:val="both"/>
              <w:rPr>
                <w:sz w:val="20"/>
                <w:szCs w:val="20"/>
              </w:rPr>
            </w:pPr>
            <w:hyperlink r:id="rId66" w:history="1">
              <w:r w:rsidR="009801A5" w:rsidRPr="00E407E9">
                <w:rPr>
                  <w:rStyle w:val="Hyperlink"/>
                  <w:sz w:val="20"/>
                  <w:szCs w:val="20"/>
                </w:rPr>
                <w:t>2020 BCCA 147</w:t>
              </w:r>
            </w:hyperlink>
          </w:p>
          <w:p w:rsidR="009801A5" w:rsidRPr="00E407E9" w:rsidRDefault="009801A5" w:rsidP="00F74504">
            <w:pPr>
              <w:jc w:val="both"/>
              <w:rPr>
                <w:sz w:val="20"/>
                <w:szCs w:val="20"/>
              </w:rPr>
            </w:pPr>
            <w:r w:rsidRPr="00E407E9">
              <w:rPr>
                <w:sz w:val="20"/>
                <w:szCs w:val="20"/>
              </w:rPr>
              <w:t>File No.: CA45444</w:t>
            </w:r>
          </w:p>
          <w:p w:rsidR="009801A5" w:rsidRPr="00E407E9" w:rsidRDefault="009801A5" w:rsidP="00F74504">
            <w:pPr>
              <w:jc w:val="both"/>
              <w:rPr>
                <w:sz w:val="20"/>
                <w:szCs w:val="20"/>
              </w:rPr>
            </w:pP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Appeal dismissed.</w:t>
            </w:r>
          </w:p>
          <w:p w:rsidR="009801A5" w:rsidRPr="00E407E9" w:rsidRDefault="009801A5" w:rsidP="00F74504">
            <w:pPr>
              <w:jc w:val="both"/>
              <w:rPr>
                <w:sz w:val="20"/>
                <w:szCs w:val="20"/>
              </w:rPr>
            </w:pPr>
          </w:p>
        </w:tc>
      </w:tr>
      <w:tr w:rsidR="009801A5" w:rsidRPr="00E407E9" w:rsidTr="00F74504">
        <w:tc>
          <w:tcPr>
            <w:tcW w:w="2427" w:type="pct"/>
          </w:tcPr>
          <w:p w:rsidR="009801A5" w:rsidRPr="00E407E9" w:rsidRDefault="009801A5" w:rsidP="00F74504">
            <w:pPr>
              <w:jc w:val="both"/>
              <w:rPr>
                <w:sz w:val="20"/>
                <w:szCs w:val="20"/>
              </w:rPr>
            </w:pPr>
            <w:r w:rsidRPr="00E407E9">
              <w:rPr>
                <w:sz w:val="20"/>
                <w:szCs w:val="20"/>
              </w:rPr>
              <w:t>August 20, 2020</w:t>
            </w:r>
          </w:p>
          <w:p w:rsidR="009801A5" w:rsidRPr="00E407E9" w:rsidRDefault="009801A5" w:rsidP="00F74504">
            <w:pPr>
              <w:jc w:val="both"/>
              <w:rPr>
                <w:sz w:val="20"/>
                <w:szCs w:val="20"/>
              </w:rPr>
            </w:pPr>
            <w:r w:rsidRPr="00E407E9">
              <w:rPr>
                <w:sz w:val="20"/>
                <w:szCs w:val="20"/>
              </w:rPr>
              <w:t>Supreme Court of Canada</w:t>
            </w:r>
          </w:p>
        </w:tc>
        <w:tc>
          <w:tcPr>
            <w:tcW w:w="243" w:type="pct"/>
          </w:tcPr>
          <w:p w:rsidR="009801A5" w:rsidRPr="00E407E9" w:rsidRDefault="009801A5" w:rsidP="00F74504">
            <w:pPr>
              <w:jc w:val="both"/>
              <w:rPr>
                <w:sz w:val="20"/>
                <w:szCs w:val="20"/>
              </w:rPr>
            </w:pPr>
          </w:p>
        </w:tc>
        <w:tc>
          <w:tcPr>
            <w:tcW w:w="2330" w:type="pct"/>
          </w:tcPr>
          <w:p w:rsidR="009801A5" w:rsidRPr="00E407E9" w:rsidRDefault="009801A5" w:rsidP="00F74504">
            <w:pPr>
              <w:jc w:val="both"/>
              <w:rPr>
                <w:sz w:val="20"/>
                <w:szCs w:val="20"/>
              </w:rPr>
            </w:pPr>
            <w:r w:rsidRPr="00E407E9">
              <w:rPr>
                <w:sz w:val="20"/>
                <w:szCs w:val="20"/>
              </w:rPr>
              <w:t>Application for leave to appeal filed.</w:t>
            </w:r>
          </w:p>
          <w:p w:rsidR="009801A5" w:rsidRPr="00E407E9" w:rsidRDefault="009801A5" w:rsidP="00F74504">
            <w:pPr>
              <w:jc w:val="both"/>
              <w:rPr>
                <w:sz w:val="20"/>
                <w:szCs w:val="20"/>
              </w:rPr>
            </w:pPr>
          </w:p>
        </w:tc>
      </w:tr>
    </w:tbl>
    <w:p w:rsidR="009801A5" w:rsidRPr="00E407E9" w:rsidRDefault="009801A5" w:rsidP="009801A5">
      <w:pPr>
        <w:jc w:val="both"/>
        <w:rPr>
          <w:sz w:val="20"/>
        </w:rPr>
      </w:pPr>
    </w:p>
    <w:p w:rsidR="009801A5" w:rsidRPr="00E407E9" w:rsidRDefault="00CE6E62" w:rsidP="009801A5">
      <w:pPr>
        <w:jc w:val="both"/>
        <w:rPr>
          <w:sz w:val="20"/>
        </w:rPr>
      </w:pPr>
      <w:r>
        <w:rPr>
          <w:sz w:val="20"/>
        </w:rPr>
        <w:pict>
          <v:rect id="_x0000_i1086" style="width:2in;height:1pt" o:hrpct="0" o:hralign="center" o:hrstd="t" o:hrnoshade="t" o:hr="t" fillcolor="black [3213]" stroked="f"/>
        </w:pict>
      </w:r>
    </w:p>
    <w:p w:rsidR="009801A5" w:rsidRPr="00E407E9" w:rsidRDefault="009801A5" w:rsidP="009801A5">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01A5" w:rsidRPr="001A3EBC" w:rsidTr="00F74504">
        <w:tc>
          <w:tcPr>
            <w:tcW w:w="543" w:type="pct"/>
          </w:tcPr>
          <w:p w:rsidR="009801A5" w:rsidRPr="00E407E9" w:rsidRDefault="009801A5" w:rsidP="00F74504">
            <w:pPr>
              <w:jc w:val="both"/>
              <w:rPr>
                <w:sz w:val="20"/>
                <w:szCs w:val="20"/>
                <w:lang w:val="fr-CA"/>
              </w:rPr>
            </w:pPr>
            <w:r w:rsidRPr="00E407E9">
              <w:rPr>
                <w:rStyle w:val="SCCFileNumberChar"/>
                <w:sz w:val="20"/>
                <w:szCs w:val="20"/>
                <w:lang w:val="fr-CA"/>
              </w:rPr>
              <w:t>39312</w:t>
            </w:r>
          </w:p>
        </w:tc>
        <w:tc>
          <w:tcPr>
            <w:tcW w:w="4457" w:type="pct"/>
            <w:gridSpan w:val="3"/>
          </w:tcPr>
          <w:p w:rsidR="009801A5" w:rsidRPr="00E407E9" w:rsidRDefault="009801A5" w:rsidP="00F74504">
            <w:pPr>
              <w:pStyle w:val="SCCLsocParty"/>
              <w:jc w:val="both"/>
              <w:rPr>
                <w:b/>
                <w:sz w:val="20"/>
                <w:szCs w:val="20"/>
              </w:rPr>
            </w:pPr>
            <w:r w:rsidRPr="00E407E9">
              <w:rPr>
                <w:b/>
                <w:sz w:val="20"/>
                <w:szCs w:val="20"/>
              </w:rPr>
              <w:t>Jaswant Singh Chahal c. Sarbjit Kaur Chahal alias Sarbjit Chahal</w:t>
            </w:r>
          </w:p>
          <w:p w:rsidR="009801A5" w:rsidRPr="00E407E9" w:rsidRDefault="009801A5" w:rsidP="00F74504">
            <w:pPr>
              <w:jc w:val="both"/>
              <w:rPr>
                <w:sz w:val="20"/>
                <w:szCs w:val="20"/>
                <w:lang w:val="fr-CA"/>
              </w:rPr>
            </w:pPr>
            <w:r w:rsidRPr="00E407E9">
              <w:rPr>
                <w:sz w:val="20"/>
                <w:szCs w:val="20"/>
                <w:lang w:val="fr-CA"/>
              </w:rPr>
              <w:t>(C.</w:t>
            </w:r>
            <w:r w:rsidRPr="00E407E9">
              <w:rPr>
                <w:sz w:val="20"/>
                <w:szCs w:val="20"/>
                <w:lang w:val="fr-CA"/>
              </w:rPr>
              <w:noBreakHyphen/>
              <w:t>B.) (Civile) (Sur autorisation)</w:t>
            </w:r>
          </w:p>
        </w:tc>
      </w:tr>
      <w:tr w:rsidR="009801A5" w:rsidRPr="001A3EBC" w:rsidTr="00F74504">
        <w:tc>
          <w:tcPr>
            <w:tcW w:w="5000" w:type="pct"/>
            <w:gridSpan w:val="4"/>
          </w:tcPr>
          <w:p w:rsidR="009801A5" w:rsidRPr="00E407E9" w:rsidRDefault="00012EEA" w:rsidP="00F74504">
            <w:pPr>
              <w:jc w:val="both"/>
              <w:rPr>
                <w:sz w:val="20"/>
                <w:szCs w:val="20"/>
                <w:lang w:val="fr-CA"/>
              </w:rPr>
            </w:pPr>
            <w:r w:rsidRPr="00E407E9">
              <w:rPr>
                <w:sz w:val="20"/>
                <w:szCs w:val="20"/>
                <w:lang w:val="fr-CA"/>
              </w:rPr>
              <w:t>La demande d’autorisation d’appel de l’arrêt de la Cour d’appel de la Colombie-Britannique (Vancouver), numéro CA45444, 2020 BCCA 147, daté du 21 mai 2020, est rejetée avec dépens.</w:t>
            </w:r>
          </w:p>
          <w:p w:rsidR="00012EEA" w:rsidRPr="00E407E9" w:rsidRDefault="00012EEA" w:rsidP="00F74504">
            <w:pPr>
              <w:jc w:val="both"/>
              <w:rPr>
                <w:sz w:val="20"/>
                <w:szCs w:val="20"/>
                <w:lang w:val="fr-CA"/>
              </w:rPr>
            </w:pPr>
          </w:p>
        </w:tc>
      </w:tr>
      <w:tr w:rsidR="009801A5" w:rsidRPr="001A3EBC" w:rsidTr="00F74504">
        <w:tc>
          <w:tcPr>
            <w:tcW w:w="5000" w:type="pct"/>
            <w:gridSpan w:val="4"/>
          </w:tcPr>
          <w:p w:rsidR="009801A5" w:rsidRPr="00E407E9" w:rsidRDefault="009801A5" w:rsidP="00F74504">
            <w:pPr>
              <w:jc w:val="both"/>
              <w:rPr>
                <w:sz w:val="20"/>
                <w:szCs w:val="20"/>
                <w:lang w:val="fr-CA"/>
              </w:rPr>
            </w:pPr>
            <w:r w:rsidRPr="00E407E9">
              <w:rPr>
                <w:sz w:val="20"/>
                <w:szCs w:val="20"/>
                <w:lang w:val="fr-CA"/>
              </w:rPr>
              <w:t>Biens — Fiducies — Donations — Présomption de fiducie résultoire — Biens commerciaux — Propriété bénéficiaire — Les tribunaux inférieurs ont conclu que les actions d’une société ont été transférées à la bru à titre de donation — Dans le cas d’un transfert à titre gratuit qui fait l’objet d’une contestation, le juge de première instance doit</w:t>
            </w:r>
            <w:r w:rsidRPr="00E407E9">
              <w:rPr>
                <w:sz w:val="20"/>
                <w:szCs w:val="20"/>
                <w:lang w:val="fr-CA"/>
              </w:rPr>
              <w:noBreakHyphen/>
              <w:t>il appliquer la présomption de fiducie résultoire avant de procéder à l’appréciation de la preuve, et le fardeau de la preuve est</w:t>
            </w:r>
            <w:r w:rsidRPr="00E407E9">
              <w:rPr>
                <w:sz w:val="20"/>
                <w:szCs w:val="20"/>
                <w:lang w:val="fr-CA"/>
              </w:rPr>
              <w:noBreakHyphen/>
              <w:t>il pertinent ? — La Cour d’appel a</w:t>
            </w:r>
            <w:r w:rsidRPr="00E407E9">
              <w:rPr>
                <w:sz w:val="20"/>
                <w:szCs w:val="20"/>
                <w:lang w:val="fr-CA"/>
              </w:rPr>
              <w:noBreakHyphen/>
              <w:t>t</w:t>
            </w:r>
            <w:r w:rsidRPr="00E407E9">
              <w:rPr>
                <w:sz w:val="20"/>
                <w:szCs w:val="20"/>
                <w:lang w:val="fr-CA"/>
              </w:rPr>
              <w:noBreakHyphen/>
              <w:t>elle commis une erreur lorsqu’elle a conclu que l’analyse de la fiducie résultoire n’était pas nécessaire ? — Quel critère faut</w:t>
            </w:r>
            <w:r w:rsidRPr="00E407E9">
              <w:rPr>
                <w:sz w:val="20"/>
                <w:szCs w:val="20"/>
                <w:lang w:val="fr-CA"/>
              </w:rPr>
              <w:noBreakHyphen/>
              <w:t>il appliquer pour conclure qu’il s’agit d’une donation ? — La conclusion à savoir qu’il s’agit d’une donation doit</w:t>
            </w:r>
            <w:r w:rsidRPr="00E407E9">
              <w:rPr>
                <w:sz w:val="20"/>
                <w:szCs w:val="20"/>
                <w:lang w:val="fr-CA"/>
              </w:rPr>
              <w:noBreakHyphen/>
              <w:t>elle être incompatible avec toute autre intention ou tout autre objet ? — La preuve de corroboration est</w:t>
            </w:r>
            <w:r w:rsidRPr="00E407E9">
              <w:rPr>
                <w:sz w:val="20"/>
                <w:szCs w:val="20"/>
                <w:lang w:val="fr-CA"/>
              </w:rPr>
              <w:noBreakHyphen/>
              <w:t>elle requise en common law ?</w:t>
            </w:r>
          </w:p>
        </w:tc>
      </w:tr>
      <w:tr w:rsidR="009801A5" w:rsidRPr="00E407E9" w:rsidTr="00F74504">
        <w:tc>
          <w:tcPr>
            <w:tcW w:w="5000" w:type="pct"/>
            <w:gridSpan w:val="4"/>
          </w:tcPr>
          <w:p w:rsidR="009801A5" w:rsidRPr="00E407E9" w:rsidRDefault="009801A5" w:rsidP="00F74504">
            <w:pPr>
              <w:jc w:val="both"/>
              <w:rPr>
                <w:sz w:val="20"/>
                <w:szCs w:val="20"/>
                <w:lang w:val="fr-CA"/>
              </w:rPr>
            </w:pPr>
          </w:p>
          <w:p w:rsidR="009801A5" w:rsidRPr="00E407E9" w:rsidRDefault="009801A5" w:rsidP="00F74504">
            <w:pPr>
              <w:jc w:val="both"/>
              <w:rPr>
                <w:sz w:val="20"/>
                <w:szCs w:val="20"/>
                <w:lang w:val="fr-CA"/>
              </w:rPr>
            </w:pPr>
            <w:r w:rsidRPr="00E407E9">
              <w:rPr>
                <w:sz w:val="20"/>
                <w:szCs w:val="20"/>
                <w:lang w:val="fr-CA"/>
              </w:rPr>
              <w:t xml:space="preserve">Le demandeur prétend que l’appelante détient des actions d’une société en fiducie pour lui, au motif qu’il lui avait transféré en vertu d’une entente inopérante. Le demandeur a sollicité une ordonnance selon laquelle les actions et les dividendes doivent lui être remis. L’appelante est d’avis que les actions lui avaient été transmises à titre de donation et qu’elle a droit de garder les dividendes. La juge de première instance a conclu que l’appelante a droit à un jugement déclaratoire portant qu’elle est la propriétaire bénéficiaire de ces actions. La Cour d’appel a rejeté l’appel. </w:t>
            </w:r>
          </w:p>
        </w:tc>
      </w:tr>
      <w:tr w:rsidR="009801A5" w:rsidRPr="00E407E9" w:rsidTr="00F74504">
        <w:tc>
          <w:tcPr>
            <w:tcW w:w="5000" w:type="pct"/>
            <w:gridSpan w:val="4"/>
          </w:tcPr>
          <w:p w:rsidR="009801A5" w:rsidRPr="00E407E9" w:rsidRDefault="009801A5" w:rsidP="00F74504">
            <w:pPr>
              <w:jc w:val="both"/>
              <w:rPr>
                <w:sz w:val="20"/>
                <w:szCs w:val="20"/>
                <w:lang w:val="fr-CA"/>
              </w:rPr>
            </w:pPr>
          </w:p>
        </w:tc>
      </w:tr>
      <w:tr w:rsidR="009801A5" w:rsidRPr="001A3EBC"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13 juin 2018</w:t>
            </w:r>
          </w:p>
          <w:p w:rsidR="009801A5" w:rsidRPr="00E407E9" w:rsidRDefault="009801A5" w:rsidP="00F74504">
            <w:pPr>
              <w:jc w:val="both"/>
              <w:rPr>
                <w:sz w:val="20"/>
                <w:szCs w:val="20"/>
                <w:lang w:val="fr-CA"/>
              </w:rPr>
            </w:pPr>
            <w:r w:rsidRPr="00E407E9">
              <w:rPr>
                <w:sz w:val="20"/>
                <w:szCs w:val="20"/>
                <w:lang w:val="fr-CA"/>
              </w:rPr>
              <w:t>Cour suprême de la Colombie</w:t>
            </w:r>
            <w:r w:rsidRPr="00E407E9">
              <w:rPr>
                <w:sz w:val="20"/>
                <w:szCs w:val="20"/>
                <w:lang w:val="fr-CA"/>
              </w:rPr>
              <w:noBreakHyphen/>
              <w:t>Britannique</w:t>
            </w:r>
          </w:p>
          <w:p w:rsidR="009801A5" w:rsidRPr="00E407E9" w:rsidRDefault="009801A5" w:rsidP="00F74504">
            <w:pPr>
              <w:jc w:val="both"/>
              <w:rPr>
                <w:sz w:val="20"/>
                <w:szCs w:val="20"/>
                <w:lang w:val="fr-CA"/>
              </w:rPr>
            </w:pPr>
            <w:r w:rsidRPr="00E407E9">
              <w:rPr>
                <w:sz w:val="20"/>
                <w:szCs w:val="20"/>
                <w:lang w:val="fr-CA"/>
              </w:rPr>
              <w:t>(Juge Gray)</w:t>
            </w:r>
          </w:p>
          <w:p w:rsidR="009801A5" w:rsidRPr="00E407E9" w:rsidRDefault="00CE6E62" w:rsidP="00F74504">
            <w:pPr>
              <w:jc w:val="both"/>
              <w:rPr>
                <w:sz w:val="20"/>
                <w:szCs w:val="20"/>
                <w:lang w:val="fr-CA"/>
              </w:rPr>
            </w:pPr>
            <w:hyperlink r:id="rId67" w:history="1">
              <w:r w:rsidR="009801A5" w:rsidRPr="00E407E9">
                <w:rPr>
                  <w:rStyle w:val="Hyperlink"/>
                  <w:sz w:val="20"/>
                  <w:szCs w:val="20"/>
                  <w:lang w:val="fr-CA"/>
                </w:rPr>
                <w:t>2018 BCSC 964</w:t>
              </w:r>
            </w:hyperlink>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 xml:space="preserve">L’appelante a droit à un jugement déclaratoire portant qu’elle est la propriétaire bénéficiaire des 37 actions de la société 448 enregistrées à son nom. </w:t>
            </w:r>
          </w:p>
        </w:tc>
      </w:tr>
      <w:tr w:rsidR="009801A5" w:rsidRPr="00E407E9" w:rsidTr="00F74504">
        <w:tc>
          <w:tcPr>
            <w:tcW w:w="2427" w:type="pct"/>
            <w:gridSpan w:val="2"/>
          </w:tcPr>
          <w:p w:rsidR="009801A5" w:rsidRPr="00E407E9" w:rsidRDefault="009801A5" w:rsidP="00F74504">
            <w:pPr>
              <w:jc w:val="both"/>
              <w:rPr>
                <w:sz w:val="20"/>
                <w:szCs w:val="20"/>
                <w:lang w:val="fr-CA"/>
              </w:rPr>
            </w:pPr>
            <w:r w:rsidRPr="00E407E9">
              <w:rPr>
                <w:sz w:val="20"/>
                <w:szCs w:val="20"/>
                <w:lang w:val="fr-CA"/>
              </w:rPr>
              <w:t>21 mai 2020</w:t>
            </w:r>
          </w:p>
          <w:p w:rsidR="009801A5" w:rsidRPr="00E407E9" w:rsidRDefault="009801A5" w:rsidP="00F74504">
            <w:pPr>
              <w:jc w:val="both"/>
              <w:rPr>
                <w:sz w:val="20"/>
                <w:szCs w:val="20"/>
                <w:lang w:val="fr-CA"/>
              </w:rPr>
            </w:pPr>
            <w:r w:rsidRPr="00E407E9">
              <w:rPr>
                <w:sz w:val="20"/>
                <w:szCs w:val="20"/>
                <w:lang w:val="fr-CA"/>
              </w:rPr>
              <w:t>Cour d’appel de la Colombie</w:t>
            </w:r>
            <w:r w:rsidRPr="00E407E9">
              <w:rPr>
                <w:sz w:val="20"/>
                <w:szCs w:val="20"/>
                <w:lang w:val="fr-CA"/>
              </w:rPr>
              <w:noBreakHyphen/>
              <w:t xml:space="preserve">Britannique </w:t>
            </w:r>
          </w:p>
          <w:p w:rsidR="009801A5" w:rsidRPr="00E407E9" w:rsidRDefault="009801A5" w:rsidP="00F74504">
            <w:pPr>
              <w:jc w:val="both"/>
              <w:rPr>
                <w:sz w:val="20"/>
                <w:szCs w:val="20"/>
                <w:lang w:val="fr-CA"/>
              </w:rPr>
            </w:pPr>
            <w:r w:rsidRPr="00E407E9">
              <w:rPr>
                <w:sz w:val="20"/>
                <w:szCs w:val="20"/>
                <w:lang w:val="fr-CA"/>
              </w:rPr>
              <w:t>(Vancouver)</w:t>
            </w:r>
          </w:p>
          <w:p w:rsidR="009801A5" w:rsidRPr="00E407E9" w:rsidRDefault="009801A5" w:rsidP="00F74504">
            <w:pPr>
              <w:jc w:val="both"/>
              <w:rPr>
                <w:sz w:val="20"/>
                <w:szCs w:val="20"/>
                <w:lang w:val="fr-CA"/>
              </w:rPr>
            </w:pPr>
            <w:r w:rsidRPr="00E407E9">
              <w:rPr>
                <w:sz w:val="20"/>
                <w:szCs w:val="20"/>
                <w:lang w:val="fr-CA"/>
              </w:rPr>
              <w:t>(Juges Newbury, Dickson et Butler)</w:t>
            </w:r>
          </w:p>
          <w:p w:rsidR="009801A5" w:rsidRPr="00E407E9" w:rsidRDefault="00CE6E62" w:rsidP="00F74504">
            <w:pPr>
              <w:jc w:val="both"/>
              <w:rPr>
                <w:sz w:val="20"/>
                <w:szCs w:val="20"/>
                <w:lang w:val="fr-CA"/>
              </w:rPr>
            </w:pPr>
            <w:hyperlink r:id="rId68" w:history="1">
              <w:r w:rsidR="009801A5" w:rsidRPr="00E407E9">
                <w:rPr>
                  <w:rStyle w:val="Hyperlink"/>
                  <w:sz w:val="20"/>
                  <w:szCs w:val="20"/>
                  <w:lang w:val="fr-CA"/>
                </w:rPr>
                <w:t>2020 BCCA 147</w:t>
              </w:r>
            </w:hyperlink>
          </w:p>
          <w:p w:rsidR="009801A5" w:rsidRPr="00E407E9" w:rsidRDefault="009801A5" w:rsidP="00F74504">
            <w:pPr>
              <w:jc w:val="both"/>
              <w:rPr>
                <w:sz w:val="20"/>
                <w:szCs w:val="20"/>
                <w:lang w:val="fr-CA"/>
              </w:rPr>
            </w:pPr>
            <w:r w:rsidRPr="00E407E9">
              <w:rPr>
                <w:sz w:val="20"/>
                <w:szCs w:val="20"/>
                <w:lang w:val="fr-CA"/>
              </w:rPr>
              <w:t>Dossier n</w:t>
            </w:r>
            <w:r w:rsidRPr="00E407E9">
              <w:rPr>
                <w:sz w:val="20"/>
                <w:szCs w:val="20"/>
                <w:vertAlign w:val="superscript"/>
                <w:lang w:val="fr-CA"/>
              </w:rPr>
              <w:t>o</w:t>
            </w:r>
            <w:r w:rsidRPr="00E407E9">
              <w:rPr>
                <w:sz w:val="20"/>
                <w:szCs w:val="20"/>
                <w:lang w:val="fr-CA"/>
              </w:rPr>
              <w:t> : CA45444</w:t>
            </w:r>
          </w:p>
          <w:p w:rsidR="009801A5" w:rsidRPr="00E407E9" w:rsidRDefault="009801A5" w:rsidP="00F74504">
            <w:pPr>
              <w:jc w:val="both"/>
              <w:rPr>
                <w:sz w:val="20"/>
                <w:szCs w:val="20"/>
                <w:lang w:val="fr-CA"/>
              </w:rPr>
            </w:pP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L’appel est rejeté.</w:t>
            </w:r>
          </w:p>
          <w:p w:rsidR="009801A5" w:rsidRPr="00E407E9" w:rsidRDefault="009801A5" w:rsidP="00F74504">
            <w:pPr>
              <w:jc w:val="both"/>
              <w:rPr>
                <w:sz w:val="20"/>
                <w:szCs w:val="20"/>
                <w:lang w:val="fr-CA"/>
              </w:rPr>
            </w:pPr>
          </w:p>
        </w:tc>
      </w:tr>
    </w:tbl>
    <w:p w:rsidR="00886B54" w:rsidRPr="00E407E9" w:rsidRDefault="00886B54">
      <w:r w:rsidRPr="00E407E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801A5" w:rsidRPr="001A3EBC" w:rsidTr="00F74504">
        <w:tc>
          <w:tcPr>
            <w:tcW w:w="2427" w:type="pct"/>
          </w:tcPr>
          <w:p w:rsidR="009801A5" w:rsidRPr="00E407E9" w:rsidRDefault="009801A5" w:rsidP="00F74504">
            <w:pPr>
              <w:jc w:val="both"/>
              <w:rPr>
                <w:sz w:val="20"/>
                <w:szCs w:val="20"/>
                <w:lang w:val="fr-CA"/>
              </w:rPr>
            </w:pPr>
            <w:r w:rsidRPr="00E407E9">
              <w:rPr>
                <w:sz w:val="20"/>
                <w:szCs w:val="20"/>
                <w:lang w:val="fr-CA"/>
              </w:rPr>
              <w:lastRenderedPageBreak/>
              <w:t>20 août 2020</w:t>
            </w:r>
          </w:p>
          <w:p w:rsidR="009801A5" w:rsidRPr="00E407E9" w:rsidRDefault="009801A5" w:rsidP="00F74504">
            <w:pPr>
              <w:jc w:val="both"/>
              <w:rPr>
                <w:sz w:val="20"/>
                <w:szCs w:val="20"/>
                <w:lang w:val="fr-CA"/>
              </w:rPr>
            </w:pPr>
            <w:r w:rsidRPr="00E407E9">
              <w:rPr>
                <w:sz w:val="20"/>
                <w:szCs w:val="20"/>
                <w:lang w:val="fr-CA"/>
              </w:rPr>
              <w:t>Cour suprême du Canada</w:t>
            </w:r>
          </w:p>
        </w:tc>
        <w:tc>
          <w:tcPr>
            <w:tcW w:w="243" w:type="pct"/>
          </w:tcPr>
          <w:p w:rsidR="009801A5" w:rsidRPr="00E407E9" w:rsidRDefault="009801A5" w:rsidP="00F74504">
            <w:pPr>
              <w:jc w:val="both"/>
              <w:rPr>
                <w:sz w:val="20"/>
                <w:szCs w:val="20"/>
                <w:lang w:val="fr-CA"/>
              </w:rPr>
            </w:pPr>
          </w:p>
        </w:tc>
        <w:tc>
          <w:tcPr>
            <w:tcW w:w="2330" w:type="pct"/>
          </w:tcPr>
          <w:p w:rsidR="009801A5" w:rsidRPr="00E407E9" w:rsidRDefault="009801A5" w:rsidP="00F74504">
            <w:pPr>
              <w:jc w:val="both"/>
              <w:rPr>
                <w:sz w:val="20"/>
                <w:szCs w:val="20"/>
                <w:lang w:val="fr-CA"/>
              </w:rPr>
            </w:pPr>
            <w:r w:rsidRPr="00E407E9">
              <w:rPr>
                <w:sz w:val="20"/>
                <w:szCs w:val="20"/>
                <w:lang w:val="fr-CA"/>
              </w:rPr>
              <w:t>La demande d’autorisation d’appel est présentée.</w:t>
            </w:r>
          </w:p>
          <w:p w:rsidR="009801A5" w:rsidRPr="00E407E9" w:rsidRDefault="009801A5" w:rsidP="00F74504">
            <w:pPr>
              <w:jc w:val="both"/>
              <w:rPr>
                <w:sz w:val="20"/>
                <w:szCs w:val="20"/>
                <w:lang w:val="fr-CA"/>
              </w:rPr>
            </w:pPr>
          </w:p>
        </w:tc>
      </w:tr>
    </w:tbl>
    <w:p w:rsidR="004B2E86" w:rsidRPr="00E407E9" w:rsidRDefault="004B2E86" w:rsidP="004B2E86">
      <w:pPr>
        <w:jc w:val="both"/>
        <w:rPr>
          <w:sz w:val="20"/>
          <w:szCs w:val="20"/>
          <w:lang w:val="fr-CA"/>
        </w:rPr>
      </w:pPr>
    </w:p>
    <w:p w:rsidR="00102792" w:rsidRPr="00E407E9" w:rsidRDefault="00CE6E62" w:rsidP="004B2E86">
      <w:pPr>
        <w:jc w:val="both"/>
        <w:rPr>
          <w:sz w:val="20"/>
          <w:szCs w:val="20"/>
          <w:lang w:val="fr-CA"/>
        </w:rPr>
      </w:pPr>
      <w:r>
        <w:rPr>
          <w:sz w:val="20"/>
          <w:szCs w:val="20"/>
        </w:rPr>
        <w:pict>
          <v:rect id="_x0000_i1087" style="width:2in;height:1pt" o:hrpct="0" o:hralign="center" o:hrstd="t" o:hrnoshade="t" o:hr="t" fillcolor="black" stroked="f"/>
        </w:pict>
      </w:r>
    </w:p>
    <w:p w:rsidR="00E06F20" w:rsidRPr="00E407E9" w:rsidRDefault="00E06F20" w:rsidP="00102792">
      <w:pPr>
        <w:jc w:val="both"/>
        <w:rPr>
          <w:sz w:val="20"/>
          <w:lang w:val="fr-CA"/>
        </w:rPr>
      </w:pPr>
    </w:p>
    <w:p w:rsidR="00890FEB" w:rsidRPr="00E407E9" w:rsidRDefault="00890FEB" w:rsidP="008D292F">
      <w:pPr>
        <w:rPr>
          <w:sz w:val="20"/>
          <w:szCs w:val="20"/>
          <w:lang w:val="fr-CA"/>
        </w:rPr>
      </w:pPr>
    </w:p>
    <w:p w:rsidR="00890FEB" w:rsidRPr="00E407E9" w:rsidRDefault="00890FEB" w:rsidP="008D292F">
      <w:pPr>
        <w:rPr>
          <w:b/>
          <w:sz w:val="20"/>
          <w:szCs w:val="20"/>
          <w:lang w:val="fr-CA"/>
        </w:rPr>
        <w:sectPr w:rsidR="00890FEB" w:rsidRPr="00E407E9" w:rsidSect="008D292F">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567602" w:rsidRPr="00E407E9" w:rsidRDefault="001434B9" w:rsidP="00567602">
      <w:pPr>
        <w:pStyle w:val="Header1StyleE"/>
        <w:pBdr>
          <w:bottom w:val="single" w:sz="12" w:space="1" w:color="auto"/>
        </w:pBdr>
        <w:rPr>
          <w:sz w:val="20"/>
          <w:lang w:val="en-US"/>
        </w:rPr>
      </w:pPr>
      <w:bookmarkStart w:id="4" w:name="_Toc60985630"/>
      <w:r w:rsidRPr="00E407E9">
        <w:lastRenderedPageBreak/>
        <w:t>Notices of appeal filed since the last issue</w:t>
      </w:r>
      <w:r w:rsidR="00271E1E" w:rsidRPr="00E407E9">
        <w:t xml:space="preserve"> / </w:t>
      </w:r>
      <w:r w:rsidR="00567602" w:rsidRPr="00E407E9">
        <w:br/>
      </w:r>
      <w:r w:rsidRPr="00E407E9">
        <w:rPr>
          <w:lang w:val="fr-CA"/>
        </w:rPr>
        <w:t>Avis d’appel déposés depuis la dernière parution</w:t>
      </w:r>
      <w:bookmarkEnd w:id="4"/>
    </w:p>
    <w:p w:rsidR="00FB1DB6" w:rsidRPr="00E407E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407E9" w:rsidTr="005F1ED8">
        <w:trPr>
          <w:cantSplit/>
        </w:trPr>
        <w:tc>
          <w:tcPr>
            <w:tcW w:w="2206" w:type="pct"/>
            <w:tcMar>
              <w:left w:w="0" w:type="dxa"/>
              <w:right w:w="0" w:type="dxa"/>
            </w:tcMar>
          </w:tcPr>
          <w:p w:rsidR="0086340B" w:rsidRPr="00E407E9" w:rsidRDefault="00163FA2" w:rsidP="005F1ED8">
            <w:pPr>
              <w:rPr>
                <w:sz w:val="20"/>
                <w:szCs w:val="20"/>
              </w:rPr>
            </w:pPr>
            <w:r w:rsidRPr="00E407E9">
              <w:rPr>
                <w:sz w:val="20"/>
                <w:szCs w:val="20"/>
              </w:rPr>
              <w:t>December</w:t>
            </w:r>
            <w:r w:rsidR="008859F1" w:rsidRPr="00E407E9">
              <w:rPr>
                <w:sz w:val="20"/>
                <w:szCs w:val="20"/>
              </w:rPr>
              <w:t xml:space="preserve"> </w:t>
            </w:r>
            <w:r w:rsidR="009B36BA" w:rsidRPr="00E407E9">
              <w:rPr>
                <w:sz w:val="20"/>
                <w:szCs w:val="20"/>
              </w:rPr>
              <w:t>1</w:t>
            </w:r>
            <w:r w:rsidRPr="00E407E9">
              <w:rPr>
                <w:sz w:val="20"/>
                <w:szCs w:val="20"/>
              </w:rPr>
              <w:t>1</w:t>
            </w:r>
            <w:r w:rsidR="008859F1" w:rsidRPr="00E407E9">
              <w:rPr>
                <w:sz w:val="20"/>
                <w:szCs w:val="20"/>
              </w:rPr>
              <w:t>, 20</w:t>
            </w:r>
            <w:r w:rsidR="005967EF" w:rsidRPr="00E407E9">
              <w:rPr>
                <w:sz w:val="20"/>
                <w:szCs w:val="20"/>
              </w:rPr>
              <w:t>2</w:t>
            </w:r>
            <w:r w:rsidRPr="00E407E9">
              <w:rPr>
                <w:sz w:val="20"/>
                <w:szCs w:val="20"/>
              </w:rPr>
              <w:t>0</w:t>
            </w:r>
          </w:p>
          <w:p w:rsidR="0034657E" w:rsidRPr="00E407E9" w:rsidRDefault="0034657E" w:rsidP="005F1ED8">
            <w:pPr>
              <w:rPr>
                <w:sz w:val="20"/>
                <w:szCs w:val="20"/>
              </w:rPr>
            </w:pPr>
          </w:p>
          <w:p w:rsidR="0086340B" w:rsidRPr="00E407E9" w:rsidRDefault="00163FA2" w:rsidP="005F1ED8">
            <w:pPr>
              <w:rPr>
                <w:b/>
                <w:sz w:val="20"/>
                <w:szCs w:val="20"/>
              </w:rPr>
            </w:pPr>
            <w:r w:rsidRPr="00E407E9">
              <w:rPr>
                <w:b/>
                <w:sz w:val="20"/>
                <w:szCs w:val="20"/>
              </w:rPr>
              <w:t>Erik Oswaldo Ramos</w:t>
            </w:r>
          </w:p>
          <w:p w:rsidR="0086340B" w:rsidRPr="00E407E9" w:rsidRDefault="0086340B" w:rsidP="005F1ED8">
            <w:pPr>
              <w:rPr>
                <w:sz w:val="20"/>
                <w:szCs w:val="20"/>
              </w:rPr>
            </w:pPr>
          </w:p>
          <w:p w:rsidR="0086340B" w:rsidRPr="00E407E9" w:rsidRDefault="0086340B" w:rsidP="005F1ED8">
            <w:pPr>
              <w:rPr>
                <w:b/>
                <w:sz w:val="20"/>
                <w:szCs w:val="20"/>
              </w:rPr>
            </w:pPr>
            <w:r w:rsidRPr="00E407E9">
              <w:rPr>
                <w:b/>
                <w:sz w:val="20"/>
                <w:szCs w:val="20"/>
              </w:rPr>
              <w:tab/>
              <w:t>v. (34</w:t>
            </w:r>
            <w:r w:rsidR="00163FA2" w:rsidRPr="00E407E9">
              <w:rPr>
                <w:b/>
                <w:sz w:val="20"/>
                <w:szCs w:val="20"/>
              </w:rPr>
              <w:t>466</w:t>
            </w:r>
            <w:r w:rsidRPr="00E407E9">
              <w:rPr>
                <w:b/>
                <w:sz w:val="20"/>
                <w:szCs w:val="20"/>
              </w:rPr>
              <w:t>)</w:t>
            </w:r>
          </w:p>
          <w:p w:rsidR="0086340B" w:rsidRPr="00E407E9" w:rsidRDefault="0086340B" w:rsidP="005F1ED8">
            <w:pPr>
              <w:rPr>
                <w:sz w:val="20"/>
                <w:szCs w:val="20"/>
              </w:rPr>
            </w:pPr>
          </w:p>
          <w:p w:rsidR="0086340B" w:rsidRPr="00E407E9" w:rsidRDefault="00163FA2" w:rsidP="005F1ED8">
            <w:pPr>
              <w:rPr>
                <w:b/>
                <w:sz w:val="20"/>
                <w:szCs w:val="20"/>
              </w:rPr>
            </w:pPr>
            <w:r w:rsidRPr="00E407E9">
              <w:rPr>
                <w:b/>
                <w:sz w:val="20"/>
                <w:szCs w:val="20"/>
              </w:rPr>
              <w:t>Her Majesty the Queen</w:t>
            </w:r>
            <w:r w:rsidR="0086340B" w:rsidRPr="00E407E9">
              <w:rPr>
                <w:b/>
                <w:sz w:val="20"/>
                <w:szCs w:val="20"/>
              </w:rPr>
              <w:t xml:space="preserve"> (</w:t>
            </w:r>
            <w:r w:rsidRPr="00E407E9">
              <w:rPr>
                <w:b/>
                <w:sz w:val="20"/>
                <w:szCs w:val="20"/>
              </w:rPr>
              <w:t>Man</w:t>
            </w:r>
            <w:r w:rsidR="0086340B" w:rsidRPr="00E407E9">
              <w:rPr>
                <w:b/>
                <w:sz w:val="20"/>
                <w:szCs w:val="20"/>
              </w:rPr>
              <w:t>.)</w:t>
            </w:r>
          </w:p>
          <w:p w:rsidR="0086340B" w:rsidRPr="00E407E9" w:rsidRDefault="0086340B" w:rsidP="005F1ED8">
            <w:pPr>
              <w:rPr>
                <w:sz w:val="20"/>
                <w:szCs w:val="20"/>
              </w:rPr>
            </w:pPr>
          </w:p>
          <w:p w:rsidR="0086340B" w:rsidRPr="00E407E9" w:rsidRDefault="0086340B" w:rsidP="005F1ED8">
            <w:pPr>
              <w:rPr>
                <w:sz w:val="20"/>
                <w:szCs w:val="20"/>
              </w:rPr>
            </w:pPr>
            <w:r w:rsidRPr="00E407E9">
              <w:rPr>
                <w:sz w:val="20"/>
                <w:szCs w:val="20"/>
              </w:rPr>
              <w:t>(</w:t>
            </w:r>
            <w:r w:rsidR="00163FA2" w:rsidRPr="00E407E9">
              <w:rPr>
                <w:sz w:val="20"/>
                <w:szCs w:val="20"/>
              </w:rPr>
              <w:t>As of Right</w:t>
            </w:r>
            <w:r w:rsidRPr="00E407E9">
              <w:rPr>
                <w:sz w:val="20"/>
                <w:szCs w:val="20"/>
              </w:rPr>
              <w:t>)</w:t>
            </w:r>
          </w:p>
          <w:p w:rsidR="0086340B" w:rsidRPr="00E407E9" w:rsidRDefault="0086340B" w:rsidP="005F1ED8">
            <w:pPr>
              <w:rPr>
                <w:sz w:val="20"/>
                <w:szCs w:val="20"/>
              </w:rPr>
            </w:pPr>
          </w:p>
          <w:p w:rsidR="0086340B" w:rsidRPr="00E407E9" w:rsidRDefault="00CE6E62" w:rsidP="005F1ED8">
            <w:pPr>
              <w:rPr>
                <w:sz w:val="20"/>
                <w:szCs w:val="20"/>
                <w:lang w:val="fr-CA"/>
              </w:rPr>
            </w:pPr>
            <w:r>
              <w:rPr>
                <w:sz w:val="20"/>
                <w:szCs w:val="20"/>
                <w:lang w:val="fr-CA"/>
              </w:rPr>
              <w:pict>
                <v:rect id="_x0000_i1090" style="width:106.1pt;height:1pt" o:hrpct="500" o:hrstd="t" o:hrnoshade="t" o:hr="t" fillcolor="black [3213]" stroked="f"/>
              </w:pict>
            </w:r>
          </w:p>
        </w:tc>
        <w:tc>
          <w:tcPr>
            <w:tcW w:w="588" w:type="pct"/>
          </w:tcPr>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p w:rsidR="0086340B" w:rsidRPr="00E407E9" w:rsidRDefault="0086340B" w:rsidP="005F1ED8">
            <w:pPr>
              <w:jc w:val="center"/>
              <w:rPr>
                <w:sz w:val="20"/>
                <w:szCs w:val="20"/>
              </w:rPr>
            </w:pPr>
          </w:p>
        </w:tc>
        <w:tc>
          <w:tcPr>
            <w:tcW w:w="2206" w:type="pct"/>
          </w:tcPr>
          <w:p w:rsidR="0086340B" w:rsidRPr="00E407E9" w:rsidRDefault="00163FA2" w:rsidP="005F1ED8">
            <w:pPr>
              <w:rPr>
                <w:sz w:val="20"/>
                <w:szCs w:val="20"/>
                <w:lang w:val="en-US"/>
              </w:rPr>
            </w:pPr>
            <w:r w:rsidRPr="00E407E9">
              <w:rPr>
                <w:sz w:val="20"/>
                <w:szCs w:val="20"/>
                <w:lang w:val="en-US"/>
              </w:rPr>
              <w:t>December 23,</w:t>
            </w:r>
            <w:r w:rsidR="008859F1" w:rsidRPr="00E407E9">
              <w:rPr>
                <w:sz w:val="20"/>
                <w:szCs w:val="20"/>
                <w:lang w:val="en-US"/>
              </w:rPr>
              <w:t xml:space="preserve"> 20</w:t>
            </w:r>
            <w:r w:rsidR="005967EF" w:rsidRPr="00E407E9">
              <w:rPr>
                <w:sz w:val="20"/>
                <w:szCs w:val="20"/>
                <w:lang w:val="en-US"/>
              </w:rPr>
              <w:t>2</w:t>
            </w:r>
            <w:r w:rsidRPr="00E407E9">
              <w:rPr>
                <w:sz w:val="20"/>
                <w:szCs w:val="20"/>
                <w:lang w:val="en-US"/>
              </w:rPr>
              <w:t>0</w:t>
            </w:r>
          </w:p>
          <w:p w:rsidR="0086340B" w:rsidRPr="00E407E9" w:rsidRDefault="0086340B" w:rsidP="005F1ED8">
            <w:pPr>
              <w:rPr>
                <w:sz w:val="20"/>
                <w:szCs w:val="20"/>
                <w:lang w:val="en-US"/>
              </w:rPr>
            </w:pPr>
          </w:p>
          <w:p w:rsidR="0086340B" w:rsidRPr="00E407E9" w:rsidRDefault="00163FA2" w:rsidP="005F1ED8">
            <w:pPr>
              <w:rPr>
                <w:b/>
                <w:sz w:val="20"/>
                <w:szCs w:val="20"/>
                <w:lang w:val="en-US"/>
              </w:rPr>
            </w:pPr>
            <w:r w:rsidRPr="00E407E9">
              <w:rPr>
                <w:b/>
                <w:sz w:val="20"/>
                <w:szCs w:val="20"/>
                <w:lang w:val="en-US"/>
              </w:rPr>
              <w:t>H.M.B. Holdings Limited</w:t>
            </w:r>
          </w:p>
          <w:p w:rsidR="0086340B" w:rsidRPr="00E407E9" w:rsidRDefault="0086340B" w:rsidP="005F1ED8">
            <w:pPr>
              <w:rPr>
                <w:sz w:val="20"/>
                <w:szCs w:val="20"/>
                <w:lang w:val="en-US"/>
              </w:rPr>
            </w:pPr>
          </w:p>
          <w:p w:rsidR="0086340B" w:rsidRPr="00E407E9" w:rsidRDefault="0086340B" w:rsidP="005F1ED8">
            <w:pPr>
              <w:rPr>
                <w:b/>
                <w:sz w:val="20"/>
                <w:szCs w:val="20"/>
                <w:lang w:val="en-US"/>
              </w:rPr>
            </w:pPr>
            <w:r w:rsidRPr="00E407E9">
              <w:rPr>
                <w:b/>
                <w:sz w:val="20"/>
                <w:szCs w:val="20"/>
                <w:lang w:val="en-US"/>
              </w:rPr>
              <w:tab/>
            </w:r>
            <w:r w:rsidR="00163FA2" w:rsidRPr="00E407E9">
              <w:rPr>
                <w:b/>
                <w:sz w:val="20"/>
                <w:szCs w:val="20"/>
                <w:lang w:val="en-US"/>
              </w:rPr>
              <w:t>v</w:t>
            </w:r>
            <w:r w:rsidRPr="00E407E9">
              <w:rPr>
                <w:b/>
                <w:sz w:val="20"/>
                <w:szCs w:val="20"/>
                <w:lang w:val="en-US"/>
              </w:rPr>
              <w:t>. (3</w:t>
            </w:r>
            <w:r w:rsidR="00163FA2" w:rsidRPr="00E407E9">
              <w:rPr>
                <w:b/>
                <w:sz w:val="20"/>
                <w:szCs w:val="20"/>
                <w:lang w:val="en-US"/>
              </w:rPr>
              <w:t>9130</w:t>
            </w:r>
            <w:r w:rsidRPr="00E407E9">
              <w:rPr>
                <w:b/>
                <w:sz w:val="20"/>
                <w:szCs w:val="20"/>
                <w:lang w:val="en-US"/>
              </w:rPr>
              <w:t>)</w:t>
            </w:r>
          </w:p>
          <w:p w:rsidR="0086340B" w:rsidRPr="00E407E9" w:rsidRDefault="0086340B" w:rsidP="005F1ED8">
            <w:pPr>
              <w:rPr>
                <w:sz w:val="20"/>
                <w:szCs w:val="20"/>
                <w:lang w:val="en-US"/>
              </w:rPr>
            </w:pPr>
          </w:p>
          <w:p w:rsidR="0086340B" w:rsidRPr="00E407E9" w:rsidRDefault="00163FA2" w:rsidP="005F1ED8">
            <w:pPr>
              <w:rPr>
                <w:b/>
                <w:sz w:val="20"/>
                <w:szCs w:val="20"/>
                <w:lang w:val="en-US"/>
              </w:rPr>
            </w:pPr>
            <w:r w:rsidRPr="00E407E9">
              <w:rPr>
                <w:b/>
                <w:sz w:val="20"/>
                <w:szCs w:val="20"/>
                <w:lang w:val="en-US"/>
              </w:rPr>
              <w:t>Attorney General of Antigua and Barbuda</w:t>
            </w:r>
            <w:r w:rsidR="0086340B" w:rsidRPr="00E407E9">
              <w:rPr>
                <w:b/>
                <w:sz w:val="20"/>
                <w:szCs w:val="20"/>
                <w:lang w:val="en-US"/>
              </w:rPr>
              <w:t xml:space="preserve"> (</w:t>
            </w:r>
            <w:r w:rsidRPr="00E407E9">
              <w:rPr>
                <w:b/>
                <w:sz w:val="20"/>
                <w:szCs w:val="20"/>
                <w:lang w:val="en-US"/>
              </w:rPr>
              <w:t>Ont.</w:t>
            </w:r>
            <w:r w:rsidR="0086340B" w:rsidRPr="00E407E9">
              <w:rPr>
                <w:b/>
                <w:sz w:val="20"/>
                <w:szCs w:val="20"/>
                <w:lang w:val="en-US"/>
              </w:rPr>
              <w:t>)</w:t>
            </w:r>
          </w:p>
          <w:p w:rsidR="0086340B" w:rsidRPr="00E407E9" w:rsidRDefault="0086340B" w:rsidP="005F1ED8">
            <w:pPr>
              <w:rPr>
                <w:sz w:val="20"/>
                <w:szCs w:val="20"/>
                <w:lang w:val="en-US"/>
              </w:rPr>
            </w:pPr>
          </w:p>
          <w:p w:rsidR="0086340B" w:rsidRPr="00E407E9" w:rsidRDefault="0086340B" w:rsidP="005F1ED8">
            <w:pPr>
              <w:rPr>
                <w:sz w:val="20"/>
                <w:szCs w:val="20"/>
              </w:rPr>
            </w:pPr>
            <w:r w:rsidRPr="00E407E9">
              <w:rPr>
                <w:sz w:val="20"/>
                <w:szCs w:val="20"/>
              </w:rPr>
              <w:t>(</w:t>
            </w:r>
            <w:r w:rsidR="00163FA2" w:rsidRPr="00E407E9">
              <w:rPr>
                <w:sz w:val="20"/>
                <w:szCs w:val="20"/>
              </w:rPr>
              <w:t>By Leave</w:t>
            </w:r>
            <w:r w:rsidRPr="00E407E9">
              <w:rPr>
                <w:sz w:val="20"/>
                <w:szCs w:val="20"/>
              </w:rPr>
              <w:t>)</w:t>
            </w:r>
          </w:p>
          <w:p w:rsidR="0086340B" w:rsidRPr="00E407E9" w:rsidRDefault="0086340B" w:rsidP="005F1ED8">
            <w:pPr>
              <w:rPr>
                <w:sz w:val="20"/>
                <w:szCs w:val="20"/>
              </w:rPr>
            </w:pPr>
          </w:p>
          <w:p w:rsidR="0086340B" w:rsidRPr="00E407E9" w:rsidRDefault="00CE6E62" w:rsidP="005F1ED8">
            <w:pPr>
              <w:rPr>
                <w:sz w:val="20"/>
                <w:szCs w:val="20"/>
              </w:rPr>
            </w:pPr>
            <w:r>
              <w:rPr>
                <w:sz w:val="20"/>
                <w:szCs w:val="20"/>
                <w:lang w:val="fr-CA"/>
              </w:rPr>
              <w:pict>
                <v:rect id="_x0000_i1091" style="width:106.1pt;height:1pt" o:hrpct="500" o:hrstd="t" o:hrnoshade="t" o:hr="t" fillcolor="black [3213]" stroked="f"/>
              </w:pict>
            </w:r>
          </w:p>
        </w:tc>
      </w:tr>
      <w:tr w:rsidR="00741C39" w:rsidRPr="00E407E9" w:rsidTr="005F1ED8">
        <w:trPr>
          <w:cantSplit/>
        </w:trPr>
        <w:tc>
          <w:tcPr>
            <w:tcW w:w="2206" w:type="pct"/>
            <w:tcMar>
              <w:left w:w="0" w:type="dxa"/>
              <w:right w:w="0" w:type="dxa"/>
            </w:tcMar>
          </w:tcPr>
          <w:p w:rsidR="00741C39" w:rsidRPr="00E407E9" w:rsidRDefault="00163FA2" w:rsidP="00741C39">
            <w:pPr>
              <w:rPr>
                <w:sz w:val="20"/>
                <w:szCs w:val="20"/>
              </w:rPr>
            </w:pPr>
            <w:r w:rsidRPr="00E407E9">
              <w:rPr>
                <w:sz w:val="20"/>
                <w:szCs w:val="20"/>
              </w:rPr>
              <w:t>December</w:t>
            </w:r>
            <w:r w:rsidR="00741C39" w:rsidRPr="00E407E9">
              <w:rPr>
                <w:sz w:val="20"/>
                <w:szCs w:val="20"/>
              </w:rPr>
              <w:t xml:space="preserve"> 1, 202</w:t>
            </w:r>
            <w:r w:rsidRPr="00E407E9">
              <w:rPr>
                <w:sz w:val="20"/>
                <w:szCs w:val="20"/>
              </w:rPr>
              <w:t>0</w:t>
            </w:r>
          </w:p>
          <w:p w:rsidR="00741C39" w:rsidRPr="00E407E9" w:rsidRDefault="00741C39" w:rsidP="00741C39">
            <w:pPr>
              <w:rPr>
                <w:sz w:val="20"/>
                <w:szCs w:val="20"/>
              </w:rPr>
            </w:pPr>
          </w:p>
          <w:p w:rsidR="00741C39" w:rsidRPr="00E407E9" w:rsidRDefault="00163FA2" w:rsidP="00741C39">
            <w:pPr>
              <w:rPr>
                <w:b/>
                <w:sz w:val="20"/>
                <w:szCs w:val="20"/>
              </w:rPr>
            </w:pPr>
            <w:r w:rsidRPr="00E407E9">
              <w:rPr>
                <w:b/>
                <w:sz w:val="20"/>
                <w:szCs w:val="20"/>
              </w:rPr>
              <w:t>Cameron O’Lynn Parranto also known as Cameron O’Lynn Rocky Parranto, et al.</w:t>
            </w:r>
          </w:p>
          <w:p w:rsidR="00741C39" w:rsidRPr="00E407E9" w:rsidRDefault="00741C39" w:rsidP="00741C39">
            <w:pPr>
              <w:rPr>
                <w:sz w:val="20"/>
                <w:szCs w:val="20"/>
              </w:rPr>
            </w:pPr>
          </w:p>
          <w:p w:rsidR="00741C39" w:rsidRPr="00E407E9" w:rsidRDefault="00741C39" w:rsidP="00741C39">
            <w:pPr>
              <w:rPr>
                <w:b/>
                <w:sz w:val="20"/>
                <w:szCs w:val="20"/>
              </w:rPr>
            </w:pPr>
            <w:r w:rsidRPr="00E407E9">
              <w:rPr>
                <w:b/>
                <w:sz w:val="20"/>
                <w:szCs w:val="20"/>
              </w:rPr>
              <w:tab/>
              <w:t>v. (3</w:t>
            </w:r>
            <w:r w:rsidR="00163FA2" w:rsidRPr="00E407E9">
              <w:rPr>
                <w:b/>
                <w:sz w:val="20"/>
                <w:szCs w:val="20"/>
              </w:rPr>
              <w:t>9</w:t>
            </w:r>
            <w:r w:rsidRPr="00E407E9">
              <w:rPr>
                <w:b/>
                <w:sz w:val="20"/>
                <w:szCs w:val="20"/>
              </w:rPr>
              <w:t>2</w:t>
            </w:r>
            <w:r w:rsidR="00163FA2" w:rsidRPr="00E407E9">
              <w:rPr>
                <w:b/>
                <w:sz w:val="20"/>
                <w:szCs w:val="20"/>
              </w:rPr>
              <w:t>27</w:t>
            </w:r>
            <w:r w:rsidRPr="00E407E9">
              <w:rPr>
                <w:b/>
                <w:sz w:val="20"/>
                <w:szCs w:val="20"/>
              </w:rPr>
              <w:t>)</w:t>
            </w:r>
          </w:p>
          <w:p w:rsidR="00741C39" w:rsidRPr="00E407E9" w:rsidRDefault="00741C39" w:rsidP="00741C39">
            <w:pPr>
              <w:rPr>
                <w:sz w:val="20"/>
                <w:szCs w:val="20"/>
              </w:rPr>
            </w:pPr>
          </w:p>
          <w:p w:rsidR="00741C39" w:rsidRPr="00E407E9" w:rsidRDefault="00163FA2" w:rsidP="00741C39">
            <w:pPr>
              <w:rPr>
                <w:b/>
                <w:sz w:val="20"/>
                <w:szCs w:val="20"/>
              </w:rPr>
            </w:pPr>
            <w:r w:rsidRPr="00E407E9">
              <w:rPr>
                <w:b/>
                <w:sz w:val="20"/>
                <w:szCs w:val="20"/>
              </w:rPr>
              <w:t xml:space="preserve">Her Majesty the Queen, et al. </w:t>
            </w:r>
            <w:r w:rsidR="00741C39" w:rsidRPr="00E407E9">
              <w:rPr>
                <w:b/>
                <w:sz w:val="20"/>
                <w:szCs w:val="20"/>
              </w:rPr>
              <w:t>(</w:t>
            </w:r>
            <w:r w:rsidRPr="00E407E9">
              <w:rPr>
                <w:b/>
                <w:sz w:val="20"/>
                <w:szCs w:val="20"/>
              </w:rPr>
              <w:t>Alta</w:t>
            </w:r>
            <w:r w:rsidR="00741C39" w:rsidRPr="00E407E9">
              <w:rPr>
                <w:b/>
                <w:sz w:val="20"/>
                <w:szCs w:val="20"/>
              </w:rPr>
              <w:t>.)</w:t>
            </w:r>
          </w:p>
          <w:p w:rsidR="00741C39" w:rsidRPr="00E407E9" w:rsidRDefault="00741C39" w:rsidP="00741C39">
            <w:pPr>
              <w:rPr>
                <w:sz w:val="20"/>
                <w:szCs w:val="20"/>
              </w:rPr>
            </w:pPr>
          </w:p>
          <w:p w:rsidR="00741C39" w:rsidRPr="00E407E9" w:rsidRDefault="00741C39" w:rsidP="00741C39">
            <w:pPr>
              <w:rPr>
                <w:sz w:val="20"/>
                <w:szCs w:val="20"/>
              </w:rPr>
            </w:pPr>
            <w:r w:rsidRPr="00E407E9">
              <w:rPr>
                <w:sz w:val="20"/>
                <w:szCs w:val="20"/>
              </w:rPr>
              <w:t>(By Leave)</w:t>
            </w:r>
          </w:p>
          <w:p w:rsidR="00741C39" w:rsidRPr="00E407E9" w:rsidRDefault="00741C39" w:rsidP="00741C39">
            <w:pPr>
              <w:rPr>
                <w:sz w:val="20"/>
                <w:szCs w:val="20"/>
              </w:rPr>
            </w:pPr>
          </w:p>
          <w:p w:rsidR="00741C39" w:rsidRPr="00E407E9" w:rsidRDefault="00CE6E62" w:rsidP="00741C39">
            <w:pPr>
              <w:rPr>
                <w:sz w:val="20"/>
                <w:szCs w:val="20"/>
              </w:rPr>
            </w:pPr>
            <w:r>
              <w:rPr>
                <w:sz w:val="20"/>
                <w:szCs w:val="20"/>
                <w:lang w:val="fr-CA"/>
              </w:rPr>
              <w:pict>
                <v:rect id="_x0000_i1092" style="width:106.1pt;height:1pt" o:hrpct="500" o:hrstd="t" o:hrnoshade="t" o:hr="t" fillcolor="black [3213]" stroked="f"/>
              </w:pict>
            </w:r>
          </w:p>
        </w:tc>
        <w:tc>
          <w:tcPr>
            <w:tcW w:w="588" w:type="pct"/>
          </w:tcPr>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p w:rsidR="00741C39" w:rsidRPr="00E407E9" w:rsidRDefault="00741C39" w:rsidP="005F1ED8">
            <w:pPr>
              <w:jc w:val="center"/>
              <w:rPr>
                <w:sz w:val="20"/>
                <w:szCs w:val="20"/>
              </w:rPr>
            </w:pPr>
          </w:p>
        </w:tc>
        <w:tc>
          <w:tcPr>
            <w:tcW w:w="2206" w:type="pct"/>
          </w:tcPr>
          <w:p w:rsidR="00741C39" w:rsidRPr="00E407E9" w:rsidRDefault="00741C39" w:rsidP="005F1ED8">
            <w:pPr>
              <w:rPr>
                <w:sz w:val="20"/>
                <w:szCs w:val="20"/>
                <w:lang w:val="fr-CA"/>
              </w:rPr>
            </w:pPr>
          </w:p>
        </w:tc>
      </w:tr>
    </w:tbl>
    <w:p w:rsidR="008277C4" w:rsidRPr="00E407E9" w:rsidRDefault="008277C4" w:rsidP="00F40249">
      <w:pPr>
        <w:rPr>
          <w:sz w:val="20"/>
          <w:szCs w:val="20"/>
        </w:rPr>
      </w:pPr>
    </w:p>
    <w:p w:rsidR="008277C4" w:rsidRPr="00E407E9" w:rsidRDefault="008277C4" w:rsidP="00F40249">
      <w:pPr>
        <w:rPr>
          <w:sz w:val="20"/>
          <w:szCs w:val="20"/>
        </w:rPr>
      </w:pPr>
    </w:p>
    <w:p w:rsidR="0010587F" w:rsidRPr="00E407E9" w:rsidRDefault="0010587F" w:rsidP="00F40249">
      <w:pPr>
        <w:rPr>
          <w:sz w:val="20"/>
          <w:szCs w:val="20"/>
        </w:rPr>
      </w:pPr>
    </w:p>
    <w:p w:rsidR="00EB2B90" w:rsidRPr="00E407E9" w:rsidRDefault="00EB2B90" w:rsidP="00F40249">
      <w:pPr>
        <w:rPr>
          <w:sz w:val="20"/>
          <w:szCs w:val="20"/>
        </w:rPr>
        <w:sectPr w:rsidR="00EB2B90" w:rsidRPr="00E407E9"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567602" w:rsidRPr="00E407E9" w:rsidRDefault="001434B9" w:rsidP="00567602">
      <w:pPr>
        <w:pStyle w:val="Header1StyleE"/>
        <w:pBdr>
          <w:bottom w:val="single" w:sz="12" w:space="1" w:color="auto"/>
        </w:pBdr>
        <w:rPr>
          <w:lang w:val="fr-CA"/>
        </w:rPr>
      </w:pPr>
      <w:bookmarkStart w:id="5" w:name="1"/>
      <w:bookmarkStart w:id="6" w:name="_Toc60985631"/>
      <w:bookmarkEnd w:id="5"/>
      <w:r w:rsidRPr="00E407E9">
        <w:rPr>
          <w:lang w:val="fr-CA"/>
        </w:rPr>
        <w:lastRenderedPageBreak/>
        <w:t>Notice to the profession</w:t>
      </w:r>
      <w:r w:rsidR="00271E1E" w:rsidRPr="00E407E9">
        <w:rPr>
          <w:lang w:val="fr-CA"/>
        </w:rPr>
        <w:t xml:space="preserve"> / </w:t>
      </w:r>
      <w:r w:rsidR="00567602" w:rsidRPr="00E407E9">
        <w:rPr>
          <w:lang w:val="fr-CA"/>
        </w:rPr>
        <w:br/>
      </w:r>
      <w:r w:rsidRPr="00E407E9">
        <w:rPr>
          <w:lang w:val="fr-CA"/>
        </w:rPr>
        <w:t>Avis à la communauté juridique</w:t>
      </w:r>
      <w:bookmarkEnd w:id="6"/>
    </w:p>
    <w:p w:rsidR="00567602" w:rsidRPr="00E407E9" w:rsidRDefault="00567602" w:rsidP="00C01FCB">
      <w:pPr>
        <w:rPr>
          <w:sz w:val="20"/>
          <w:szCs w:val="20"/>
          <w:lang w:val="fr-CA"/>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
        <w:gridCol w:w="432"/>
        <w:gridCol w:w="4320"/>
      </w:tblGrid>
      <w:tr w:rsidR="00C01FCB" w:rsidRPr="001A3EBC" w:rsidTr="001F2A2A">
        <w:trPr>
          <w:trHeight w:val="7393"/>
          <w:jc w:val="center"/>
        </w:trPr>
        <w:tc>
          <w:tcPr>
            <w:tcW w:w="4320" w:type="dxa"/>
          </w:tcPr>
          <w:p w:rsidR="001F2A2A" w:rsidRPr="00E407E9" w:rsidRDefault="001F2A2A" w:rsidP="001F2A2A">
            <w:pPr>
              <w:pStyle w:val="NormalWeb"/>
              <w:shd w:val="clear" w:color="auto" w:fill="FFFFFF"/>
              <w:spacing w:before="0" w:beforeAutospacing="0" w:after="0" w:afterAutospacing="0"/>
              <w:jc w:val="both"/>
              <w:rPr>
                <w:sz w:val="20"/>
                <w:szCs w:val="20"/>
                <w:lang w:val="en"/>
              </w:rPr>
            </w:pPr>
            <w:r w:rsidRPr="00E407E9">
              <w:rPr>
                <w:sz w:val="20"/>
                <w:szCs w:val="20"/>
                <w:lang w:val="en"/>
              </w:rPr>
              <w:t xml:space="preserve">The </w:t>
            </w:r>
            <w:r w:rsidRPr="00E407E9">
              <w:rPr>
                <w:i/>
                <w:iCs/>
                <w:sz w:val="20"/>
                <w:szCs w:val="20"/>
                <w:lang w:val="en"/>
              </w:rPr>
              <w:t>Rules Amending the Rules of the Supreme Court of Canada</w:t>
            </w:r>
            <w:r w:rsidRPr="00E407E9">
              <w:rPr>
                <w:sz w:val="20"/>
                <w:szCs w:val="20"/>
                <w:lang w:val="en"/>
              </w:rPr>
              <w:t xml:space="preserve">, SOR/2020-281, were published in Part II of the </w:t>
            </w:r>
            <w:r w:rsidRPr="00E407E9">
              <w:rPr>
                <w:i/>
                <w:iCs/>
                <w:sz w:val="20"/>
                <w:szCs w:val="20"/>
                <w:lang w:val="en"/>
              </w:rPr>
              <w:t>Canada Gazette</w:t>
            </w:r>
            <w:r w:rsidRPr="00E407E9">
              <w:rPr>
                <w:sz w:val="20"/>
                <w:szCs w:val="20"/>
                <w:lang w:val="en"/>
              </w:rPr>
              <w:t xml:space="preserve"> on January 6, 2021. These amendments, which come into force on January 27, 2021, apply to all cases, including filings as of that date in any ongoing cases.</w:t>
            </w:r>
          </w:p>
          <w:p w:rsidR="00C01FCB" w:rsidRDefault="00C01FCB" w:rsidP="00E06F20">
            <w:pPr>
              <w:pStyle w:val="NormalWeb"/>
              <w:shd w:val="clear" w:color="auto" w:fill="FFFFFF"/>
              <w:spacing w:before="0" w:beforeAutospacing="0" w:after="0" w:afterAutospacing="0"/>
              <w:jc w:val="both"/>
              <w:rPr>
                <w:sz w:val="20"/>
                <w:szCs w:val="20"/>
                <w:lang w:val="en"/>
              </w:rPr>
            </w:pPr>
          </w:p>
          <w:p w:rsidR="001A3EBC" w:rsidRPr="00E407E9" w:rsidRDefault="001A3EBC" w:rsidP="00E06F20">
            <w:pPr>
              <w:pStyle w:val="NormalWeb"/>
              <w:shd w:val="clear" w:color="auto" w:fill="FFFFFF"/>
              <w:spacing w:before="0" w:beforeAutospacing="0" w:after="0" w:afterAutospacing="0"/>
              <w:jc w:val="both"/>
              <w:rPr>
                <w:sz w:val="20"/>
                <w:szCs w:val="20"/>
                <w:lang w:val="en"/>
              </w:rPr>
            </w:pPr>
          </w:p>
          <w:p w:rsidR="00E06F20" w:rsidRPr="00E407E9" w:rsidRDefault="00E06F20" w:rsidP="00E06F20">
            <w:pPr>
              <w:pStyle w:val="NormalWeb"/>
              <w:shd w:val="clear" w:color="auto" w:fill="FFFFFF"/>
              <w:spacing w:before="0" w:beforeAutospacing="0" w:after="0" w:afterAutospacing="0"/>
              <w:jc w:val="both"/>
              <w:rPr>
                <w:sz w:val="20"/>
                <w:szCs w:val="20"/>
                <w:lang w:val="en"/>
              </w:rPr>
            </w:pPr>
          </w:p>
          <w:p w:rsidR="00125B8F" w:rsidRPr="00E407E9" w:rsidRDefault="001F2A2A" w:rsidP="001F2A2A">
            <w:pPr>
              <w:pStyle w:val="NormalWeb"/>
              <w:shd w:val="clear" w:color="auto" w:fill="FFFFFF"/>
              <w:spacing w:before="0" w:beforeAutospacing="0" w:after="0" w:afterAutospacing="0"/>
              <w:jc w:val="both"/>
              <w:rPr>
                <w:sz w:val="20"/>
                <w:szCs w:val="20"/>
                <w:lang w:val="en"/>
              </w:rPr>
            </w:pPr>
            <w:r w:rsidRPr="00E407E9">
              <w:rPr>
                <w:sz w:val="20"/>
                <w:szCs w:val="20"/>
                <w:lang w:val="en"/>
              </w:rPr>
              <w:t xml:space="preserve">The amendments will, amongst other things, simplify the leave application process. With these amendments, an application for leave to appeal will consist of the notice of application, lower court decisions and memorandum of argument only. </w:t>
            </w:r>
            <w:r w:rsidRPr="00E407E9">
              <w:rPr>
                <w:sz w:val="20"/>
                <w:szCs w:val="20"/>
              </w:rPr>
              <w:t xml:space="preserve">This new process will also facilitate the electronic filing of </w:t>
            </w:r>
            <w:r w:rsidRPr="00E407E9">
              <w:rPr>
                <w:bCs/>
                <w:sz w:val="20"/>
                <w:szCs w:val="20"/>
                <w:lang w:val="en"/>
              </w:rPr>
              <w:t xml:space="preserve">leave application </w:t>
            </w:r>
            <w:r w:rsidRPr="00E407E9">
              <w:rPr>
                <w:sz w:val="20"/>
                <w:szCs w:val="20"/>
              </w:rPr>
              <w:t xml:space="preserve">materials. </w:t>
            </w:r>
            <w:r w:rsidRPr="00E407E9">
              <w:rPr>
                <w:bCs/>
                <w:sz w:val="20"/>
                <w:szCs w:val="20"/>
                <w:lang w:val="en"/>
              </w:rPr>
              <w:t xml:space="preserve">Service requirements for the electronic versions of these materials will be less stringent.  </w:t>
            </w:r>
            <w:r w:rsidRPr="00E407E9">
              <w:rPr>
                <w:sz w:val="20"/>
                <w:szCs w:val="20"/>
                <w:lang w:val="en"/>
              </w:rPr>
              <w:t>The number of print copies required will also be reduced.</w:t>
            </w:r>
          </w:p>
          <w:p w:rsidR="00125B8F" w:rsidRPr="00E407E9" w:rsidRDefault="00125B8F" w:rsidP="00125B8F">
            <w:pPr>
              <w:pStyle w:val="NormalWeb"/>
              <w:shd w:val="clear" w:color="auto" w:fill="FFFFFF"/>
              <w:spacing w:before="0" w:beforeAutospacing="0" w:after="0" w:afterAutospacing="0"/>
              <w:jc w:val="both"/>
              <w:rPr>
                <w:sz w:val="20"/>
                <w:szCs w:val="20"/>
                <w:lang w:val="en"/>
              </w:rPr>
            </w:pPr>
          </w:p>
          <w:p w:rsidR="00125B8F" w:rsidRPr="00E407E9" w:rsidRDefault="00125B8F" w:rsidP="00125B8F">
            <w:pPr>
              <w:pStyle w:val="NormalWeb"/>
              <w:shd w:val="clear" w:color="auto" w:fill="FFFFFF"/>
              <w:spacing w:before="0" w:beforeAutospacing="0" w:after="0" w:afterAutospacing="0"/>
              <w:jc w:val="both"/>
              <w:rPr>
                <w:sz w:val="20"/>
                <w:szCs w:val="20"/>
                <w:lang w:val="en"/>
              </w:rPr>
            </w:pPr>
          </w:p>
          <w:p w:rsidR="00C01FCB" w:rsidRPr="00E407E9" w:rsidRDefault="001F2A2A" w:rsidP="00125B8F">
            <w:pPr>
              <w:pStyle w:val="NormalWeb"/>
              <w:shd w:val="clear" w:color="auto" w:fill="FFFFFF"/>
              <w:spacing w:before="0" w:beforeAutospacing="0" w:after="0" w:afterAutospacing="0"/>
              <w:jc w:val="both"/>
              <w:rPr>
                <w:sz w:val="20"/>
                <w:szCs w:val="20"/>
                <w:lang w:val="en"/>
              </w:rPr>
            </w:pPr>
            <w:r w:rsidRPr="00E407E9">
              <w:rPr>
                <w:sz w:val="20"/>
                <w:szCs w:val="20"/>
                <w:lang w:val="en"/>
              </w:rPr>
              <w:t xml:space="preserve">The amendments are further explained in a </w:t>
            </w:r>
            <w:hyperlink r:id="rId81" w:history="1">
              <w:r w:rsidRPr="00E407E9">
                <w:rPr>
                  <w:rStyle w:val="Hyperlink"/>
                  <w:sz w:val="20"/>
                  <w:szCs w:val="20"/>
                  <w:lang w:val="en"/>
                </w:rPr>
                <w:t>guide</w:t>
              </w:r>
            </w:hyperlink>
            <w:r w:rsidRPr="00E407E9">
              <w:rPr>
                <w:sz w:val="20"/>
                <w:szCs w:val="20"/>
                <w:lang w:val="en"/>
              </w:rPr>
              <w:t xml:space="preserve"> available at www.scc-csc.ca. The </w:t>
            </w:r>
            <w:hyperlink r:id="rId82" w:history="1">
              <w:r w:rsidRPr="00E407E9">
                <w:rPr>
                  <w:rStyle w:val="Hyperlink"/>
                  <w:i/>
                  <w:iCs/>
                  <w:sz w:val="20"/>
                  <w:szCs w:val="20"/>
                  <w:lang w:val="en"/>
                </w:rPr>
                <w:t>Guidelines for Preparing Documents to be Filed with the Supreme Court of Canada (Print and Electronic)</w:t>
              </w:r>
            </w:hyperlink>
            <w:r w:rsidRPr="00E407E9">
              <w:rPr>
                <w:sz w:val="20"/>
                <w:szCs w:val="20"/>
                <w:lang w:val="en"/>
              </w:rPr>
              <w:t xml:space="preserve"> have been updated to reflect these amendments and are also available on the SCC Website.</w:t>
            </w:r>
          </w:p>
          <w:p w:rsidR="004F3DF6" w:rsidRPr="00E407E9" w:rsidRDefault="004F3DF6" w:rsidP="00125B8F">
            <w:pPr>
              <w:pStyle w:val="NormalWeb"/>
              <w:shd w:val="clear" w:color="auto" w:fill="FFFFFF"/>
              <w:spacing w:before="0" w:beforeAutospacing="0" w:after="0" w:afterAutospacing="0"/>
              <w:jc w:val="both"/>
              <w:rPr>
                <w:sz w:val="20"/>
                <w:szCs w:val="20"/>
                <w:lang w:val="en"/>
              </w:rPr>
            </w:pPr>
          </w:p>
          <w:p w:rsidR="004F3DF6" w:rsidRDefault="004F3DF6" w:rsidP="00125B8F">
            <w:pPr>
              <w:pStyle w:val="NormalWeb"/>
              <w:shd w:val="clear" w:color="auto" w:fill="FFFFFF"/>
              <w:spacing w:before="0" w:beforeAutospacing="0" w:after="0" w:afterAutospacing="0"/>
              <w:jc w:val="both"/>
              <w:rPr>
                <w:sz w:val="20"/>
                <w:szCs w:val="20"/>
                <w:lang w:val="en"/>
              </w:rPr>
            </w:pPr>
          </w:p>
          <w:p w:rsidR="001A3EBC" w:rsidRPr="00E407E9" w:rsidRDefault="001A3EBC" w:rsidP="00125B8F">
            <w:pPr>
              <w:pStyle w:val="NormalWeb"/>
              <w:shd w:val="clear" w:color="auto" w:fill="FFFFFF"/>
              <w:spacing w:before="0" w:beforeAutospacing="0" w:after="0" w:afterAutospacing="0"/>
              <w:jc w:val="both"/>
              <w:rPr>
                <w:sz w:val="20"/>
                <w:szCs w:val="20"/>
                <w:lang w:val="en"/>
              </w:rPr>
            </w:pPr>
            <w:bookmarkStart w:id="7" w:name="_GoBack"/>
            <w:bookmarkEnd w:id="7"/>
          </w:p>
          <w:p w:rsidR="004F3DF6" w:rsidRPr="00E407E9" w:rsidRDefault="004F3DF6" w:rsidP="00125B8F">
            <w:pPr>
              <w:pStyle w:val="NormalWeb"/>
              <w:shd w:val="clear" w:color="auto" w:fill="FFFFFF"/>
              <w:spacing w:before="0" w:beforeAutospacing="0" w:after="0" w:afterAutospacing="0"/>
              <w:jc w:val="both"/>
              <w:rPr>
                <w:sz w:val="20"/>
                <w:szCs w:val="20"/>
                <w:lang w:val="en"/>
              </w:rPr>
            </w:pPr>
            <w:r w:rsidRPr="00E407E9">
              <w:rPr>
                <w:sz w:val="20"/>
                <w:szCs w:val="20"/>
                <w:lang w:val="en"/>
              </w:rPr>
              <w:t xml:space="preserve">For further information, please contact the Registry by email at </w:t>
            </w:r>
            <w:hyperlink r:id="rId83" w:history="1">
              <w:r w:rsidRPr="00E407E9">
                <w:rPr>
                  <w:rStyle w:val="Hyperlink"/>
                  <w:sz w:val="20"/>
                  <w:szCs w:val="20"/>
                  <w:lang w:val="en"/>
                </w:rPr>
                <w:t>registry-greffe@scc-csc.ca</w:t>
              </w:r>
            </w:hyperlink>
            <w:r w:rsidRPr="00E407E9">
              <w:rPr>
                <w:sz w:val="20"/>
                <w:szCs w:val="20"/>
                <w:lang w:val="en"/>
              </w:rPr>
              <w:t>.</w:t>
            </w:r>
          </w:p>
          <w:p w:rsidR="00C01FCB" w:rsidRPr="00E407E9" w:rsidRDefault="00C01FCB" w:rsidP="004F3DF6">
            <w:pPr>
              <w:pStyle w:val="NormalWeb"/>
              <w:shd w:val="clear" w:color="auto" w:fill="FFFFFF"/>
              <w:spacing w:before="0" w:beforeAutospacing="0" w:after="0" w:afterAutospacing="0"/>
              <w:jc w:val="both"/>
              <w:rPr>
                <w:sz w:val="20"/>
                <w:szCs w:val="20"/>
                <w:lang w:val="en"/>
              </w:rPr>
            </w:pPr>
          </w:p>
        </w:tc>
        <w:tc>
          <w:tcPr>
            <w:tcW w:w="864" w:type="dxa"/>
            <w:gridSpan w:val="2"/>
          </w:tcPr>
          <w:p w:rsidR="00C01FCB" w:rsidRPr="00E407E9" w:rsidRDefault="00C01FCB" w:rsidP="00C406CA">
            <w:pPr>
              <w:jc w:val="center"/>
              <w:rPr>
                <w:sz w:val="20"/>
                <w:szCs w:val="20"/>
              </w:rPr>
            </w:pPr>
          </w:p>
        </w:tc>
        <w:tc>
          <w:tcPr>
            <w:tcW w:w="4320" w:type="dxa"/>
          </w:tcPr>
          <w:p w:rsidR="001F2A2A" w:rsidRPr="00E407E9" w:rsidRDefault="001F2A2A" w:rsidP="001F2A2A">
            <w:pPr>
              <w:pStyle w:val="NormalWeb"/>
              <w:shd w:val="clear" w:color="auto" w:fill="FFFFFF"/>
              <w:spacing w:before="0" w:beforeAutospacing="0" w:after="0" w:afterAutospacing="0"/>
              <w:jc w:val="both"/>
              <w:rPr>
                <w:iCs/>
                <w:sz w:val="20"/>
                <w:szCs w:val="20"/>
                <w:lang w:val="fr-CA"/>
              </w:rPr>
            </w:pPr>
            <w:r w:rsidRPr="00E407E9">
              <w:rPr>
                <w:iCs/>
                <w:sz w:val="20"/>
                <w:szCs w:val="20"/>
                <w:lang w:val="fr-CA"/>
              </w:rPr>
              <w:t xml:space="preserve">Les </w:t>
            </w:r>
            <w:r w:rsidRPr="00E407E9">
              <w:rPr>
                <w:i/>
                <w:iCs/>
                <w:sz w:val="20"/>
                <w:szCs w:val="20"/>
                <w:lang w:val="fr-CA"/>
              </w:rPr>
              <w:t>Règles modifiant les règles de la Cour suprême du Canada</w:t>
            </w:r>
            <w:r w:rsidRPr="00E407E9">
              <w:rPr>
                <w:iCs/>
                <w:sz w:val="20"/>
                <w:szCs w:val="20"/>
                <w:lang w:val="fr-CA"/>
              </w:rPr>
              <w:t xml:space="preserve">, DORS/2020-281, ont été publiées dans la partie II de la </w:t>
            </w:r>
            <w:r w:rsidRPr="00E407E9">
              <w:rPr>
                <w:i/>
                <w:iCs/>
                <w:sz w:val="20"/>
                <w:szCs w:val="20"/>
                <w:lang w:val="fr-CA"/>
              </w:rPr>
              <w:t>Gazette du Canada</w:t>
            </w:r>
            <w:r w:rsidRPr="00E407E9">
              <w:rPr>
                <w:iCs/>
                <w:sz w:val="20"/>
                <w:szCs w:val="20"/>
                <w:lang w:val="fr-CA"/>
              </w:rPr>
              <w:t xml:space="preserve"> le 6 janvier 2021. Ces modifications, qui entrent en vigueur le 27 janvier 2021, s’appliquent à toutes les instances, y compris aux documents déposés à compter de cette date dans toute instance déjà en cours.</w:t>
            </w:r>
          </w:p>
          <w:p w:rsidR="00125B8F" w:rsidRPr="00E407E9" w:rsidRDefault="00125B8F" w:rsidP="00125B8F">
            <w:pPr>
              <w:pStyle w:val="NormalWeb"/>
              <w:shd w:val="clear" w:color="auto" w:fill="FFFFFF"/>
              <w:spacing w:before="0" w:beforeAutospacing="0" w:after="0" w:afterAutospacing="0"/>
              <w:jc w:val="both"/>
              <w:rPr>
                <w:sz w:val="20"/>
                <w:szCs w:val="20"/>
                <w:lang w:val="fr-CA"/>
              </w:rPr>
            </w:pPr>
          </w:p>
          <w:p w:rsidR="001F2A2A" w:rsidRPr="00E407E9" w:rsidRDefault="001F2A2A" w:rsidP="001F2A2A">
            <w:pPr>
              <w:pStyle w:val="NormalWeb"/>
              <w:shd w:val="clear" w:color="auto" w:fill="FFFFFF"/>
              <w:spacing w:before="0" w:beforeAutospacing="0" w:after="0" w:afterAutospacing="0"/>
              <w:jc w:val="both"/>
              <w:rPr>
                <w:iCs/>
                <w:sz w:val="20"/>
                <w:szCs w:val="20"/>
                <w:lang w:val="fr-CA"/>
              </w:rPr>
            </w:pPr>
            <w:r w:rsidRPr="00E407E9">
              <w:rPr>
                <w:iCs/>
                <w:sz w:val="20"/>
                <w:szCs w:val="20"/>
                <w:lang w:val="fr-CA"/>
              </w:rPr>
              <w:t>Les modifications auront notamment pour effet de simplifier le processus de demande d’autorisation d’appel. Par suite de ces modifications, la demande d’autorisation d’appel se composera uniquement de l’avis de demande, des décisions des juridictions inférieures et du mémoire. Ce nouveau processus facilitera également le dépôt par voie électronique des documents de la demande d’autorisation. Les modalités de signification des versions électroniques de ces documents seront moins exigeantes, et le nombre de copies papier requises sera réduit.</w:t>
            </w:r>
          </w:p>
          <w:p w:rsidR="00C01FCB" w:rsidRPr="00E407E9" w:rsidRDefault="00C01FCB" w:rsidP="00125B8F">
            <w:pPr>
              <w:pStyle w:val="NormalWeb"/>
              <w:shd w:val="clear" w:color="auto" w:fill="FFFFFF"/>
              <w:spacing w:before="0" w:beforeAutospacing="0" w:after="0" w:afterAutospacing="0"/>
              <w:jc w:val="both"/>
              <w:rPr>
                <w:sz w:val="20"/>
                <w:szCs w:val="20"/>
                <w:lang w:val="fr-CA"/>
              </w:rPr>
            </w:pPr>
          </w:p>
          <w:p w:rsidR="001F2A2A" w:rsidRPr="00E407E9" w:rsidRDefault="001F2A2A" w:rsidP="001F2A2A">
            <w:pPr>
              <w:pStyle w:val="NormalWeb"/>
              <w:shd w:val="clear" w:color="auto" w:fill="FFFFFF"/>
              <w:spacing w:before="0" w:beforeAutospacing="0" w:after="0" w:afterAutospacing="0"/>
              <w:jc w:val="both"/>
              <w:rPr>
                <w:iCs/>
                <w:sz w:val="20"/>
                <w:szCs w:val="20"/>
                <w:lang w:val="fr-CA"/>
              </w:rPr>
            </w:pPr>
            <w:r w:rsidRPr="00E407E9">
              <w:rPr>
                <w:iCs/>
                <w:sz w:val="20"/>
                <w:szCs w:val="20"/>
                <w:lang w:val="fr-CA"/>
              </w:rPr>
              <w:t xml:space="preserve">Les modifications sont précisées davantage dans un </w:t>
            </w:r>
            <w:hyperlink r:id="rId84" w:history="1">
              <w:r w:rsidRPr="00E407E9">
                <w:rPr>
                  <w:rStyle w:val="Hyperlink"/>
                  <w:sz w:val="20"/>
                  <w:szCs w:val="20"/>
                  <w:lang w:val="fr-CA"/>
                </w:rPr>
                <w:t>guide</w:t>
              </w:r>
            </w:hyperlink>
            <w:r w:rsidRPr="00E407E9">
              <w:rPr>
                <w:sz w:val="20"/>
                <w:szCs w:val="20"/>
                <w:lang w:val="fr-CA"/>
              </w:rPr>
              <w:t xml:space="preserve"> consultable </w:t>
            </w:r>
            <w:r w:rsidRPr="00E407E9">
              <w:rPr>
                <w:iCs/>
                <w:sz w:val="20"/>
                <w:szCs w:val="20"/>
                <w:lang w:val="fr-CA"/>
              </w:rPr>
              <w:t xml:space="preserve">sur le site Web </w:t>
            </w:r>
            <w:r w:rsidRPr="00E407E9">
              <w:rPr>
                <w:sz w:val="20"/>
                <w:szCs w:val="20"/>
                <w:lang w:val="fr-CA"/>
              </w:rPr>
              <w:t xml:space="preserve">www.scc-csc.ca. Les </w:t>
            </w:r>
            <w:hyperlink r:id="rId85" w:history="1">
              <w:r w:rsidRPr="00E407E9">
                <w:rPr>
                  <w:rStyle w:val="Hyperlink"/>
                  <w:i/>
                  <w:iCs/>
                  <w:sz w:val="20"/>
                  <w:szCs w:val="20"/>
                  <w:lang w:val="fr-CA"/>
                </w:rPr>
                <w:t>Lignes directrices pour la préparation des documents à déposer à la Cour suprême du Canada (versions imprimée et électronique)</w:t>
              </w:r>
            </w:hyperlink>
            <w:r w:rsidRPr="00E407E9">
              <w:rPr>
                <w:sz w:val="20"/>
                <w:szCs w:val="20"/>
                <w:lang w:val="fr-CA"/>
              </w:rPr>
              <w:t xml:space="preserve"> ont été mises à jour pour tenir compte de ces modifications et se trouvent également sur le site Web de la CSC.</w:t>
            </w:r>
          </w:p>
          <w:p w:rsidR="004F3DF6" w:rsidRPr="00E407E9" w:rsidRDefault="004F3DF6" w:rsidP="00125B8F">
            <w:pPr>
              <w:pStyle w:val="NormalWeb"/>
              <w:shd w:val="clear" w:color="auto" w:fill="FFFFFF"/>
              <w:spacing w:before="0" w:beforeAutospacing="0" w:after="0" w:afterAutospacing="0"/>
              <w:jc w:val="both"/>
              <w:rPr>
                <w:sz w:val="20"/>
                <w:szCs w:val="20"/>
                <w:lang w:val="fr-CA"/>
              </w:rPr>
            </w:pPr>
          </w:p>
          <w:p w:rsidR="00C01FCB" w:rsidRPr="00E407E9" w:rsidRDefault="004F3DF6" w:rsidP="004F3DF6">
            <w:pPr>
              <w:pStyle w:val="NormalWeb"/>
              <w:shd w:val="clear" w:color="auto" w:fill="FFFFFF"/>
              <w:spacing w:before="0" w:beforeAutospacing="0" w:after="0" w:afterAutospacing="0"/>
              <w:jc w:val="both"/>
              <w:rPr>
                <w:sz w:val="20"/>
                <w:szCs w:val="20"/>
                <w:u w:val="single"/>
                <w:lang w:val="fr-FR"/>
              </w:rPr>
            </w:pPr>
            <w:r w:rsidRPr="00E407E9">
              <w:rPr>
                <w:sz w:val="20"/>
                <w:szCs w:val="20"/>
                <w:lang w:val="fr-FR"/>
              </w:rPr>
              <w:t xml:space="preserve">Pour de plus de amples renseignements, prière de communiquer avec le Greffe par courriel à </w:t>
            </w:r>
            <w:r w:rsidRPr="00E407E9">
              <w:rPr>
                <w:sz w:val="20"/>
                <w:szCs w:val="20"/>
                <w:lang w:val="fr-CA"/>
              </w:rPr>
              <w:t xml:space="preserve"> </w:t>
            </w:r>
            <w:hyperlink r:id="rId86" w:history="1">
              <w:r w:rsidRPr="00E407E9">
                <w:rPr>
                  <w:rStyle w:val="Hyperlink"/>
                  <w:sz w:val="20"/>
                  <w:szCs w:val="20"/>
                  <w:lang w:val="fr-CA"/>
                </w:rPr>
                <w:t>registry-greffe@scc-csc.ca</w:t>
              </w:r>
            </w:hyperlink>
            <w:r w:rsidRPr="00E407E9">
              <w:rPr>
                <w:sz w:val="20"/>
                <w:szCs w:val="20"/>
                <w:lang w:val="fr-CA"/>
              </w:rPr>
              <w:t>.</w:t>
            </w:r>
          </w:p>
        </w:tc>
      </w:tr>
      <w:tr w:rsidR="00045DE3" w:rsidRPr="00E407E9" w:rsidTr="00045DE3">
        <w:trPr>
          <w:jc w:val="center"/>
        </w:trPr>
        <w:tc>
          <w:tcPr>
            <w:tcW w:w="9504" w:type="dxa"/>
            <w:gridSpan w:val="4"/>
          </w:tcPr>
          <w:p w:rsidR="00045DE3" w:rsidRPr="00E407E9" w:rsidRDefault="00045DE3" w:rsidP="00045DE3">
            <w:pPr>
              <w:jc w:val="center"/>
              <w:rPr>
                <w:sz w:val="20"/>
                <w:szCs w:val="20"/>
                <w:lang w:val="fr-CA"/>
              </w:rPr>
            </w:pPr>
          </w:p>
          <w:p w:rsidR="00045DE3" w:rsidRPr="00E407E9" w:rsidRDefault="00045DE3" w:rsidP="00045DE3">
            <w:pPr>
              <w:jc w:val="center"/>
              <w:rPr>
                <w:sz w:val="20"/>
                <w:szCs w:val="20"/>
                <w:lang w:val="fr-CA"/>
              </w:rPr>
            </w:pPr>
          </w:p>
          <w:p w:rsidR="00045DE3" w:rsidRPr="00E407E9" w:rsidRDefault="004F3DF6" w:rsidP="00045DE3">
            <w:pPr>
              <w:jc w:val="center"/>
              <w:rPr>
                <w:sz w:val="20"/>
                <w:szCs w:val="20"/>
                <w:lang w:val="en-US"/>
              </w:rPr>
            </w:pPr>
            <w:r w:rsidRPr="00E407E9">
              <w:rPr>
                <w:sz w:val="20"/>
                <w:szCs w:val="20"/>
                <w:lang w:val="en-US"/>
              </w:rPr>
              <w:t>David Power</w:t>
            </w:r>
          </w:p>
          <w:p w:rsidR="00045DE3" w:rsidRPr="00E407E9" w:rsidRDefault="00045DE3" w:rsidP="00045DE3">
            <w:pPr>
              <w:jc w:val="center"/>
              <w:rPr>
                <w:sz w:val="20"/>
                <w:szCs w:val="20"/>
                <w:lang w:val="en-US"/>
              </w:rPr>
            </w:pPr>
          </w:p>
          <w:p w:rsidR="00045DE3" w:rsidRPr="00E407E9" w:rsidRDefault="004F3DF6" w:rsidP="00045DE3">
            <w:pPr>
              <w:jc w:val="center"/>
              <w:rPr>
                <w:sz w:val="20"/>
                <w:szCs w:val="20"/>
                <w:lang w:val="en-US"/>
              </w:rPr>
            </w:pPr>
            <w:r w:rsidRPr="00E407E9">
              <w:rPr>
                <w:sz w:val="20"/>
                <w:szCs w:val="20"/>
                <w:lang w:val="en-US"/>
              </w:rPr>
              <w:t>Acting Registrar - Registraire par intérim</w:t>
            </w:r>
          </w:p>
          <w:p w:rsidR="00045DE3" w:rsidRPr="00E407E9" w:rsidRDefault="00045DE3" w:rsidP="00045DE3">
            <w:pPr>
              <w:jc w:val="both"/>
              <w:rPr>
                <w:iCs/>
                <w:sz w:val="20"/>
                <w:szCs w:val="20"/>
                <w:lang w:val="en-US"/>
              </w:rPr>
            </w:pPr>
          </w:p>
        </w:tc>
      </w:tr>
      <w:tr w:rsidR="00045DE3" w:rsidRPr="00E407E9" w:rsidTr="00045DE3">
        <w:trPr>
          <w:jc w:val="center"/>
        </w:trPr>
        <w:tc>
          <w:tcPr>
            <w:tcW w:w="4752" w:type="dxa"/>
            <w:gridSpan w:val="2"/>
          </w:tcPr>
          <w:p w:rsidR="00045DE3" w:rsidRPr="00E407E9" w:rsidRDefault="00873743" w:rsidP="00873743">
            <w:pPr>
              <w:jc w:val="both"/>
              <w:rPr>
                <w:iCs/>
                <w:sz w:val="20"/>
                <w:szCs w:val="20"/>
                <w:lang w:val="fr-CA"/>
              </w:rPr>
            </w:pPr>
            <w:r w:rsidRPr="00E407E9">
              <w:rPr>
                <w:sz w:val="20"/>
                <w:szCs w:val="20"/>
                <w:lang w:val="en-US"/>
              </w:rPr>
              <w:t>January</w:t>
            </w:r>
            <w:r w:rsidR="00045DE3" w:rsidRPr="00E407E9">
              <w:rPr>
                <w:sz w:val="20"/>
                <w:szCs w:val="20"/>
                <w:lang w:val="en-US"/>
              </w:rPr>
              <w:t xml:space="preserve"> 202</w:t>
            </w:r>
            <w:r w:rsidRPr="00E407E9">
              <w:rPr>
                <w:sz w:val="20"/>
                <w:szCs w:val="20"/>
                <w:lang w:val="en-US"/>
              </w:rPr>
              <w:t>1</w:t>
            </w:r>
          </w:p>
        </w:tc>
        <w:tc>
          <w:tcPr>
            <w:tcW w:w="4752" w:type="dxa"/>
            <w:gridSpan w:val="2"/>
          </w:tcPr>
          <w:p w:rsidR="00045DE3" w:rsidRPr="00E407E9" w:rsidRDefault="00873743" w:rsidP="00873743">
            <w:pPr>
              <w:jc w:val="right"/>
              <w:rPr>
                <w:iCs/>
                <w:sz w:val="20"/>
                <w:szCs w:val="20"/>
                <w:lang w:val="fr-CA"/>
              </w:rPr>
            </w:pPr>
            <w:r w:rsidRPr="00E407E9">
              <w:rPr>
                <w:sz w:val="20"/>
                <w:szCs w:val="20"/>
                <w:lang w:val="en-US"/>
              </w:rPr>
              <w:t>Janvier</w:t>
            </w:r>
            <w:r w:rsidR="00045DE3" w:rsidRPr="00E407E9">
              <w:rPr>
                <w:sz w:val="20"/>
                <w:szCs w:val="20"/>
                <w:lang w:val="en-US"/>
              </w:rPr>
              <w:t xml:space="preserve"> 202</w:t>
            </w:r>
            <w:r w:rsidRPr="00E407E9">
              <w:rPr>
                <w:sz w:val="20"/>
                <w:szCs w:val="20"/>
                <w:lang w:val="en-US"/>
              </w:rPr>
              <w:t>1</w:t>
            </w:r>
          </w:p>
        </w:tc>
      </w:tr>
    </w:tbl>
    <w:p w:rsidR="006B6926" w:rsidRPr="00E407E9" w:rsidRDefault="006B6926" w:rsidP="00782AE4">
      <w:pPr>
        <w:jc w:val="both"/>
        <w:rPr>
          <w:sz w:val="20"/>
          <w:szCs w:val="20"/>
          <w:lang w:val="en-US"/>
        </w:rPr>
      </w:pPr>
    </w:p>
    <w:p w:rsidR="00125B8F" w:rsidRPr="00E407E9" w:rsidRDefault="00125B8F" w:rsidP="00782AE4">
      <w:pPr>
        <w:jc w:val="both"/>
        <w:rPr>
          <w:sz w:val="20"/>
          <w:szCs w:val="20"/>
          <w:lang w:val="en-US"/>
        </w:rPr>
      </w:pPr>
    </w:p>
    <w:p w:rsidR="006B6926" w:rsidRPr="00E407E9" w:rsidRDefault="006B6926" w:rsidP="00782AE4">
      <w:pPr>
        <w:jc w:val="both"/>
        <w:rPr>
          <w:sz w:val="20"/>
          <w:szCs w:val="20"/>
          <w:lang w:val="en-US"/>
        </w:rPr>
        <w:sectPr w:rsidR="006B6926" w:rsidRPr="00E407E9" w:rsidSect="006B6926">
          <w:headerReference w:type="default"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p w:rsidR="00113336" w:rsidRPr="00E407E9" w:rsidRDefault="00113336" w:rsidP="00113336">
      <w:pPr>
        <w:tabs>
          <w:tab w:val="center" w:pos="5220"/>
          <w:tab w:val="right" w:pos="10800"/>
        </w:tabs>
        <w:jc w:val="center"/>
        <w:rPr>
          <w:rFonts w:ascii="Arial" w:hAnsi="Arial" w:cs="Arial"/>
          <w:sz w:val="22"/>
          <w:lang w:val="fr-CA"/>
        </w:rPr>
      </w:pPr>
      <w:bookmarkStart w:id="8" w:name="QuickMark"/>
      <w:bookmarkEnd w:id="8"/>
      <w:r w:rsidRPr="00E407E9">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E407E9"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DECEMBER – DÉCEMBRE</w:t>
            </w:r>
          </w:p>
        </w:tc>
      </w:tr>
      <w:tr w:rsidR="00113336" w:rsidRPr="00E407E9"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4"/>
                <w:szCs w:val="14"/>
                <w:lang w:val="fr-FR"/>
              </w:rPr>
            </w:pPr>
            <w:r w:rsidRPr="00E407E9">
              <w:rPr>
                <w:rFonts w:ascii="Arial" w:hAnsi="Arial" w:cs="Arial"/>
                <w:b/>
                <w:sz w:val="14"/>
                <w:szCs w:val="14"/>
                <w:lang w:val="fr-FR"/>
              </w:rPr>
              <w:t>S</w:t>
            </w:r>
          </w:p>
          <w:p w:rsidR="00113336" w:rsidRPr="00E407E9" w:rsidRDefault="00113336" w:rsidP="009B36BA">
            <w:pPr>
              <w:tabs>
                <w:tab w:val="center" w:pos="5220"/>
                <w:tab w:val="right" w:pos="10440"/>
              </w:tabs>
              <w:jc w:val="center"/>
              <w:rPr>
                <w:rFonts w:ascii="Arial" w:hAnsi="Arial" w:cs="Arial"/>
                <w:b/>
                <w:sz w:val="14"/>
                <w:szCs w:val="14"/>
                <w:lang w:val="fr-FR"/>
              </w:rPr>
            </w:pPr>
            <w:r w:rsidRPr="00E407E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M</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T</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W</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T</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F</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S</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S</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M</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T</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W</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T</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F</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S</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S</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M</w:t>
            </w:r>
          </w:p>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lang w:val="fr-FR"/>
              </w:rPr>
            </w:pPr>
            <w:r w:rsidRPr="00E407E9">
              <w:rPr>
                <w:rFonts w:ascii="Arial" w:hAnsi="Arial" w:cs="Arial"/>
                <w:b/>
                <w:sz w:val="13"/>
                <w:szCs w:val="13"/>
                <w:lang w:val="fr-FR"/>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r>
      <w:tr w:rsidR="00113336" w:rsidRPr="00E407E9"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b/>
                <w:sz w:val="13"/>
                <w:szCs w:val="13"/>
              </w:rPr>
              <w:t>CC</w:t>
            </w:r>
            <w:r w:rsidRPr="00E407E9">
              <w:rPr>
                <w:rFonts w:ascii="Arial" w:hAnsi="Arial" w:cs="Arial"/>
                <w:sz w:val="13"/>
                <w:szCs w:val="13"/>
              </w:rPr>
              <w:t xml:space="preserve"> </w:t>
            </w:r>
          </w:p>
          <w:p w:rsidR="00113336" w:rsidRPr="00E407E9" w:rsidRDefault="00113336" w:rsidP="009B36BA">
            <w:pPr>
              <w:jc w:val="center"/>
              <w:rPr>
                <w:rFonts w:ascii="Arial" w:hAnsi="Arial" w:cs="Arial"/>
                <w:sz w:val="13"/>
                <w:szCs w:val="13"/>
              </w:rPr>
            </w:pPr>
            <w:r w:rsidRPr="00E407E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5</w:t>
            </w:r>
          </w:p>
        </w:tc>
      </w:tr>
      <w:tr w:rsidR="00113336" w:rsidRPr="00E407E9"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E407E9" w:rsidRDefault="00113336" w:rsidP="009B36BA">
            <w:pPr>
              <w:jc w:val="center"/>
              <w:rPr>
                <w:rFonts w:ascii="Arial" w:hAnsi="Arial" w:cs="Arial"/>
                <w:b/>
                <w:sz w:val="13"/>
                <w:szCs w:val="13"/>
              </w:rPr>
            </w:pPr>
            <w:r w:rsidRPr="00E407E9">
              <w:rPr>
                <w:rFonts w:ascii="Arial" w:hAnsi="Arial" w:cs="Arial"/>
                <w:b/>
                <w:sz w:val="13"/>
                <w:szCs w:val="13"/>
              </w:rPr>
              <w:t>CC</w:t>
            </w:r>
          </w:p>
          <w:p w:rsidR="00113336" w:rsidRPr="00E407E9" w:rsidRDefault="00113336" w:rsidP="00113336">
            <w:pPr>
              <w:jc w:val="center"/>
              <w:rPr>
                <w:rFonts w:ascii="Arial" w:hAnsi="Arial" w:cs="Arial"/>
                <w:sz w:val="13"/>
                <w:szCs w:val="13"/>
              </w:rPr>
            </w:pPr>
            <w:r w:rsidRPr="00E407E9">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E407E9" w:rsidRDefault="005B2EA9" w:rsidP="009B36BA">
            <w:pPr>
              <w:jc w:val="center"/>
              <w:rPr>
                <w:rFonts w:ascii="Arial" w:hAnsi="Arial" w:cs="Arial"/>
                <w:b/>
                <w:sz w:val="13"/>
                <w:szCs w:val="13"/>
              </w:rPr>
            </w:pPr>
            <w:r w:rsidRPr="00E407E9">
              <w:rPr>
                <w:rFonts w:ascii="Arial" w:hAnsi="Arial" w:cs="Arial"/>
                <w:b/>
                <w:sz w:val="13"/>
                <w:szCs w:val="13"/>
              </w:rPr>
              <w:t>H</w:t>
            </w:r>
          </w:p>
          <w:p w:rsidR="00113336" w:rsidRPr="00E407E9" w:rsidRDefault="00113336" w:rsidP="009B36BA">
            <w:pPr>
              <w:jc w:val="center"/>
              <w:rPr>
                <w:rFonts w:ascii="Arial" w:hAnsi="Arial" w:cs="Arial"/>
                <w:sz w:val="13"/>
                <w:szCs w:val="13"/>
              </w:rPr>
            </w:pPr>
            <w:r w:rsidRPr="00E407E9">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113336">
            <w:pPr>
              <w:jc w:val="center"/>
              <w:rPr>
                <w:rFonts w:ascii="Arial" w:hAnsi="Arial" w:cs="Arial"/>
                <w:sz w:val="13"/>
                <w:szCs w:val="13"/>
              </w:rPr>
            </w:pPr>
            <w:r w:rsidRPr="00E407E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12</w:t>
            </w:r>
          </w:p>
        </w:tc>
      </w:tr>
      <w:tr w:rsidR="00B4618C" w:rsidRPr="00E407E9"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E407E9" w:rsidRDefault="00113336" w:rsidP="009B36BA">
            <w:pPr>
              <w:jc w:val="center"/>
              <w:rPr>
                <w:rFonts w:ascii="Arial" w:hAnsi="Arial" w:cs="Arial"/>
                <w:b/>
                <w:sz w:val="13"/>
                <w:szCs w:val="13"/>
              </w:rPr>
            </w:pPr>
            <w:r w:rsidRPr="00E407E9">
              <w:rPr>
                <w:rFonts w:ascii="Arial" w:hAnsi="Arial" w:cs="Arial"/>
                <w:b/>
                <w:sz w:val="13"/>
                <w:szCs w:val="13"/>
              </w:rPr>
              <w:t>H</w:t>
            </w:r>
          </w:p>
          <w:p w:rsidR="00113336" w:rsidRPr="00E407E9" w:rsidRDefault="00113336" w:rsidP="00113336">
            <w:pPr>
              <w:jc w:val="center"/>
              <w:rPr>
                <w:rFonts w:ascii="Arial" w:hAnsi="Arial" w:cs="Arial"/>
                <w:sz w:val="13"/>
                <w:szCs w:val="13"/>
              </w:rPr>
            </w:pPr>
            <w:r w:rsidRPr="00E407E9">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19</w:t>
            </w:r>
          </w:p>
        </w:tc>
      </w:tr>
      <w:tr w:rsidR="00113336" w:rsidRPr="00E407E9"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407E9" w:rsidRDefault="00113336" w:rsidP="009B36BA">
            <w:pPr>
              <w:jc w:val="center"/>
              <w:rPr>
                <w:rFonts w:ascii="Arial" w:hAnsi="Arial" w:cs="Arial"/>
                <w:sz w:val="13"/>
                <w:szCs w:val="13"/>
              </w:rPr>
            </w:pPr>
            <w:r w:rsidRPr="00E407E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E407E9" w:rsidRDefault="005B2EA9" w:rsidP="009B36BA">
            <w:pPr>
              <w:jc w:val="center"/>
              <w:rPr>
                <w:rFonts w:ascii="Arial" w:hAnsi="Arial" w:cs="Arial"/>
                <w:b/>
                <w:sz w:val="13"/>
                <w:szCs w:val="13"/>
              </w:rPr>
            </w:pPr>
            <w:r w:rsidRPr="00E407E9">
              <w:rPr>
                <w:rFonts w:ascii="Arial" w:hAnsi="Arial" w:cs="Arial"/>
                <w:b/>
                <w:sz w:val="13"/>
                <w:szCs w:val="13"/>
              </w:rPr>
              <w:t>H</w:t>
            </w:r>
          </w:p>
          <w:p w:rsidR="00113336" w:rsidRPr="00E407E9" w:rsidRDefault="005B2EA9" w:rsidP="009B36BA">
            <w:pPr>
              <w:jc w:val="center"/>
              <w:rPr>
                <w:rFonts w:ascii="Arial" w:hAnsi="Arial" w:cs="Arial"/>
                <w:sz w:val="13"/>
                <w:szCs w:val="13"/>
              </w:rPr>
            </w:pPr>
            <w:r w:rsidRPr="00E407E9">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26</w:t>
            </w:r>
          </w:p>
        </w:tc>
      </w:tr>
      <w:tr w:rsidR="00113336" w:rsidRPr="00E407E9"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E407E9" w:rsidRDefault="00113336" w:rsidP="00113336">
            <w:pPr>
              <w:jc w:val="center"/>
              <w:rPr>
                <w:rFonts w:ascii="Arial" w:hAnsi="Arial" w:cs="Arial"/>
                <w:sz w:val="13"/>
                <w:szCs w:val="13"/>
              </w:rPr>
            </w:pPr>
            <w:r w:rsidRPr="00E407E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r w:rsidRPr="00E407E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E407E9" w:rsidRDefault="005B2EA9" w:rsidP="009B36BA">
            <w:pPr>
              <w:jc w:val="center"/>
              <w:rPr>
                <w:rFonts w:ascii="Arial" w:hAnsi="Arial" w:cs="Arial"/>
                <w:sz w:val="13"/>
                <w:szCs w:val="13"/>
              </w:rPr>
            </w:pPr>
            <w:r w:rsidRPr="00E407E9">
              <w:rPr>
                <w:rFonts w:ascii="Arial" w:hAnsi="Arial" w:cs="Arial"/>
                <w:b/>
                <w:sz w:val="13"/>
                <w:szCs w:val="13"/>
              </w:rPr>
              <w:t>CC</w:t>
            </w:r>
          </w:p>
          <w:p w:rsidR="00113336" w:rsidRPr="00E407E9" w:rsidRDefault="00113336" w:rsidP="009B36BA">
            <w:pPr>
              <w:jc w:val="center"/>
              <w:rPr>
                <w:rFonts w:ascii="Arial" w:hAnsi="Arial" w:cs="Arial"/>
                <w:sz w:val="13"/>
                <w:szCs w:val="13"/>
              </w:rPr>
            </w:pPr>
            <w:r w:rsidRPr="00E407E9">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E407E9" w:rsidRDefault="005B2EA9" w:rsidP="009B36BA">
            <w:pPr>
              <w:jc w:val="center"/>
              <w:rPr>
                <w:rFonts w:ascii="Arial" w:hAnsi="Arial" w:cs="Arial"/>
                <w:b/>
                <w:sz w:val="13"/>
                <w:szCs w:val="13"/>
              </w:rPr>
            </w:pPr>
            <w:r w:rsidRPr="00E407E9">
              <w:rPr>
                <w:rFonts w:ascii="Arial" w:hAnsi="Arial" w:cs="Arial"/>
                <w:b/>
                <w:sz w:val="13"/>
                <w:szCs w:val="13"/>
              </w:rPr>
              <w:t>H</w:t>
            </w:r>
          </w:p>
          <w:p w:rsidR="00113336" w:rsidRPr="00E407E9" w:rsidRDefault="005B2EA9" w:rsidP="009B36BA">
            <w:pPr>
              <w:jc w:val="center"/>
              <w:rPr>
                <w:rFonts w:ascii="Arial" w:hAnsi="Arial" w:cs="Arial"/>
                <w:sz w:val="13"/>
                <w:szCs w:val="13"/>
              </w:rPr>
            </w:pPr>
            <w:r w:rsidRPr="00E407E9">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r>
    </w:tbl>
    <w:p w:rsidR="00113336" w:rsidRPr="00E407E9" w:rsidRDefault="00113336" w:rsidP="00113336">
      <w:pPr>
        <w:tabs>
          <w:tab w:val="center" w:pos="5220"/>
          <w:tab w:val="right" w:pos="10440"/>
        </w:tabs>
        <w:jc w:val="center"/>
        <w:rPr>
          <w:rFonts w:ascii="Arial" w:hAnsi="Arial" w:cs="Arial"/>
          <w:sz w:val="22"/>
        </w:rPr>
      </w:pPr>
      <w:r w:rsidRPr="00E407E9">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E407E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MARCH – MARS</w:t>
            </w:r>
          </w:p>
        </w:tc>
      </w:tr>
      <w:tr w:rsidR="00113336" w:rsidRPr="00E407E9"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r>
      <w:tr w:rsidR="00113336" w:rsidRPr="00E407E9"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E407E9" w:rsidRDefault="005B2EA9" w:rsidP="009B36BA">
            <w:pPr>
              <w:jc w:val="center"/>
              <w:rPr>
                <w:rFonts w:ascii="Arial" w:hAnsi="Arial" w:cs="Arial"/>
                <w:b/>
                <w:sz w:val="13"/>
                <w:szCs w:val="13"/>
              </w:rPr>
            </w:pPr>
            <w:r w:rsidRPr="00E407E9">
              <w:rPr>
                <w:rFonts w:ascii="Arial" w:hAnsi="Arial" w:cs="Arial"/>
                <w:b/>
                <w:sz w:val="13"/>
                <w:szCs w:val="13"/>
              </w:rPr>
              <w:t>H</w:t>
            </w:r>
          </w:p>
          <w:p w:rsidR="00113336" w:rsidRPr="00E407E9" w:rsidRDefault="005B2EA9" w:rsidP="009B36BA">
            <w:pPr>
              <w:jc w:val="center"/>
              <w:rPr>
                <w:rFonts w:ascii="Arial" w:hAnsi="Arial" w:cs="Arial"/>
                <w:sz w:val="13"/>
                <w:szCs w:val="13"/>
              </w:rPr>
            </w:pPr>
            <w:r w:rsidRPr="00E407E9">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6</w:t>
            </w:r>
          </w:p>
        </w:tc>
      </w:tr>
      <w:tr w:rsidR="00113336" w:rsidRPr="00E407E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E407E9" w:rsidRDefault="005B2EA9" w:rsidP="009B36BA">
            <w:pPr>
              <w:jc w:val="center"/>
              <w:rPr>
                <w:rFonts w:ascii="Arial" w:hAnsi="Arial" w:cs="Arial"/>
                <w:b/>
                <w:sz w:val="13"/>
                <w:szCs w:val="13"/>
              </w:rPr>
            </w:pPr>
            <w:r w:rsidRPr="00E407E9">
              <w:rPr>
                <w:rFonts w:ascii="Arial" w:hAnsi="Arial" w:cs="Arial"/>
                <w:b/>
                <w:sz w:val="13"/>
                <w:szCs w:val="13"/>
              </w:rPr>
              <w:t>CC</w:t>
            </w:r>
          </w:p>
          <w:p w:rsidR="00113336" w:rsidRPr="00E407E9" w:rsidRDefault="005B2EA9" w:rsidP="009B36BA">
            <w:pPr>
              <w:jc w:val="center"/>
              <w:rPr>
                <w:rFonts w:ascii="Arial" w:hAnsi="Arial" w:cs="Arial"/>
                <w:sz w:val="13"/>
                <w:szCs w:val="13"/>
              </w:rPr>
            </w:pPr>
            <w:r w:rsidRPr="00E407E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13</w:t>
            </w:r>
          </w:p>
        </w:tc>
      </w:tr>
      <w:tr w:rsidR="00113336" w:rsidRPr="00E407E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E407E9" w:rsidRDefault="005B2EA9" w:rsidP="009B36BA">
            <w:pPr>
              <w:jc w:val="center"/>
              <w:rPr>
                <w:rFonts w:ascii="Arial" w:hAnsi="Arial" w:cs="Arial"/>
                <w:b/>
                <w:sz w:val="13"/>
                <w:szCs w:val="13"/>
              </w:rPr>
            </w:pPr>
            <w:r w:rsidRPr="00E407E9">
              <w:rPr>
                <w:rFonts w:ascii="Arial" w:hAnsi="Arial" w:cs="Arial"/>
                <w:b/>
                <w:sz w:val="13"/>
                <w:szCs w:val="13"/>
              </w:rPr>
              <w:t>CC</w:t>
            </w:r>
          </w:p>
          <w:p w:rsidR="00113336" w:rsidRPr="00E407E9" w:rsidRDefault="005B2EA9" w:rsidP="009B36BA">
            <w:pPr>
              <w:jc w:val="center"/>
              <w:rPr>
                <w:rFonts w:ascii="Arial" w:hAnsi="Arial" w:cs="Arial"/>
                <w:sz w:val="13"/>
                <w:szCs w:val="13"/>
              </w:rPr>
            </w:pPr>
            <w:r w:rsidRPr="00E407E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407E9" w:rsidRDefault="00D04577" w:rsidP="009B36BA">
            <w:pPr>
              <w:jc w:val="center"/>
              <w:rPr>
                <w:rFonts w:ascii="Arial" w:hAnsi="Arial" w:cs="Arial"/>
                <w:b/>
                <w:sz w:val="13"/>
                <w:szCs w:val="13"/>
              </w:rPr>
            </w:pPr>
            <w:r w:rsidRPr="00E407E9">
              <w:rPr>
                <w:rFonts w:ascii="Arial" w:hAnsi="Arial" w:cs="Arial"/>
                <w:b/>
                <w:sz w:val="13"/>
                <w:szCs w:val="13"/>
              </w:rPr>
              <w:t>CC</w:t>
            </w:r>
          </w:p>
          <w:p w:rsidR="00113336" w:rsidRPr="00E407E9" w:rsidRDefault="00D04577" w:rsidP="009B36BA">
            <w:pPr>
              <w:jc w:val="center"/>
              <w:rPr>
                <w:rFonts w:ascii="Arial" w:hAnsi="Arial" w:cs="Arial"/>
                <w:sz w:val="13"/>
                <w:szCs w:val="13"/>
              </w:rPr>
            </w:pPr>
            <w:r w:rsidRPr="00E407E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20</w:t>
            </w:r>
          </w:p>
        </w:tc>
      </w:tr>
      <w:tr w:rsidR="00113336" w:rsidRPr="00E407E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27</w:t>
            </w:r>
          </w:p>
        </w:tc>
      </w:tr>
      <w:tr w:rsidR="00113336" w:rsidRPr="00E407E9"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E407E9" w:rsidRDefault="005B2EA9" w:rsidP="005B2EA9">
            <w:pPr>
              <w:rPr>
                <w:rFonts w:ascii="Arial" w:hAnsi="Arial" w:cs="Arial"/>
                <w:sz w:val="13"/>
                <w:szCs w:val="13"/>
              </w:rPr>
            </w:pPr>
            <w:r w:rsidRPr="00E407E9">
              <w:rPr>
                <w:rFonts w:ascii="Arial" w:hAnsi="Arial" w:cs="Arial"/>
                <w:sz w:val="13"/>
                <w:szCs w:val="13"/>
              </w:rPr>
              <w:t xml:space="preserve">24 </w:t>
            </w:r>
            <w:r w:rsidRPr="00E407E9">
              <w:rPr>
                <w:rFonts w:ascii="Arial" w:hAnsi="Arial" w:cs="Arial"/>
                <w:sz w:val="13"/>
                <w:szCs w:val="13"/>
                <w:lang w:val="en-US"/>
              </w:rPr>
              <w:t>/</w:t>
            </w:r>
          </w:p>
          <w:p w:rsidR="00113336" w:rsidRPr="00E407E9" w:rsidRDefault="005B2EA9" w:rsidP="005B2EA9">
            <w:pPr>
              <w:jc w:val="center"/>
              <w:rPr>
                <w:rFonts w:ascii="Arial" w:hAnsi="Arial" w:cs="Arial"/>
                <w:sz w:val="13"/>
                <w:szCs w:val="13"/>
              </w:rPr>
            </w:pPr>
            <w:r w:rsidRPr="00E407E9">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407E9" w:rsidRDefault="005B2EA9" w:rsidP="009B36BA">
            <w:pPr>
              <w:jc w:val="center"/>
              <w:rPr>
                <w:rFonts w:ascii="Arial" w:hAnsi="Arial" w:cs="Arial"/>
                <w:sz w:val="13"/>
                <w:szCs w:val="13"/>
              </w:rPr>
            </w:pPr>
            <w:r w:rsidRPr="00E407E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r>
      <w:tr w:rsidR="00113336" w:rsidRPr="00E407E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JUNE – JUIN</w:t>
            </w:r>
          </w:p>
        </w:tc>
      </w:tr>
      <w:tr w:rsidR="00113336" w:rsidRPr="00E407E9"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r>
      <w:tr w:rsidR="00113336" w:rsidRPr="00E407E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E407E9" w:rsidRDefault="00D04577" w:rsidP="009B36BA">
            <w:pPr>
              <w:jc w:val="center"/>
              <w:rPr>
                <w:rFonts w:ascii="Arial" w:hAnsi="Arial" w:cs="Arial"/>
                <w:b/>
                <w:sz w:val="13"/>
                <w:szCs w:val="13"/>
              </w:rPr>
            </w:pPr>
            <w:r w:rsidRPr="00E407E9">
              <w:rPr>
                <w:rFonts w:ascii="Arial" w:hAnsi="Arial" w:cs="Arial"/>
                <w:b/>
                <w:sz w:val="13"/>
                <w:szCs w:val="13"/>
              </w:rPr>
              <w:t>H</w:t>
            </w:r>
          </w:p>
          <w:p w:rsidR="00113336" w:rsidRPr="00E407E9" w:rsidRDefault="00D04577" w:rsidP="009B36BA">
            <w:pPr>
              <w:jc w:val="center"/>
              <w:rPr>
                <w:rFonts w:ascii="Arial" w:hAnsi="Arial" w:cs="Arial"/>
                <w:sz w:val="13"/>
                <w:szCs w:val="13"/>
              </w:rPr>
            </w:pPr>
            <w:r w:rsidRPr="00E407E9">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5</w:t>
            </w:r>
          </w:p>
        </w:tc>
      </w:tr>
      <w:tr w:rsidR="00113336" w:rsidRPr="00E407E9"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E407E9" w:rsidRDefault="00D04577" w:rsidP="009B36BA">
            <w:pPr>
              <w:jc w:val="center"/>
              <w:rPr>
                <w:rFonts w:ascii="Arial" w:hAnsi="Arial" w:cs="Arial"/>
                <w:b/>
                <w:sz w:val="13"/>
                <w:szCs w:val="13"/>
              </w:rPr>
            </w:pPr>
            <w:r w:rsidRPr="00E407E9">
              <w:rPr>
                <w:rFonts w:ascii="Arial" w:hAnsi="Arial" w:cs="Arial"/>
                <w:b/>
                <w:sz w:val="13"/>
                <w:szCs w:val="13"/>
              </w:rPr>
              <w:t>H</w:t>
            </w:r>
          </w:p>
          <w:p w:rsidR="00113336" w:rsidRPr="00E407E9" w:rsidRDefault="00D04577" w:rsidP="009B36BA">
            <w:pPr>
              <w:jc w:val="center"/>
              <w:rPr>
                <w:rFonts w:ascii="Arial" w:hAnsi="Arial" w:cs="Arial"/>
                <w:sz w:val="13"/>
                <w:szCs w:val="13"/>
              </w:rPr>
            </w:pPr>
            <w:r w:rsidRPr="00E407E9">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407E9" w:rsidRDefault="00D04577" w:rsidP="009B36BA">
            <w:pPr>
              <w:jc w:val="center"/>
              <w:rPr>
                <w:rFonts w:ascii="Arial" w:hAnsi="Arial" w:cs="Arial"/>
                <w:b/>
                <w:sz w:val="13"/>
                <w:szCs w:val="13"/>
              </w:rPr>
            </w:pPr>
            <w:r w:rsidRPr="00E407E9">
              <w:rPr>
                <w:rFonts w:ascii="Arial" w:hAnsi="Arial" w:cs="Arial"/>
                <w:b/>
                <w:sz w:val="13"/>
                <w:szCs w:val="13"/>
              </w:rPr>
              <w:t>CC</w:t>
            </w:r>
          </w:p>
          <w:p w:rsidR="00113336" w:rsidRPr="00E407E9" w:rsidRDefault="00D04577" w:rsidP="009B36BA">
            <w:pPr>
              <w:jc w:val="center"/>
              <w:rPr>
                <w:rFonts w:ascii="Arial" w:hAnsi="Arial" w:cs="Arial"/>
                <w:sz w:val="13"/>
                <w:szCs w:val="13"/>
              </w:rPr>
            </w:pPr>
            <w:r w:rsidRPr="00E407E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12</w:t>
            </w:r>
          </w:p>
        </w:tc>
      </w:tr>
      <w:tr w:rsidR="00113336" w:rsidRPr="00E407E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E407E9" w:rsidRDefault="00D04577" w:rsidP="009B36BA">
            <w:pPr>
              <w:jc w:val="center"/>
              <w:rPr>
                <w:rFonts w:ascii="Arial" w:hAnsi="Arial" w:cs="Arial"/>
                <w:b/>
                <w:sz w:val="13"/>
                <w:szCs w:val="13"/>
              </w:rPr>
            </w:pPr>
            <w:r w:rsidRPr="00E407E9">
              <w:rPr>
                <w:rFonts w:ascii="Arial" w:hAnsi="Arial" w:cs="Arial"/>
                <w:b/>
                <w:sz w:val="13"/>
                <w:szCs w:val="13"/>
              </w:rPr>
              <w:t>CC</w:t>
            </w:r>
          </w:p>
          <w:p w:rsidR="00113336" w:rsidRPr="00E407E9" w:rsidRDefault="00D04577" w:rsidP="009B36BA">
            <w:pPr>
              <w:jc w:val="center"/>
              <w:rPr>
                <w:rFonts w:ascii="Arial" w:hAnsi="Arial" w:cs="Arial"/>
                <w:sz w:val="13"/>
                <w:szCs w:val="13"/>
              </w:rPr>
            </w:pPr>
            <w:r w:rsidRPr="00E407E9">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E407E9" w:rsidRDefault="00D04577" w:rsidP="009B36BA">
            <w:pPr>
              <w:jc w:val="center"/>
              <w:rPr>
                <w:rFonts w:ascii="Arial" w:hAnsi="Arial" w:cs="Arial"/>
                <w:b/>
                <w:sz w:val="13"/>
                <w:szCs w:val="13"/>
              </w:rPr>
            </w:pPr>
            <w:r w:rsidRPr="00E407E9">
              <w:rPr>
                <w:rFonts w:ascii="Arial" w:hAnsi="Arial" w:cs="Arial"/>
                <w:b/>
                <w:sz w:val="13"/>
                <w:szCs w:val="13"/>
              </w:rPr>
              <w:t>CC</w:t>
            </w:r>
          </w:p>
          <w:p w:rsidR="00113336" w:rsidRPr="00E407E9" w:rsidRDefault="00D04577" w:rsidP="009B36BA">
            <w:pPr>
              <w:jc w:val="center"/>
              <w:rPr>
                <w:rFonts w:ascii="Arial" w:hAnsi="Arial" w:cs="Arial"/>
                <w:sz w:val="13"/>
                <w:szCs w:val="13"/>
              </w:rPr>
            </w:pPr>
            <w:r w:rsidRPr="00E407E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19</w:t>
            </w:r>
          </w:p>
        </w:tc>
      </w:tr>
      <w:tr w:rsidR="00113336" w:rsidRPr="00E407E9"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26</w:t>
            </w:r>
          </w:p>
        </w:tc>
      </w:tr>
      <w:tr w:rsidR="00113336" w:rsidRPr="00E407E9"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b/>
                <w:sz w:val="13"/>
                <w:szCs w:val="13"/>
              </w:rPr>
            </w:pPr>
            <w:r w:rsidRPr="00E407E9">
              <w:rPr>
                <w:rFonts w:ascii="Arial" w:hAnsi="Arial" w:cs="Arial"/>
                <w:b/>
                <w:sz w:val="13"/>
                <w:szCs w:val="13"/>
              </w:rPr>
              <w:t>H</w:t>
            </w:r>
          </w:p>
          <w:p w:rsidR="00113336" w:rsidRPr="00E407E9" w:rsidRDefault="00D04577" w:rsidP="00D04577">
            <w:pPr>
              <w:jc w:val="center"/>
              <w:rPr>
                <w:rFonts w:ascii="Arial" w:hAnsi="Arial" w:cs="Arial"/>
                <w:sz w:val="13"/>
                <w:szCs w:val="13"/>
              </w:rPr>
            </w:pPr>
            <w:r w:rsidRPr="00E407E9">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407E9" w:rsidRDefault="00D04577" w:rsidP="00D04577">
            <w:pPr>
              <w:jc w:val="center"/>
              <w:rPr>
                <w:rFonts w:ascii="Arial" w:hAnsi="Arial" w:cs="Arial"/>
                <w:sz w:val="13"/>
                <w:szCs w:val="13"/>
              </w:rPr>
            </w:pPr>
            <w:r w:rsidRPr="00E407E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D04577" w:rsidP="009B36BA">
            <w:pPr>
              <w:jc w:val="center"/>
              <w:rPr>
                <w:rFonts w:ascii="Arial" w:hAnsi="Arial" w:cs="Arial"/>
                <w:sz w:val="13"/>
                <w:szCs w:val="13"/>
              </w:rPr>
            </w:pPr>
            <w:r w:rsidRPr="00E407E9">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r>
      <w:tr w:rsidR="00D04577" w:rsidRPr="00E407E9"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E407E9"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r w:rsidRPr="00E407E9">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r w:rsidRPr="00E407E9">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407E9"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E407E9"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E407E9" w:rsidRDefault="00D04577" w:rsidP="009B36BA">
            <w:pPr>
              <w:jc w:val="center"/>
              <w:rPr>
                <w:rFonts w:ascii="Arial" w:hAnsi="Arial" w:cs="Arial"/>
                <w:sz w:val="13"/>
                <w:szCs w:val="13"/>
              </w:rPr>
            </w:pPr>
          </w:p>
        </w:tc>
      </w:tr>
      <w:tr w:rsidR="00113336" w:rsidRPr="00E407E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SEPTEMBER – SEPTEMBRE</w:t>
            </w:r>
          </w:p>
        </w:tc>
      </w:tr>
      <w:tr w:rsidR="00113336" w:rsidRPr="00E407E9"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6"/>
                <w:szCs w:val="16"/>
              </w:rPr>
            </w:pPr>
            <w:r w:rsidRPr="00E407E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E407E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W</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T</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F</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p w:rsidR="00113336" w:rsidRPr="00E407E9" w:rsidRDefault="00113336" w:rsidP="009B36BA">
            <w:pPr>
              <w:tabs>
                <w:tab w:val="center" w:pos="5220"/>
                <w:tab w:val="right" w:pos="10440"/>
              </w:tabs>
              <w:jc w:val="center"/>
              <w:rPr>
                <w:rFonts w:ascii="Arial" w:hAnsi="Arial" w:cs="Arial"/>
                <w:b/>
                <w:sz w:val="13"/>
                <w:szCs w:val="13"/>
              </w:rPr>
            </w:pPr>
            <w:r w:rsidRPr="00E407E9">
              <w:rPr>
                <w:rFonts w:ascii="Arial" w:hAnsi="Arial" w:cs="Arial"/>
                <w:b/>
                <w:sz w:val="13"/>
                <w:szCs w:val="13"/>
              </w:rPr>
              <w:t>S</w:t>
            </w:r>
          </w:p>
        </w:tc>
      </w:tr>
      <w:tr w:rsidR="00113336" w:rsidRPr="00E407E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407E9" w:rsidRDefault="00A067B5" w:rsidP="009B36BA">
            <w:pPr>
              <w:jc w:val="center"/>
              <w:rPr>
                <w:rFonts w:ascii="Arial" w:hAnsi="Arial" w:cs="Arial"/>
                <w:b/>
                <w:sz w:val="13"/>
                <w:szCs w:val="13"/>
              </w:rPr>
            </w:pPr>
            <w:r w:rsidRPr="00E407E9">
              <w:rPr>
                <w:rFonts w:ascii="Arial" w:hAnsi="Arial" w:cs="Arial"/>
                <w:b/>
                <w:sz w:val="13"/>
                <w:szCs w:val="13"/>
              </w:rPr>
              <w:t>H</w:t>
            </w:r>
          </w:p>
          <w:p w:rsidR="00113336" w:rsidRPr="00E407E9" w:rsidRDefault="00A067B5" w:rsidP="009B36BA">
            <w:pPr>
              <w:jc w:val="center"/>
              <w:rPr>
                <w:rFonts w:ascii="Arial" w:hAnsi="Arial" w:cs="Arial"/>
                <w:sz w:val="13"/>
                <w:szCs w:val="13"/>
              </w:rPr>
            </w:pPr>
            <w:r w:rsidRPr="00E407E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407E9" w:rsidRDefault="00A067B5" w:rsidP="009B36BA">
            <w:pPr>
              <w:jc w:val="center"/>
              <w:rPr>
                <w:rFonts w:ascii="Arial" w:hAnsi="Arial" w:cs="Arial"/>
                <w:b/>
                <w:sz w:val="13"/>
                <w:szCs w:val="13"/>
              </w:rPr>
            </w:pPr>
            <w:r w:rsidRPr="00E407E9">
              <w:rPr>
                <w:rFonts w:ascii="Arial" w:hAnsi="Arial" w:cs="Arial"/>
                <w:b/>
                <w:sz w:val="13"/>
                <w:szCs w:val="13"/>
              </w:rPr>
              <w:t>H</w:t>
            </w:r>
          </w:p>
          <w:p w:rsidR="00113336" w:rsidRPr="00E407E9" w:rsidRDefault="00A067B5" w:rsidP="009B36BA">
            <w:pPr>
              <w:jc w:val="center"/>
              <w:rPr>
                <w:rFonts w:ascii="Arial" w:hAnsi="Arial" w:cs="Arial"/>
                <w:sz w:val="13"/>
                <w:szCs w:val="13"/>
              </w:rPr>
            </w:pPr>
            <w:r w:rsidRPr="00E407E9">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4</w:t>
            </w:r>
          </w:p>
        </w:tc>
      </w:tr>
      <w:tr w:rsidR="00113336" w:rsidRPr="00E407E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E407E9" w:rsidRDefault="00A067B5" w:rsidP="009B36BA">
            <w:pPr>
              <w:jc w:val="center"/>
              <w:rPr>
                <w:rFonts w:ascii="Arial" w:hAnsi="Arial" w:cs="Arial"/>
                <w:b/>
                <w:sz w:val="13"/>
                <w:szCs w:val="13"/>
              </w:rPr>
            </w:pPr>
            <w:r w:rsidRPr="00E407E9">
              <w:rPr>
                <w:rFonts w:ascii="Arial" w:hAnsi="Arial" w:cs="Arial"/>
                <w:b/>
                <w:sz w:val="13"/>
                <w:szCs w:val="13"/>
              </w:rPr>
              <w:t>H</w:t>
            </w:r>
          </w:p>
          <w:p w:rsidR="00113336" w:rsidRPr="00E407E9" w:rsidRDefault="00A067B5" w:rsidP="009B36BA">
            <w:pPr>
              <w:jc w:val="center"/>
              <w:rPr>
                <w:rFonts w:ascii="Arial" w:hAnsi="Arial" w:cs="Arial"/>
                <w:sz w:val="13"/>
                <w:szCs w:val="13"/>
              </w:rPr>
            </w:pPr>
            <w:r w:rsidRPr="00E407E9">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407E9" w:rsidRDefault="00A067B5" w:rsidP="009B36BA">
            <w:pPr>
              <w:jc w:val="center"/>
              <w:rPr>
                <w:rFonts w:ascii="Arial" w:hAnsi="Arial" w:cs="Arial"/>
                <w:b/>
                <w:sz w:val="13"/>
                <w:szCs w:val="13"/>
              </w:rPr>
            </w:pPr>
            <w:r w:rsidRPr="00E407E9">
              <w:rPr>
                <w:rFonts w:ascii="Arial" w:hAnsi="Arial" w:cs="Arial"/>
                <w:b/>
                <w:sz w:val="13"/>
                <w:szCs w:val="13"/>
              </w:rPr>
              <w:t>RH</w:t>
            </w:r>
          </w:p>
          <w:p w:rsidR="00113336" w:rsidRPr="00E407E9" w:rsidRDefault="00A067B5" w:rsidP="009B36BA">
            <w:pPr>
              <w:jc w:val="center"/>
              <w:rPr>
                <w:rFonts w:ascii="Arial" w:hAnsi="Arial" w:cs="Arial"/>
                <w:sz w:val="13"/>
                <w:szCs w:val="13"/>
              </w:rPr>
            </w:pPr>
            <w:r w:rsidRPr="00E407E9">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407E9" w:rsidRDefault="00A067B5" w:rsidP="009B36BA">
            <w:pPr>
              <w:jc w:val="center"/>
              <w:rPr>
                <w:rFonts w:ascii="Arial" w:hAnsi="Arial" w:cs="Arial"/>
                <w:b/>
                <w:sz w:val="13"/>
                <w:szCs w:val="13"/>
              </w:rPr>
            </w:pPr>
            <w:r w:rsidRPr="00E407E9">
              <w:rPr>
                <w:rFonts w:ascii="Arial" w:hAnsi="Arial" w:cs="Arial"/>
                <w:b/>
                <w:sz w:val="13"/>
                <w:szCs w:val="13"/>
              </w:rPr>
              <w:t>RH</w:t>
            </w:r>
          </w:p>
          <w:p w:rsidR="00113336" w:rsidRPr="00E407E9" w:rsidRDefault="00A067B5" w:rsidP="009B36BA">
            <w:pPr>
              <w:jc w:val="center"/>
              <w:rPr>
                <w:rFonts w:ascii="Arial" w:hAnsi="Arial" w:cs="Arial"/>
                <w:sz w:val="13"/>
                <w:szCs w:val="13"/>
              </w:rPr>
            </w:pPr>
            <w:r w:rsidRPr="00E407E9">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11</w:t>
            </w:r>
          </w:p>
        </w:tc>
      </w:tr>
      <w:tr w:rsidR="00113336" w:rsidRPr="00E407E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E407E9" w:rsidRDefault="00A067B5" w:rsidP="009B36BA">
            <w:pPr>
              <w:jc w:val="center"/>
              <w:rPr>
                <w:rFonts w:ascii="Arial" w:hAnsi="Arial" w:cs="Arial"/>
                <w:b/>
                <w:sz w:val="13"/>
                <w:szCs w:val="13"/>
              </w:rPr>
            </w:pPr>
            <w:r w:rsidRPr="00E407E9">
              <w:rPr>
                <w:rFonts w:ascii="Arial" w:hAnsi="Arial" w:cs="Arial"/>
                <w:b/>
                <w:sz w:val="13"/>
                <w:szCs w:val="13"/>
              </w:rPr>
              <w:t>YK</w:t>
            </w:r>
          </w:p>
          <w:p w:rsidR="00113336" w:rsidRPr="00E407E9" w:rsidRDefault="00A067B5" w:rsidP="009B36BA">
            <w:pPr>
              <w:jc w:val="center"/>
              <w:rPr>
                <w:rFonts w:ascii="Arial" w:hAnsi="Arial" w:cs="Arial"/>
                <w:sz w:val="13"/>
                <w:szCs w:val="13"/>
              </w:rPr>
            </w:pPr>
            <w:r w:rsidRPr="00E407E9">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18</w:t>
            </w:r>
          </w:p>
        </w:tc>
      </w:tr>
      <w:tr w:rsidR="00113336" w:rsidRPr="00E407E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25</w:t>
            </w:r>
          </w:p>
        </w:tc>
      </w:tr>
      <w:tr w:rsidR="00113336" w:rsidRPr="00E407E9"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407E9" w:rsidRDefault="00A067B5" w:rsidP="00A067B5">
            <w:pPr>
              <w:jc w:val="center"/>
              <w:rPr>
                <w:rFonts w:ascii="Arial" w:hAnsi="Arial" w:cs="Arial"/>
                <w:sz w:val="13"/>
                <w:szCs w:val="13"/>
              </w:rPr>
            </w:pPr>
            <w:r w:rsidRPr="00E407E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A067B5">
            <w:pPr>
              <w:jc w:val="center"/>
              <w:rPr>
                <w:rFonts w:ascii="Arial" w:hAnsi="Arial" w:cs="Arial"/>
                <w:sz w:val="13"/>
                <w:szCs w:val="13"/>
              </w:rPr>
            </w:pPr>
            <w:r w:rsidRPr="00E407E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A067B5">
            <w:pPr>
              <w:jc w:val="center"/>
              <w:rPr>
                <w:rFonts w:ascii="Arial" w:hAnsi="Arial" w:cs="Arial"/>
                <w:sz w:val="13"/>
                <w:szCs w:val="13"/>
              </w:rPr>
            </w:pPr>
            <w:r w:rsidRPr="00E407E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407E9"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E407E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A067B5" w:rsidP="009B36BA">
            <w:pPr>
              <w:jc w:val="center"/>
              <w:rPr>
                <w:rFonts w:ascii="Arial" w:hAnsi="Arial" w:cs="Arial"/>
                <w:sz w:val="13"/>
                <w:szCs w:val="13"/>
              </w:rPr>
            </w:pPr>
            <w:r w:rsidRPr="00E407E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E407E9" w:rsidRDefault="00113336" w:rsidP="009B36BA">
            <w:pPr>
              <w:jc w:val="center"/>
              <w:rPr>
                <w:rFonts w:ascii="Arial" w:hAnsi="Arial" w:cs="Arial"/>
                <w:sz w:val="13"/>
                <w:szCs w:val="13"/>
              </w:rPr>
            </w:pPr>
          </w:p>
        </w:tc>
      </w:tr>
    </w:tbl>
    <w:p w:rsidR="00113336" w:rsidRPr="00E407E9"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E407E9" w:rsidTr="00B4618C">
        <w:trPr>
          <w:trHeight w:val="445"/>
        </w:trPr>
        <w:tc>
          <w:tcPr>
            <w:tcW w:w="1890" w:type="dxa"/>
            <w:tcBorders>
              <w:top w:val="nil"/>
              <w:left w:val="nil"/>
              <w:bottom w:val="nil"/>
              <w:right w:val="single" w:sz="4" w:space="0" w:color="000000" w:themeColor="text1"/>
            </w:tcBorders>
            <w:vAlign w:val="center"/>
            <w:hideMark/>
          </w:tcPr>
          <w:p w:rsidR="00113336" w:rsidRPr="00E407E9" w:rsidRDefault="00113336" w:rsidP="009B36BA">
            <w:pPr>
              <w:rPr>
                <w:rFonts w:ascii="Arial" w:hAnsi="Arial" w:cs="Arial"/>
                <w:b/>
                <w:sz w:val="13"/>
                <w:szCs w:val="13"/>
              </w:rPr>
            </w:pPr>
            <w:r w:rsidRPr="00E407E9">
              <w:rPr>
                <w:rFonts w:ascii="Arial" w:hAnsi="Arial" w:cs="Arial"/>
                <w:b/>
                <w:sz w:val="13"/>
                <w:szCs w:val="13"/>
              </w:rPr>
              <w:t>Sitting of the Court /</w:t>
            </w:r>
          </w:p>
          <w:p w:rsidR="00113336" w:rsidRPr="00E407E9" w:rsidRDefault="00113336" w:rsidP="009B36BA">
            <w:pPr>
              <w:rPr>
                <w:rFonts w:ascii="Arial" w:hAnsi="Arial" w:cs="Arial"/>
                <w:b/>
                <w:sz w:val="13"/>
                <w:szCs w:val="13"/>
              </w:rPr>
            </w:pPr>
            <w:r w:rsidRPr="00E407E9">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E407E9"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E407E9" w:rsidRDefault="00113336" w:rsidP="009B36BA">
            <w:pPr>
              <w:tabs>
                <w:tab w:val="left" w:pos="203"/>
              </w:tabs>
              <w:spacing w:after="120"/>
              <w:rPr>
                <w:rFonts w:ascii="Arial" w:hAnsi="Arial" w:cs="Arial"/>
                <w:b/>
                <w:sz w:val="13"/>
                <w:szCs w:val="13"/>
                <w:lang w:val="fr-CA"/>
              </w:rPr>
            </w:pPr>
            <w:r w:rsidRPr="00E407E9">
              <w:rPr>
                <w:rFonts w:ascii="Arial" w:hAnsi="Arial" w:cs="Arial"/>
                <w:b/>
                <w:sz w:val="13"/>
                <w:szCs w:val="13"/>
                <w:lang w:val="fr-CA"/>
              </w:rPr>
              <w:t>18</w:t>
            </w:r>
            <w:r w:rsidRPr="00E407E9">
              <w:rPr>
                <w:rFonts w:ascii="Arial" w:hAnsi="Arial" w:cs="Arial"/>
                <w:b/>
                <w:sz w:val="13"/>
                <w:szCs w:val="13"/>
                <w:lang w:val="fr-CA"/>
              </w:rPr>
              <w:tab/>
              <w:t xml:space="preserve"> sitting weeks / semaines séances de la Cour</w:t>
            </w:r>
          </w:p>
          <w:p w:rsidR="00113336" w:rsidRPr="00E407E9" w:rsidRDefault="00113336" w:rsidP="00B4618C">
            <w:pPr>
              <w:tabs>
                <w:tab w:val="left" w:pos="203"/>
              </w:tabs>
              <w:rPr>
                <w:rFonts w:ascii="Arial" w:hAnsi="Arial" w:cs="Arial"/>
                <w:b/>
                <w:sz w:val="13"/>
                <w:szCs w:val="13"/>
                <w:lang w:val="fr-CA"/>
              </w:rPr>
            </w:pPr>
            <w:r w:rsidRPr="00E407E9">
              <w:rPr>
                <w:rFonts w:ascii="Arial" w:hAnsi="Arial" w:cs="Arial"/>
                <w:b/>
                <w:sz w:val="13"/>
                <w:szCs w:val="13"/>
                <w:lang w:val="fr-CA"/>
              </w:rPr>
              <w:t>8</w:t>
            </w:r>
            <w:r w:rsidR="00B4618C" w:rsidRPr="00E407E9">
              <w:rPr>
                <w:rFonts w:ascii="Arial" w:hAnsi="Arial" w:cs="Arial"/>
                <w:b/>
                <w:sz w:val="13"/>
                <w:szCs w:val="13"/>
                <w:lang w:val="fr-CA"/>
              </w:rPr>
              <w:t>8</w:t>
            </w:r>
            <w:r w:rsidRPr="00E407E9">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E407E9" w:rsidRDefault="00113336" w:rsidP="009B36BA">
            <w:pPr>
              <w:spacing w:after="120"/>
              <w:rPr>
                <w:rFonts w:ascii="Arial" w:hAnsi="Arial" w:cs="Arial"/>
                <w:b/>
                <w:sz w:val="13"/>
                <w:szCs w:val="13"/>
                <w:lang w:val="fr-FR"/>
              </w:rPr>
            </w:pPr>
            <w:r w:rsidRPr="00E407E9">
              <w:rPr>
                <w:rFonts w:ascii="Arial" w:hAnsi="Arial" w:cs="Arial"/>
                <w:b/>
                <w:sz w:val="13"/>
                <w:szCs w:val="13"/>
                <w:lang w:val="fr-FR"/>
              </w:rPr>
              <w:t>Rosh Hashanah / Nouvel An juif</w:t>
            </w:r>
          </w:p>
          <w:p w:rsidR="00113336" w:rsidRPr="00E407E9" w:rsidRDefault="00113336" w:rsidP="00B4618C">
            <w:pPr>
              <w:rPr>
                <w:rFonts w:ascii="Arial" w:hAnsi="Arial" w:cs="Arial"/>
                <w:b/>
                <w:sz w:val="13"/>
                <w:szCs w:val="13"/>
                <w:lang w:val="fr-CA"/>
              </w:rPr>
            </w:pPr>
            <w:r w:rsidRPr="00E407E9">
              <w:rPr>
                <w:rFonts w:ascii="Arial" w:hAnsi="Arial" w:cs="Arial"/>
                <w:b/>
                <w:sz w:val="13"/>
                <w:szCs w:val="13"/>
                <w:lang w:val="fr-FR"/>
              </w:rPr>
              <w:t>Yom Kippur / Yom Kippour</w:t>
            </w:r>
          </w:p>
        </w:tc>
        <w:tc>
          <w:tcPr>
            <w:tcW w:w="567" w:type="dxa"/>
            <w:hideMark/>
          </w:tcPr>
          <w:p w:rsidR="00113336" w:rsidRPr="00E407E9" w:rsidRDefault="00113336" w:rsidP="009B36BA">
            <w:pPr>
              <w:spacing w:after="120"/>
              <w:jc w:val="center"/>
              <w:rPr>
                <w:rFonts w:ascii="Arial" w:hAnsi="Arial" w:cs="Arial"/>
                <w:b/>
                <w:sz w:val="13"/>
                <w:szCs w:val="13"/>
                <w:lang w:val="fr-CA"/>
              </w:rPr>
            </w:pPr>
            <w:r w:rsidRPr="00E407E9">
              <w:rPr>
                <w:rFonts w:ascii="Arial" w:hAnsi="Arial" w:cs="Arial"/>
                <w:b/>
                <w:sz w:val="13"/>
                <w:szCs w:val="13"/>
                <w:lang w:val="fr-CA"/>
              </w:rPr>
              <w:t>RH</w:t>
            </w:r>
          </w:p>
          <w:p w:rsidR="00113336" w:rsidRPr="00E407E9" w:rsidRDefault="00113336" w:rsidP="009B36BA">
            <w:pPr>
              <w:jc w:val="center"/>
              <w:rPr>
                <w:rFonts w:ascii="Arial" w:hAnsi="Arial" w:cs="Arial"/>
                <w:b/>
                <w:sz w:val="13"/>
                <w:szCs w:val="13"/>
                <w:lang w:val="fr-CA"/>
              </w:rPr>
            </w:pPr>
            <w:r w:rsidRPr="00E407E9">
              <w:rPr>
                <w:rFonts w:ascii="Arial" w:hAnsi="Arial" w:cs="Arial"/>
                <w:b/>
                <w:sz w:val="13"/>
                <w:szCs w:val="13"/>
                <w:lang w:val="fr-CA"/>
              </w:rPr>
              <w:t>YK</w:t>
            </w:r>
          </w:p>
        </w:tc>
      </w:tr>
      <w:tr w:rsidR="00113336" w:rsidRPr="001A3EBC" w:rsidTr="00B4618C">
        <w:trPr>
          <w:trHeight w:val="390"/>
        </w:trPr>
        <w:tc>
          <w:tcPr>
            <w:tcW w:w="1890" w:type="dxa"/>
            <w:tcBorders>
              <w:top w:val="nil"/>
              <w:left w:val="nil"/>
              <w:bottom w:val="nil"/>
              <w:right w:val="double" w:sz="4" w:space="0" w:color="auto"/>
            </w:tcBorders>
            <w:vAlign w:val="center"/>
            <w:hideMark/>
          </w:tcPr>
          <w:p w:rsidR="00113336" w:rsidRPr="00E407E9" w:rsidRDefault="00113336" w:rsidP="009B36BA">
            <w:pPr>
              <w:spacing w:before="60"/>
              <w:rPr>
                <w:rFonts w:ascii="Arial" w:hAnsi="Arial" w:cs="Arial"/>
                <w:b/>
                <w:sz w:val="13"/>
                <w:szCs w:val="13"/>
                <w:lang w:val="fr-CA"/>
              </w:rPr>
            </w:pPr>
            <w:r w:rsidRPr="00E407E9">
              <w:rPr>
                <w:rFonts w:ascii="Arial" w:hAnsi="Arial" w:cs="Arial"/>
                <w:b/>
                <w:sz w:val="13"/>
                <w:szCs w:val="13"/>
                <w:lang w:val="fr-CA"/>
              </w:rPr>
              <w:t>Court conference /</w:t>
            </w:r>
          </w:p>
          <w:p w:rsidR="00113336" w:rsidRPr="00E407E9" w:rsidRDefault="00113336" w:rsidP="009B36BA">
            <w:pPr>
              <w:rPr>
                <w:rFonts w:ascii="Arial" w:hAnsi="Arial" w:cs="Arial"/>
                <w:b/>
                <w:sz w:val="13"/>
                <w:szCs w:val="13"/>
                <w:lang w:val="fr-CA"/>
              </w:rPr>
            </w:pPr>
            <w:r w:rsidRPr="00E407E9">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E407E9" w:rsidRDefault="00113336" w:rsidP="009B36BA">
            <w:pPr>
              <w:jc w:val="center"/>
              <w:rPr>
                <w:rFonts w:ascii="Arial" w:hAnsi="Arial" w:cs="Arial"/>
                <w:b/>
                <w:sz w:val="13"/>
                <w:szCs w:val="13"/>
                <w:lang w:val="fr-FR"/>
              </w:rPr>
            </w:pPr>
            <w:r w:rsidRPr="00E407E9">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E407E9" w:rsidRDefault="00113336" w:rsidP="009B36BA">
            <w:pPr>
              <w:tabs>
                <w:tab w:val="left" w:pos="203"/>
              </w:tabs>
              <w:spacing w:before="120"/>
              <w:rPr>
                <w:rFonts w:ascii="Arial" w:hAnsi="Arial" w:cs="Arial"/>
                <w:b/>
                <w:sz w:val="13"/>
                <w:szCs w:val="13"/>
                <w:lang w:val="fr-CA"/>
              </w:rPr>
            </w:pPr>
            <w:r w:rsidRPr="00E407E9">
              <w:rPr>
                <w:rFonts w:ascii="Arial" w:hAnsi="Arial" w:cs="Arial"/>
                <w:b/>
                <w:sz w:val="13"/>
                <w:szCs w:val="13"/>
                <w:lang w:val="fr-CA"/>
              </w:rPr>
              <w:t>9</w:t>
            </w:r>
            <w:r w:rsidRPr="00E407E9">
              <w:rPr>
                <w:rFonts w:ascii="Arial" w:hAnsi="Arial" w:cs="Arial"/>
                <w:b/>
                <w:sz w:val="13"/>
                <w:szCs w:val="13"/>
                <w:lang w:val="fr-CA"/>
              </w:rPr>
              <w:tab/>
              <w:t>Court conference days /</w:t>
            </w:r>
          </w:p>
          <w:p w:rsidR="00113336" w:rsidRPr="00E407E9" w:rsidRDefault="00113336" w:rsidP="00B4618C">
            <w:pPr>
              <w:tabs>
                <w:tab w:val="left" w:pos="203"/>
              </w:tabs>
              <w:rPr>
                <w:rFonts w:ascii="Arial" w:hAnsi="Arial" w:cs="Arial"/>
                <w:b/>
                <w:sz w:val="13"/>
                <w:szCs w:val="13"/>
                <w:lang w:val="fr-CA"/>
              </w:rPr>
            </w:pPr>
            <w:r w:rsidRPr="00E407E9">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E407E9" w:rsidRDefault="00113336" w:rsidP="009B36BA">
            <w:pPr>
              <w:rPr>
                <w:rFonts w:ascii="Arial" w:hAnsi="Arial" w:cs="Arial"/>
                <w:b/>
                <w:sz w:val="13"/>
                <w:szCs w:val="13"/>
                <w:lang w:val="fr-CA"/>
              </w:rPr>
            </w:pPr>
          </w:p>
        </w:tc>
        <w:tc>
          <w:tcPr>
            <w:tcW w:w="567" w:type="dxa"/>
          </w:tcPr>
          <w:p w:rsidR="00113336" w:rsidRPr="00E407E9" w:rsidRDefault="00113336" w:rsidP="009B36BA">
            <w:pPr>
              <w:jc w:val="center"/>
              <w:rPr>
                <w:rFonts w:ascii="Arial" w:hAnsi="Arial" w:cs="Arial"/>
                <w:b/>
                <w:sz w:val="13"/>
                <w:szCs w:val="13"/>
                <w:lang w:val="fr-CA"/>
              </w:rPr>
            </w:pPr>
          </w:p>
        </w:tc>
      </w:tr>
      <w:tr w:rsidR="00113336" w:rsidRPr="00E407E9" w:rsidTr="00B4618C">
        <w:trPr>
          <w:trHeight w:val="35"/>
        </w:trPr>
        <w:tc>
          <w:tcPr>
            <w:tcW w:w="1890" w:type="dxa"/>
            <w:tcBorders>
              <w:top w:val="nil"/>
              <w:left w:val="nil"/>
              <w:bottom w:val="nil"/>
              <w:right w:val="double" w:sz="4" w:space="0" w:color="auto"/>
            </w:tcBorders>
            <w:vAlign w:val="center"/>
            <w:hideMark/>
          </w:tcPr>
          <w:p w:rsidR="00113336" w:rsidRPr="00E407E9" w:rsidRDefault="00113336" w:rsidP="009B36BA">
            <w:pPr>
              <w:rPr>
                <w:rFonts w:ascii="Arial" w:hAnsi="Arial" w:cs="Arial"/>
                <w:b/>
                <w:sz w:val="13"/>
                <w:szCs w:val="13"/>
              </w:rPr>
            </w:pPr>
            <w:r w:rsidRPr="00E407E9">
              <w:rPr>
                <w:rFonts w:ascii="Arial" w:hAnsi="Arial" w:cs="Arial"/>
                <w:b/>
                <w:sz w:val="13"/>
                <w:szCs w:val="13"/>
              </w:rPr>
              <w:t xml:space="preserve">Holiday / </w:t>
            </w:r>
            <w:r w:rsidRPr="00E407E9">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E407E9" w:rsidRDefault="00113336" w:rsidP="009B36BA">
            <w:pPr>
              <w:jc w:val="center"/>
              <w:rPr>
                <w:rFonts w:ascii="Arial" w:hAnsi="Arial" w:cs="Arial"/>
                <w:b/>
                <w:sz w:val="13"/>
                <w:szCs w:val="13"/>
              </w:rPr>
            </w:pPr>
            <w:r w:rsidRPr="00E407E9">
              <w:rPr>
                <w:rFonts w:ascii="Arial" w:hAnsi="Arial" w:cs="Arial"/>
                <w:b/>
                <w:sz w:val="13"/>
                <w:szCs w:val="13"/>
              </w:rPr>
              <w:t>H</w:t>
            </w:r>
          </w:p>
        </w:tc>
        <w:tc>
          <w:tcPr>
            <w:tcW w:w="3524" w:type="dxa"/>
            <w:tcBorders>
              <w:top w:val="nil"/>
              <w:left w:val="double" w:sz="4" w:space="0" w:color="auto"/>
              <w:bottom w:val="nil"/>
              <w:right w:val="nil"/>
            </w:tcBorders>
            <w:hideMark/>
          </w:tcPr>
          <w:p w:rsidR="00113336" w:rsidRPr="00E407E9" w:rsidRDefault="00B4618C" w:rsidP="009B36BA">
            <w:pPr>
              <w:tabs>
                <w:tab w:val="left" w:pos="203"/>
              </w:tabs>
              <w:spacing w:before="120"/>
              <w:rPr>
                <w:rFonts w:ascii="Arial" w:hAnsi="Arial" w:cs="Arial"/>
                <w:b/>
                <w:sz w:val="13"/>
                <w:szCs w:val="13"/>
              </w:rPr>
            </w:pPr>
            <w:r w:rsidRPr="00E407E9">
              <w:rPr>
                <w:rFonts w:ascii="Arial" w:hAnsi="Arial" w:cs="Arial"/>
                <w:b/>
                <w:sz w:val="13"/>
                <w:szCs w:val="13"/>
              </w:rPr>
              <w:t>2</w:t>
            </w:r>
            <w:r w:rsidR="00113336" w:rsidRPr="00E407E9">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E407E9">
              <w:rPr>
                <w:rFonts w:ascii="Arial" w:hAnsi="Arial" w:cs="Arial"/>
                <w:b/>
                <w:sz w:val="13"/>
                <w:szCs w:val="13"/>
              </w:rPr>
              <w:tab/>
            </w:r>
            <w:r w:rsidRPr="00E407E9">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91"/>
      <w:footerReference w:type="default" r:id="rId9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04" w:rsidRDefault="00F74504" w:rsidP="00A87207">
      <w:r>
        <w:separator/>
      </w:r>
    </w:p>
  </w:endnote>
  <w:endnote w:type="continuationSeparator" w:id="0">
    <w:p w:rsidR="00F74504" w:rsidRDefault="00F7450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rsidP="00A87207">
    <w:pPr>
      <w:pStyle w:val="Footer"/>
    </w:pPr>
    <w:r>
      <w:pict>
        <v:rect id="_x0000_i1062" style="width:480.95pt;height:1pt" o:hralign="center" o:hrstd="t" o:hrnoshade="t" o:hr="t" fillcolor="black [3213]" stroked="f"/>
      </w:pict>
    </w:r>
  </w:p>
  <w:p w:rsidR="00F74504" w:rsidRPr="00B7374B" w:rsidRDefault="00F7450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E6E62">
      <w:rPr>
        <w:noProof/>
        <w:szCs w:val="24"/>
      </w:rPr>
      <w:t>6</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rsidP="0022323B">
    <w:r>
      <w:pict>
        <v:rect id="_x0000_i1096" style="width:480.95pt;height:1pt" o:hralign="center" o:hrstd="t" o:hrnoshade="t" o:hr="t" fillcolor="black [3213]" stroked="f"/>
      </w:pict>
    </w:r>
  </w:p>
  <w:p w:rsidR="00F74504" w:rsidRDefault="00F74504" w:rsidP="0022323B">
    <w:pPr>
      <w:tabs>
        <w:tab w:val="center" w:pos="4740"/>
      </w:tabs>
      <w:spacing w:line="0" w:lineRule="atLeast"/>
    </w:pPr>
    <w:r>
      <w:tab/>
      <w:t xml:space="preserve">- </w:t>
    </w:r>
    <w:r>
      <w:fldChar w:fldCharType="begin"/>
    </w:r>
    <w:r>
      <w:instrText xml:space="preserve"> PAGE   \* MERGEFORMAT </w:instrText>
    </w:r>
    <w:r>
      <w:fldChar w:fldCharType="separate"/>
    </w:r>
    <w:r w:rsidR="00CE6E62">
      <w:rPr>
        <w:noProof/>
      </w:rPr>
      <w:t>33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Pr="00924065" w:rsidRDefault="00F7450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rsidP="00755F22">
    <w:pPr>
      <w:tabs>
        <w:tab w:val="left" w:pos="-1440"/>
        <w:tab w:val="left" w:pos="-720"/>
      </w:tabs>
    </w:pPr>
    <w:r>
      <w:pict>
        <v:rect id="_x0000_i1063" style="width:480.95pt;height:1pt" o:hralign="center" o:hrstd="t" o:hrnoshade="t" o:hr="t" fillcolor="black [3213]" stroked="f"/>
      </w:pict>
    </w:r>
  </w:p>
  <w:p w:rsidR="00F74504" w:rsidRPr="00954D22" w:rsidRDefault="00F7450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E6E62">
      <w:rPr>
        <w:noProof/>
        <w:szCs w:val="24"/>
      </w:rPr>
      <w:t>1</w:t>
    </w:r>
    <w:r>
      <w:rPr>
        <w:szCs w:val="24"/>
      </w:rPr>
      <w:fldChar w:fldCharType="end"/>
    </w:r>
    <w:r w:rsidRPr="00954D22">
      <w:rPr>
        <w:szCs w:val="24"/>
      </w:rPr>
      <w:t xml:space="preserve"> -</w:t>
    </w:r>
  </w:p>
  <w:p w:rsidR="00F74504" w:rsidRDefault="00F74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74504"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4504" w:rsidRDefault="00F7450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F74504" w:rsidRPr="0009648D" w:rsidRDefault="00F74504" w:rsidP="00ED7E83">
    <w:pPr>
      <w:tabs>
        <w:tab w:val="center" w:pos="4680"/>
      </w:tabs>
    </w:pPr>
    <w:r>
      <w:tab/>
    </w:r>
    <w:r w:rsidRPr="0009648D">
      <w:t xml:space="preserve">- </w:t>
    </w:r>
    <w:r>
      <w:fldChar w:fldCharType="begin"/>
    </w:r>
    <w:r>
      <w:instrText xml:space="preserve"> PAGE   \* MERGEFORMAT </w:instrText>
    </w:r>
    <w:r>
      <w:fldChar w:fldCharType="separate"/>
    </w:r>
    <w:r w:rsidR="00CE6E62">
      <w:rPr>
        <w:noProof/>
      </w:rPr>
      <w:t>31</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pPr>
      <w:pStyle w:val="Footer"/>
      <w:rPr>
        <w:lang w:val="fr-CA"/>
      </w:rPr>
    </w:pPr>
    <w:r>
      <w:rPr>
        <w:lang w:val="fr-CA"/>
      </w:rPr>
      <w:pict>
        <v:rect id="_x0000_i1089" style="width:480.95pt;height:1pt" o:hralign="center" o:hrstd="t" o:hrnoshade="t" o:hr="t" fillcolor="black [3213]" stroked="f"/>
      </w:pict>
    </w:r>
  </w:p>
  <w:p w:rsidR="00F74504" w:rsidRDefault="00F74504" w:rsidP="00245129">
    <w:pPr>
      <w:tabs>
        <w:tab w:val="center" w:pos="4680"/>
      </w:tabs>
    </w:pPr>
    <w:r>
      <w:tab/>
    </w:r>
    <w:r w:rsidRPr="0009648D">
      <w:t xml:space="preserve">- </w:t>
    </w:r>
    <w:r>
      <w:fldChar w:fldCharType="begin"/>
    </w:r>
    <w:r>
      <w:instrText xml:space="preserve"> PAGE   \* MERGEFORMAT </w:instrText>
    </w:r>
    <w:r>
      <w:fldChar w:fldCharType="separate"/>
    </w:r>
    <w:r w:rsidR="00CE6E62">
      <w:rPr>
        <w:noProof/>
      </w:rPr>
      <w:t>7</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4504"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4504" w:rsidRDefault="00F7450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3" style="width:480.95pt;height:1pt" o:hralign="center" o:hrstd="t" o:hrnoshade="t" o:hr="t" fillcolor="black [3213]" stroked="f"/>
      </w:pict>
    </w:r>
  </w:p>
  <w:p w:rsidR="00F74504" w:rsidRDefault="00F7450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pPr>
      <w:pStyle w:val="Footer"/>
      <w:rPr>
        <w:lang w:val="fr-CA"/>
      </w:rPr>
    </w:pPr>
    <w:r>
      <w:rPr>
        <w:lang w:val="fr-CA"/>
      </w:rPr>
      <w:pict>
        <v:rect id="_x0000_i1094" style="width:480.95pt;height:1pt" o:hralign="center" o:hrstd="t" o:hrnoshade="t" o:hr="t" fillcolor="black [3213]" stroked="f"/>
      </w:pict>
    </w:r>
  </w:p>
  <w:p w:rsidR="00F74504" w:rsidRDefault="00F74504" w:rsidP="00EB2B90">
    <w:pPr>
      <w:tabs>
        <w:tab w:val="center" w:pos="4680"/>
      </w:tabs>
    </w:pPr>
    <w:r>
      <w:tab/>
      <w:t xml:space="preserve">- </w:t>
    </w:r>
    <w:r>
      <w:fldChar w:fldCharType="begin"/>
    </w:r>
    <w:r>
      <w:instrText xml:space="preserve"> PAGE   \* MERGEFORMAT </w:instrText>
    </w:r>
    <w:r>
      <w:fldChar w:fldCharType="separate"/>
    </w:r>
    <w:r w:rsidR="00CE6E62">
      <w:rPr>
        <w:noProof/>
      </w:rPr>
      <w:t>32</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CE6E62" w:rsidP="0022323B">
    <w:r>
      <w:pict>
        <v:rect id="_x0000_i1095" style="width:480.95pt;height:1pt" o:hralign="center" o:hrstd="t" o:hrnoshade="t" o:hr="t" fillcolor="black [3213]" stroked="f"/>
      </w:pict>
    </w:r>
  </w:p>
  <w:p w:rsidR="00F74504" w:rsidRDefault="00F74504">
    <w:pPr>
      <w:tabs>
        <w:tab w:val="center" w:pos="4740"/>
      </w:tabs>
      <w:spacing w:line="0" w:lineRule="atLeast"/>
    </w:pPr>
    <w:r>
      <w:tab/>
      <w:t xml:space="preserve">- </w:t>
    </w:r>
    <w:r>
      <w:fldChar w:fldCharType="begin"/>
    </w:r>
    <w:r>
      <w:instrText xml:space="preserve"> PAGE   \* MERGEFORMAT </w:instrText>
    </w:r>
    <w:r>
      <w:fldChar w:fldCharType="separate"/>
    </w:r>
    <w:r>
      <w:rPr>
        <w:noProof/>
      </w:rPr>
      <w:t>22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04" w:rsidRDefault="00F74504" w:rsidP="00A87207">
      <w:r>
        <w:separator/>
      </w:r>
    </w:p>
  </w:footnote>
  <w:footnote w:type="continuationSeparator" w:id="0">
    <w:p w:rsidR="00F74504" w:rsidRDefault="00F7450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74504" w:rsidRPr="0044776A" w:rsidTr="00245129">
      <w:tc>
        <w:tcPr>
          <w:tcW w:w="4290" w:type="dxa"/>
          <w:tcMar>
            <w:left w:w="0" w:type="dxa"/>
            <w:right w:w="0" w:type="dxa"/>
          </w:tcMar>
        </w:tcPr>
        <w:p w:rsidR="00F74504" w:rsidRPr="00D31809" w:rsidRDefault="00F74504" w:rsidP="00D31809">
          <w:pPr>
            <w:keepNext/>
            <w:keepLines/>
            <w:rPr>
              <w:sz w:val="20"/>
              <w:szCs w:val="20"/>
              <w:lang w:val="en-US"/>
            </w:rPr>
          </w:pPr>
          <w:r w:rsidRPr="00D31809">
            <w:rPr>
              <w:sz w:val="20"/>
              <w:szCs w:val="20"/>
              <w:lang w:val="en-US"/>
            </w:rPr>
            <w:t>Applications for leave to appeal filed</w:t>
          </w:r>
        </w:p>
        <w:p w:rsidR="00F74504" w:rsidRPr="00D31809" w:rsidRDefault="00F74504" w:rsidP="00D31809">
          <w:pPr>
            <w:keepNext/>
            <w:keepLines/>
            <w:rPr>
              <w:sz w:val="20"/>
              <w:szCs w:val="20"/>
            </w:rPr>
          </w:pPr>
        </w:p>
      </w:tc>
      <w:tc>
        <w:tcPr>
          <w:tcW w:w="1200" w:type="dxa"/>
          <w:tcMar>
            <w:left w:w="0" w:type="dxa"/>
            <w:right w:w="0" w:type="dxa"/>
          </w:tcMar>
        </w:tcPr>
        <w:p w:rsidR="00F74504" w:rsidRPr="00D31809" w:rsidRDefault="00F74504" w:rsidP="002E2327">
          <w:pPr>
            <w:keepNext/>
            <w:keepLines/>
            <w:tabs>
              <w:tab w:val="left" w:pos="-1440"/>
              <w:tab w:val="left" w:pos="-720"/>
            </w:tabs>
            <w:jc w:val="center"/>
            <w:rPr>
              <w:sz w:val="20"/>
              <w:szCs w:val="20"/>
            </w:rPr>
          </w:pPr>
        </w:p>
      </w:tc>
      <w:tc>
        <w:tcPr>
          <w:tcW w:w="4320" w:type="dxa"/>
          <w:tcMar>
            <w:left w:w="0" w:type="dxa"/>
            <w:right w:w="0" w:type="dxa"/>
          </w:tcMar>
        </w:tcPr>
        <w:p w:rsidR="00F74504" w:rsidRPr="00D31809" w:rsidRDefault="00F74504" w:rsidP="002E2327">
          <w:pPr>
            <w:keepLines/>
            <w:rPr>
              <w:sz w:val="20"/>
              <w:szCs w:val="20"/>
              <w:lang w:val="fr-CA"/>
            </w:rPr>
          </w:pPr>
          <w:r w:rsidRPr="00D31809">
            <w:rPr>
              <w:sz w:val="20"/>
              <w:szCs w:val="20"/>
              <w:lang w:val="fr-CA"/>
            </w:rPr>
            <w:t>Demandes d’autorisation d’appel déposées</w:t>
          </w:r>
        </w:p>
      </w:tc>
    </w:tr>
  </w:tbl>
  <w:p w:rsidR="00F74504" w:rsidRDefault="00F745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F7450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F74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F74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4504" w:rsidRPr="001A3EBC">
      <w:tc>
        <w:tcPr>
          <w:tcW w:w="4200" w:type="dxa"/>
          <w:tcMar>
            <w:left w:w="0" w:type="dxa"/>
            <w:right w:w="0" w:type="dxa"/>
          </w:tcMar>
        </w:tcPr>
        <w:p w:rsidR="00F74504" w:rsidRDefault="00F745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74504" w:rsidRDefault="00F745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74504" w:rsidRDefault="00F745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4504" w:rsidRPr="00FF6BA5" w:rsidRDefault="00F745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74504" w:rsidRPr="00FF6BA5"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74504" w:rsidRPr="00FF6BA5"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74504" w:rsidRPr="00FF6BA5"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4504" w:rsidRPr="001A3EBC" w:rsidTr="00245129">
      <w:tc>
        <w:tcPr>
          <w:tcW w:w="4200" w:type="dxa"/>
          <w:tcMar>
            <w:left w:w="0" w:type="dxa"/>
            <w:right w:w="0" w:type="dxa"/>
          </w:tcMar>
        </w:tcPr>
        <w:p w:rsidR="00F74504" w:rsidRPr="00634F42" w:rsidRDefault="00F7450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74504" w:rsidRPr="00755F22" w:rsidRDefault="00F745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74504" w:rsidRPr="00755F22" w:rsidRDefault="00F745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74504" w:rsidRPr="00755F22" w:rsidRDefault="00F745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74504" w:rsidRPr="00FF6BA5" w:rsidRDefault="00F7450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F745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4504" w:rsidRPr="001A3EBC">
      <w:tc>
        <w:tcPr>
          <w:tcW w:w="4200" w:type="dxa"/>
          <w:tcMar>
            <w:left w:w="0" w:type="dxa"/>
            <w:right w:w="0" w:type="dxa"/>
          </w:tcMar>
        </w:tcPr>
        <w:p w:rsidR="00F74504" w:rsidRDefault="00F745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74504" w:rsidRDefault="00F745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4504" w:rsidRPr="00B01A03" w:rsidRDefault="00F745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74504" w:rsidRPr="00B01A03"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74504" w:rsidRPr="00B01A03" w:rsidRDefault="00F74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74504" w:rsidRPr="001A3EBC" w:rsidTr="00245129">
      <w:tc>
        <w:tcPr>
          <w:tcW w:w="4200" w:type="dxa"/>
          <w:tcMar>
            <w:left w:w="0" w:type="dxa"/>
            <w:right w:w="0" w:type="dxa"/>
          </w:tcMar>
        </w:tcPr>
        <w:p w:rsidR="00F74504" w:rsidRPr="00F40249" w:rsidRDefault="00F7450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74504" w:rsidRDefault="00F74504" w:rsidP="00102926">
          <w:pPr>
            <w:keepNext/>
            <w:keepLines/>
            <w:tabs>
              <w:tab w:val="left" w:pos="-1440"/>
              <w:tab w:val="left" w:pos="-720"/>
            </w:tabs>
            <w:jc w:val="center"/>
            <w:rPr>
              <w:sz w:val="20"/>
              <w:szCs w:val="20"/>
            </w:rPr>
          </w:pPr>
        </w:p>
        <w:p w:rsidR="00F74504" w:rsidRDefault="00F74504" w:rsidP="00102926">
          <w:pPr>
            <w:keepNext/>
            <w:keepLines/>
            <w:tabs>
              <w:tab w:val="left" w:pos="-1440"/>
              <w:tab w:val="left" w:pos="-720"/>
            </w:tabs>
            <w:jc w:val="center"/>
            <w:rPr>
              <w:sz w:val="20"/>
              <w:szCs w:val="20"/>
            </w:rPr>
          </w:pPr>
        </w:p>
        <w:p w:rsidR="00F74504" w:rsidRPr="00F40249" w:rsidRDefault="00F74504" w:rsidP="00102926">
          <w:pPr>
            <w:keepNext/>
            <w:keepLines/>
            <w:tabs>
              <w:tab w:val="left" w:pos="-1440"/>
              <w:tab w:val="left" w:pos="-720"/>
            </w:tabs>
            <w:jc w:val="center"/>
            <w:rPr>
              <w:sz w:val="20"/>
              <w:szCs w:val="20"/>
            </w:rPr>
          </w:pPr>
        </w:p>
      </w:tc>
      <w:tc>
        <w:tcPr>
          <w:tcW w:w="4230" w:type="dxa"/>
          <w:tcMar>
            <w:left w:w="0" w:type="dxa"/>
            <w:right w:w="0" w:type="dxa"/>
          </w:tcMar>
        </w:tcPr>
        <w:p w:rsidR="00F74504" w:rsidRPr="00F40249" w:rsidRDefault="00F7450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74504" w:rsidRPr="00B01A03" w:rsidRDefault="00F7450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04" w:rsidRDefault="00F7450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4504" w:rsidRPr="001A3EBC" w:rsidTr="00245129">
      <w:tc>
        <w:tcPr>
          <w:tcW w:w="4200" w:type="dxa"/>
          <w:tcMar>
            <w:left w:w="0" w:type="dxa"/>
            <w:right w:w="0" w:type="dxa"/>
          </w:tcMar>
        </w:tcPr>
        <w:p w:rsidR="00F74504" w:rsidRPr="006B6926" w:rsidRDefault="00F74504"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F74504" w:rsidRPr="006B6926" w:rsidRDefault="00F74504" w:rsidP="006B6926">
          <w:pPr>
            <w:keepNext/>
            <w:keepLines/>
            <w:tabs>
              <w:tab w:val="left" w:pos="-1440"/>
              <w:tab w:val="left" w:pos="-720"/>
            </w:tabs>
            <w:jc w:val="center"/>
            <w:rPr>
              <w:sz w:val="20"/>
              <w:szCs w:val="20"/>
            </w:rPr>
          </w:pPr>
        </w:p>
        <w:p w:rsidR="00F74504" w:rsidRPr="006B6926" w:rsidRDefault="00F74504"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74504" w:rsidRPr="006B6926" w:rsidRDefault="00F74504" w:rsidP="006B6926">
          <w:pPr>
            <w:keepLines/>
            <w:tabs>
              <w:tab w:val="left" w:pos="-1440"/>
              <w:tab w:val="left" w:pos="-720"/>
            </w:tabs>
            <w:rPr>
              <w:sz w:val="20"/>
              <w:szCs w:val="20"/>
              <w:lang w:val="fr-CA"/>
            </w:rPr>
          </w:pPr>
          <w:r w:rsidRPr="006B6926">
            <w:rPr>
              <w:sz w:val="20"/>
              <w:szCs w:val="20"/>
              <w:lang w:val="fr-CA"/>
            </w:rPr>
            <w:t>AVIS À LA COMMUNAUTÉ JURIDIQUE</w:t>
          </w:r>
        </w:p>
      </w:tc>
    </w:tr>
  </w:tbl>
  <w:p w:rsidR="00F74504" w:rsidRPr="006B6926" w:rsidRDefault="00F74504" w:rsidP="005F263E">
    <w:pP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5"/>
  </w:num>
  <w:num w:numId="10">
    <w:abstractNumId w:val="6"/>
  </w:num>
  <w:num w:numId="11">
    <w:abstractNumId w:val="14"/>
  </w:num>
  <w:num w:numId="12">
    <w:abstractNumId w:val="24"/>
  </w:num>
  <w:num w:numId="13">
    <w:abstractNumId w:val="18"/>
  </w:num>
  <w:num w:numId="14">
    <w:abstractNumId w:val="8"/>
  </w:num>
  <w:num w:numId="15">
    <w:abstractNumId w:val="23"/>
  </w:num>
  <w:num w:numId="16">
    <w:abstractNumId w:val="3"/>
  </w:num>
  <w:num w:numId="17">
    <w:abstractNumId w:val="21"/>
  </w:num>
  <w:num w:numId="18">
    <w:abstractNumId w:val="10"/>
  </w:num>
  <w:num w:numId="19">
    <w:abstractNumId w:val="12"/>
  </w:num>
  <w:num w:numId="20">
    <w:abstractNumId w:val="17"/>
  </w:num>
  <w:num w:numId="21">
    <w:abstractNumId w:val="16"/>
  </w:num>
  <w:num w:numId="22">
    <w:abstractNumId w:val="19"/>
  </w:num>
  <w:num w:numId="23">
    <w:abstractNumId w:val="20"/>
  </w:num>
  <w:num w:numId="24">
    <w:abstractNumId w:val="4"/>
  </w:num>
  <w:num w:numId="25">
    <w:abstractNumId w:val="22"/>
  </w:num>
  <w:num w:numId="26">
    <w:abstractNumId w:val="15"/>
  </w:num>
  <w:num w:numId="27">
    <w:abstractNumId w:val="1"/>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AD"/>
    <w:rsid w:val="00002704"/>
    <w:rsid w:val="000032F5"/>
    <w:rsid w:val="00012EEA"/>
    <w:rsid w:val="00016EDD"/>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C6047"/>
    <w:rsid w:val="000E27A5"/>
    <w:rsid w:val="000E2959"/>
    <w:rsid w:val="000F0B60"/>
    <w:rsid w:val="000F2CA3"/>
    <w:rsid w:val="000F6D02"/>
    <w:rsid w:val="00102792"/>
    <w:rsid w:val="00102926"/>
    <w:rsid w:val="0010587F"/>
    <w:rsid w:val="00111C6B"/>
    <w:rsid w:val="00113336"/>
    <w:rsid w:val="0012102B"/>
    <w:rsid w:val="00124D41"/>
    <w:rsid w:val="00125B8F"/>
    <w:rsid w:val="0013369E"/>
    <w:rsid w:val="0013595D"/>
    <w:rsid w:val="001434B9"/>
    <w:rsid w:val="00143EF6"/>
    <w:rsid w:val="00152E76"/>
    <w:rsid w:val="00163FA2"/>
    <w:rsid w:val="00164E6D"/>
    <w:rsid w:val="0016538E"/>
    <w:rsid w:val="00172473"/>
    <w:rsid w:val="00180CBA"/>
    <w:rsid w:val="00183454"/>
    <w:rsid w:val="0019203D"/>
    <w:rsid w:val="00195F99"/>
    <w:rsid w:val="001A3EBC"/>
    <w:rsid w:val="001B157C"/>
    <w:rsid w:val="001B1994"/>
    <w:rsid w:val="001B4006"/>
    <w:rsid w:val="001B5C23"/>
    <w:rsid w:val="001D0D5F"/>
    <w:rsid w:val="001D6B8C"/>
    <w:rsid w:val="001F1F83"/>
    <w:rsid w:val="001F2A2A"/>
    <w:rsid w:val="001F40DF"/>
    <w:rsid w:val="001F43F8"/>
    <w:rsid w:val="001F6B2D"/>
    <w:rsid w:val="001F7BE4"/>
    <w:rsid w:val="00201DCB"/>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0529D"/>
    <w:rsid w:val="003308AA"/>
    <w:rsid w:val="00331B52"/>
    <w:rsid w:val="00333403"/>
    <w:rsid w:val="003359D3"/>
    <w:rsid w:val="0034657E"/>
    <w:rsid w:val="00351475"/>
    <w:rsid w:val="00355967"/>
    <w:rsid w:val="00382C47"/>
    <w:rsid w:val="00384384"/>
    <w:rsid w:val="00385BCE"/>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975AB"/>
    <w:rsid w:val="004B195E"/>
    <w:rsid w:val="004B2E86"/>
    <w:rsid w:val="004B66B4"/>
    <w:rsid w:val="004B7F60"/>
    <w:rsid w:val="004C1AAC"/>
    <w:rsid w:val="004C1C35"/>
    <w:rsid w:val="004C5DD7"/>
    <w:rsid w:val="004E1E0A"/>
    <w:rsid w:val="004E44A7"/>
    <w:rsid w:val="004E5524"/>
    <w:rsid w:val="004F090E"/>
    <w:rsid w:val="004F3DF6"/>
    <w:rsid w:val="00501F3C"/>
    <w:rsid w:val="00506BE1"/>
    <w:rsid w:val="00520F9E"/>
    <w:rsid w:val="0052229C"/>
    <w:rsid w:val="00527CC7"/>
    <w:rsid w:val="00547B39"/>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05C70"/>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1C39"/>
    <w:rsid w:val="0074238B"/>
    <w:rsid w:val="00745EF7"/>
    <w:rsid w:val="00755F22"/>
    <w:rsid w:val="00766E4A"/>
    <w:rsid w:val="007820CE"/>
    <w:rsid w:val="00782AE4"/>
    <w:rsid w:val="0078769C"/>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86B54"/>
    <w:rsid w:val="008902B1"/>
    <w:rsid w:val="00890FEB"/>
    <w:rsid w:val="00893449"/>
    <w:rsid w:val="00895E7E"/>
    <w:rsid w:val="008961FD"/>
    <w:rsid w:val="008A5C1A"/>
    <w:rsid w:val="008C2318"/>
    <w:rsid w:val="008D085E"/>
    <w:rsid w:val="008D292F"/>
    <w:rsid w:val="008D3D4B"/>
    <w:rsid w:val="008E03DC"/>
    <w:rsid w:val="008F4E9C"/>
    <w:rsid w:val="00902E51"/>
    <w:rsid w:val="009058B9"/>
    <w:rsid w:val="009141AD"/>
    <w:rsid w:val="00924065"/>
    <w:rsid w:val="00930B8A"/>
    <w:rsid w:val="00930D68"/>
    <w:rsid w:val="00932DB4"/>
    <w:rsid w:val="00941A4B"/>
    <w:rsid w:val="00946242"/>
    <w:rsid w:val="0095096B"/>
    <w:rsid w:val="00955827"/>
    <w:rsid w:val="00957556"/>
    <w:rsid w:val="00961C83"/>
    <w:rsid w:val="00970CD3"/>
    <w:rsid w:val="009723FA"/>
    <w:rsid w:val="009801A5"/>
    <w:rsid w:val="00984546"/>
    <w:rsid w:val="009921E9"/>
    <w:rsid w:val="00996510"/>
    <w:rsid w:val="00997976"/>
    <w:rsid w:val="009A75CF"/>
    <w:rsid w:val="009B36BA"/>
    <w:rsid w:val="009C4E23"/>
    <w:rsid w:val="009D1F15"/>
    <w:rsid w:val="009D555E"/>
    <w:rsid w:val="009F3024"/>
    <w:rsid w:val="009F39BA"/>
    <w:rsid w:val="00A00BF1"/>
    <w:rsid w:val="00A0355E"/>
    <w:rsid w:val="00A067B5"/>
    <w:rsid w:val="00A234E1"/>
    <w:rsid w:val="00A242F4"/>
    <w:rsid w:val="00A34E3E"/>
    <w:rsid w:val="00A3512B"/>
    <w:rsid w:val="00A375D1"/>
    <w:rsid w:val="00A41D2B"/>
    <w:rsid w:val="00A51D10"/>
    <w:rsid w:val="00A52A83"/>
    <w:rsid w:val="00A61252"/>
    <w:rsid w:val="00A6552C"/>
    <w:rsid w:val="00A744AF"/>
    <w:rsid w:val="00A760C7"/>
    <w:rsid w:val="00A81DCF"/>
    <w:rsid w:val="00A87207"/>
    <w:rsid w:val="00A935AA"/>
    <w:rsid w:val="00A956D3"/>
    <w:rsid w:val="00AA2D96"/>
    <w:rsid w:val="00AB2201"/>
    <w:rsid w:val="00AC3CBD"/>
    <w:rsid w:val="00AD1D34"/>
    <w:rsid w:val="00AD3259"/>
    <w:rsid w:val="00AE043C"/>
    <w:rsid w:val="00AF1715"/>
    <w:rsid w:val="00AF3904"/>
    <w:rsid w:val="00AF6029"/>
    <w:rsid w:val="00B00A0B"/>
    <w:rsid w:val="00B010C0"/>
    <w:rsid w:val="00B05328"/>
    <w:rsid w:val="00B15CBE"/>
    <w:rsid w:val="00B40FD9"/>
    <w:rsid w:val="00B4618C"/>
    <w:rsid w:val="00B4740D"/>
    <w:rsid w:val="00B61629"/>
    <w:rsid w:val="00B635E0"/>
    <w:rsid w:val="00B67395"/>
    <w:rsid w:val="00B7374B"/>
    <w:rsid w:val="00B90DC0"/>
    <w:rsid w:val="00B919A3"/>
    <w:rsid w:val="00BA116A"/>
    <w:rsid w:val="00BA5582"/>
    <w:rsid w:val="00BA6468"/>
    <w:rsid w:val="00BB15A8"/>
    <w:rsid w:val="00BB1D44"/>
    <w:rsid w:val="00BC441D"/>
    <w:rsid w:val="00BC680C"/>
    <w:rsid w:val="00BD06DA"/>
    <w:rsid w:val="00BD264E"/>
    <w:rsid w:val="00BD4217"/>
    <w:rsid w:val="00BE34F7"/>
    <w:rsid w:val="00BF25F3"/>
    <w:rsid w:val="00C01FCB"/>
    <w:rsid w:val="00C1697B"/>
    <w:rsid w:val="00C21644"/>
    <w:rsid w:val="00C21CB5"/>
    <w:rsid w:val="00C257CD"/>
    <w:rsid w:val="00C27015"/>
    <w:rsid w:val="00C305D9"/>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320E"/>
    <w:rsid w:val="00CB3520"/>
    <w:rsid w:val="00CB43D5"/>
    <w:rsid w:val="00CC4D84"/>
    <w:rsid w:val="00CE198A"/>
    <w:rsid w:val="00CE6E62"/>
    <w:rsid w:val="00CF08C8"/>
    <w:rsid w:val="00D004FC"/>
    <w:rsid w:val="00D04577"/>
    <w:rsid w:val="00D22BC0"/>
    <w:rsid w:val="00D31809"/>
    <w:rsid w:val="00D34C9B"/>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7D10"/>
    <w:rsid w:val="00E0270C"/>
    <w:rsid w:val="00E06DFA"/>
    <w:rsid w:val="00E06F20"/>
    <w:rsid w:val="00E20A0A"/>
    <w:rsid w:val="00E240C2"/>
    <w:rsid w:val="00E356C7"/>
    <w:rsid w:val="00E407E9"/>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37BD5"/>
    <w:rsid w:val="00F40249"/>
    <w:rsid w:val="00F526C8"/>
    <w:rsid w:val="00F554B5"/>
    <w:rsid w:val="00F663FF"/>
    <w:rsid w:val="00F74504"/>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9801A5"/>
    <w:pPr>
      <w:jc w:val="both"/>
    </w:pPr>
    <w:rPr>
      <w:rFonts w:eastAsia="Calibri" w:cs="Times New Roman"/>
      <w:smallCaps/>
    </w:rPr>
  </w:style>
  <w:style w:type="character" w:customStyle="1" w:styleId="SCCBanSummaryChar">
    <w:name w:val="SCC.BanSummary Char"/>
    <w:basedOn w:val="DefaultParagraphFont"/>
    <w:link w:val="SCCBanSummary0"/>
    <w:rsid w:val="009801A5"/>
    <w:rPr>
      <w:rFonts w:eastAsia="Calibri" w:cs="Times New Roman"/>
      <w:smallCaps/>
      <w:lang w:val="en-CA"/>
    </w:rPr>
  </w:style>
  <w:style w:type="paragraph" w:styleId="NoSpacing">
    <w:name w:val="No Spacing"/>
    <w:uiPriority w:val="1"/>
    <w:qFormat/>
    <w:rsid w:val="009801A5"/>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9801A5"/>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801A5"/>
    <w:rPr>
      <w:rFonts w:ascii="Tahoma" w:eastAsia="Times New Roman" w:hAnsi="Tahoma" w:cs="Tahoma"/>
      <w:sz w:val="16"/>
      <w:szCs w:val="16"/>
    </w:rPr>
  </w:style>
  <w:style w:type="paragraph" w:customStyle="1" w:styleId="Style268435469">
    <w:name w:val="Style268435469"/>
    <w:rsid w:val="009801A5"/>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801A5"/>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801A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801A5"/>
    <w:rPr>
      <w:sz w:val="16"/>
      <w:szCs w:val="16"/>
    </w:rPr>
  </w:style>
  <w:style w:type="paragraph" w:styleId="CommentText">
    <w:name w:val="annotation text"/>
    <w:basedOn w:val="Normal"/>
    <w:link w:val="CommentTextChar"/>
    <w:uiPriority w:val="99"/>
    <w:semiHidden/>
    <w:unhideWhenUsed/>
    <w:rsid w:val="009801A5"/>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801A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1A5"/>
    <w:rPr>
      <w:b/>
      <w:bCs/>
    </w:rPr>
  </w:style>
  <w:style w:type="character" w:customStyle="1" w:styleId="CommentSubjectChar">
    <w:name w:val="Comment Subject Char"/>
    <w:basedOn w:val="CommentTextChar"/>
    <w:link w:val="CommentSubject"/>
    <w:uiPriority w:val="99"/>
    <w:semiHidden/>
    <w:rsid w:val="009801A5"/>
    <w:rPr>
      <w:rFonts w:eastAsia="Times New Roman" w:cs="Times New Roman"/>
      <w:b/>
      <w:bCs/>
      <w:sz w:val="20"/>
      <w:szCs w:val="20"/>
    </w:rPr>
  </w:style>
  <w:style w:type="paragraph" w:customStyle="1" w:styleId="mainparagraph1">
    <w:name w:val="mainparagraph1"/>
    <w:basedOn w:val="Normal"/>
    <w:rsid w:val="009801A5"/>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9801A5"/>
    <w:pPr>
      <w:spacing w:before="120" w:after="120"/>
      <w:jc w:val="both"/>
    </w:pPr>
    <w:rPr>
      <w:rFonts w:ascii="Arial" w:eastAsia="Times New Roman" w:hAnsi="Arial" w:cs="Arial"/>
      <w:sz w:val="26"/>
      <w:szCs w:val="26"/>
      <w:lang w:val="en-US"/>
    </w:rPr>
  </w:style>
  <w:style w:type="paragraph" w:customStyle="1" w:styleId="number1">
    <w:name w:val="number1"/>
    <w:basedOn w:val="Normal"/>
    <w:rsid w:val="009801A5"/>
    <w:pPr>
      <w:jc w:val="both"/>
    </w:pPr>
    <w:rPr>
      <w:rFonts w:ascii="Tahoma" w:eastAsia="Times New Roman" w:hAnsi="Tahoma" w:cs="Tahoma"/>
      <w:szCs w:val="24"/>
      <w:lang w:val="en-US"/>
    </w:rPr>
  </w:style>
  <w:style w:type="character" w:customStyle="1" w:styleId="reflex3-block">
    <w:name w:val="reflex3-block"/>
    <w:basedOn w:val="DefaultParagraphFont"/>
    <w:rsid w:val="009801A5"/>
  </w:style>
  <w:style w:type="character" w:customStyle="1" w:styleId="reflex3-alt">
    <w:name w:val="reflex3-alt"/>
    <w:basedOn w:val="DefaultParagraphFont"/>
    <w:rsid w:val="009801A5"/>
  </w:style>
  <w:style w:type="paragraph" w:customStyle="1" w:styleId="scjnumber1">
    <w:name w:val="scjnumber1"/>
    <w:basedOn w:val="Normal"/>
    <w:rsid w:val="009801A5"/>
    <w:pPr>
      <w:spacing w:after="240"/>
    </w:pPr>
    <w:rPr>
      <w:rFonts w:ascii="Arial" w:eastAsia="Times New Roman" w:hAnsi="Arial" w:cs="Arial"/>
      <w:szCs w:val="24"/>
      <w:lang w:val="en-US"/>
    </w:rPr>
  </w:style>
  <w:style w:type="character" w:customStyle="1" w:styleId="reflex">
    <w:name w:val="reflex"/>
    <w:basedOn w:val="DefaultParagraphFont"/>
    <w:rsid w:val="009801A5"/>
  </w:style>
  <w:style w:type="paragraph" w:customStyle="1" w:styleId="paragraphe">
    <w:name w:val="paragraphe"/>
    <w:basedOn w:val="Normal"/>
    <w:rsid w:val="009801A5"/>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9801A5"/>
  </w:style>
  <w:style w:type="paragraph" w:customStyle="1" w:styleId="SCCLsocSubfileSeparator0">
    <w:name w:val="SCC.Lsoc.SubfileSeparator"/>
    <w:basedOn w:val="Normal"/>
    <w:next w:val="Normal"/>
    <w:link w:val="SCCLsocSubfileSeparatorChar"/>
    <w:rsid w:val="009801A5"/>
    <w:pPr>
      <w:jc w:val="both"/>
    </w:pPr>
    <w:rPr>
      <w:rFonts w:cs="Times New Roman"/>
      <w:b/>
      <w:szCs w:val="24"/>
    </w:rPr>
  </w:style>
  <w:style w:type="character" w:customStyle="1" w:styleId="SCCLsocSubfileSeparatorChar">
    <w:name w:val="SCC.Lsoc.SubfileSeparator Char"/>
    <w:basedOn w:val="DefaultParagraphFont"/>
    <w:link w:val="SCCLsocSubfileSeparator0"/>
    <w:rsid w:val="009801A5"/>
    <w:rPr>
      <w:rFonts w:cs="Times New Roman"/>
      <w:b/>
      <w:szCs w:val="24"/>
      <w:lang w:val="en-CA"/>
    </w:rPr>
  </w:style>
  <w:style w:type="paragraph" w:customStyle="1" w:styleId="s3">
    <w:name w:val="s3"/>
    <w:basedOn w:val="Normal"/>
    <w:rsid w:val="009801A5"/>
    <w:pPr>
      <w:spacing w:before="100" w:beforeAutospacing="1" w:after="100" w:afterAutospacing="1"/>
    </w:pPr>
    <w:rPr>
      <w:rFonts w:cs="Times New Roman"/>
      <w:szCs w:val="24"/>
      <w:lang w:val="en-US"/>
    </w:rPr>
  </w:style>
  <w:style w:type="character" w:customStyle="1" w:styleId="s4">
    <w:name w:val="s4"/>
    <w:basedOn w:val="DefaultParagraphFont"/>
    <w:rsid w:val="009801A5"/>
  </w:style>
  <w:style w:type="character" w:customStyle="1" w:styleId="s5">
    <w:name w:val="s5"/>
    <w:basedOn w:val="DefaultParagraphFont"/>
    <w:rsid w:val="009801A5"/>
  </w:style>
  <w:style w:type="paragraph" w:customStyle="1" w:styleId="paragraphenumrot">
    <w:name w:val="paragraphenumrot"/>
    <w:basedOn w:val="Normal"/>
    <w:rsid w:val="009801A5"/>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9801A5"/>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9801A5"/>
  </w:style>
  <w:style w:type="paragraph" w:customStyle="1" w:styleId="aparanumbering">
    <w:name w:val="aparanumbering"/>
    <w:basedOn w:val="Normal"/>
    <w:rsid w:val="009801A5"/>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9801A5"/>
  </w:style>
  <w:style w:type="paragraph" w:customStyle="1" w:styleId="scjnumber">
    <w:name w:val="scjnumber"/>
    <w:basedOn w:val="Normal"/>
    <w:rsid w:val="009801A5"/>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F7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ca/laws/stat/rsc-1985-c-c-46/latest/rsc-1985-c-c-46.html" TargetMode="External"/><Relationship Id="rId26" Type="http://schemas.openxmlformats.org/officeDocument/2006/relationships/hyperlink" Target="https://www.canlii.org/fr/qc/qcca/doc/2020/2020qcca42/2020qcca42.html?resultIndex=1" TargetMode="External"/><Relationship Id="rId39" Type="http://schemas.openxmlformats.org/officeDocument/2006/relationships/hyperlink" Target="https://www.canlii.org/en/on/onsc/doc/2019/2019onsc3827/2019onsc3827.html?autocompleteStr=2019%20ONSC%203827&amp;autocompletePos=1" TargetMode="External"/><Relationship Id="rId21" Type="http://schemas.openxmlformats.org/officeDocument/2006/relationships/hyperlink" Target="https://www.canlii.org/en/ab/abca/doc/2020/2020abca71/2020abca71.html?autocompleteStr=2020%20ABCA%2071&amp;autocompletePos=1" TargetMode="External"/><Relationship Id="rId34" Type="http://schemas.openxmlformats.org/officeDocument/2006/relationships/hyperlink" Target="http://canlii.ca/t/j5436" TargetMode="External"/><Relationship Id="rId42" Type="http://schemas.openxmlformats.org/officeDocument/2006/relationships/hyperlink" Target="https://www.canlii.org/en/bc/bcsc/doc/2020/2020bcsc349/2020bcsc349.html?resultIndex=1" TargetMode="External"/><Relationship Id="rId47" Type="http://schemas.openxmlformats.org/officeDocument/2006/relationships/hyperlink" Target="https://www.canlii.org/en/sk/laws/stat/ss-2001-c-c-12.01/latest/ss-2001-c-c-12.01.html" TargetMode="External"/><Relationship Id="rId50" Type="http://schemas.openxmlformats.org/officeDocument/2006/relationships/hyperlink" Target="https://www.canlii.org/en/sk/skqb/doc/2019/2019skqb60/2019skqb60.html?autocompleteStr=Ammazzini&amp;autocompletePos=5" TargetMode="External"/><Relationship Id="rId55" Type="http://schemas.openxmlformats.org/officeDocument/2006/relationships/hyperlink" Target="https://www.canlii.org/en/sk/skqb/doc/2019/2019skqb60/2019skqb60.html?autocompleteStr=Ammazzini&amp;autocompletePos=5" TargetMode="External"/><Relationship Id="rId63" Type="http://schemas.openxmlformats.org/officeDocument/2006/relationships/hyperlink" Target="https://www.canlii.org/en/bc/bcsc/doc/2018/2018bcsc1515/2018bcsc1515.html?searchUrlHash=AAAAAQALZ2FyeSBnYXV0YW0AAAAAAQ&amp;resultIndex=2" TargetMode="External"/><Relationship Id="rId68" Type="http://schemas.openxmlformats.org/officeDocument/2006/relationships/hyperlink" Target="https://www.canlii.org/en/bc/bcca/doc/2020/2020bcca147/2020bcca147.html?autocompleteStr=2020%20BCCA%20147&amp;autocompletePos=1" TargetMode="External"/><Relationship Id="rId76" Type="http://schemas.openxmlformats.org/officeDocument/2006/relationships/header" Target="header7.xml"/><Relationship Id="rId84" Type="http://schemas.openxmlformats.org/officeDocument/2006/relationships/hyperlink" Target="https://www.scc-csc.ca/ar-lr/amend-modif2021-01-27-fra.aspx" TargetMode="External"/><Relationship Id="rId89"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www.canlii.org/en/on/onsc/doc/2018/2018onsc7158/2018onsc7158.html?autocompleteStr=2018%20ONSC%207158&amp;autocompletePos=1" TargetMode="External"/><Relationship Id="rId29" Type="http://schemas.openxmlformats.org/officeDocument/2006/relationships/hyperlink" Target="https://www.canlii.org/en/bc/bcca/doc/2020/2020bcca195/2020bcca195.html?searchUrlHash=AAAAAQANMjAyMCBCQ0NBIDE5NQAAAAAB&amp;resultIndex=1" TargetMode="External"/><Relationship Id="rId11" Type="http://schemas.openxmlformats.org/officeDocument/2006/relationships/header" Target="header1.xml"/><Relationship Id="rId24" Type="http://schemas.openxmlformats.org/officeDocument/2006/relationships/hyperlink" Target="https://www.canlii.org/fr/qc/qcca/doc/2020/2020qcca42/2020qcca42.html?resultIndex=1" TargetMode="External"/><Relationship Id="rId32" Type="http://schemas.openxmlformats.org/officeDocument/2006/relationships/hyperlink" Target="https://www.canlii.org/en/bc/bcca/doc/2020/2020bcca195/2020bcca195.html?searchUrlHash=AAAAAQANMjAyMCBCQ0NBIDE5NQAAAAAB&amp;resultIndex=1" TargetMode="External"/><Relationship Id="rId37" Type="http://schemas.openxmlformats.org/officeDocument/2006/relationships/hyperlink" Target="https://www.canlii.org/en/on/onsc/doc/2019/2019onsc3827/2019onsc3827.html?autocompleteStr=2019%20ONSC%203827&amp;autocompletePos=1" TargetMode="External"/><Relationship Id="rId40" Type="http://schemas.openxmlformats.org/officeDocument/2006/relationships/hyperlink" Target="https://www.canlii.org/en/on/onca/doc/2020/2020onca337/2020onca337.html?autocompleteStr=2020%20ONCA%20337&amp;autocompletePos=1" TargetMode="External"/><Relationship Id="rId45" Type="http://schemas.openxmlformats.org/officeDocument/2006/relationships/hyperlink" Target="https://www.canlii.org/en/ca/fca/doc/2020/2020fca92/2020fca92.html?autocompleteStr=2020%20FCA%2092&amp;autocompletePos=1" TargetMode="External"/><Relationship Id="rId53" Type="http://schemas.openxmlformats.org/officeDocument/2006/relationships/hyperlink" Target="https://www.canlii.org/en/sk/skqb/doc/2016/2016skqb53/2016skqb53.html" TargetMode="External"/><Relationship Id="rId58" Type="http://schemas.openxmlformats.org/officeDocument/2006/relationships/hyperlink" Target="https://www.canlii.org/en/on/onca/doc/2018/2018onca498/2018onca498.html?autocompleteStr=2018%20ONCA%20498&amp;autocompletePos=1" TargetMode="External"/><Relationship Id="rId66" Type="http://schemas.openxmlformats.org/officeDocument/2006/relationships/hyperlink" Target="https://www.canlii.org/en/bc/bcca/doc/2020/2020bcca147/2020bcca147.html?autocompleteStr=2020%20BCCA%20147&amp;autocompletePos=1" TargetMode="External"/><Relationship Id="rId74" Type="http://schemas.openxmlformats.org/officeDocument/2006/relationships/footer" Target="footer5.xml"/><Relationship Id="rId79" Type="http://schemas.openxmlformats.org/officeDocument/2006/relationships/header" Target="header8.xml"/><Relationship Id="rId87"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s://www.canlii.org/en/bc/bcsc/doc/2018/2018bcsc1515/2018bcsc1515.html?searchUrlHash=AAAAAQALZ2FyeSBnYXV0YW0AAAAAAQ&amp;resultIndex=2" TargetMode="External"/><Relationship Id="rId82" Type="http://schemas.openxmlformats.org/officeDocument/2006/relationships/hyperlink" Target="https://www.scc-csc.ca/parties/gl-ld2021-01-27-eng.aspx" TargetMode="External"/><Relationship Id="rId90" Type="http://schemas.openxmlformats.org/officeDocument/2006/relationships/footer" Target="footer10.xml"/><Relationship Id="rId19" Type="http://schemas.openxmlformats.org/officeDocument/2006/relationships/hyperlink" Target="https://www.canlii.org/en/on/onsc/doc/2018/2018onsc7158/2018onsc7158.html?autocompleteStr=2018%20ONSC%207158&amp;autocompletePos=1" TargetMode="External"/><Relationship Id="rId14" Type="http://schemas.openxmlformats.org/officeDocument/2006/relationships/footer" Target="footer2.xml"/><Relationship Id="rId22" Type="http://schemas.openxmlformats.org/officeDocument/2006/relationships/hyperlink" Target="https://www.canlii.org/en/ab/abca/doc/2020/2020abca71/2020abca71.html?autocompleteStr=2020%20ABCA%2071&amp;autocompletePos=1" TargetMode="External"/><Relationship Id="rId27" Type="http://schemas.openxmlformats.org/officeDocument/2006/relationships/hyperlink" Target="https://www.canlii.org/en/bc/bcpc/doc/2017/2017bcpc449/2017bcpc449.html" TargetMode="External"/><Relationship Id="rId30" Type="http://schemas.openxmlformats.org/officeDocument/2006/relationships/hyperlink" Target="https://www.canlii.org/en/bc/bcpc/doc/2017/2017bcpc449/2017bcpc449.html" TargetMode="External"/><Relationship Id="rId35" Type="http://schemas.openxmlformats.org/officeDocument/2006/relationships/hyperlink" Target="https://www.canlii.org/fr/ca/cfpi/doc/2018/2018cf259/2018cf259.html" TargetMode="External"/><Relationship Id="rId43" Type="http://schemas.openxmlformats.org/officeDocument/2006/relationships/hyperlink" Target="https://www.canlii.org/en/bc/bcsc/doc/2020/2020bcsc29/2020bcsc29.html" TargetMode="External"/><Relationship Id="rId48" Type="http://schemas.openxmlformats.org/officeDocument/2006/relationships/hyperlink" Target="https://www.canlii.org/en/sk/skqb/doc/2016/2016skqb53/2016skqb53.html" TargetMode="External"/><Relationship Id="rId56" Type="http://schemas.openxmlformats.org/officeDocument/2006/relationships/hyperlink" Target="https://www.canlii.org/en/sk/skca/doc/2019/2019skca142/2019skca142.html?resultIndex=7" TargetMode="External"/><Relationship Id="rId64" Type="http://schemas.openxmlformats.org/officeDocument/2006/relationships/hyperlink" Target="https://www.canlii.org/en/bc/bcca/doc/2020/2020bcca135/2020bcca135.html?searchUrlHash=AAAAAQALZ2FyeSBnYXV0YW0AAAAAAQ&amp;resultIndex=1" TargetMode="External"/><Relationship Id="rId69" Type="http://schemas.openxmlformats.org/officeDocument/2006/relationships/header" Target="header3.xml"/><Relationship Id="rId77" Type="http://schemas.openxmlformats.org/officeDocument/2006/relationships/footer" Target="footer6.xml"/><Relationship Id="rId8" Type="http://schemas.openxmlformats.org/officeDocument/2006/relationships/image" Target="media/image1.wmf"/><Relationship Id="rId51" Type="http://schemas.openxmlformats.org/officeDocument/2006/relationships/hyperlink" Target="https://www.canlii.org/en/sk/skca/doc/2019/2019skca142/2019skca142.html?resultIndex=7" TargetMode="External"/><Relationship Id="rId72" Type="http://schemas.openxmlformats.org/officeDocument/2006/relationships/footer" Target="footer4.xml"/><Relationship Id="rId80" Type="http://schemas.openxmlformats.org/officeDocument/2006/relationships/footer" Target="footer8.xml"/><Relationship Id="rId85" Type="http://schemas.openxmlformats.org/officeDocument/2006/relationships/hyperlink" Target="https://www.scc-csc.ca/parties/gl-ld2021-01-27-fra.aspx"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20/2020onca333/2020onca333.html?resultIndex=1" TargetMode="External"/><Relationship Id="rId25" Type="http://schemas.openxmlformats.org/officeDocument/2006/relationships/hyperlink" Target="https://www.canlii.org/fr/qc/qccs/doc/2012/2012qccs2801/2012qccs2801.html?autocompleteStr=2012%20QCCS%2028&amp;autocompletePos=3" TargetMode="External"/><Relationship Id="rId33" Type="http://schemas.openxmlformats.org/officeDocument/2006/relationships/hyperlink" Target="http://canlii.ca/t/hqvv7" TargetMode="External"/><Relationship Id="rId38" Type="http://schemas.openxmlformats.org/officeDocument/2006/relationships/hyperlink" Target="https://www.canlii.org/en/on/onca/doc/2020/2020onca337/2020onca337.html?autocompleteStr=2020%20ONCA%20337&amp;autocompletePos=1" TargetMode="External"/><Relationship Id="rId46" Type="http://schemas.openxmlformats.org/officeDocument/2006/relationships/hyperlink" Target="https://www.canlii.org/fr/ca/caf/doc/2020/2020caf92/2020caf92.html" TargetMode="External"/><Relationship Id="rId59" Type="http://schemas.openxmlformats.org/officeDocument/2006/relationships/hyperlink" Target="https://www.canlii.org/en/on/onca/doc/2011/2011onca752/2011onca752.html?autocompleteStr=2011%20ONCA%20752&amp;autocompletePos=1" TargetMode="External"/><Relationship Id="rId67" Type="http://schemas.openxmlformats.org/officeDocument/2006/relationships/hyperlink" Target="https://www.canlii.org/en/bc/bcsc/doc/2018/2018bcsc964/2018bcsc964.html?autocompleteStr=2018%20BCSC%20964&amp;autocompletePos=1&amp;searchUrlHash=AAAAAQADNDQ4AAAAAAE&amp;offset=29394" TargetMode="External"/><Relationship Id="rId20" Type="http://schemas.openxmlformats.org/officeDocument/2006/relationships/hyperlink" Target="https://www.canlii.org/en/on/onca/doc/2020/2020onca333/2020onca333.html?resultIndex=1" TargetMode="External"/><Relationship Id="rId41" Type="http://schemas.openxmlformats.org/officeDocument/2006/relationships/hyperlink" Target="https://www.canlii.org/en/bc/bcsc/doc/2020/2020bcsc29/2020bcsc29.html" TargetMode="External"/><Relationship Id="rId54" Type="http://schemas.openxmlformats.org/officeDocument/2006/relationships/hyperlink" Target="https://www.canlii.org/en/sk/skca/doc/2016/2016skca164/2016skca164.html" TargetMode="External"/><Relationship Id="rId62" Type="http://schemas.openxmlformats.org/officeDocument/2006/relationships/hyperlink" Target="https://www.canlii.org/en/bc/bcca/doc/2020/2020bcca135/2020bcca135.html?searchUrlHash=AAAAAQALZ2FyeSBnYXV0YW0AAAAAAQ&amp;resultIndex=1" TargetMode="External"/><Relationship Id="rId70" Type="http://schemas.openxmlformats.org/officeDocument/2006/relationships/header" Target="header4.xml"/><Relationship Id="rId75" Type="http://schemas.openxmlformats.org/officeDocument/2006/relationships/header" Target="header6.xml"/><Relationship Id="rId83" Type="http://schemas.openxmlformats.org/officeDocument/2006/relationships/hyperlink" Target="mailto:registry-greffe@scc-csc.ca" TargetMode="External"/><Relationship Id="rId88" Type="http://schemas.openxmlformats.org/officeDocument/2006/relationships/footer" Target="footer9.xml"/><Relationship Id="rId9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ca/laws/stat/rsc-1985-c-c-46/latest/rsc-1985-c-c-46.html" TargetMode="External"/><Relationship Id="rId23" Type="http://schemas.openxmlformats.org/officeDocument/2006/relationships/hyperlink" Target="https://www.canlii.org/fr/qc/qccs/doc/2012/2012qccs2801/2012qccs2801.html?autocompleteStr=2012%20QCCS%2028&amp;autocompletePos=3" TargetMode="External"/><Relationship Id="rId28" Type="http://schemas.openxmlformats.org/officeDocument/2006/relationships/hyperlink" Target="https://www.canlii.org/en/bc/bcpc/doc/2018/2018bcpc386/2018bcpc386.html" TargetMode="External"/><Relationship Id="rId36" Type="http://schemas.openxmlformats.org/officeDocument/2006/relationships/hyperlink" Target="http://canlii.ca/t/j5436" TargetMode="External"/><Relationship Id="rId49" Type="http://schemas.openxmlformats.org/officeDocument/2006/relationships/hyperlink" Target="https://www.canlii.org/en/sk/skca/doc/2016/2016skca164/2016skca164.html" TargetMode="External"/><Relationship Id="rId57" Type="http://schemas.openxmlformats.org/officeDocument/2006/relationships/hyperlink" Target="https://www.canlii.org/en/on/onca/doc/2011/2011onca752/2011onca752.html?autocompleteStr=2011%20ONCA%20752&amp;autocompletePos=1" TargetMode="External"/><Relationship Id="rId10" Type="http://schemas.openxmlformats.org/officeDocument/2006/relationships/hyperlink" Target="https://www.scc-csc.ca" TargetMode="External"/><Relationship Id="rId31" Type="http://schemas.openxmlformats.org/officeDocument/2006/relationships/hyperlink" Target="https://www.canlii.org/en/bc/bcpc/doc/2018/2018bcpc386/2018bcpc386.html" TargetMode="External"/><Relationship Id="rId44" Type="http://schemas.openxmlformats.org/officeDocument/2006/relationships/hyperlink" Target="https://www.canlii.org/en/bc/bcsc/doc/2020/2020bcsc349/2020bcsc349.html?resultIndex=1" TargetMode="External"/><Relationship Id="rId52" Type="http://schemas.openxmlformats.org/officeDocument/2006/relationships/hyperlink" Target="https://www.canlii.org/fr/sk/legis/lois/ls-2001-c-c-12.01/derniere/ls-2001-c-c-12.01.html" TargetMode="External"/><Relationship Id="rId60" Type="http://schemas.openxmlformats.org/officeDocument/2006/relationships/hyperlink" Target="https://www.canlii.org/en/on/onca/doc/2018/2018onca498/2018onca498.html?autocompleteStr=2018%20ONCA%20498&amp;autocompletePos=1" TargetMode="External"/><Relationship Id="rId65" Type="http://schemas.openxmlformats.org/officeDocument/2006/relationships/hyperlink" Target="https://www.canlii.org/en/bc/bcsc/doc/2018/2018bcsc964/2018bcsc964.html?autocompleteStr=2018%20BCSC%20964&amp;autocompletePos=1&amp;searchUrlHash=AAAAAQADNDQ4AAAAAAE&amp;offset=29394" TargetMode="External"/><Relationship Id="rId73" Type="http://schemas.openxmlformats.org/officeDocument/2006/relationships/header" Target="header5.xml"/><Relationship Id="rId78" Type="http://schemas.openxmlformats.org/officeDocument/2006/relationships/footer" Target="footer7.xml"/><Relationship Id="rId81" Type="http://schemas.openxmlformats.org/officeDocument/2006/relationships/hyperlink" Target="https://www.scc-csc.ca/ar-lr/amend-modif2021-01-27-eng.aspx" TargetMode="External"/><Relationship Id="rId86" Type="http://schemas.openxmlformats.org/officeDocument/2006/relationships/hyperlink" Target="mailto:registry-greffe@scc-csc.ca"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7F9C-9044-4C44-9C86-A3344906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36</Pages>
  <Words>15315</Words>
  <Characters>87297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2020-12-09T19:08:00Z</dcterms:created>
  <dcterms:modified xsi:type="dcterms:W3CDTF">2021-01-08T13:30:00Z</dcterms:modified>
</cp:coreProperties>
</file>