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A6F74" w:rsidTr="00F138C1">
        <w:tc>
          <w:tcPr>
            <w:tcW w:w="9648" w:type="dxa"/>
            <w:gridSpan w:val="3"/>
          </w:tcPr>
          <w:p w:rsidR="00F138C1" w:rsidRPr="00AA6F74" w:rsidRDefault="00F138C1" w:rsidP="00F138C1">
            <w:pPr>
              <w:tabs>
                <w:tab w:val="left" w:pos="6075"/>
              </w:tabs>
              <w:jc w:val="center"/>
              <w:rPr>
                <w:b/>
                <w:sz w:val="32"/>
                <w:szCs w:val="32"/>
                <w:lang w:val="fr-CA"/>
              </w:rPr>
            </w:pPr>
            <w:r w:rsidRPr="00AA6F7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AA6F74" w:rsidTr="00F138C1">
        <w:tc>
          <w:tcPr>
            <w:tcW w:w="4599" w:type="dxa"/>
            <w:tcMar>
              <w:top w:w="284" w:type="dxa"/>
            </w:tcMar>
          </w:tcPr>
          <w:p w:rsidR="00F138C1" w:rsidRPr="00AA6F74" w:rsidRDefault="00F138C1" w:rsidP="00F138C1">
            <w:pPr>
              <w:tabs>
                <w:tab w:val="left" w:pos="6075"/>
              </w:tabs>
              <w:jc w:val="center"/>
              <w:rPr>
                <w:b/>
                <w:sz w:val="32"/>
                <w:szCs w:val="32"/>
              </w:rPr>
            </w:pPr>
            <w:r w:rsidRPr="00AA6F74">
              <w:rPr>
                <w:b/>
                <w:sz w:val="32"/>
                <w:szCs w:val="32"/>
              </w:rPr>
              <w:t>SUPREME COURT OF CANADA</w:t>
            </w:r>
          </w:p>
        </w:tc>
        <w:tc>
          <w:tcPr>
            <w:tcW w:w="483" w:type="dxa"/>
          </w:tcPr>
          <w:p w:rsidR="00F138C1" w:rsidRPr="00AA6F74" w:rsidRDefault="00F138C1" w:rsidP="00F138C1">
            <w:pPr>
              <w:tabs>
                <w:tab w:val="left" w:pos="6075"/>
              </w:tabs>
              <w:jc w:val="center"/>
              <w:rPr>
                <w:sz w:val="32"/>
                <w:szCs w:val="32"/>
              </w:rPr>
            </w:pPr>
          </w:p>
        </w:tc>
        <w:tc>
          <w:tcPr>
            <w:tcW w:w="4566" w:type="dxa"/>
            <w:tcMar>
              <w:top w:w="284" w:type="dxa"/>
            </w:tcMar>
          </w:tcPr>
          <w:p w:rsidR="00F138C1" w:rsidRPr="00AA6F74" w:rsidRDefault="00F138C1" w:rsidP="00F138C1">
            <w:pPr>
              <w:tabs>
                <w:tab w:val="left" w:pos="6075"/>
              </w:tabs>
              <w:jc w:val="center"/>
              <w:rPr>
                <w:b/>
                <w:sz w:val="32"/>
                <w:szCs w:val="32"/>
                <w:lang w:val="fr-CA"/>
              </w:rPr>
            </w:pPr>
            <w:r w:rsidRPr="00AA6F74">
              <w:rPr>
                <w:b/>
                <w:sz w:val="32"/>
                <w:szCs w:val="32"/>
                <w:lang w:val="fr-CA"/>
              </w:rPr>
              <w:t>COUR SUPRÊME DU CANADA</w:t>
            </w:r>
          </w:p>
        </w:tc>
      </w:tr>
      <w:tr w:rsidR="00F138C1" w:rsidRPr="00AA6F74" w:rsidTr="00F138C1">
        <w:tc>
          <w:tcPr>
            <w:tcW w:w="4599" w:type="dxa"/>
            <w:tcMar>
              <w:top w:w="567" w:type="dxa"/>
            </w:tcMar>
          </w:tcPr>
          <w:p w:rsidR="00F138C1" w:rsidRPr="00AA6F74" w:rsidRDefault="00F138C1" w:rsidP="00F138C1">
            <w:pPr>
              <w:tabs>
                <w:tab w:val="left" w:pos="6075"/>
              </w:tabs>
              <w:jc w:val="center"/>
              <w:rPr>
                <w:sz w:val="28"/>
                <w:szCs w:val="28"/>
              </w:rPr>
            </w:pPr>
            <w:r w:rsidRPr="00AA6F74">
              <w:rPr>
                <w:sz w:val="28"/>
                <w:szCs w:val="28"/>
              </w:rPr>
              <w:t>BULLETIN OF</w:t>
            </w:r>
            <w:r w:rsidRPr="00AA6F74">
              <w:rPr>
                <w:sz w:val="28"/>
                <w:szCs w:val="28"/>
              </w:rPr>
              <w:br/>
              <w:t xml:space="preserve"> PROCEEDINGS</w:t>
            </w:r>
          </w:p>
        </w:tc>
        <w:tc>
          <w:tcPr>
            <w:tcW w:w="483" w:type="dxa"/>
          </w:tcPr>
          <w:p w:rsidR="00F138C1" w:rsidRPr="00AA6F74" w:rsidRDefault="00F138C1" w:rsidP="00F138C1">
            <w:pPr>
              <w:tabs>
                <w:tab w:val="left" w:pos="6075"/>
              </w:tabs>
            </w:pPr>
          </w:p>
        </w:tc>
        <w:tc>
          <w:tcPr>
            <w:tcW w:w="4566" w:type="dxa"/>
            <w:tcMar>
              <w:top w:w="567" w:type="dxa"/>
            </w:tcMar>
          </w:tcPr>
          <w:p w:rsidR="00F138C1" w:rsidRPr="00AA6F74" w:rsidRDefault="00F138C1" w:rsidP="00F138C1">
            <w:pPr>
              <w:tabs>
                <w:tab w:val="left" w:pos="6075"/>
              </w:tabs>
              <w:jc w:val="center"/>
              <w:rPr>
                <w:sz w:val="28"/>
                <w:szCs w:val="28"/>
                <w:lang w:val="fr-CA"/>
              </w:rPr>
            </w:pPr>
            <w:r w:rsidRPr="00AA6F74">
              <w:rPr>
                <w:sz w:val="28"/>
                <w:szCs w:val="28"/>
                <w:lang w:val="fr-CA"/>
              </w:rPr>
              <w:t>BULLETIN DES</w:t>
            </w:r>
            <w:r w:rsidRPr="00AA6F74">
              <w:rPr>
                <w:sz w:val="28"/>
                <w:szCs w:val="28"/>
                <w:lang w:val="fr-CA"/>
              </w:rPr>
              <w:br/>
              <w:t xml:space="preserve"> PROCÉDURES</w:t>
            </w:r>
          </w:p>
        </w:tc>
      </w:tr>
      <w:tr w:rsidR="00F138C1" w:rsidRPr="002A25F4" w:rsidTr="00F138C1">
        <w:tc>
          <w:tcPr>
            <w:tcW w:w="4599" w:type="dxa"/>
            <w:tcMar>
              <w:top w:w="567" w:type="dxa"/>
            </w:tcMar>
          </w:tcPr>
          <w:p w:rsidR="00F138C1" w:rsidRPr="00AA6F74" w:rsidRDefault="00F138C1" w:rsidP="00F138C1">
            <w:pPr>
              <w:tabs>
                <w:tab w:val="left" w:pos="6075"/>
              </w:tabs>
              <w:jc w:val="both"/>
              <w:rPr>
                <w:rFonts w:ascii="Arial" w:hAnsi="Arial" w:cs="Arial"/>
                <w:i/>
                <w:sz w:val="20"/>
                <w:szCs w:val="20"/>
              </w:rPr>
            </w:pPr>
            <w:r w:rsidRPr="00AA6F7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A6F7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A6F74" w:rsidRDefault="00F138C1" w:rsidP="00F138C1">
            <w:pPr>
              <w:tabs>
                <w:tab w:val="left" w:pos="6075"/>
              </w:tabs>
              <w:jc w:val="both"/>
              <w:rPr>
                <w:rFonts w:ascii="Arial" w:hAnsi="Arial" w:cs="Arial"/>
                <w:i/>
                <w:sz w:val="20"/>
                <w:szCs w:val="20"/>
                <w:lang w:val="fr-CA"/>
              </w:rPr>
            </w:pPr>
            <w:r w:rsidRPr="00AA6F7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A25F4" w:rsidTr="00F138C1">
        <w:tc>
          <w:tcPr>
            <w:tcW w:w="4599" w:type="dxa"/>
            <w:tcMar>
              <w:top w:w="567" w:type="dxa"/>
            </w:tcMar>
          </w:tcPr>
          <w:p w:rsidR="00F138C1" w:rsidRPr="00AA6F74" w:rsidRDefault="00F138C1" w:rsidP="00F138C1">
            <w:pPr>
              <w:tabs>
                <w:tab w:val="left" w:pos="6075"/>
              </w:tabs>
              <w:jc w:val="both"/>
              <w:rPr>
                <w:rFonts w:ascii="Arial" w:hAnsi="Arial" w:cs="Arial"/>
                <w:i/>
                <w:sz w:val="20"/>
                <w:szCs w:val="20"/>
              </w:rPr>
            </w:pPr>
            <w:r w:rsidRPr="00AA6F74">
              <w:rPr>
                <w:rFonts w:ascii="Arial" w:hAnsi="Arial" w:cs="Arial"/>
                <w:i/>
                <w:sz w:val="20"/>
                <w:szCs w:val="20"/>
              </w:rPr>
              <w:t>During Court sessions, the Bulletin is usually issued weekly.</w:t>
            </w:r>
          </w:p>
        </w:tc>
        <w:tc>
          <w:tcPr>
            <w:tcW w:w="483" w:type="dxa"/>
          </w:tcPr>
          <w:p w:rsidR="00F138C1" w:rsidRPr="00AA6F7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A6F74" w:rsidRDefault="00F138C1" w:rsidP="00F138C1">
            <w:pPr>
              <w:tabs>
                <w:tab w:val="left" w:pos="6075"/>
              </w:tabs>
              <w:jc w:val="both"/>
              <w:rPr>
                <w:rFonts w:ascii="Arial" w:hAnsi="Arial" w:cs="Arial"/>
                <w:i/>
                <w:sz w:val="20"/>
                <w:szCs w:val="20"/>
                <w:lang w:val="fr-CA"/>
              </w:rPr>
            </w:pPr>
            <w:r w:rsidRPr="00AA6F74">
              <w:rPr>
                <w:rFonts w:ascii="Arial" w:hAnsi="Arial" w:cs="Arial"/>
                <w:i/>
                <w:sz w:val="20"/>
                <w:szCs w:val="20"/>
                <w:lang w:val="fr-CA"/>
              </w:rPr>
              <w:t>Le Bulletin paraît en principe toutes les semaines pendant les sessions de la Cour.</w:t>
            </w:r>
          </w:p>
        </w:tc>
      </w:tr>
      <w:tr w:rsidR="00F138C1" w:rsidRPr="002A25F4" w:rsidTr="00F138C1">
        <w:tc>
          <w:tcPr>
            <w:tcW w:w="4599" w:type="dxa"/>
            <w:tcMar>
              <w:top w:w="567" w:type="dxa"/>
            </w:tcMar>
          </w:tcPr>
          <w:p w:rsidR="00F138C1" w:rsidRPr="00AA6F74" w:rsidRDefault="00F138C1" w:rsidP="00F138C1">
            <w:pPr>
              <w:tabs>
                <w:tab w:val="left" w:pos="6075"/>
              </w:tabs>
              <w:jc w:val="both"/>
              <w:rPr>
                <w:rFonts w:ascii="Arial" w:hAnsi="Arial" w:cs="Arial"/>
                <w:i/>
                <w:sz w:val="20"/>
                <w:szCs w:val="20"/>
              </w:rPr>
            </w:pPr>
            <w:r w:rsidRPr="00AA6F74">
              <w:rPr>
                <w:rFonts w:ascii="Arial" w:hAnsi="Arial" w:cs="Arial"/>
                <w:i/>
                <w:sz w:val="20"/>
                <w:szCs w:val="20"/>
              </w:rPr>
              <w:fldChar w:fldCharType="begin"/>
            </w:r>
            <w:r w:rsidRPr="00AA6F74">
              <w:rPr>
                <w:rFonts w:ascii="Arial" w:hAnsi="Arial" w:cs="Arial"/>
                <w:i/>
                <w:sz w:val="20"/>
                <w:szCs w:val="20"/>
              </w:rPr>
              <w:instrText xml:space="preserve"> SEQ CHAPTER \h \r 1</w:instrText>
            </w:r>
            <w:r w:rsidRPr="00AA6F74">
              <w:rPr>
                <w:rFonts w:ascii="Arial" w:hAnsi="Arial" w:cs="Arial"/>
                <w:i/>
                <w:sz w:val="20"/>
                <w:szCs w:val="20"/>
              </w:rPr>
              <w:fldChar w:fldCharType="end"/>
            </w:r>
            <w:r w:rsidRPr="00AA6F7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A6F7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A6F74" w:rsidRDefault="00F138C1" w:rsidP="00F138C1">
            <w:pPr>
              <w:tabs>
                <w:tab w:val="left" w:pos="6075"/>
              </w:tabs>
              <w:jc w:val="both"/>
              <w:rPr>
                <w:rFonts w:ascii="Arial" w:hAnsi="Arial" w:cs="Arial"/>
                <w:i/>
                <w:sz w:val="20"/>
                <w:szCs w:val="20"/>
                <w:lang w:val="fr-CA"/>
              </w:rPr>
            </w:pPr>
            <w:r w:rsidRPr="00AA6F74">
              <w:rPr>
                <w:rFonts w:ascii="Arial" w:hAnsi="Arial" w:cs="Arial"/>
                <w:i/>
                <w:sz w:val="20"/>
                <w:szCs w:val="20"/>
                <w:lang w:val="fr-CA"/>
              </w:rPr>
              <w:fldChar w:fldCharType="begin"/>
            </w:r>
            <w:r w:rsidRPr="00AA6F74">
              <w:rPr>
                <w:rFonts w:ascii="Arial" w:hAnsi="Arial" w:cs="Arial"/>
                <w:i/>
                <w:sz w:val="20"/>
                <w:szCs w:val="20"/>
                <w:lang w:val="fr-CA"/>
              </w:rPr>
              <w:instrText xml:space="preserve"> SEQ CHAPTER \h \r 1</w:instrText>
            </w:r>
            <w:r w:rsidRPr="00AA6F74">
              <w:rPr>
                <w:rFonts w:ascii="Arial" w:hAnsi="Arial" w:cs="Arial"/>
                <w:i/>
                <w:sz w:val="20"/>
                <w:szCs w:val="20"/>
                <w:lang w:val="fr-CA"/>
              </w:rPr>
              <w:fldChar w:fldCharType="end"/>
            </w:r>
            <w:r w:rsidRPr="00AA6F7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A25F4" w:rsidTr="00F138C1">
        <w:tc>
          <w:tcPr>
            <w:tcW w:w="4599" w:type="dxa"/>
            <w:tcMar>
              <w:top w:w="567" w:type="dxa"/>
            </w:tcMar>
          </w:tcPr>
          <w:p w:rsidR="00F138C1" w:rsidRPr="00AA6F74" w:rsidRDefault="00F138C1" w:rsidP="00F138C1">
            <w:pPr>
              <w:tabs>
                <w:tab w:val="left" w:pos="6075"/>
              </w:tabs>
              <w:jc w:val="both"/>
              <w:rPr>
                <w:rFonts w:ascii="Arial" w:hAnsi="Arial" w:cs="Arial"/>
                <w:i/>
                <w:sz w:val="20"/>
                <w:szCs w:val="20"/>
              </w:rPr>
            </w:pPr>
            <w:r w:rsidRPr="00AA6F74">
              <w:rPr>
                <w:rFonts w:ascii="Arial" w:hAnsi="Arial" w:cs="Arial"/>
                <w:i/>
                <w:sz w:val="20"/>
                <w:szCs w:val="20"/>
                <w:lang w:val="en-US"/>
              </w:rPr>
              <w:t>Please c</w:t>
            </w:r>
            <w:r w:rsidRPr="00AA6F74">
              <w:rPr>
                <w:rFonts w:ascii="Arial" w:hAnsi="Arial" w:cs="Arial"/>
                <w:i/>
                <w:sz w:val="20"/>
                <w:szCs w:val="20"/>
              </w:rPr>
              <w:t xml:space="preserve">onsult the Supreme Court of Canada website at </w:t>
            </w:r>
            <w:hyperlink r:id="rId9" w:history="1">
              <w:r w:rsidRPr="00AA6F74">
                <w:rPr>
                  <w:rStyle w:val="Hyperlink"/>
                  <w:rFonts w:ascii="Arial" w:hAnsi="Arial" w:cs="Arial"/>
                  <w:i/>
                  <w:sz w:val="20"/>
                  <w:szCs w:val="20"/>
                </w:rPr>
                <w:t>www.scc-csc.ca</w:t>
              </w:r>
            </w:hyperlink>
            <w:r w:rsidRPr="00AA6F74">
              <w:rPr>
                <w:rFonts w:ascii="Arial" w:hAnsi="Arial" w:cs="Arial"/>
                <w:i/>
                <w:sz w:val="20"/>
                <w:szCs w:val="20"/>
              </w:rPr>
              <w:t xml:space="preserve"> for more information.</w:t>
            </w:r>
          </w:p>
        </w:tc>
        <w:tc>
          <w:tcPr>
            <w:tcW w:w="483" w:type="dxa"/>
          </w:tcPr>
          <w:p w:rsidR="00F138C1" w:rsidRPr="00AA6F7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A6F74" w:rsidRDefault="00F138C1" w:rsidP="00F138C1">
            <w:pPr>
              <w:tabs>
                <w:tab w:val="left" w:pos="6075"/>
              </w:tabs>
              <w:jc w:val="both"/>
              <w:rPr>
                <w:rFonts w:ascii="Arial" w:hAnsi="Arial" w:cs="Arial"/>
                <w:i/>
                <w:sz w:val="20"/>
                <w:szCs w:val="20"/>
                <w:lang w:val="fr-CA"/>
              </w:rPr>
            </w:pPr>
            <w:r w:rsidRPr="00AA6F74">
              <w:rPr>
                <w:rFonts w:ascii="Arial" w:hAnsi="Arial" w:cs="Arial"/>
                <w:i/>
                <w:sz w:val="20"/>
                <w:szCs w:val="20"/>
                <w:lang w:val="fr-CA"/>
              </w:rPr>
              <w:t xml:space="preserve">Pour de plus amples informations, veuillez consulter le site Web de la Cour suprême du Canada à l’adresse suivante : </w:t>
            </w:r>
            <w:hyperlink r:id="rId10" w:history="1">
              <w:r w:rsidRPr="00AA6F74">
                <w:rPr>
                  <w:rStyle w:val="Hyperlink"/>
                  <w:rFonts w:ascii="Arial" w:hAnsi="Arial" w:cs="Arial"/>
                  <w:i/>
                  <w:sz w:val="20"/>
                  <w:szCs w:val="20"/>
                  <w:lang w:val="fr-CA"/>
                </w:rPr>
                <w:t>www.scc-csc.ca</w:t>
              </w:r>
            </w:hyperlink>
            <w:r w:rsidRPr="00AA6F74">
              <w:rPr>
                <w:rFonts w:ascii="Arial" w:hAnsi="Arial" w:cs="Arial"/>
                <w:i/>
                <w:sz w:val="20"/>
                <w:szCs w:val="20"/>
                <w:lang w:val="fr-CA"/>
              </w:rPr>
              <w:t xml:space="preserve"> </w:t>
            </w:r>
          </w:p>
        </w:tc>
      </w:tr>
    </w:tbl>
    <w:p w:rsidR="00F138C1" w:rsidRPr="00AA6F7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A6F74" w:rsidTr="00F138C1">
        <w:tc>
          <w:tcPr>
            <w:tcW w:w="2250" w:type="pct"/>
            <w:tcBorders>
              <w:top w:val="single" w:sz="4" w:space="0" w:color="auto"/>
            </w:tcBorders>
            <w:tcMar>
              <w:top w:w="284" w:type="dxa"/>
              <w:bottom w:w="284" w:type="dxa"/>
            </w:tcMar>
          </w:tcPr>
          <w:p w:rsidR="00F138C1" w:rsidRPr="00AA6F74" w:rsidRDefault="009B36BA" w:rsidP="007A13B6">
            <w:pPr>
              <w:tabs>
                <w:tab w:val="left" w:pos="6075"/>
              </w:tabs>
              <w:rPr>
                <w:rFonts w:ascii="Arial" w:hAnsi="Arial" w:cs="Arial"/>
                <w:i/>
                <w:sz w:val="20"/>
                <w:szCs w:val="20"/>
              </w:rPr>
            </w:pPr>
            <w:r w:rsidRPr="00AA6F74">
              <w:rPr>
                <w:lang w:val="fr-CA"/>
              </w:rPr>
              <w:t>January</w:t>
            </w:r>
            <w:r w:rsidR="00F138C1" w:rsidRPr="00AA6F74">
              <w:rPr>
                <w:lang w:val="fr-CA"/>
              </w:rPr>
              <w:t xml:space="preserve"> </w:t>
            </w:r>
            <w:r w:rsidR="007A13B6" w:rsidRPr="00AA6F74">
              <w:rPr>
                <w:lang w:val="fr-CA"/>
              </w:rPr>
              <w:t>22</w:t>
            </w:r>
            <w:r w:rsidR="00F138C1" w:rsidRPr="00AA6F74">
              <w:rPr>
                <w:lang w:val="fr-CA"/>
              </w:rPr>
              <w:t>, 20</w:t>
            </w:r>
            <w:r w:rsidRPr="00AA6F74">
              <w:rPr>
                <w:lang w:val="fr-CA"/>
              </w:rPr>
              <w:t>21</w:t>
            </w:r>
          </w:p>
        </w:tc>
        <w:tc>
          <w:tcPr>
            <w:tcW w:w="500" w:type="pct"/>
            <w:tcBorders>
              <w:top w:val="single" w:sz="4" w:space="0" w:color="auto"/>
            </w:tcBorders>
            <w:tcMar>
              <w:top w:w="284" w:type="dxa"/>
              <w:bottom w:w="284" w:type="dxa"/>
            </w:tcMar>
          </w:tcPr>
          <w:p w:rsidR="00F138C1" w:rsidRPr="00AA6F74" w:rsidRDefault="00F138C1" w:rsidP="002A25F4">
            <w:pPr>
              <w:tabs>
                <w:tab w:val="left" w:pos="6075"/>
              </w:tabs>
              <w:jc w:val="center"/>
              <w:rPr>
                <w:rFonts w:ascii="Arial" w:hAnsi="Arial" w:cs="Arial"/>
                <w:i/>
                <w:sz w:val="20"/>
                <w:szCs w:val="20"/>
              </w:rPr>
            </w:pPr>
            <w:r w:rsidRPr="00AA6F74">
              <w:rPr>
                <w:lang w:val="fr-CA"/>
              </w:rPr>
              <w:t xml:space="preserve">1 - </w:t>
            </w:r>
            <w:r w:rsidR="00B95084" w:rsidRPr="00AA6F74">
              <w:rPr>
                <w:lang w:val="fr-CA"/>
              </w:rPr>
              <w:t>2</w:t>
            </w:r>
            <w:r w:rsidR="002A25F4">
              <w:rPr>
                <w:lang w:val="fr-CA"/>
              </w:rPr>
              <w:t>7</w:t>
            </w:r>
            <w:bookmarkStart w:id="0" w:name="_GoBack"/>
            <w:bookmarkEnd w:id="0"/>
          </w:p>
        </w:tc>
        <w:tc>
          <w:tcPr>
            <w:tcW w:w="2250" w:type="pct"/>
            <w:tcBorders>
              <w:top w:val="single" w:sz="4" w:space="0" w:color="auto"/>
            </w:tcBorders>
            <w:tcMar>
              <w:top w:w="284" w:type="dxa"/>
              <w:bottom w:w="284" w:type="dxa"/>
            </w:tcMar>
          </w:tcPr>
          <w:p w:rsidR="00F138C1" w:rsidRPr="00AA6F74" w:rsidRDefault="00F138C1" w:rsidP="007A13B6">
            <w:pPr>
              <w:tabs>
                <w:tab w:val="left" w:pos="6075"/>
              </w:tabs>
              <w:jc w:val="right"/>
              <w:rPr>
                <w:rFonts w:ascii="Arial" w:hAnsi="Arial" w:cs="Arial"/>
                <w:i/>
                <w:sz w:val="20"/>
                <w:szCs w:val="20"/>
                <w:lang w:val="fr-CA"/>
              </w:rPr>
            </w:pPr>
            <w:r w:rsidRPr="00AA6F74">
              <w:rPr>
                <w:lang w:val="fr-CA"/>
              </w:rPr>
              <w:t xml:space="preserve">Le </w:t>
            </w:r>
            <w:r w:rsidR="007A13B6" w:rsidRPr="00AA6F74">
              <w:rPr>
                <w:lang w:val="fr-CA"/>
              </w:rPr>
              <w:t>22</w:t>
            </w:r>
            <w:r w:rsidRPr="00AA6F74">
              <w:rPr>
                <w:lang w:val="fr-CA"/>
              </w:rPr>
              <w:t xml:space="preserve"> </w:t>
            </w:r>
            <w:r w:rsidR="009B36BA" w:rsidRPr="00AA6F74">
              <w:rPr>
                <w:lang w:val="fr-CA"/>
              </w:rPr>
              <w:t>janvier</w:t>
            </w:r>
            <w:r w:rsidRPr="00AA6F74">
              <w:rPr>
                <w:lang w:val="fr-CA"/>
              </w:rPr>
              <w:t xml:space="preserve"> 202</w:t>
            </w:r>
            <w:r w:rsidR="009B36BA" w:rsidRPr="00AA6F74">
              <w:rPr>
                <w:lang w:val="fr-CA"/>
              </w:rPr>
              <w:t>1</w:t>
            </w:r>
          </w:p>
        </w:tc>
      </w:tr>
      <w:tr w:rsidR="00F138C1" w:rsidRPr="002A25F4" w:rsidTr="00F138C1">
        <w:tc>
          <w:tcPr>
            <w:tcW w:w="2250" w:type="pct"/>
            <w:tcBorders>
              <w:bottom w:val="single" w:sz="4" w:space="0" w:color="auto"/>
            </w:tcBorders>
            <w:tcMar>
              <w:top w:w="284" w:type="dxa"/>
              <w:bottom w:w="284" w:type="dxa"/>
            </w:tcMar>
          </w:tcPr>
          <w:p w:rsidR="00F138C1" w:rsidRPr="00AA6F74" w:rsidRDefault="00F138C1" w:rsidP="009B36BA">
            <w:pPr>
              <w:tabs>
                <w:tab w:val="left" w:pos="6075"/>
              </w:tabs>
              <w:rPr>
                <w:rFonts w:ascii="Arial" w:hAnsi="Arial" w:cs="Arial"/>
                <w:i/>
                <w:sz w:val="20"/>
                <w:szCs w:val="20"/>
              </w:rPr>
            </w:pPr>
            <w:r w:rsidRPr="00AA6F74">
              <w:rPr>
                <w:sz w:val="18"/>
                <w:szCs w:val="18"/>
                <w:lang w:val="en-US"/>
              </w:rPr>
              <w:t>© Supreme Court of Canada (202</w:t>
            </w:r>
            <w:r w:rsidR="009B36BA" w:rsidRPr="00AA6F74">
              <w:rPr>
                <w:sz w:val="18"/>
                <w:szCs w:val="18"/>
                <w:lang w:val="en-US"/>
              </w:rPr>
              <w:t>1</w:t>
            </w:r>
            <w:r w:rsidRPr="00AA6F74">
              <w:rPr>
                <w:sz w:val="18"/>
                <w:szCs w:val="18"/>
                <w:lang w:val="en-US"/>
              </w:rPr>
              <w:t>)</w:t>
            </w:r>
            <w:r w:rsidRPr="00AA6F74">
              <w:rPr>
                <w:sz w:val="18"/>
                <w:szCs w:val="18"/>
                <w:lang w:val="en-US"/>
              </w:rPr>
              <w:br/>
              <w:t>ISSN 1918-8358 (Online)</w:t>
            </w:r>
          </w:p>
        </w:tc>
        <w:tc>
          <w:tcPr>
            <w:tcW w:w="500" w:type="pct"/>
            <w:tcBorders>
              <w:bottom w:val="single" w:sz="4" w:space="0" w:color="auto"/>
            </w:tcBorders>
            <w:tcMar>
              <w:top w:w="284" w:type="dxa"/>
              <w:bottom w:w="284" w:type="dxa"/>
            </w:tcMar>
          </w:tcPr>
          <w:p w:rsidR="00F138C1" w:rsidRPr="00AA6F7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A6F74" w:rsidRDefault="00F138C1" w:rsidP="009B36BA">
            <w:pPr>
              <w:tabs>
                <w:tab w:val="left" w:pos="6075"/>
              </w:tabs>
              <w:jc w:val="right"/>
              <w:rPr>
                <w:rFonts w:ascii="Arial" w:hAnsi="Arial" w:cs="Arial"/>
                <w:i/>
                <w:sz w:val="20"/>
                <w:szCs w:val="20"/>
                <w:lang w:val="fr-CA"/>
              </w:rPr>
            </w:pPr>
            <w:r w:rsidRPr="00AA6F74">
              <w:rPr>
                <w:sz w:val="18"/>
                <w:szCs w:val="18"/>
                <w:lang w:val="fr-CA"/>
              </w:rPr>
              <w:t>© Cour suprême du Canada (202</w:t>
            </w:r>
            <w:r w:rsidR="009B36BA" w:rsidRPr="00AA6F74">
              <w:rPr>
                <w:sz w:val="18"/>
                <w:szCs w:val="18"/>
                <w:lang w:val="fr-CA"/>
              </w:rPr>
              <w:t>1</w:t>
            </w:r>
            <w:proofErr w:type="gramStart"/>
            <w:r w:rsidRPr="00AA6F74">
              <w:rPr>
                <w:sz w:val="18"/>
                <w:szCs w:val="18"/>
                <w:lang w:val="fr-CA"/>
              </w:rPr>
              <w:t>)</w:t>
            </w:r>
            <w:proofErr w:type="gramEnd"/>
            <w:r w:rsidRPr="00AA6F74">
              <w:rPr>
                <w:sz w:val="18"/>
                <w:szCs w:val="18"/>
                <w:lang w:val="fr-CA"/>
              </w:rPr>
              <w:br/>
              <w:t>ISSN 1918-8358 (En ligne)</w:t>
            </w:r>
          </w:p>
        </w:tc>
      </w:tr>
    </w:tbl>
    <w:p w:rsidR="0030050B" w:rsidRPr="00AA6F74" w:rsidRDefault="0030050B" w:rsidP="00F138C1">
      <w:pPr>
        <w:tabs>
          <w:tab w:val="left" w:pos="6075"/>
        </w:tabs>
        <w:rPr>
          <w:lang w:val="fr-CA"/>
        </w:rPr>
      </w:pPr>
    </w:p>
    <w:p w:rsidR="00560DF1" w:rsidRPr="00AA6F74" w:rsidRDefault="00560DF1" w:rsidP="0095096B">
      <w:pPr>
        <w:tabs>
          <w:tab w:val="right" w:pos="9360"/>
        </w:tabs>
        <w:rPr>
          <w:lang w:val="fr-CA"/>
        </w:rPr>
      </w:pPr>
    </w:p>
    <w:p w:rsidR="00F138C1" w:rsidRPr="00AA6F7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A6F74" w:rsidRDefault="00DC6B2E" w:rsidP="00693C38">
          <w:pPr>
            <w:pStyle w:val="Title"/>
            <w:jc w:val="center"/>
            <w:rPr>
              <w:rFonts w:ascii="Times New Roman" w:hAnsi="Times New Roman" w:cs="Times New Roman"/>
              <w:b/>
              <w:sz w:val="24"/>
              <w:szCs w:val="28"/>
              <w:lang w:val="fr-CA"/>
            </w:rPr>
          </w:pPr>
          <w:r w:rsidRPr="00AA6F74">
            <w:rPr>
              <w:rFonts w:ascii="Times New Roman" w:hAnsi="Times New Roman" w:cs="Times New Roman"/>
              <w:b/>
              <w:sz w:val="24"/>
              <w:szCs w:val="28"/>
              <w:lang w:val="fr-CA"/>
            </w:rPr>
            <w:t>Contents</w:t>
          </w:r>
        </w:p>
        <w:p w:rsidR="00693C38" w:rsidRPr="00AA6F74" w:rsidRDefault="00DC6B2E" w:rsidP="00693C38">
          <w:pPr>
            <w:jc w:val="center"/>
            <w:rPr>
              <w:b/>
              <w:szCs w:val="28"/>
              <w:lang w:val="fr-CA"/>
            </w:rPr>
          </w:pPr>
          <w:r w:rsidRPr="00AA6F74">
            <w:rPr>
              <w:b/>
              <w:szCs w:val="28"/>
              <w:lang w:val="fr-CA"/>
            </w:rPr>
            <w:t>Table des matières</w:t>
          </w:r>
        </w:p>
        <w:p w:rsidR="00693C38" w:rsidRPr="00AA6F74" w:rsidRDefault="00693C38" w:rsidP="00693C38">
          <w:pPr>
            <w:rPr>
              <w:lang w:val="fr-CA"/>
            </w:rPr>
          </w:pPr>
        </w:p>
        <w:p w:rsidR="00990D50" w:rsidRPr="00AA6F74" w:rsidRDefault="00DC6B2E">
          <w:pPr>
            <w:pStyle w:val="TOC1"/>
            <w:tabs>
              <w:tab w:val="right" w:leader="dot" w:pos="9638"/>
            </w:tabs>
            <w:rPr>
              <w:rFonts w:asciiTheme="minorHAnsi" w:eastAsiaTheme="minorEastAsia" w:hAnsiTheme="minorHAnsi"/>
              <w:noProof/>
              <w:sz w:val="22"/>
              <w:lang w:val="en-US"/>
            </w:rPr>
          </w:pPr>
          <w:r w:rsidRPr="00AA6F74">
            <w:rPr>
              <w:b/>
              <w:bCs/>
              <w:noProof/>
            </w:rPr>
            <w:fldChar w:fldCharType="begin"/>
          </w:r>
          <w:r w:rsidRPr="00AA6F74">
            <w:rPr>
              <w:b/>
              <w:bCs/>
              <w:noProof/>
            </w:rPr>
            <w:instrText xml:space="preserve"> TOC \o "1-3" \h \z \u </w:instrText>
          </w:r>
          <w:r w:rsidRPr="00AA6F74">
            <w:rPr>
              <w:b/>
              <w:bCs/>
              <w:noProof/>
            </w:rPr>
            <w:fldChar w:fldCharType="separate"/>
          </w:r>
          <w:hyperlink w:anchor="_Toc62134391" w:history="1">
            <w:r w:rsidR="00990D50" w:rsidRPr="00AA6F74">
              <w:rPr>
                <w:rStyle w:val="Hyperlink"/>
                <w:noProof/>
                <w:lang w:val="fr-CA"/>
              </w:rPr>
              <w:t>Applications for leave to appeal filed /  Demandes d’autorisation d’appel déposées</w:t>
            </w:r>
            <w:r w:rsidR="00990D50" w:rsidRPr="00AA6F74">
              <w:rPr>
                <w:noProof/>
                <w:webHidden/>
              </w:rPr>
              <w:tab/>
            </w:r>
            <w:r w:rsidR="00990D50" w:rsidRPr="00AA6F74">
              <w:rPr>
                <w:noProof/>
                <w:webHidden/>
              </w:rPr>
              <w:fldChar w:fldCharType="begin"/>
            </w:r>
            <w:r w:rsidR="00990D50" w:rsidRPr="00AA6F74">
              <w:rPr>
                <w:noProof/>
                <w:webHidden/>
              </w:rPr>
              <w:instrText xml:space="preserve"> PAGEREF _Toc62134391 \h </w:instrText>
            </w:r>
            <w:r w:rsidR="00990D50" w:rsidRPr="00AA6F74">
              <w:rPr>
                <w:noProof/>
                <w:webHidden/>
              </w:rPr>
            </w:r>
            <w:r w:rsidR="00990D50" w:rsidRPr="00AA6F74">
              <w:rPr>
                <w:noProof/>
                <w:webHidden/>
              </w:rPr>
              <w:fldChar w:fldCharType="separate"/>
            </w:r>
            <w:r w:rsidR="002A25F4">
              <w:rPr>
                <w:noProof/>
                <w:webHidden/>
              </w:rPr>
              <w:t>1</w:t>
            </w:r>
            <w:r w:rsidR="00990D50" w:rsidRPr="00AA6F74">
              <w:rPr>
                <w:noProof/>
                <w:webHidden/>
              </w:rPr>
              <w:fldChar w:fldCharType="end"/>
            </w:r>
          </w:hyperlink>
        </w:p>
        <w:p w:rsidR="00990D50" w:rsidRPr="00AA6F74" w:rsidRDefault="00C32B75">
          <w:pPr>
            <w:pStyle w:val="TOC1"/>
            <w:tabs>
              <w:tab w:val="right" w:leader="dot" w:pos="9638"/>
            </w:tabs>
            <w:rPr>
              <w:rFonts w:asciiTheme="minorHAnsi" w:eastAsiaTheme="minorEastAsia" w:hAnsiTheme="minorHAnsi"/>
              <w:noProof/>
              <w:sz w:val="22"/>
              <w:lang w:val="en-US"/>
            </w:rPr>
          </w:pPr>
          <w:hyperlink w:anchor="_Toc62134392" w:history="1">
            <w:r w:rsidR="00990D50" w:rsidRPr="00AA6F74">
              <w:rPr>
                <w:rStyle w:val="Hyperlink"/>
                <w:noProof/>
                <w:lang w:val="fr-CA"/>
              </w:rPr>
              <w:t>Judgments on applications for leave /  Jugements rendus sur les demandes d’autorisation</w:t>
            </w:r>
            <w:r w:rsidR="00990D50" w:rsidRPr="00AA6F74">
              <w:rPr>
                <w:noProof/>
                <w:webHidden/>
              </w:rPr>
              <w:tab/>
            </w:r>
            <w:r w:rsidR="00990D50" w:rsidRPr="00AA6F74">
              <w:rPr>
                <w:noProof/>
                <w:webHidden/>
              </w:rPr>
              <w:fldChar w:fldCharType="begin"/>
            </w:r>
            <w:r w:rsidR="00990D50" w:rsidRPr="00AA6F74">
              <w:rPr>
                <w:noProof/>
                <w:webHidden/>
              </w:rPr>
              <w:instrText xml:space="preserve"> PAGEREF _Toc62134392 \h </w:instrText>
            </w:r>
            <w:r w:rsidR="00990D50" w:rsidRPr="00AA6F74">
              <w:rPr>
                <w:noProof/>
                <w:webHidden/>
              </w:rPr>
            </w:r>
            <w:r w:rsidR="00990D50" w:rsidRPr="00AA6F74">
              <w:rPr>
                <w:noProof/>
                <w:webHidden/>
              </w:rPr>
              <w:fldChar w:fldCharType="separate"/>
            </w:r>
            <w:r w:rsidR="002A25F4">
              <w:rPr>
                <w:noProof/>
                <w:webHidden/>
              </w:rPr>
              <w:t>3</w:t>
            </w:r>
            <w:r w:rsidR="00990D50" w:rsidRPr="00AA6F74">
              <w:rPr>
                <w:noProof/>
                <w:webHidden/>
              </w:rPr>
              <w:fldChar w:fldCharType="end"/>
            </w:r>
          </w:hyperlink>
        </w:p>
        <w:p w:rsidR="00990D50" w:rsidRPr="00AA6F74" w:rsidRDefault="002A25F4">
          <w:pPr>
            <w:pStyle w:val="TOC1"/>
            <w:tabs>
              <w:tab w:val="right" w:leader="dot" w:pos="9638"/>
            </w:tabs>
            <w:rPr>
              <w:rFonts w:asciiTheme="minorHAnsi" w:eastAsiaTheme="minorEastAsia" w:hAnsiTheme="minorHAnsi"/>
              <w:noProof/>
              <w:sz w:val="22"/>
              <w:lang w:val="en-US"/>
            </w:rPr>
          </w:pPr>
          <w:hyperlink w:anchor="_Toc62134393" w:history="1">
            <w:r w:rsidR="00990D50" w:rsidRPr="00AA6F74">
              <w:rPr>
                <w:rStyle w:val="Hyperlink"/>
                <w:noProof/>
                <w:lang w:val="fr-CA"/>
              </w:rPr>
              <w:t>Motions /  Requêtes</w:t>
            </w:r>
            <w:r w:rsidR="00990D50" w:rsidRPr="00AA6F74">
              <w:rPr>
                <w:noProof/>
                <w:webHidden/>
              </w:rPr>
              <w:tab/>
            </w:r>
            <w:r w:rsidR="00990D50" w:rsidRPr="00AA6F74">
              <w:rPr>
                <w:noProof/>
                <w:webHidden/>
              </w:rPr>
              <w:fldChar w:fldCharType="begin"/>
            </w:r>
            <w:r w:rsidR="00990D50" w:rsidRPr="00AA6F74">
              <w:rPr>
                <w:noProof/>
                <w:webHidden/>
              </w:rPr>
              <w:instrText xml:space="preserve"> PAGEREF _Toc62134393 \h </w:instrText>
            </w:r>
            <w:r w:rsidR="00990D50" w:rsidRPr="00AA6F74">
              <w:rPr>
                <w:noProof/>
                <w:webHidden/>
              </w:rPr>
            </w:r>
            <w:r w:rsidR="00990D50" w:rsidRPr="00AA6F74">
              <w:rPr>
                <w:noProof/>
                <w:webHidden/>
              </w:rPr>
              <w:fldChar w:fldCharType="separate"/>
            </w:r>
            <w:r>
              <w:rPr>
                <w:noProof/>
                <w:webHidden/>
              </w:rPr>
              <w:t>20</w:t>
            </w:r>
            <w:r w:rsidR="00990D50" w:rsidRPr="00AA6F74">
              <w:rPr>
                <w:noProof/>
                <w:webHidden/>
              </w:rPr>
              <w:fldChar w:fldCharType="end"/>
            </w:r>
          </w:hyperlink>
        </w:p>
        <w:p w:rsidR="00990D50" w:rsidRPr="00AA6F74" w:rsidRDefault="002A25F4">
          <w:pPr>
            <w:pStyle w:val="TOC1"/>
            <w:tabs>
              <w:tab w:val="right" w:leader="dot" w:pos="9638"/>
            </w:tabs>
            <w:rPr>
              <w:rFonts w:asciiTheme="minorHAnsi" w:eastAsiaTheme="minorEastAsia" w:hAnsiTheme="minorHAnsi"/>
              <w:noProof/>
              <w:sz w:val="22"/>
              <w:lang w:val="en-US"/>
            </w:rPr>
          </w:pPr>
          <w:hyperlink w:anchor="_Toc62134394" w:history="1">
            <w:r w:rsidR="00990D50" w:rsidRPr="00AA6F74">
              <w:rPr>
                <w:rStyle w:val="Hyperlink"/>
                <w:noProof/>
                <w:lang w:val="fr-CA"/>
              </w:rPr>
              <w:t>Appeals heard since the last issue and disposition /  Appels entendus depuis la dernière parution et résultat</w:t>
            </w:r>
            <w:r w:rsidR="00990D50" w:rsidRPr="00AA6F74">
              <w:rPr>
                <w:noProof/>
                <w:webHidden/>
              </w:rPr>
              <w:tab/>
            </w:r>
            <w:r w:rsidR="00990D50" w:rsidRPr="00AA6F74">
              <w:rPr>
                <w:noProof/>
                <w:webHidden/>
              </w:rPr>
              <w:fldChar w:fldCharType="begin"/>
            </w:r>
            <w:r w:rsidR="00990D50" w:rsidRPr="00AA6F74">
              <w:rPr>
                <w:noProof/>
                <w:webHidden/>
              </w:rPr>
              <w:instrText xml:space="preserve"> PAGEREF _Toc62134394 \h </w:instrText>
            </w:r>
            <w:r w:rsidR="00990D50" w:rsidRPr="00AA6F74">
              <w:rPr>
                <w:noProof/>
                <w:webHidden/>
              </w:rPr>
            </w:r>
            <w:r w:rsidR="00990D50" w:rsidRPr="00AA6F74">
              <w:rPr>
                <w:noProof/>
                <w:webHidden/>
              </w:rPr>
              <w:fldChar w:fldCharType="separate"/>
            </w:r>
            <w:r>
              <w:rPr>
                <w:noProof/>
                <w:webHidden/>
              </w:rPr>
              <w:t>22</w:t>
            </w:r>
            <w:r w:rsidR="00990D50" w:rsidRPr="00AA6F74">
              <w:rPr>
                <w:noProof/>
                <w:webHidden/>
              </w:rPr>
              <w:fldChar w:fldCharType="end"/>
            </w:r>
          </w:hyperlink>
        </w:p>
        <w:p w:rsidR="00560DF1" w:rsidRPr="00AA6F74" w:rsidRDefault="00DC6B2E">
          <w:r w:rsidRPr="00AA6F74">
            <w:rPr>
              <w:b/>
              <w:bCs/>
              <w:noProof/>
              <w:sz w:val="20"/>
            </w:rPr>
            <w:fldChar w:fldCharType="end"/>
          </w:r>
        </w:p>
      </w:sdtContent>
    </w:sdt>
    <w:p w:rsidR="00560DF1" w:rsidRPr="00AA6F7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A25F4" w:rsidTr="00F138C1">
        <w:trPr>
          <w:jc w:val="center"/>
        </w:trPr>
        <w:tc>
          <w:tcPr>
            <w:tcW w:w="9638" w:type="dxa"/>
          </w:tcPr>
          <w:p w:rsidR="00F138C1" w:rsidRPr="00AA6F74" w:rsidRDefault="00F138C1" w:rsidP="00F138C1">
            <w:pPr>
              <w:keepNext/>
              <w:tabs>
                <w:tab w:val="right" w:pos="9360"/>
              </w:tabs>
              <w:spacing w:after="120"/>
              <w:jc w:val="center"/>
              <w:rPr>
                <w:szCs w:val="24"/>
              </w:rPr>
            </w:pPr>
            <w:r w:rsidRPr="00AA6F74">
              <w:rPr>
                <w:szCs w:val="24"/>
              </w:rPr>
              <w:t>NOTICE</w:t>
            </w:r>
          </w:p>
          <w:p w:rsidR="00F138C1" w:rsidRPr="00AA6F74" w:rsidRDefault="00F138C1" w:rsidP="00F138C1">
            <w:pPr>
              <w:keepNext/>
              <w:tabs>
                <w:tab w:val="right" w:pos="9360"/>
              </w:tabs>
              <w:spacing w:after="120"/>
              <w:jc w:val="both"/>
              <w:rPr>
                <w:szCs w:val="24"/>
              </w:rPr>
            </w:pPr>
            <w:r w:rsidRPr="00AA6F74">
              <w:rPr>
                <w:szCs w:val="24"/>
              </w:rPr>
              <w:t>Case summaries included in the Bulletin are prepared by the Office of the Registrar of the Supreme Court of Canada (Law Branch) for information purposes only.</w:t>
            </w:r>
          </w:p>
          <w:p w:rsidR="00F138C1" w:rsidRPr="00AA6F74" w:rsidRDefault="00F138C1" w:rsidP="00F138C1">
            <w:pPr>
              <w:keepNext/>
              <w:tabs>
                <w:tab w:val="right" w:pos="9360"/>
              </w:tabs>
              <w:spacing w:after="120"/>
              <w:jc w:val="center"/>
              <w:rPr>
                <w:szCs w:val="24"/>
                <w:lang w:val="fr-CA"/>
              </w:rPr>
            </w:pPr>
            <w:r w:rsidRPr="00AA6F74">
              <w:rPr>
                <w:szCs w:val="24"/>
                <w:lang w:val="fr-CA"/>
              </w:rPr>
              <w:t>AVIS</w:t>
            </w:r>
          </w:p>
          <w:p w:rsidR="00F138C1" w:rsidRPr="00AA6F74" w:rsidRDefault="00F138C1" w:rsidP="00F138C1">
            <w:pPr>
              <w:keepNext/>
              <w:tabs>
                <w:tab w:val="right" w:pos="9360"/>
              </w:tabs>
              <w:spacing w:after="120"/>
              <w:jc w:val="both"/>
              <w:rPr>
                <w:sz w:val="20"/>
                <w:szCs w:val="20"/>
                <w:lang w:val="fr-CA"/>
              </w:rPr>
            </w:pPr>
            <w:r w:rsidRPr="00AA6F74">
              <w:rPr>
                <w:szCs w:val="24"/>
                <w:lang w:val="fr-CA"/>
              </w:rPr>
              <w:t>Les résumés des causes publiés dans le bulletin sont préparés par le Bureau du registraire (Direction générale du droit) uniquement à titre d’information.</w:t>
            </w:r>
          </w:p>
        </w:tc>
      </w:tr>
    </w:tbl>
    <w:p w:rsidR="00F138C1" w:rsidRPr="00AA6F74" w:rsidRDefault="00F138C1" w:rsidP="00F138C1">
      <w:pPr>
        <w:tabs>
          <w:tab w:val="right" w:pos="9360"/>
        </w:tabs>
        <w:rPr>
          <w:lang w:val="fr-CA"/>
        </w:rPr>
      </w:pPr>
    </w:p>
    <w:p w:rsidR="00F138C1" w:rsidRPr="00AA6F74" w:rsidRDefault="00F138C1" w:rsidP="00F138C1">
      <w:pPr>
        <w:tabs>
          <w:tab w:val="right" w:pos="9360"/>
        </w:tabs>
        <w:rPr>
          <w:lang w:val="fr-CA"/>
        </w:rPr>
      </w:pPr>
    </w:p>
    <w:p w:rsidR="00C01FCB" w:rsidRPr="00AA6F74" w:rsidRDefault="00C01FCB" w:rsidP="0095096B">
      <w:pPr>
        <w:tabs>
          <w:tab w:val="right" w:pos="9360"/>
        </w:tabs>
        <w:rPr>
          <w:lang w:val="fr-CA"/>
        </w:rPr>
      </w:pPr>
    </w:p>
    <w:p w:rsidR="00A87207" w:rsidRPr="00AA6F74" w:rsidRDefault="00A87207" w:rsidP="0095096B">
      <w:pPr>
        <w:tabs>
          <w:tab w:val="right" w:pos="9360"/>
        </w:tabs>
        <w:rPr>
          <w:lang w:val="fr-CA"/>
        </w:rPr>
        <w:sectPr w:rsidR="00A87207" w:rsidRPr="00AA6F74" w:rsidSect="0044776A">
          <w:pgSz w:w="12240" w:h="15840"/>
          <w:pgMar w:top="720" w:right="1152" w:bottom="1080" w:left="1440" w:header="706" w:footer="706" w:gutter="0"/>
          <w:cols w:space="708"/>
          <w:titlePg/>
          <w:docGrid w:linePitch="360"/>
        </w:sectPr>
      </w:pPr>
    </w:p>
    <w:p w:rsidR="00560DF1" w:rsidRPr="00AA6F74" w:rsidRDefault="00DD0BDC" w:rsidP="00567602">
      <w:pPr>
        <w:pStyle w:val="Header1StyleE"/>
        <w:pBdr>
          <w:bottom w:val="single" w:sz="12" w:space="1" w:color="auto"/>
        </w:pBdr>
        <w:rPr>
          <w:lang w:val="fr-CA"/>
        </w:rPr>
      </w:pPr>
      <w:bookmarkStart w:id="1" w:name="_Toc62134391"/>
      <w:r w:rsidRPr="00AA6F74">
        <w:rPr>
          <w:lang w:val="fr-CA"/>
        </w:rPr>
        <w:lastRenderedPageBreak/>
        <w:t>Applications for leave to appeal filed</w:t>
      </w:r>
      <w:r w:rsidR="00271E1E" w:rsidRPr="00AA6F74">
        <w:rPr>
          <w:lang w:val="fr-CA"/>
        </w:rPr>
        <w:t xml:space="preserve"> / </w:t>
      </w:r>
      <w:r w:rsidR="00727571" w:rsidRPr="00AA6F74">
        <w:rPr>
          <w:lang w:val="fr-CA"/>
        </w:rPr>
        <w:br/>
      </w:r>
      <w:r w:rsidRPr="00AA6F74">
        <w:rPr>
          <w:lang w:val="fr-CA"/>
        </w:rPr>
        <w:t>Demandes d’autorisation d’appel déposées</w:t>
      </w:r>
      <w:bookmarkEnd w:id="1"/>
    </w:p>
    <w:p w:rsidR="00F138C1" w:rsidRPr="00AA6F7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A6F74" w:rsidTr="00F138C1">
        <w:tc>
          <w:tcPr>
            <w:tcW w:w="4239" w:type="dxa"/>
            <w:shd w:val="clear" w:color="auto" w:fill="auto"/>
          </w:tcPr>
          <w:p w:rsidR="00F138C1" w:rsidRPr="00AA6F74" w:rsidRDefault="00A53AAF" w:rsidP="00F138C1">
            <w:pPr>
              <w:rPr>
                <w:sz w:val="20"/>
                <w:szCs w:val="20"/>
                <w:lang w:val="en-US"/>
              </w:rPr>
            </w:pPr>
            <w:r w:rsidRPr="00AA6F74">
              <w:rPr>
                <w:b/>
                <w:sz w:val="20"/>
                <w:szCs w:val="20"/>
                <w:lang w:val="en-US"/>
              </w:rPr>
              <w:t>Ingrid Hayden</w:t>
            </w:r>
          </w:p>
          <w:p w:rsidR="00F138C1" w:rsidRPr="00AA6F74" w:rsidRDefault="00F138C1" w:rsidP="00F138C1">
            <w:pPr>
              <w:tabs>
                <w:tab w:val="left" w:pos="-1440"/>
                <w:tab w:val="left" w:pos="-720"/>
              </w:tabs>
              <w:rPr>
                <w:sz w:val="20"/>
                <w:szCs w:val="20"/>
                <w:lang w:val="en-US"/>
              </w:rPr>
            </w:pPr>
            <w:r w:rsidRPr="00AA6F74">
              <w:rPr>
                <w:sz w:val="20"/>
                <w:szCs w:val="20"/>
                <w:lang w:val="en-US"/>
              </w:rPr>
              <w:tab/>
            </w:r>
            <w:r w:rsidR="00A53AAF" w:rsidRPr="00AA6F74">
              <w:rPr>
                <w:sz w:val="20"/>
                <w:szCs w:val="20"/>
                <w:lang w:val="en-US"/>
              </w:rPr>
              <w:t>Ingrid Hayden</w:t>
            </w:r>
          </w:p>
          <w:p w:rsidR="00F138C1" w:rsidRPr="00AA6F74" w:rsidRDefault="00F138C1" w:rsidP="00F138C1">
            <w:pPr>
              <w:tabs>
                <w:tab w:val="left" w:pos="-1440"/>
                <w:tab w:val="left" w:pos="-720"/>
              </w:tabs>
              <w:rPr>
                <w:sz w:val="20"/>
                <w:szCs w:val="20"/>
                <w:lang w:val="en-US"/>
              </w:rPr>
            </w:pPr>
          </w:p>
          <w:p w:rsidR="00F138C1" w:rsidRPr="00AA6F74" w:rsidRDefault="00F138C1" w:rsidP="00F138C1">
            <w:pPr>
              <w:tabs>
                <w:tab w:val="left" w:pos="-1440"/>
                <w:tab w:val="left" w:pos="-720"/>
              </w:tabs>
              <w:rPr>
                <w:sz w:val="20"/>
                <w:szCs w:val="20"/>
                <w:lang w:val="en-US"/>
              </w:rPr>
            </w:pPr>
            <w:r w:rsidRPr="00AA6F74">
              <w:rPr>
                <w:sz w:val="20"/>
                <w:szCs w:val="20"/>
                <w:lang w:val="en-US"/>
              </w:rPr>
              <w:tab/>
              <w:t>v. (39</w:t>
            </w:r>
            <w:r w:rsidR="00A53AAF" w:rsidRPr="00AA6F74">
              <w:rPr>
                <w:sz w:val="20"/>
                <w:szCs w:val="20"/>
                <w:lang w:val="en-US"/>
              </w:rPr>
              <w:t>5</w:t>
            </w:r>
            <w:r w:rsidRPr="00AA6F74">
              <w:rPr>
                <w:sz w:val="20"/>
                <w:szCs w:val="20"/>
                <w:lang w:val="en-US"/>
              </w:rPr>
              <w:t>1</w:t>
            </w:r>
            <w:r w:rsidR="00A53AAF" w:rsidRPr="00AA6F74">
              <w:rPr>
                <w:sz w:val="20"/>
                <w:szCs w:val="20"/>
                <w:lang w:val="en-US"/>
              </w:rPr>
              <w:t>2</w:t>
            </w:r>
            <w:r w:rsidRPr="00AA6F74">
              <w:rPr>
                <w:sz w:val="20"/>
                <w:szCs w:val="20"/>
                <w:lang w:val="en-US"/>
              </w:rPr>
              <w:t>)</w:t>
            </w:r>
          </w:p>
          <w:p w:rsidR="00F138C1" w:rsidRPr="00AA6F74" w:rsidRDefault="00F138C1" w:rsidP="00F138C1">
            <w:pPr>
              <w:tabs>
                <w:tab w:val="left" w:pos="-1440"/>
                <w:tab w:val="left" w:pos="-720"/>
              </w:tabs>
              <w:rPr>
                <w:sz w:val="20"/>
                <w:szCs w:val="20"/>
                <w:lang w:val="en-US"/>
              </w:rPr>
            </w:pPr>
          </w:p>
          <w:p w:rsidR="00F138C1" w:rsidRPr="00AA6F74" w:rsidRDefault="00A53AAF" w:rsidP="00F138C1">
            <w:pPr>
              <w:tabs>
                <w:tab w:val="left" w:pos="-1440"/>
                <w:tab w:val="left" w:pos="-720"/>
              </w:tabs>
              <w:rPr>
                <w:b/>
                <w:sz w:val="20"/>
                <w:szCs w:val="20"/>
                <w:lang w:val="en-US"/>
              </w:rPr>
            </w:pPr>
            <w:r w:rsidRPr="00AA6F74">
              <w:rPr>
                <w:b/>
                <w:sz w:val="20"/>
                <w:szCs w:val="20"/>
                <w:lang w:val="fr-CA"/>
              </w:rPr>
              <w:t xml:space="preserve">Bradley J. Hayden, et al. </w:t>
            </w:r>
            <w:r w:rsidR="00F138C1" w:rsidRPr="00AA6F74">
              <w:rPr>
                <w:b/>
                <w:sz w:val="20"/>
                <w:szCs w:val="20"/>
                <w:lang w:val="en-US"/>
              </w:rPr>
              <w:t>(</w:t>
            </w:r>
            <w:r w:rsidRPr="00AA6F74">
              <w:rPr>
                <w:b/>
                <w:sz w:val="20"/>
                <w:szCs w:val="20"/>
                <w:lang w:val="en-US"/>
              </w:rPr>
              <w:t>Alta</w:t>
            </w:r>
            <w:r w:rsidR="00F138C1" w:rsidRPr="00AA6F74">
              <w:rPr>
                <w:b/>
                <w:sz w:val="20"/>
                <w:szCs w:val="20"/>
                <w:lang w:val="en-US"/>
              </w:rPr>
              <w:t>.)</w:t>
            </w:r>
          </w:p>
          <w:p w:rsidR="00F138C1" w:rsidRPr="00AA6F74" w:rsidRDefault="00F138C1" w:rsidP="00F138C1">
            <w:pPr>
              <w:tabs>
                <w:tab w:val="left" w:pos="-1440"/>
                <w:tab w:val="left" w:pos="-720"/>
              </w:tabs>
              <w:rPr>
                <w:sz w:val="20"/>
                <w:szCs w:val="20"/>
                <w:lang w:val="en-US"/>
              </w:rPr>
            </w:pPr>
            <w:r w:rsidRPr="00AA6F74">
              <w:rPr>
                <w:sz w:val="20"/>
                <w:szCs w:val="20"/>
                <w:lang w:val="en-US"/>
              </w:rPr>
              <w:tab/>
            </w:r>
            <w:r w:rsidR="00A53AAF" w:rsidRPr="00AA6F74">
              <w:rPr>
                <w:sz w:val="20"/>
                <w:szCs w:val="20"/>
                <w:lang w:val="en-US"/>
              </w:rPr>
              <w:t>Gilborn, Dan</w:t>
            </w:r>
          </w:p>
          <w:p w:rsidR="00F138C1" w:rsidRPr="00AA6F74" w:rsidRDefault="00F138C1" w:rsidP="00F138C1">
            <w:pPr>
              <w:tabs>
                <w:tab w:val="left" w:pos="-1440"/>
                <w:tab w:val="left" w:pos="-720"/>
              </w:tabs>
              <w:rPr>
                <w:sz w:val="20"/>
                <w:szCs w:val="20"/>
              </w:rPr>
            </w:pPr>
            <w:r w:rsidRPr="00AA6F74">
              <w:rPr>
                <w:sz w:val="20"/>
                <w:szCs w:val="20"/>
                <w:lang w:val="en-US"/>
              </w:rPr>
              <w:tab/>
            </w:r>
            <w:r w:rsidR="00A53AAF" w:rsidRPr="00AA6F74">
              <w:rPr>
                <w:sz w:val="20"/>
                <w:szCs w:val="20"/>
              </w:rPr>
              <w:t>Caron &amp; Partners LLP</w:t>
            </w:r>
          </w:p>
          <w:p w:rsidR="00F138C1" w:rsidRPr="00AA6F74" w:rsidRDefault="00F138C1" w:rsidP="00F138C1">
            <w:pPr>
              <w:tabs>
                <w:tab w:val="left" w:pos="-1440"/>
                <w:tab w:val="left" w:pos="-720"/>
              </w:tabs>
              <w:rPr>
                <w:sz w:val="20"/>
                <w:szCs w:val="20"/>
              </w:rPr>
            </w:pPr>
          </w:p>
          <w:p w:rsidR="00F138C1" w:rsidRPr="00AA6F74" w:rsidRDefault="00F138C1" w:rsidP="00F138C1">
            <w:pPr>
              <w:rPr>
                <w:sz w:val="20"/>
                <w:szCs w:val="20"/>
              </w:rPr>
            </w:pPr>
            <w:r w:rsidRPr="00AA6F74">
              <w:rPr>
                <w:sz w:val="20"/>
                <w:szCs w:val="20"/>
              </w:rPr>
              <w:t xml:space="preserve">FILING DATE: </w:t>
            </w:r>
            <w:r w:rsidR="00A53AAF" w:rsidRPr="00AA6F74">
              <w:rPr>
                <w:sz w:val="20"/>
                <w:szCs w:val="20"/>
              </w:rPr>
              <w:t>December</w:t>
            </w:r>
            <w:r w:rsidRPr="00AA6F74">
              <w:rPr>
                <w:sz w:val="20"/>
                <w:szCs w:val="20"/>
              </w:rPr>
              <w:t xml:space="preserve"> </w:t>
            </w:r>
            <w:r w:rsidR="00A53AAF" w:rsidRPr="00AA6F74">
              <w:rPr>
                <w:sz w:val="20"/>
                <w:szCs w:val="20"/>
              </w:rPr>
              <w:t>30</w:t>
            </w:r>
            <w:r w:rsidRPr="00AA6F74">
              <w:rPr>
                <w:sz w:val="20"/>
                <w:szCs w:val="20"/>
              </w:rPr>
              <w:t>, 20</w:t>
            </w:r>
            <w:r w:rsidR="00DA1D48" w:rsidRPr="00AA6F74">
              <w:rPr>
                <w:sz w:val="20"/>
                <w:szCs w:val="20"/>
              </w:rPr>
              <w:t>20</w:t>
            </w:r>
          </w:p>
          <w:p w:rsidR="004B2E86" w:rsidRPr="00AA6F74" w:rsidRDefault="004B2E86" w:rsidP="00F138C1">
            <w:pPr>
              <w:rPr>
                <w:sz w:val="20"/>
                <w:szCs w:val="20"/>
              </w:rPr>
            </w:pPr>
          </w:p>
          <w:p w:rsidR="00F138C1" w:rsidRPr="00AA6F74" w:rsidRDefault="002A25F4"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p w:rsidR="00F138C1" w:rsidRPr="00AA6F74" w:rsidRDefault="00F138C1" w:rsidP="00F138C1">
            <w:pPr>
              <w:jc w:val="center"/>
              <w:rPr>
                <w:sz w:val="20"/>
                <w:szCs w:val="20"/>
              </w:rPr>
            </w:pPr>
          </w:p>
        </w:tc>
        <w:tc>
          <w:tcPr>
            <w:tcW w:w="4239" w:type="dxa"/>
            <w:shd w:val="clear" w:color="auto" w:fill="auto"/>
          </w:tcPr>
          <w:p w:rsidR="00F138C1" w:rsidRPr="00AA6F74" w:rsidRDefault="00A53AAF" w:rsidP="00F138C1">
            <w:pPr>
              <w:rPr>
                <w:b/>
                <w:sz w:val="20"/>
                <w:szCs w:val="20"/>
                <w:lang w:val="en-US"/>
              </w:rPr>
            </w:pPr>
            <w:r w:rsidRPr="00AA6F74">
              <w:rPr>
                <w:b/>
                <w:sz w:val="20"/>
                <w:szCs w:val="20"/>
                <w:lang w:val="en-US"/>
              </w:rPr>
              <w:t>Shalom Chaim Spira</w:t>
            </w:r>
          </w:p>
          <w:p w:rsidR="00F138C1" w:rsidRPr="00AA6F74" w:rsidRDefault="00F138C1" w:rsidP="00F138C1">
            <w:pPr>
              <w:tabs>
                <w:tab w:val="left" w:pos="-1440"/>
                <w:tab w:val="left" w:pos="-720"/>
              </w:tabs>
              <w:rPr>
                <w:sz w:val="20"/>
                <w:szCs w:val="20"/>
                <w:lang w:val="en-US"/>
              </w:rPr>
            </w:pPr>
            <w:r w:rsidRPr="00AA6F74">
              <w:rPr>
                <w:sz w:val="20"/>
                <w:szCs w:val="20"/>
                <w:lang w:val="en-US"/>
              </w:rPr>
              <w:tab/>
            </w:r>
            <w:r w:rsidR="00A53AAF" w:rsidRPr="00AA6F74">
              <w:rPr>
                <w:sz w:val="20"/>
                <w:szCs w:val="20"/>
                <w:lang w:val="en-US"/>
              </w:rPr>
              <w:t>Shalom Chaim Spira</w:t>
            </w:r>
          </w:p>
          <w:p w:rsidR="00F138C1" w:rsidRPr="00AA6F74" w:rsidRDefault="00F138C1" w:rsidP="00F138C1">
            <w:pPr>
              <w:tabs>
                <w:tab w:val="left" w:pos="-1440"/>
                <w:tab w:val="left" w:pos="-720"/>
              </w:tabs>
              <w:rPr>
                <w:sz w:val="20"/>
                <w:szCs w:val="20"/>
                <w:lang w:val="en-US"/>
              </w:rPr>
            </w:pPr>
          </w:p>
          <w:p w:rsidR="00F138C1" w:rsidRPr="00AA6F74" w:rsidRDefault="00F138C1" w:rsidP="00F138C1">
            <w:pPr>
              <w:tabs>
                <w:tab w:val="left" w:pos="-1440"/>
                <w:tab w:val="left" w:pos="-720"/>
              </w:tabs>
              <w:rPr>
                <w:sz w:val="20"/>
                <w:szCs w:val="20"/>
                <w:lang w:val="fr-CA"/>
              </w:rPr>
            </w:pPr>
            <w:r w:rsidRPr="00AA6F74">
              <w:rPr>
                <w:sz w:val="20"/>
                <w:szCs w:val="20"/>
                <w:lang w:val="en-US"/>
              </w:rPr>
              <w:tab/>
            </w:r>
            <w:r w:rsidR="00A53AAF" w:rsidRPr="00AA6F74">
              <w:rPr>
                <w:sz w:val="20"/>
                <w:szCs w:val="20"/>
                <w:lang w:val="fr-CA"/>
              </w:rPr>
              <w:t>v</w:t>
            </w:r>
            <w:r w:rsidRPr="00AA6F74">
              <w:rPr>
                <w:sz w:val="20"/>
                <w:szCs w:val="20"/>
                <w:lang w:val="fr-CA"/>
              </w:rPr>
              <w:t>. (39</w:t>
            </w:r>
            <w:r w:rsidR="00A53AAF" w:rsidRPr="00AA6F74">
              <w:rPr>
                <w:sz w:val="20"/>
                <w:szCs w:val="20"/>
                <w:lang w:val="fr-CA"/>
              </w:rPr>
              <w:t>513</w:t>
            </w:r>
            <w:r w:rsidRPr="00AA6F74">
              <w:rPr>
                <w:sz w:val="20"/>
                <w:szCs w:val="20"/>
                <w:lang w:val="fr-CA"/>
              </w:rPr>
              <w:t>)</w:t>
            </w:r>
          </w:p>
          <w:p w:rsidR="00F138C1" w:rsidRPr="00AA6F74" w:rsidRDefault="00F138C1" w:rsidP="00F138C1">
            <w:pPr>
              <w:tabs>
                <w:tab w:val="left" w:pos="-1440"/>
                <w:tab w:val="left" w:pos="-720"/>
              </w:tabs>
              <w:rPr>
                <w:sz w:val="20"/>
                <w:szCs w:val="20"/>
                <w:lang w:val="fr-CA"/>
              </w:rPr>
            </w:pPr>
          </w:p>
          <w:p w:rsidR="00F138C1" w:rsidRPr="00AA6F74" w:rsidRDefault="00A53AAF" w:rsidP="00F138C1">
            <w:pPr>
              <w:tabs>
                <w:tab w:val="left" w:pos="-1440"/>
                <w:tab w:val="left" w:pos="-720"/>
              </w:tabs>
              <w:rPr>
                <w:b/>
                <w:sz w:val="20"/>
                <w:szCs w:val="20"/>
                <w:lang w:val="en-US"/>
              </w:rPr>
            </w:pPr>
            <w:r w:rsidRPr="00AA6F74">
              <w:rPr>
                <w:b/>
                <w:sz w:val="20"/>
                <w:szCs w:val="20"/>
                <w:lang w:val="fr-CA"/>
              </w:rPr>
              <w:t xml:space="preserve">Aviva Engel, et al. </w:t>
            </w:r>
            <w:r w:rsidR="00F138C1" w:rsidRPr="00AA6F74">
              <w:rPr>
                <w:b/>
                <w:sz w:val="20"/>
                <w:szCs w:val="20"/>
                <w:lang w:val="en-US"/>
              </w:rPr>
              <w:t>(Q</w:t>
            </w:r>
            <w:r w:rsidRPr="00AA6F74">
              <w:rPr>
                <w:b/>
                <w:sz w:val="20"/>
                <w:szCs w:val="20"/>
                <w:lang w:val="en-US"/>
              </w:rPr>
              <w:t>ue.</w:t>
            </w:r>
            <w:r w:rsidR="00F138C1" w:rsidRPr="00AA6F74">
              <w:rPr>
                <w:b/>
                <w:sz w:val="20"/>
                <w:szCs w:val="20"/>
                <w:lang w:val="en-US"/>
              </w:rPr>
              <w:t>)</w:t>
            </w:r>
          </w:p>
          <w:p w:rsidR="00F138C1" w:rsidRPr="00AA6F74" w:rsidRDefault="00F138C1" w:rsidP="00F138C1">
            <w:pPr>
              <w:tabs>
                <w:tab w:val="left" w:pos="-1440"/>
                <w:tab w:val="left" w:pos="-720"/>
              </w:tabs>
              <w:rPr>
                <w:sz w:val="20"/>
                <w:szCs w:val="20"/>
                <w:lang w:val="en-US"/>
              </w:rPr>
            </w:pPr>
            <w:r w:rsidRPr="00AA6F74">
              <w:rPr>
                <w:sz w:val="20"/>
                <w:szCs w:val="20"/>
                <w:lang w:val="en-US"/>
              </w:rPr>
              <w:tab/>
            </w:r>
            <w:r w:rsidR="00A53AAF" w:rsidRPr="00AA6F74">
              <w:rPr>
                <w:sz w:val="20"/>
                <w:szCs w:val="20"/>
                <w:lang w:val="en-US"/>
              </w:rPr>
              <w:t>Schwartz, Jeffrey Neil</w:t>
            </w:r>
          </w:p>
          <w:p w:rsidR="00F138C1" w:rsidRPr="00AA6F74" w:rsidRDefault="00F138C1" w:rsidP="00F138C1">
            <w:pPr>
              <w:tabs>
                <w:tab w:val="left" w:pos="-1440"/>
                <w:tab w:val="left" w:pos="-720"/>
              </w:tabs>
              <w:rPr>
                <w:sz w:val="20"/>
                <w:szCs w:val="20"/>
                <w:lang w:val="en-US"/>
              </w:rPr>
            </w:pPr>
          </w:p>
          <w:p w:rsidR="00F138C1" w:rsidRPr="00AA6F74" w:rsidRDefault="00A53AAF" w:rsidP="00F138C1">
            <w:pPr>
              <w:rPr>
                <w:sz w:val="20"/>
                <w:szCs w:val="20"/>
                <w:lang w:val="en-US"/>
              </w:rPr>
            </w:pPr>
            <w:r w:rsidRPr="00AA6F74">
              <w:rPr>
                <w:sz w:val="20"/>
                <w:szCs w:val="20"/>
                <w:lang w:val="en-US"/>
              </w:rPr>
              <w:t xml:space="preserve">FILING </w:t>
            </w:r>
            <w:r w:rsidR="00F138C1" w:rsidRPr="00AA6F74">
              <w:rPr>
                <w:sz w:val="20"/>
                <w:szCs w:val="20"/>
                <w:lang w:val="en-US"/>
              </w:rPr>
              <w:t xml:space="preserve">DATE: </w:t>
            </w:r>
            <w:r w:rsidRPr="00AA6F74">
              <w:rPr>
                <w:sz w:val="20"/>
                <w:szCs w:val="20"/>
                <w:lang w:val="en-US"/>
              </w:rPr>
              <w:t>December 31,</w:t>
            </w:r>
            <w:r w:rsidR="00F138C1" w:rsidRPr="00AA6F74">
              <w:rPr>
                <w:sz w:val="20"/>
                <w:szCs w:val="20"/>
                <w:lang w:val="en-US"/>
              </w:rPr>
              <w:t xml:space="preserve"> 20</w:t>
            </w:r>
            <w:r w:rsidR="00DA1D48" w:rsidRPr="00AA6F74">
              <w:rPr>
                <w:sz w:val="20"/>
                <w:szCs w:val="20"/>
                <w:lang w:val="en-US"/>
              </w:rPr>
              <w:t>20</w:t>
            </w:r>
          </w:p>
          <w:p w:rsidR="004B2E86" w:rsidRPr="00AA6F74" w:rsidRDefault="004B2E86" w:rsidP="00F138C1">
            <w:pPr>
              <w:rPr>
                <w:sz w:val="20"/>
                <w:szCs w:val="20"/>
                <w:lang w:val="en-US"/>
              </w:rPr>
            </w:pPr>
          </w:p>
          <w:p w:rsidR="00F138C1" w:rsidRPr="00AA6F74" w:rsidRDefault="002A25F4"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AA6F74" w:rsidTr="00F138C1">
        <w:tc>
          <w:tcPr>
            <w:tcW w:w="4239" w:type="dxa"/>
            <w:shd w:val="clear" w:color="auto" w:fill="auto"/>
          </w:tcPr>
          <w:p w:rsidR="00F138C1" w:rsidRPr="00AA6F74" w:rsidRDefault="00F03126" w:rsidP="009B36BA">
            <w:pPr>
              <w:tabs>
                <w:tab w:val="left" w:pos="-1440"/>
                <w:tab w:val="left" w:pos="-720"/>
              </w:tabs>
              <w:rPr>
                <w:b/>
                <w:sz w:val="20"/>
                <w:szCs w:val="20"/>
                <w:lang w:val="en-US"/>
              </w:rPr>
            </w:pPr>
            <w:r w:rsidRPr="00AA6F74">
              <w:rPr>
                <w:b/>
                <w:sz w:val="20"/>
                <w:szCs w:val="20"/>
                <w:lang w:val="en-US"/>
              </w:rPr>
              <w:t>Gordon Schembri, et al.</w:t>
            </w:r>
          </w:p>
          <w:p w:rsidR="00F138C1" w:rsidRPr="00AA6F74" w:rsidRDefault="00F138C1" w:rsidP="00F138C1">
            <w:pPr>
              <w:keepNext/>
              <w:keepLines/>
              <w:tabs>
                <w:tab w:val="left" w:pos="-1440"/>
                <w:tab w:val="left" w:pos="-720"/>
              </w:tabs>
              <w:rPr>
                <w:sz w:val="20"/>
                <w:szCs w:val="20"/>
                <w:lang w:val="en-US"/>
              </w:rPr>
            </w:pPr>
            <w:r w:rsidRPr="00AA6F74">
              <w:rPr>
                <w:sz w:val="20"/>
                <w:szCs w:val="20"/>
                <w:lang w:val="en-US"/>
              </w:rPr>
              <w:tab/>
            </w:r>
            <w:r w:rsidR="00F03126" w:rsidRPr="00AA6F74">
              <w:rPr>
                <w:sz w:val="20"/>
                <w:szCs w:val="20"/>
                <w:lang w:val="en-US"/>
              </w:rPr>
              <w:t>Wortzman, James M.</w:t>
            </w:r>
          </w:p>
          <w:p w:rsidR="00F138C1" w:rsidRPr="00AA6F74" w:rsidRDefault="00F138C1" w:rsidP="00F138C1">
            <w:pPr>
              <w:keepNext/>
              <w:keepLines/>
              <w:tabs>
                <w:tab w:val="left" w:pos="-1440"/>
                <w:tab w:val="left" w:pos="-720"/>
              </w:tabs>
              <w:rPr>
                <w:sz w:val="20"/>
                <w:szCs w:val="20"/>
                <w:lang w:val="en-US"/>
              </w:rPr>
            </w:pPr>
            <w:r w:rsidRPr="00AA6F74">
              <w:rPr>
                <w:sz w:val="20"/>
                <w:szCs w:val="20"/>
                <w:lang w:val="en-US"/>
              </w:rPr>
              <w:tab/>
            </w:r>
            <w:r w:rsidR="00F03126" w:rsidRPr="00AA6F74">
              <w:rPr>
                <w:sz w:val="20"/>
                <w:szCs w:val="20"/>
                <w:lang w:val="en-US"/>
              </w:rPr>
              <w:t>Teplitsky, Colson</w:t>
            </w:r>
          </w:p>
          <w:p w:rsidR="00F138C1" w:rsidRPr="00AA6F74" w:rsidRDefault="00F138C1" w:rsidP="00F138C1">
            <w:pPr>
              <w:keepNext/>
              <w:keepLines/>
              <w:tabs>
                <w:tab w:val="left" w:pos="-1440"/>
                <w:tab w:val="left" w:pos="-720"/>
              </w:tabs>
              <w:rPr>
                <w:sz w:val="20"/>
                <w:szCs w:val="20"/>
                <w:lang w:val="en-US"/>
              </w:rPr>
            </w:pPr>
          </w:p>
          <w:p w:rsidR="00F138C1" w:rsidRPr="00AA6F74" w:rsidRDefault="00F138C1" w:rsidP="00F138C1">
            <w:pPr>
              <w:keepNext/>
              <w:keepLines/>
              <w:tabs>
                <w:tab w:val="left" w:pos="-1440"/>
                <w:tab w:val="left" w:pos="-720"/>
              </w:tabs>
              <w:rPr>
                <w:sz w:val="20"/>
                <w:szCs w:val="20"/>
                <w:lang w:val="en-US"/>
              </w:rPr>
            </w:pPr>
            <w:r w:rsidRPr="00AA6F74">
              <w:rPr>
                <w:sz w:val="20"/>
                <w:szCs w:val="20"/>
                <w:lang w:val="en-US"/>
              </w:rPr>
              <w:tab/>
              <w:t>v. (39</w:t>
            </w:r>
            <w:r w:rsidR="00F03126" w:rsidRPr="00AA6F74">
              <w:rPr>
                <w:sz w:val="20"/>
                <w:szCs w:val="20"/>
                <w:lang w:val="en-US"/>
              </w:rPr>
              <w:t>5</w:t>
            </w:r>
            <w:r w:rsidRPr="00AA6F74">
              <w:rPr>
                <w:sz w:val="20"/>
                <w:szCs w:val="20"/>
                <w:lang w:val="en-US"/>
              </w:rPr>
              <w:t>1</w:t>
            </w:r>
            <w:r w:rsidR="00F03126" w:rsidRPr="00AA6F74">
              <w:rPr>
                <w:sz w:val="20"/>
                <w:szCs w:val="20"/>
                <w:lang w:val="en-US"/>
              </w:rPr>
              <w:t>4</w:t>
            </w:r>
            <w:r w:rsidRPr="00AA6F74">
              <w:rPr>
                <w:sz w:val="20"/>
                <w:szCs w:val="20"/>
                <w:lang w:val="en-US"/>
              </w:rPr>
              <w:t>)</w:t>
            </w:r>
          </w:p>
          <w:p w:rsidR="00F138C1" w:rsidRPr="00AA6F74" w:rsidRDefault="00F138C1" w:rsidP="00F138C1">
            <w:pPr>
              <w:keepNext/>
              <w:keepLines/>
              <w:tabs>
                <w:tab w:val="left" w:pos="-1440"/>
                <w:tab w:val="left" w:pos="-720"/>
              </w:tabs>
              <w:rPr>
                <w:sz w:val="20"/>
                <w:szCs w:val="20"/>
                <w:lang w:val="en-US"/>
              </w:rPr>
            </w:pPr>
          </w:p>
          <w:p w:rsidR="00F138C1" w:rsidRPr="00AA6F74" w:rsidRDefault="00F03126" w:rsidP="00F138C1">
            <w:pPr>
              <w:keepNext/>
              <w:keepLines/>
              <w:tabs>
                <w:tab w:val="left" w:pos="-1440"/>
                <w:tab w:val="left" w:pos="-720"/>
              </w:tabs>
              <w:rPr>
                <w:b/>
                <w:sz w:val="20"/>
                <w:szCs w:val="20"/>
                <w:lang w:val="en-US"/>
              </w:rPr>
            </w:pPr>
            <w:r w:rsidRPr="00AA6F74">
              <w:rPr>
                <w:b/>
                <w:sz w:val="20"/>
                <w:szCs w:val="20"/>
                <w:lang w:val="en-US"/>
              </w:rPr>
              <w:t>Al Way, et al. (Ont</w:t>
            </w:r>
            <w:r w:rsidR="00F138C1" w:rsidRPr="00AA6F74">
              <w:rPr>
                <w:b/>
                <w:sz w:val="20"/>
                <w:szCs w:val="20"/>
                <w:lang w:val="en-US"/>
              </w:rPr>
              <w:t>.)</w:t>
            </w:r>
          </w:p>
          <w:p w:rsidR="00F138C1" w:rsidRPr="00AA6F74" w:rsidRDefault="00F138C1" w:rsidP="00F138C1">
            <w:pPr>
              <w:keepNext/>
              <w:keepLines/>
              <w:tabs>
                <w:tab w:val="left" w:pos="-1440"/>
                <w:tab w:val="left" w:pos="-720"/>
              </w:tabs>
              <w:rPr>
                <w:sz w:val="20"/>
                <w:szCs w:val="20"/>
                <w:lang w:val="en-US"/>
              </w:rPr>
            </w:pPr>
            <w:r w:rsidRPr="00AA6F74">
              <w:rPr>
                <w:sz w:val="20"/>
                <w:szCs w:val="20"/>
                <w:lang w:val="en-US"/>
              </w:rPr>
              <w:tab/>
            </w:r>
            <w:r w:rsidR="00F03126" w:rsidRPr="00AA6F74">
              <w:rPr>
                <w:sz w:val="20"/>
                <w:szCs w:val="20"/>
                <w:lang w:val="en-US"/>
              </w:rPr>
              <w:t>Lisus, Jonathan C.</w:t>
            </w:r>
          </w:p>
          <w:p w:rsidR="00F138C1" w:rsidRPr="00AA6F74" w:rsidRDefault="00F138C1" w:rsidP="00F138C1">
            <w:pPr>
              <w:keepNext/>
              <w:keepLines/>
              <w:tabs>
                <w:tab w:val="left" w:pos="-1440"/>
                <w:tab w:val="left" w:pos="-720"/>
              </w:tabs>
              <w:rPr>
                <w:sz w:val="20"/>
                <w:szCs w:val="20"/>
                <w:lang w:val="en-US"/>
              </w:rPr>
            </w:pPr>
            <w:r w:rsidRPr="00AA6F74">
              <w:rPr>
                <w:sz w:val="20"/>
                <w:szCs w:val="20"/>
                <w:lang w:val="en-US"/>
              </w:rPr>
              <w:tab/>
            </w:r>
            <w:r w:rsidR="00F03126" w:rsidRPr="00AA6F74">
              <w:rPr>
                <w:sz w:val="20"/>
                <w:szCs w:val="20"/>
                <w:lang w:val="en-US"/>
              </w:rPr>
              <w:t>Lax O'Sullivan Lisus Gottlieb LLP</w:t>
            </w:r>
          </w:p>
          <w:p w:rsidR="00F138C1" w:rsidRPr="00AA6F74" w:rsidRDefault="00F138C1" w:rsidP="00F138C1">
            <w:pPr>
              <w:keepNext/>
              <w:keepLines/>
              <w:tabs>
                <w:tab w:val="left" w:pos="-1440"/>
                <w:tab w:val="left" w:pos="-720"/>
              </w:tabs>
              <w:rPr>
                <w:sz w:val="20"/>
                <w:szCs w:val="20"/>
                <w:lang w:val="en-US"/>
              </w:rPr>
            </w:pPr>
          </w:p>
          <w:p w:rsidR="004B2E86" w:rsidRPr="00AA6F74" w:rsidRDefault="00F138C1" w:rsidP="00F138C1">
            <w:pPr>
              <w:rPr>
                <w:sz w:val="20"/>
                <w:szCs w:val="20"/>
                <w:lang w:val="fr-CA"/>
              </w:rPr>
            </w:pPr>
            <w:r w:rsidRPr="00AA6F74">
              <w:rPr>
                <w:sz w:val="20"/>
                <w:szCs w:val="20"/>
                <w:lang w:val="fr-CA"/>
              </w:rPr>
              <w:t xml:space="preserve">FILING DATE: </w:t>
            </w:r>
            <w:r w:rsidR="00F03126" w:rsidRPr="00AA6F74">
              <w:rPr>
                <w:sz w:val="20"/>
                <w:szCs w:val="20"/>
                <w:lang w:val="fr-CA"/>
              </w:rPr>
              <w:t>December 31</w:t>
            </w:r>
            <w:r w:rsidRPr="00AA6F74">
              <w:rPr>
                <w:sz w:val="20"/>
                <w:szCs w:val="20"/>
                <w:lang w:val="fr-CA"/>
              </w:rPr>
              <w:t>, 20</w:t>
            </w:r>
            <w:r w:rsidR="00DA1D48" w:rsidRPr="00AA6F74">
              <w:rPr>
                <w:sz w:val="20"/>
                <w:szCs w:val="20"/>
                <w:lang w:val="fr-CA"/>
              </w:rPr>
              <w:t>20</w:t>
            </w:r>
          </w:p>
          <w:p w:rsidR="004B2E86" w:rsidRPr="00AA6F74" w:rsidRDefault="004B2E86" w:rsidP="00F138C1">
            <w:pPr>
              <w:rPr>
                <w:sz w:val="20"/>
                <w:szCs w:val="20"/>
                <w:lang w:val="fr-CA"/>
              </w:rPr>
            </w:pPr>
          </w:p>
          <w:p w:rsidR="00F138C1" w:rsidRPr="00AA6F74" w:rsidRDefault="002A25F4"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138C1" w:rsidRPr="00AA6F74" w:rsidRDefault="00F138C1" w:rsidP="00F138C1">
            <w:pPr>
              <w:jc w:val="center"/>
              <w:rPr>
                <w:sz w:val="20"/>
                <w:szCs w:val="20"/>
                <w:lang w:val="en-US"/>
              </w:rPr>
            </w:pPr>
          </w:p>
          <w:p w:rsidR="00F03126" w:rsidRPr="00AA6F74" w:rsidRDefault="00F03126" w:rsidP="00F138C1">
            <w:pPr>
              <w:jc w:val="center"/>
              <w:rPr>
                <w:sz w:val="20"/>
                <w:szCs w:val="20"/>
                <w:lang w:val="en-US"/>
              </w:rPr>
            </w:pPr>
          </w:p>
          <w:p w:rsidR="00F138C1" w:rsidRPr="00AA6F74" w:rsidRDefault="00F138C1" w:rsidP="00F138C1">
            <w:pPr>
              <w:jc w:val="center"/>
              <w:rPr>
                <w:sz w:val="20"/>
                <w:szCs w:val="20"/>
                <w:lang w:val="en-US"/>
              </w:rPr>
            </w:pPr>
          </w:p>
          <w:p w:rsidR="004B2E86" w:rsidRPr="00AA6F74" w:rsidRDefault="004B2E86" w:rsidP="00F138C1">
            <w:pPr>
              <w:jc w:val="center"/>
              <w:rPr>
                <w:sz w:val="20"/>
                <w:szCs w:val="20"/>
                <w:lang w:val="en-US"/>
              </w:rPr>
            </w:pPr>
          </w:p>
        </w:tc>
        <w:tc>
          <w:tcPr>
            <w:tcW w:w="4239" w:type="dxa"/>
            <w:shd w:val="clear" w:color="auto" w:fill="auto"/>
          </w:tcPr>
          <w:p w:rsidR="00F138C1" w:rsidRPr="00AA6F74" w:rsidRDefault="00F03126" w:rsidP="00F138C1">
            <w:pPr>
              <w:rPr>
                <w:b/>
                <w:sz w:val="20"/>
                <w:szCs w:val="20"/>
                <w:lang w:val="fr-CA"/>
              </w:rPr>
            </w:pPr>
            <w:r w:rsidRPr="00AA6F74">
              <w:rPr>
                <w:b/>
                <w:sz w:val="20"/>
                <w:szCs w:val="20"/>
                <w:lang w:val="fr-CA"/>
              </w:rPr>
              <w:t>Anica Visic</w:t>
            </w:r>
          </w:p>
          <w:p w:rsidR="00F138C1" w:rsidRPr="00AA6F74" w:rsidRDefault="00F138C1" w:rsidP="00F138C1">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Du Vernet, Christopher</w:t>
            </w:r>
          </w:p>
          <w:p w:rsidR="00F138C1" w:rsidRPr="00AA6F74" w:rsidRDefault="00F138C1" w:rsidP="00F138C1">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Du Vernet, Stewart</w:t>
            </w:r>
          </w:p>
          <w:p w:rsidR="00F138C1" w:rsidRPr="00AA6F74" w:rsidRDefault="00F138C1" w:rsidP="00F138C1">
            <w:pPr>
              <w:tabs>
                <w:tab w:val="left" w:pos="-1440"/>
                <w:tab w:val="left" w:pos="-720"/>
              </w:tabs>
              <w:rPr>
                <w:sz w:val="20"/>
                <w:szCs w:val="20"/>
                <w:lang w:val="fr-CA"/>
              </w:rPr>
            </w:pPr>
          </w:p>
          <w:p w:rsidR="00F138C1" w:rsidRPr="00AA6F74" w:rsidRDefault="00F138C1" w:rsidP="00F138C1">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v</w:t>
            </w:r>
            <w:r w:rsidRPr="00AA6F74">
              <w:rPr>
                <w:sz w:val="20"/>
                <w:szCs w:val="20"/>
                <w:lang w:val="fr-CA"/>
              </w:rPr>
              <w:t>. (39</w:t>
            </w:r>
            <w:r w:rsidR="00F03126" w:rsidRPr="00AA6F74">
              <w:rPr>
                <w:sz w:val="20"/>
                <w:szCs w:val="20"/>
                <w:lang w:val="fr-CA"/>
              </w:rPr>
              <w:t>515</w:t>
            </w:r>
            <w:r w:rsidRPr="00AA6F74">
              <w:rPr>
                <w:sz w:val="20"/>
                <w:szCs w:val="20"/>
                <w:lang w:val="fr-CA"/>
              </w:rPr>
              <w:t>)</w:t>
            </w:r>
          </w:p>
          <w:p w:rsidR="00F138C1" w:rsidRPr="00AA6F74" w:rsidRDefault="00F138C1" w:rsidP="00F138C1">
            <w:pPr>
              <w:tabs>
                <w:tab w:val="left" w:pos="-1440"/>
                <w:tab w:val="left" w:pos="-720"/>
              </w:tabs>
              <w:rPr>
                <w:sz w:val="20"/>
                <w:szCs w:val="20"/>
                <w:lang w:val="fr-CA"/>
              </w:rPr>
            </w:pPr>
          </w:p>
          <w:p w:rsidR="00F138C1" w:rsidRPr="00AA6F74" w:rsidRDefault="00F03126" w:rsidP="00F138C1">
            <w:pPr>
              <w:tabs>
                <w:tab w:val="left" w:pos="-1440"/>
                <w:tab w:val="left" w:pos="-720"/>
              </w:tabs>
              <w:rPr>
                <w:b/>
                <w:sz w:val="20"/>
                <w:szCs w:val="20"/>
                <w:lang w:val="fr-CA"/>
              </w:rPr>
            </w:pPr>
            <w:r w:rsidRPr="00AA6F74">
              <w:rPr>
                <w:b/>
                <w:sz w:val="20"/>
                <w:szCs w:val="20"/>
                <w:lang w:val="fr-CA"/>
              </w:rPr>
              <w:t>Elia Associates Professional Corporation, Patricia Elia, et al.</w:t>
            </w:r>
            <w:r w:rsidR="00F138C1" w:rsidRPr="00AA6F74">
              <w:rPr>
                <w:sz w:val="20"/>
                <w:szCs w:val="20"/>
                <w:lang w:val="fr-CA"/>
              </w:rPr>
              <w:t xml:space="preserve"> </w:t>
            </w:r>
            <w:r w:rsidR="00F138C1" w:rsidRPr="00AA6F74">
              <w:rPr>
                <w:b/>
                <w:sz w:val="20"/>
                <w:szCs w:val="20"/>
                <w:lang w:val="fr-CA"/>
              </w:rPr>
              <w:t>(</w:t>
            </w:r>
            <w:r w:rsidRPr="00AA6F74">
              <w:rPr>
                <w:b/>
                <w:sz w:val="20"/>
                <w:szCs w:val="20"/>
                <w:lang w:val="fr-CA"/>
              </w:rPr>
              <w:t>Ont.</w:t>
            </w:r>
            <w:r w:rsidR="00F138C1" w:rsidRPr="00AA6F74">
              <w:rPr>
                <w:b/>
                <w:sz w:val="20"/>
                <w:szCs w:val="20"/>
                <w:lang w:val="fr-CA"/>
              </w:rPr>
              <w:t>)</w:t>
            </w:r>
          </w:p>
          <w:p w:rsidR="00F138C1" w:rsidRPr="00AA6F74" w:rsidRDefault="00F138C1" w:rsidP="00F138C1">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Casalinuovo, Antoni</w:t>
            </w:r>
          </w:p>
          <w:p w:rsidR="00F138C1" w:rsidRPr="00AA6F74" w:rsidRDefault="00F138C1" w:rsidP="00F138C1">
            <w:pPr>
              <w:tabs>
                <w:tab w:val="left" w:pos="-1440"/>
                <w:tab w:val="left" w:pos="-720"/>
              </w:tabs>
              <w:rPr>
                <w:sz w:val="20"/>
                <w:szCs w:val="20"/>
                <w:lang w:val="en-US"/>
              </w:rPr>
            </w:pPr>
            <w:r w:rsidRPr="00AA6F74">
              <w:rPr>
                <w:sz w:val="20"/>
                <w:szCs w:val="20"/>
                <w:lang w:val="fr-CA"/>
              </w:rPr>
              <w:tab/>
            </w:r>
            <w:r w:rsidR="00F03126" w:rsidRPr="00AA6F74">
              <w:rPr>
                <w:sz w:val="20"/>
                <w:szCs w:val="20"/>
                <w:lang w:val="en-US"/>
              </w:rPr>
              <w:t>Elia Associates</w:t>
            </w:r>
          </w:p>
          <w:p w:rsidR="00F138C1" w:rsidRPr="00AA6F74" w:rsidRDefault="00F138C1" w:rsidP="00F138C1">
            <w:pPr>
              <w:tabs>
                <w:tab w:val="left" w:pos="-1440"/>
                <w:tab w:val="left" w:pos="-720"/>
              </w:tabs>
              <w:rPr>
                <w:sz w:val="20"/>
                <w:szCs w:val="20"/>
                <w:lang w:val="en-US"/>
              </w:rPr>
            </w:pPr>
          </w:p>
          <w:p w:rsidR="00F138C1" w:rsidRPr="00AA6F74" w:rsidRDefault="00F03126" w:rsidP="00F138C1">
            <w:pPr>
              <w:rPr>
                <w:sz w:val="20"/>
                <w:szCs w:val="20"/>
                <w:lang w:val="en-US"/>
              </w:rPr>
            </w:pPr>
            <w:r w:rsidRPr="00AA6F74">
              <w:rPr>
                <w:sz w:val="20"/>
                <w:szCs w:val="20"/>
                <w:lang w:val="en-US"/>
              </w:rPr>
              <w:t xml:space="preserve">FILING </w:t>
            </w:r>
            <w:r w:rsidR="00F138C1" w:rsidRPr="00AA6F74">
              <w:rPr>
                <w:sz w:val="20"/>
                <w:szCs w:val="20"/>
                <w:lang w:val="en-US"/>
              </w:rPr>
              <w:t xml:space="preserve">DATE: </w:t>
            </w:r>
            <w:r w:rsidRPr="00AA6F74">
              <w:rPr>
                <w:sz w:val="20"/>
                <w:szCs w:val="20"/>
                <w:lang w:val="en-US"/>
              </w:rPr>
              <w:t>December 31,</w:t>
            </w:r>
            <w:r w:rsidR="00F138C1" w:rsidRPr="00AA6F74">
              <w:rPr>
                <w:sz w:val="20"/>
                <w:szCs w:val="20"/>
                <w:lang w:val="en-US"/>
              </w:rPr>
              <w:t xml:space="preserve"> 20</w:t>
            </w:r>
            <w:r w:rsidR="00DA1D48" w:rsidRPr="00AA6F74">
              <w:rPr>
                <w:sz w:val="20"/>
                <w:szCs w:val="20"/>
                <w:lang w:val="en-US"/>
              </w:rPr>
              <w:t>20</w:t>
            </w:r>
          </w:p>
          <w:p w:rsidR="004B2E86" w:rsidRPr="00AA6F74" w:rsidRDefault="004B2E86" w:rsidP="00F138C1">
            <w:pPr>
              <w:rPr>
                <w:sz w:val="20"/>
                <w:szCs w:val="20"/>
                <w:lang w:val="en-US"/>
              </w:rPr>
            </w:pPr>
          </w:p>
          <w:p w:rsidR="00F138C1" w:rsidRPr="00AA6F74" w:rsidRDefault="002A25F4"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AA6F74" w:rsidTr="00F138C1">
        <w:tc>
          <w:tcPr>
            <w:tcW w:w="4239" w:type="dxa"/>
            <w:shd w:val="clear" w:color="auto" w:fill="auto"/>
          </w:tcPr>
          <w:p w:rsidR="00DA1D48" w:rsidRPr="00AA6F74" w:rsidRDefault="00F03126" w:rsidP="00DA1D48">
            <w:pPr>
              <w:rPr>
                <w:sz w:val="20"/>
                <w:szCs w:val="20"/>
                <w:lang w:val="en-US"/>
              </w:rPr>
            </w:pPr>
            <w:r w:rsidRPr="00AA6F74">
              <w:rPr>
                <w:b/>
                <w:sz w:val="20"/>
                <w:szCs w:val="20"/>
                <w:lang w:val="en-US"/>
              </w:rPr>
              <w:t>E.D.</w:t>
            </w:r>
          </w:p>
          <w:p w:rsidR="00DA1D48" w:rsidRPr="00AA6F74" w:rsidRDefault="00DA1D48" w:rsidP="00DA1D48">
            <w:pPr>
              <w:tabs>
                <w:tab w:val="left" w:pos="-1440"/>
                <w:tab w:val="left" w:pos="-720"/>
              </w:tabs>
              <w:rPr>
                <w:sz w:val="20"/>
                <w:szCs w:val="20"/>
                <w:lang w:val="en-US"/>
              </w:rPr>
            </w:pPr>
            <w:r w:rsidRPr="00AA6F74">
              <w:rPr>
                <w:sz w:val="20"/>
                <w:szCs w:val="20"/>
                <w:lang w:val="en-US"/>
              </w:rPr>
              <w:tab/>
            </w:r>
            <w:r w:rsidR="00F03126" w:rsidRPr="00AA6F74">
              <w:rPr>
                <w:sz w:val="20"/>
                <w:szCs w:val="20"/>
                <w:lang w:val="en-US"/>
              </w:rPr>
              <w:t>Mirza, Faisal</w:t>
            </w:r>
          </w:p>
          <w:p w:rsidR="00F56F3A" w:rsidRPr="00AA6F74" w:rsidRDefault="00F56F3A" w:rsidP="00DA1D48">
            <w:pPr>
              <w:tabs>
                <w:tab w:val="left" w:pos="-1440"/>
                <w:tab w:val="left" w:pos="-720"/>
              </w:tabs>
              <w:rPr>
                <w:sz w:val="20"/>
                <w:szCs w:val="20"/>
                <w:lang w:val="en-US"/>
              </w:rPr>
            </w:pPr>
            <w:r w:rsidRPr="00AA6F74">
              <w:rPr>
                <w:sz w:val="20"/>
                <w:szCs w:val="20"/>
                <w:lang w:val="en-US"/>
              </w:rPr>
              <w:tab/>
            </w:r>
            <w:r w:rsidR="00F03126" w:rsidRPr="00AA6F74">
              <w:rPr>
                <w:sz w:val="20"/>
                <w:szCs w:val="20"/>
                <w:lang w:val="en-US"/>
              </w:rPr>
              <w:t>Mirza Kwok Defense Lawyers</w:t>
            </w:r>
          </w:p>
          <w:p w:rsidR="00DA1D48" w:rsidRPr="00AA6F74" w:rsidRDefault="00DA1D48" w:rsidP="00DA1D48">
            <w:pPr>
              <w:tabs>
                <w:tab w:val="left" w:pos="-1440"/>
                <w:tab w:val="left" w:pos="-720"/>
              </w:tabs>
              <w:rPr>
                <w:sz w:val="20"/>
                <w:szCs w:val="20"/>
                <w:lang w:val="en-US"/>
              </w:rPr>
            </w:pPr>
          </w:p>
          <w:p w:rsidR="00DA1D48" w:rsidRPr="00AA6F74" w:rsidRDefault="00DA1D48" w:rsidP="00DA1D48">
            <w:pPr>
              <w:tabs>
                <w:tab w:val="left" w:pos="-1440"/>
                <w:tab w:val="left" w:pos="-720"/>
              </w:tabs>
              <w:rPr>
                <w:sz w:val="20"/>
                <w:szCs w:val="20"/>
                <w:lang w:val="en-US"/>
              </w:rPr>
            </w:pPr>
            <w:r w:rsidRPr="00AA6F74">
              <w:rPr>
                <w:sz w:val="20"/>
                <w:szCs w:val="20"/>
                <w:lang w:val="en-US"/>
              </w:rPr>
              <w:tab/>
              <w:t>v. (394</w:t>
            </w:r>
            <w:r w:rsidR="00F03126" w:rsidRPr="00AA6F74">
              <w:rPr>
                <w:sz w:val="20"/>
                <w:szCs w:val="20"/>
                <w:lang w:val="en-US"/>
              </w:rPr>
              <w:t>54</w:t>
            </w:r>
            <w:r w:rsidRPr="00AA6F74">
              <w:rPr>
                <w:sz w:val="20"/>
                <w:szCs w:val="20"/>
                <w:lang w:val="en-US"/>
              </w:rPr>
              <w:t>)</w:t>
            </w:r>
          </w:p>
          <w:p w:rsidR="00DA1D48" w:rsidRPr="00AA6F74" w:rsidRDefault="00DA1D48" w:rsidP="00DA1D48">
            <w:pPr>
              <w:tabs>
                <w:tab w:val="left" w:pos="-1440"/>
                <w:tab w:val="left" w:pos="-720"/>
              </w:tabs>
              <w:rPr>
                <w:sz w:val="20"/>
                <w:szCs w:val="20"/>
                <w:lang w:val="en-US"/>
              </w:rPr>
            </w:pPr>
          </w:p>
          <w:p w:rsidR="00DA1D48" w:rsidRPr="00AA6F74" w:rsidRDefault="00F03126" w:rsidP="00DA1D48">
            <w:pPr>
              <w:tabs>
                <w:tab w:val="left" w:pos="-1440"/>
                <w:tab w:val="left" w:pos="-720"/>
              </w:tabs>
              <w:rPr>
                <w:b/>
                <w:sz w:val="20"/>
                <w:szCs w:val="20"/>
                <w:lang w:val="en-US"/>
              </w:rPr>
            </w:pPr>
            <w:r w:rsidRPr="00AA6F74">
              <w:rPr>
                <w:b/>
                <w:sz w:val="20"/>
                <w:szCs w:val="20"/>
                <w:lang w:val="en-US"/>
              </w:rPr>
              <w:t>Her Majesty the Queen</w:t>
            </w:r>
            <w:r w:rsidR="00DA1D48" w:rsidRPr="00AA6F74">
              <w:rPr>
                <w:b/>
                <w:sz w:val="20"/>
                <w:szCs w:val="20"/>
                <w:lang w:val="en-US"/>
              </w:rPr>
              <w:t xml:space="preserve"> (</w:t>
            </w:r>
            <w:r w:rsidRPr="00AA6F74">
              <w:rPr>
                <w:b/>
                <w:sz w:val="20"/>
                <w:szCs w:val="20"/>
                <w:lang w:val="en-US"/>
              </w:rPr>
              <w:t>Ont</w:t>
            </w:r>
            <w:r w:rsidR="00DA1D48" w:rsidRPr="00AA6F74">
              <w:rPr>
                <w:b/>
                <w:sz w:val="20"/>
                <w:szCs w:val="20"/>
                <w:lang w:val="en-US"/>
              </w:rPr>
              <w:t>.)</w:t>
            </w:r>
          </w:p>
          <w:p w:rsidR="00DA1D48" w:rsidRPr="00AA6F74" w:rsidRDefault="00DA1D48" w:rsidP="00DA1D48">
            <w:pPr>
              <w:tabs>
                <w:tab w:val="left" w:pos="-1440"/>
                <w:tab w:val="left" w:pos="-720"/>
              </w:tabs>
              <w:rPr>
                <w:sz w:val="20"/>
                <w:szCs w:val="20"/>
                <w:lang w:val="en-US"/>
              </w:rPr>
            </w:pPr>
            <w:r w:rsidRPr="00AA6F74">
              <w:rPr>
                <w:sz w:val="20"/>
                <w:szCs w:val="20"/>
                <w:lang w:val="en-US"/>
              </w:rPr>
              <w:tab/>
            </w:r>
            <w:r w:rsidR="00F03126" w:rsidRPr="00AA6F74">
              <w:rPr>
                <w:sz w:val="20"/>
                <w:szCs w:val="20"/>
                <w:lang w:val="en-US"/>
              </w:rPr>
              <w:t>Fineberg, Lisa</w:t>
            </w:r>
          </w:p>
          <w:p w:rsidR="00DA1D48" w:rsidRPr="00AA6F74" w:rsidRDefault="00DA1D48" w:rsidP="00DA1D48">
            <w:pPr>
              <w:tabs>
                <w:tab w:val="left" w:pos="-1440"/>
                <w:tab w:val="left" w:pos="-720"/>
              </w:tabs>
              <w:rPr>
                <w:sz w:val="20"/>
                <w:szCs w:val="20"/>
              </w:rPr>
            </w:pPr>
            <w:r w:rsidRPr="00AA6F74">
              <w:rPr>
                <w:sz w:val="20"/>
                <w:szCs w:val="20"/>
                <w:lang w:val="en-US"/>
              </w:rPr>
              <w:tab/>
            </w:r>
            <w:r w:rsidR="00F03126" w:rsidRPr="00AA6F74">
              <w:rPr>
                <w:sz w:val="20"/>
                <w:szCs w:val="20"/>
              </w:rPr>
              <w:t>Attorney General of Ontario</w:t>
            </w:r>
          </w:p>
          <w:p w:rsidR="00DA1D48" w:rsidRPr="00AA6F74" w:rsidRDefault="00DA1D48" w:rsidP="00DA1D48">
            <w:pPr>
              <w:tabs>
                <w:tab w:val="left" w:pos="-1440"/>
                <w:tab w:val="left" w:pos="-720"/>
              </w:tabs>
              <w:rPr>
                <w:sz w:val="20"/>
                <w:szCs w:val="20"/>
              </w:rPr>
            </w:pPr>
          </w:p>
          <w:p w:rsidR="00DA1D48" w:rsidRPr="00AA6F74" w:rsidRDefault="00DA1D48" w:rsidP="00DA1D48">
            <w:pPr>
              <w:rPr>
                <w:sz w:val="20"/>
                <w:szCs w:val="20"/>
              </w:rPr>
            </w:pPr>
            <w:r w:rsidRPr="00AA6F74">
              <w:rPr>
                <w:sz w:val="20"/>
                <w:szCs w:val="20"/>
              </w:rPr>
              <w:t xml:space="preserve">FILING DATE: </w:t>
            </w:r>
            <w:r w:rsidR="00F03126" w:rsidRPr="00AA6F74">
              <w:rPr>
                <w:sz w:val="20"/>
                <w:szCs w:val="20"/>
              </w:rPr>
              <w:t>December</w:t>
            </w:r>
            <w:r w:rsidRPr="00AA6F74">
              <w:rPr>
                <w:sz w:val="20"/>
                <w:szCs w:val="20"/>
              </w:rPr>
              <w:t xml:space="preserve"> </w:t>
            </w:r>
            <w:r w:rsidR="00F03126" w:rsidRPr="00AA6F74">
              <w:rPr>
                <w:sz w:val="20"/>
                <w:szCs w:val="20"/>
              </w:rPr>
              <w:t>15</w:t>
            </w:r>
            <w:r w:rsidRPr="00AA6F74">
              <w:rPr>
                <w:sz w:val="20"/>
                <w:szCs w:val="20"/>
              </w:rPr>
              <w:t>, 2020</w:t>
            </w:r>
          </w:p>
          <w:p w:rsidR="00DA1D48" w:rsidRPr="00AA6F74" w:rsidRDefault="00DA1D48" w:rsidP="00DA1D48">
            <w:pPr>
              <w:rPr>
                <w:sz w:val="20"/>
                <w:szCs w:val="20"/>
              </w:rPr>
            </w:pPr>
          </w:p>
          <w:p w:rsidR="00F138C1" w:rsidRPr="00AA6F74" w:rsidRDefault="002A25F4"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A6F74" w:rsidRDefault="00F138C1"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p w:rsidR="00DA1D48" w:rsidRPr="00AA6F74" w:rsidRDefault="00DA1D48" w:rsidP="00F138C1">
            <w:pPr>
              <w:jc w:val="center"/>
              <w:rPr>
                <w:sz w:val="20"/>
                <w:szCs w:val="20"/>
                <w:lang w:val="en-US"/>
              </w:rPr>
            </w:pPr>
          </w:p>
        </w:tc>
        <w:tc>
          <w:tcPr>
            <w:tcW w:w="4239" w:type="dxa"/>
            <w:shd w:val="clear" w:color="auto" w:fill="auto"/>
          </w:tcPr>
          <w:p w:rsidR="00DA1D48" w:rsidRPr="00AA6F74" w:rsidRDefault="00F03126" w:rsidP="00DA1D48">
            <w:pPr>
              <w:rPr>
                <w:b/>
                <w:sz w:val="20"/>
                <w:szCs w:val="20"/>
                <w:lang w:val="en-US"/>
              </w:rPr>
            </w:pPr>
            <w:r w:rsidRPr="00AA6F74">
              <w:rPr>
                <w:b/>
                <w:sz w:val="20"/>
                <w:szCs w:val="20"/>
                <w:lang w:val="en-US"/>
              </w:rPr>
              <w:t>Leo Fuoco</w:t>
            </w:r>
          </w:p>
          <w:p w:rsidR="00DA1D48" w:rsidRPr="00AA6F74" w:rsidRDefault="00DA1D48" w:rsidP="00DA1D48">
            <w:pPr>
              <w:tabs>
                <w:tab w:val="left" w:pos="-1440"/>
                <w:tab w:val="left" w:pos="-720"/>
              </w:tabs>
              <w:rPr>
                <w:sz w:val="20"/>
                <w:szCs w:val="20"/>
                <w:lang w:val="en-US"/>
              </w:rPr>
            </w:pPr>
            <w:r w:rsidRPr="00AA6F74">
              <w:rPr>
                <w:sz w:val="20"/>
                <w:szCs w:val="20"/>
                <w:lang w:val="en-US"/>
              </w:rPr>
              <w:tab/>
            </w:r>
            <w:r w:rsidR="00F03126" w:rsidRPr="00AA6F74">
              <w:rPr>
                <w:sz w:val="20"/>
                <w:szCs w:val="20"/>
                <w:lang w:val="en-US"/>
              </w:rPr>
              <w:t>Leo Fuoco</w:t>
            </w:r>
          </w:p>
          <w:p w:rsidR="00DA1D48" w:rsidRPr="00AA6F74" w:rsidRDefault="00DA1D48" w:rsidP="00DA1D48">
            <w:pPr>
              <w:tabs>
                <w:tab w:val="left" w:pos="-1440"/>
                <w:tab w:val="left" w:pos="-720"/>
              </w:tabs>
              <w:rPr>
                <w:sz w:val="20"/>
                <w:szCs w:val="20"/>
                <w:lang w:val="en-US"/>
              </w:rPr>
            </w:pPr>
          </w:p>
          <w:p w:rsidR="00DA1D48" w:rsidRPr="00AA6F74" w:rsidRDefault="00DA1D48" w:rsidP="00DA1D48">
            <w:pPr>
              <w:tabs>
                <w:tab w:val="left" w:pos="-1440"/>
                <w:tab w:val="left" w:pos="-720"/>
              </w:tabs>
              <w:rPr>
                <w:sz w:val="20"/>
                <w:szCs w:val="20"/>
                <w:lang w:val="en-US"/>
              </w:rPr>
            </w:pPr>
            <w:r w:rsidRPr="00AA6F74">
              <w:rPr>
                <w:sz w:val="20"/>
                <w:szCs w:val="20"/>
                <w:lang w:val="en-US"/>
              </w:rPr>
              <w:tab/>
              <w:t>c. (39</w:t>
            </w:r>
            <w:r w:rsidR="00F03126" w:rsidRPr="00AA6F74">
              <w:rPr>
                <w:sz w:val="20"/>
                <w:szCs w:val="20"/>
                <w:lang w:val="en-US"/>
              </w:rPr>
              <w:t>517</w:t>
            </w:r>
            <w:r w:rsidRPr="00AA6F74">
              <w:rPr>
                <w:sz w:val="20"/>
                <w:szCs w:val="20"/>
                <w:lang w:val="en-US"/>
              </w:rPr>
              <w:t>)</w:t>
            </w:r>
          </w:p>
          <w:p w:rsidR="00DA1D48" w:rsidRPr="00AA6F74" w:rsidRDefault="00DA1D48" w:rsidP="00DA1D48">
            <w:pPr>
              <w:tabs>
                <w:tab w:val="left" w:pos="-1440"/>
                <w:tab w:val="left" w:pos="-720"/>
              </w:tabs>
              <w:rPr>
                <w:sz w:val="20"/>
                <w:szCs w:val="20"/>
                <w:lang w:val="en-US"/>
              </w:rPr>
            </w:pPr>
          </w:p>
          <w:p w:rsidR="00DA1D48" w:rsidRPr="00AA6F74" w:rsidRDefault="00F03126" w:rsidP="00DA1D48">
            <w:pPr>
              <w:tabs>
                <w:tab w:val="left" w:pos="-1440"/>
                <w:tab w:val="left" w:pos="-720"/>
              </w:tabs>
              <w:rPr>
                <w:b/>
                <w:sz w:val="20"/>
                <w:szCs w:val="20"/>
                <w:lang w:val="fr-CA"/>
              </w:rPr>
            </w:pPr>
            <w:r w:rsidRPr="00AA6F74">
              <w:rPr>
                <w:b/>
                <w:sz w:val="20"/>
                <w:szCs w:val="20"/>
                <w:lang w:val="fr-CA"/>
              </w:rPr>
              <w:t>Banque Toronto-Dominion</w:t>
            </w:r>
            <w:r w:rsidR="00DA1D48" w:rsidRPr="00AA6F74">
              <w:rPr>
                <w:sz w:val="20"/>
                <w:szCs w:val="20"/>
                <w:lang w:val="fr-CA"/>
              </w:rPr>
              <w:t xml:space="preserve"> </w:t>
            </w:r>
            <w:r w:rsidR="00DA1D48" w:rsidRPr="00AA6F74">
              <w:rPr>
                <w:b/>
                <w:sz w:val="20"/>
                <w:szCs w:val="20"/>
                <w:lang w:val="fr-CA"/>
              </w:rPr>
              <w:t>(Qc)</w:t>
            </w:r>
          </w:p>
          <w:p w:rsidR="00DA1D48" w:rsidRPr="00AA6F74" w:rsidRDefault="00DA1D48" w:rsidP="00DA1D48">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Duguay, Camille</w:t>
            </w:r>
          </w:p>
          <w:p w:rsidR="00DA1D48" w:rsidRPr="00AA6F74" w:rsidRDefault="00DA1D48" w:rsidP="00DA1D48">
            <w:pPr>
              <w:tabs>
                <w:tab w:val="left" w:pos="-1440"/>
                <w:tab w:val="left" w:pos="-720"/>
              </w:tabs>
              <w:rPr>
                <w:sz w:val="20"/>
                <w:szCs w:val="20"/>
                <w:lang w:val="fr-CA"/>
              </w:rPr>
            </w:pPr>
            <w:r w:rsidRPr="00AA6F74">
              <w:rPr>
                <w:sz w:val="20"/>
                <w:szCs w:val="20"/>
                <w:lang w:val="fr-CA"/>
              </w:rPr>
              <w:tab/>
            </w:r>
            <w:r w:rsidR="00F03126" w:rsidRPr="00AA6F74">
              <w:rPr>
                <w:sz w:val="20"/>
                <w:szCs w:val="20"/>
                <w:lang w:val="fr-CA"/>
              </w:rPr>
              <w:t>Fasken Martineau DuMoulin LLP</w:t>
            </w:r>
          </w:p>
          <w:p w:rsidR="00DA1D48" w:rsidRPr="00AA6F74" w:rsidRDefault="00DA1D48" w:rsidP="00DA1D48">
            <w:pPr>
              <w:tabs>
                <w:tab w:val="left" w:pos="-1440"/>
                <w:tab w:val="left" w:pos="-720"/>
              </w:tabs>
              <w:rPr>
                <w:sz w:val="20"/>
                <w:szCs w:val="20"/>
                <w:lang w:val="fr-CA"/>
              </w:rPr>
            </w:pPr>
          </w:p>
          <w:p w:rsidR="00DA1D48" w:rsidRPr="00AA6F74" w:rsidRDefault="00DA1D48" w:rsidP="00DA1D48">
            <w:pPr>
              <w:rPr>
                <w:sz w:val="20"/>
                <w:szCs w:val="20"/>
                <w:lang w:val="fr-CA"/>
              </w:rPr>
            </w:pPr>
            <w:r w:rsidRPr="00AA6F74">
              <w:rPr>
                <w:sz w:val="20"/>
                <w:szCs w:val="20"/>
                <w:lang w:val="fr-CA"/>
              </w:rPr>
              <w:t>DATE DE PRODUCTION : le 6 janvier 202</w:t>
            </w:r>
            <w:r w:rsidR="00F03126" w:rsidRPr="00AA6F74">
              <w:rPr>
                <w:sz w:val="20"/>
                <w:szCs w:val="20"/>
                <w:lang w:val="fr-CA"/>
              </w:rPr>
              <w:t>1</w:t>
            </w:r>
          </w:p>
          <w:p w:rsidR="00DA1D48" w:rsidRPr="00AA6F74" w:rsidRDefault="00DA1D48" w:rsidP="00DA1D48">
            <w:pPr>
              <w:rPr>
                <w:sz w:val="20"/>
                <w:szCs w:val="20"/>
                <w:lang w:val="fr-CA"/>
              </w:rPr>
            </w:pPr>
          </w:p>
          <w:p w:rsidR="00F138C1" w:rsidRPr="00AA6F74" w:rsidRDefault="002A25F4" w:rsidP="00DA1D48">
            <w:pPr>
              <w:rPr>
                <w:sz w:val="20"/>
                <w:szCs w:val="20"/>
                <w:lang w:val="fr-CA"/>
              </w:rPr>
            </w:pPr>
            <w:r>
              <w:rPr>
                <w:sz w:val="20"/>
                <w:szCs w:val="20"/>
                <w:lang w:val="fr-CA"/>
              </w:rPr>
              <w:pict>
                <v:rect id="_x0000_i1030" style="width:108pt;height:1pt" o:hrpct="0" o:hrstd="t" o:hrnoshade="t" o:hr="t" fillcolor="black [3213]" stroked="f"/>
              </w:pict>
            </w:r>
          </w:p>
        </w:tc>
      </w:tr>
    </w:tbl>
    <w:p w:rsidR="00F56F3A" w:rsidRPr="00AA6F74" w:rsidRDefault="00F56F3A">
      <w:r w:rsidRPr="00AA6F7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56F3A" w:rsidRPr="00AA6F74" w:rsidTr="00F138C1">
        <w:tc>
          <w:tcPr>
            <w:tcW w:w="4239" w:type="dxa"/>
            <w:shd w:val="clear" w:color="auto" w:fill="auto"/>
          </w:tcPr>
          <w:p w:rsidR="00F56F3A" w:rsidRPr="00AA6F74" w:rsidRDefault="00316ABF" w:rsidP="00F56F3A">
            <w:pPr>
              <w:rPr>
                <w:sz w:val="20"/>
                <w:szCs w:val="20"/>
                <w:lang w:val="fr-CA"/>
              </w:rPr>
            </w:pPr>
            <w:r w:rsidRPr="00AA6F74">
              <w:rPr>
                <w:b/>
                <w:sz w:val="20"/>
                <w:szCs w:val="20"/>
                <w:lang w:val="fr-CA"/>
              </w:rPr>
              <w:lastRenderedPageBreak/>
              <w:t>Noella Hébert</w:t>
            </w:r>
          </w:p>
          <w:p w:rsidR="00F56F3A" w:rsidRPr="00AA6F74" w:rsidRDefault="00F56F3A" w:rsidP="00F56F3A">
            <w:pPr>
              <w:tabs>
                <w:tab w:val="left" w:pos="-1440"/>
                <w:tab w:val="left" w:pos="-720"/>
              </w:tabs>
              <w:rPr>
                <w:sz w:val="20"/>
                <w:szCs w:val="20"/>
                <w:lang w:val="fr-CA"/>
              </w:rPr>
            </w:pPr>
            <w:r w:rsidRPr="00AA6F74">
              <w:rPr>
                <w:sz w:val="20"/>
                <w:szCs w:val="20"/>
                <w:lang w:val="fr-CA"/>
              </w:rPr>
              <w:tab/>
            </w:r>
            <w:r w:rsidR="00316ABF" w:rsidRPr="00AA6F74">
              <w:rPr>
                <w:sz w:val="20"/>
                <w:szCs w:val="20"/>
                <w:lang w:val="fr-CA"/>
              </w:rPr>
              <w:t>Tomkins, Alyssa</w:t>
            </w:r>
          </w:p>
          <w:p w:rsidR="00F56F3A" w:rsidRPr="00AA6F74" w:rsidRDefault="00F56F3A" w:rsidP="00F56F3A">
            <w:pPr>
              <w:tabs>
                <w:tab w:val="left" w:pos="-1440"/>
                <w:tab w:val="left" w:pos="-720"/>
              </w:tabs>
              <w:rPr>
                <w:sz w:val="20"/>
                <w:szCs w:val="20"/>
                <w:lang w:val="fr-CA"/>
              </w:rPr>
            </w:pPr>
            <w:r w:rsidRPr="00AA6F74">
              <w:rPr>
                <w:sz w:val="20"/>
                <w:szCs w:val="20"/>
                <w:lang w:val="fr-CA"/>
              </w:rPr>
              <w:tab/>
            </w:r>
            <w:r w:rsidR="00316ABF" w:rsidRPr="00AA6F74">
              <w:rPr>
                <w:sz w:val="20"/>
                <w:szCs w:val="20"/>
                <w:lang w:val="fr-CA"/>
              </w:rPr>
              <w:t>CazaSaikaley LLP</w:t>
            </w:r>
          </w:p>
          <w:p w:rsidR="00F56F3A" w:rsidRPr="00AA6F74" w:rsidRDefault="00F56F3A" w:rsidP="00F56F3A">
            <w:pPr>
              <w:tabs>
                <w:tab w:val="left" w:pos="-1440"/>
                <w:tab w:val="left" w:pos="-720"/>
              </w:tabs>
              <w:rPr>
                <w:sz w:val="20"/>
                <w:szCs w:val="20"/>
                <w:lang w:val="fr-CA"/>
              </w:rPr>
            </w:pPr>
          </w:p>
          <w:p w:rsidR="00F56F3A" w:rsidRPr="00AA6F74" w:rsidRDefault="00F56F3A" w:rsidP="00F56F3A">
            <w:pPr>
              <w:tabs>
                <w:tab w:val="left" w:pos="-1440"/>
                <w:tab w:val="left" w:pos="-720"/>
              </w:tabs>
              <w:rPr>
                <w:sz w:val="20"/>
                <w:szCs w:val="20"/>
                <w:lang w:val="en-US"/>
              </w:rPr>
            </w:pPr>
            <w:r w:rsidRPr="00AA6F74">
              <w:rPr>
                <w:sz w:val="20"/>
                <w:szCs w:val="20"/>
                <w:lang w:val="fr-CA"/>
              </w:rPr>
              <w:tab/>
            </w:r>
            <w:r w:rsidRPr="00AA6F74">
              <w:rPr>
                <w:sz w:val="20"/>
                <w:szCs w:val="20"/>
                <w:lang w:val="en-US"/>
              </w:rPr>
              <w:t>v. (39</w:t>
            </w:r>
            <w:r w:rsidR="00316ABF" w:rsidRPr="00AA6F74">
              <w:rPr>
                <w:sz w:val="20"/>
                <w:szCs w:val="20"/>
                <w:lang w:val="en-US"/>
              </w:rPr>
              <w:t>5</w:t>
            </w:r>
            <w:r w:rsidRPr="00AA6F74">
              <w:rPr>
                <w:sz w:val="20"/>
                <w:szCs w:val="20"/>
                <w:lang w:val="en-US"/>
              </w:rPr>
              <w:t>1</w:t>
            </w:r>
            <w:r w:rsidR="00316ABF" w:rsidRPr="00AA6F74">
              <w:rPr>
                <w:sz w:val="20"/>
                <w:szCs w:val="20"/>
                <w:lang w:val="en-US"/>
              </w:rPr>
              <w:t>8</w:t>
            </w:r>
            <w:r w:rsidRPr="00AA6F74">
              <w:rPr>
                <w:sz w:val="20"/>
                <w:szCs w:val="20"/>
                <w:lang w:val="en-US"/>
              </w:rPr>
              <w:t>)</w:t>
            </w:r>
          </w:p>
          <w:p w:rsidR="00F56F3A" w:rsidRPr="00AA6F74" w:rsidRDefault="00F56F3A" w:rsidP="00F56F3A">
            <w:pPr>
              <w:tabs>
                <w:tab w:val="left" w:pos="-1440"/>
                <w:tab w:val="left" w:pos="-720"/>
              </w:tabs>
              <w:rPr>
                <w:sz w:val="20"/>
                <w:szCs w:val="20"/>
                <w:lang w:val="en-US"/>
              </w:rPr>
            </w:pPr>
          </w:p>
          <w:p w:rsidR="00F56F3A" w:rsidRPr="00AA6F74" w:rsidRDefault="00316ABF" w:rsidP="00F56F3A">
            <w:pPr>
              <w:tabs>
                <w:tab w:val="left" w:pos="-1440"/>
                <w:tab w:val="left" w:pos="-720"/>
              </w:tabs>
              <w:rPr>
                <w:b/>
                <w:sz w:val="20"/>
                <w:szCs w:val="20"/>
                <w:lang w:val="en-US"/>
              </w:rPr>
            </w:pPr>
            <w:r w:rsidRPr="00AA6F74">
              <w:rPr>
                <w:b/>
                <w:sz w:val="20"/>
                <w:szCs w:val="20"/>
                <w:lang w:val="en-US"/>
              </w:rPr>
              <w:t>Bruce Wenham, et al.</w:t>
            </w:r>
            <w:r w:rsidR="00F56F3A" w:rsidRPr="00AA6F74">
              <w:rPr>
                <w:b/>
                <w:sz w:val="20"/>
                <w:szCs w:val="20"/>
                <w:lang w:val="en-US"/>
              </w:rPr>
              <w:t xml:space="preserve"> (</w:t>
            </w:r>
            <w:r w:rsidRPr="00AA6F74">
              <w:rPr>
                <w:b/>
                <w:sz w:val="20"/>
                <w:szCs w:val="20"/>
                <w:lang w:val="en-US"/>
              </w:rPr>
              <w:t>F.C</w:t>
            </w:r>
            <w:r w:rsidR="00F56F3A" w:rsidRPr="00AA6F74">
              <w:rPr>
                <w:b/>
                <w:sz w:val="20"/>
                <w:szCs w:val="20"/>
                <w:lang w:val="en-US"/>
              </w:rPr>
              <w:t>.)</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Rosenfeld, David</w:t>
            </w:r>
          </w:p>
          <w:p w:rsidR="00F56F3A" w:rsidRPr="00AA6F74" w:rsidRDefault="00F56F3A" w:rsidP="00F56F3A">
            <w:pPr>
              <w:tabs>
                <w:tab w:val="left" w:pos="-1440"/>
                <w:tab w:val="left" w:pos="-720"/>
              </w:tabs>
              <w:rPr>
                <w:sz w:val="20"/>
                <w:szCs w:val="20"/>
              </w:rPr>
            </w:pPr>
            <w:r w:rsidRPr="00AA6F74">
              <w:rPr>
                <w:sz w:val="20"/>
                <w:szCs w:val="20"/>
                <w:lang w:val="en-US"/>
              </w:rPr>
              <w:tab/>
            </w:r>
            <w:r w:rsidR="00316ABF" w:rsidRPr="00AA6F74">
              <w:rPr>
                <w:sz w:val="20"/>
                <w:szCs w:val="20"/>
              </w:rPr>
              <w:t>Koskie Minsky LLP</w:t>
            </w:r>
          </w:p>
          <w:p w:rsidR="00F56F3A" w:rsidRPr="00AA6F74" w:rsidRDefault="00F56F3A" w:rsidP="00F56F3A">
            <w:pPr>
              <w:tabs>
                <w:tab w:val="left" w:pos="-1440"/>
                <w:tab w:val="left" w:pos="-720"/>
              </w:tabs>
              <w:rPr>
                <w:sz w:val="20"/>
                <w:szCs w:val="20"/>
              </w:rPr>
            </w:pPr>
          </w:p>
          <w:p w:rsidR="00F56F3A" w:rsidRPr="00AA6F74" w:rsidRDefault="00F56F3A" w:rsidP="00F56F3A">
            <w:pPr>
              <w:rPr>
                <w:sz w:val="20"/>
                <w:szCs w:val="20"/>
              </w:rPr>
            </w:pPr>
            <w:r w:rsidRPr="00AA6F74">
              <w:rPr>
                <w:sz w:val="20"/>
                <w:szCs w:val="20"/>
              </w:rPr>
              <w:t xml:space="preserve">FILING DATE: January </w:t>
            </w:r>
            <w:r w:rsidR="00316ABF" w:rsidRPr="00AA6F74">
              <w:rPr>
                <w:sz w:val="20"/>
                <w:szCs w:val="20"/>
              </w:rPr>
              <w:t>7</w:t>
            </w:r>
            <w:r w:rsidRPr="00AA6F74">
              <w:rPr>
                <w:sz w:val="20"/>
                <w:szCs w:val="20"/>
              </w:rPr>
              <w:t>, 202</w:t>
            </w:r>
            <w:r w:rsidR="00316ABF" w:rsidRPr="00AA6F74">
              <w:rPr>
                <w:sz w:val="20"/>
                <w:szCs w:val="20"/>
              </w:rPr>
              <w:t>1</w:t>
            </w:r>
          </w:p>
          <w:p w:rsidR="00F56F3A" w:rsidRPr="00AA6F74" w:rsidRDefault="00F56F3A" w:rsidP="00F56F3A">
            <w:pPr>
              <w:rPr>
                <w:sz w:val="20"/>
                <w:szCs w:val="20"/>
              </w:rPr>
            </w:pPr>
          </w:p>
          <w:p w:rsidR="00F56F3A" w:rsidRPr="00AA6F74" w:rsidRDefault="002A25F4" w:rsidP="00F56F3A">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tc>
        <w:tc>
          <w:tcPr>
            <w:tcW w:w="4239" w:type="dxa"/>
            <w:shd w:val="clear" w:color="auto" w:fill="auto"/>
          </w:tcPr>
          <w:p w:rsidR="00F56F3A" w:rsidRPr="00AA6F74" w:rsidRDefault="00316ABF" w:rsidP="00F56F3A">
            <w:pPr>
              <w:rPr>
                <w:sz w:val="20"/>
                <w:szCs w:val="20"/>
                <w:lang w:val="en-US"/>
              </w:rPr>
            </w:pPr>
            <w:r w:rsidRPr="00AA6F74">
              <w:rPr>
                <w:b/>
                <w:sz w:val="20"/>
                <w:szCs w:val="20"/>
                <w:lang w:val="en-US"/>
              </w:rPr>
              <w:t>Harinderdeep Singh Brar</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Harinderdeep Singh Brar</w:t>
            </w:r>
          </w:p>
          <w:p w:rsidR="00F56F3A" w:rsidRPr="00AA6F74" w:rsidRDefault="00F56F3A" w:rsidP="00F56F3A">
            <w:pPr>
              <w:tabs>
                <w:tab w:val="left" w:pos="-1440"/>
                <w:tab w:val="left" w:pos="-720"/>
              </w:tabs>
              <w:rPr>
                <w:sz w:val="20"/>
                <w:szCs w:val="20"/>
                <w:lang w:val="en-US"/>
              </w:rPr>
            </w:pPr>
          </w:p>
          <w:p w:rsidR="00F56F3A" w:rsidRPr="00AA6F74" w:rsidRDefault="00316ABF" w:rsidP="00F56F3A">
            <w:pPr>
              <w:tabs>
                <w:tab w:val="left" w:pos="-1440"/>
                <w:tab w:val="left" w:pos="-720"/>
              </w:tabs>
              <w:rPr>
                <w:sz w:val="20"/>
                <w:szCs w:val="20"/>
                <w:lang w:val="en-US"/>
              </w:rPr>
            </w:pPr>
            <w:r w:rsidRPr="00AA6F74">
              <w:rPr>
                <w:sz w:val="20"/>
                <w:szCs w:val="20"/>
                <w:lang w:val="en-US"/>
              </w:rPr>
              <w:tab/>
              <w:t>v. (3</w:t>
            </w:r>
            <w:r w:rsidR="00F56F3A" w:rsidRPr="00AA6F74">
              <w:rPr>
                <w:sz w:val="20"/>
                <w:szCs w:val="20"/>
                <w:lang w:val="en-US"/>
              </w:rPr>
              <w:t>9</w:t>
            </w:r>
            <w:r w:rsidRPr="00AA6F74">
              <w:rPr>
                <w:sz w:val="20"/>
                <w:szCs w:val="20"/>
                <w:lang w:val="en-US"/>
              </w:rPr>
              <w:t>5</w:t>
            </w:r>
            <w:r w:rsidR="00F56F3A" w:rsidRPr="00AA6F74">
              <w:rPr>
                <w:sz w:val="20"/>
                <w:szCs w:val="20"/>
                <w:lang w:val="en-US"/>
              </w:rPr>
              <w:t>1</w:t>
            </w:r>
            <w:r w:rsidRPr="00AA6F74">
              <w:rPr>
                <w:sz w:val="20"/>
                <w:szCs w:val="20"/>
                <w:lang w:val="en-US"/>
              </w:rPr>
              <w:t>9</w:t>
            </w:r>
            <w:r w:rsidR="00F56F3A" w:rsidRPr="00AA6F74">
              <w:rPr>
                <w:sz w:val="20"/>
                <w:szCs w:val="20"/>
                <w:lang w:val="en-US"/>
              </w:rPr>
              <w:t>)</w:t>
            </w:r>
          </w:p>
          <w:p w:rsidR="00F56F3A" w:rsidRPr="00AA6F74" w:rsidRDefault="00F56F3A" w:rsidP="00F56F3A">
            <w:pPr>
              <w:tabs>
                <w:tab w:val="left" w:pos="-1440"/>
                <w:tab w:val="left" w:pos="-720"/>
              </w:tabs>
              <w:rPr>
                <w:sz w:val="20"/>
                <w:szCs w:val="20"/>
                <w:lang w:val="en-US"/>
              </w:rPr>
            </w:pPr>
          </w:p>
          <w:p w:rsidR="00F56F3A" w:rsidRPr="00AA6F74" w:rsidRDefault="00316ABF" w:rsidP="00F56F3A">
            <w:pPr>
              <w:tabs>
                <w:tab w:val="left" w:pos="-1440"/>
                <w:tab w:val="left" w:pos="-720"/>
              </w:tabs>
              <w:rPr>
                <w:b/>
                <w:sz w:val="20"/>
                <w:szCs w:val="20"/>
                <w:lang w:val="en-US"/>
              </w:rPr>
            </w:pPr>
            <w:r w:rsidRPr="00AA6F74">
              <w:rPr>
                <w:b/>
                <w:sz w:val="20"/>
                <w:szCs w:val="20"/>
                <w:lang w:val="en-US"/>
              </w:rPr>
              <w:t>Her Majesty the Queen</w:t>
            </w:r>
            <w:r w:rsidR="00F56F3A" w:rsidRPr="00AA6F74">
              <w:rPr>
                <w:b/>
                <w:sz w:val="20"/>
                <w:szCs w:val="20"/>
                <w:lang w:val="en-US"/>
              </w:rPr>
              <w:t xml:space="preserve"> (</w:t>
            </w:r>
            <w:r w:rsidRPr="00AA6F74">
              <w:rPr>
                <w:b/>
                <w:sz w:val="20"/>
                <w:szCs w:val="20"/>
                <w:lang w:val="en-US"/>
              </w:rPr>
              <w:t>Alta</w:t>
            </w:r>
            <w:r w:rsidR="00F56F3A" w:rsidRPr="00AA6F74">
              <w:rPr>
                <w:b/>
                <w:sz w:val="20"/>
                <w:szCs w:val="20"/>
                <w:lang w:val="en-US"/>
              </w:rPr>
              <w:t>.)</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Griener, Matthew W.</w:t>
            </w:r>
          </w:p>
          <w:p w:rsidR="00F56F3A" w:rsidRPr="00AA6F74" w:rsidRDefault="00F56F3A" w:rsidP="00F56F3A">
            <w:pPr>
              <w:tabs>
                <w:tab w:val="left" w:pos="-1440"/>
                <w:tab w:val="left" w:pos="-720"/>
              </w:tabs>
              <w:rPr>
                <w:sz w:val="20"/>
                <w:szCs w:val="20"/>
              </w:rPr>
            </w:pPr>
            <w:r w:rsidRPr="00AA6F74">
              <w:rPr>
                <w:sz w:val="20"/>
                <w:szCs w:val="20"/>
                <w:lang w:val="en-US"/>
              </w:rPr>
              <w:tab/>
            </w:r>
            <w:r w:rsidR="00316ABF" w:rsidRPr="00AA6F74">
              <w:rPr>
                <w:sz w:val="20"/>
                <w:szCs w:val="20"/>
              </w:rPr>
              <w:t>Attorney General of Alberta</w:t>
            </w:r>
          </w:p>
          <w:p w:rsidR="00F56F3A" w:rsidRPr="00AA6F74" w:rsidRDefault="00F56F3A" w:rsidP="00F56F3A">
            <w:pPr>
              <w:tabs>
                <w:tab w:val="left" w:pos="-1440"/>
                <w:tab w:val="left" w:pos="-720"/>
              </w:tabs>
              <w:rPr>
                <w:sz w:val="20"/>
                <w:szCs w:val="20"/>
              </w:rPr>
            </w:pPr>
          </w:p>
          <w:p w:rsidR="00F56F3A" w:rsidRPr="00AA6F74" w:rsidRDefault="00F56F3A" w:rsidP="00F56F3A">
            <w:pPr>
              <w:rPr>
                <w:sz w:val="20"/>
                <w:szCs w:val="20"/>
              </w:rPr>
            </w:pPr>
            <w:r w:rsidRPr="00AA6F74">
              <w:rPr>
                <w:sz w:val="20"/>
                <w:szCs w:val="20"/>
              </w:rPr>
              <w:t xml:space="preserve">FILING DATE: January </w:t>
            </w:r>
            <w:r w:rsidR="00316ABF" w:rsidRPr="00AA6F74">
              <w:rPr>
                <w:sz w:val="20"/>
                <w:szCs w:val="20"/>
              </w:rPr>
              <w:t>8</w:t>
            </w:r>
            <w:r w:rsidRPr="00AA6F74">
              <w:rPr>
                <w:sz w:val="20"/>
                <w:szCs w:val="20"/>
              </w:rPr>
              <w:t>, 202</w:t>
            </w:r>
            <w:r w:rsidR="00316ABF" w:rsidRPr="00AA6F74">
              <w:rPr>
                <w:sz w:val="20"/>
                <w:szCs w:val="20"/>
              </w:rPr>
              <w:t>1</w:t>
            </w:r>
          </w:p>
          <w:p w:rsidR="00F56F3A" w:rsidRPr="00AA6F74" w:rsidRDefault="00F56F3A" w:rsidP="00F56F3A">
            <w:pPr>
              <w:rPr>
                <w:sz w:val="20"/>
                <w:szCs w:val="20"/>
              </w:rPr>
            </w:pPr>
          </w:p>
          <w:p w:rsidR="00F56F3A" w:rsidRPr="00AA6F74" w:rsidRDefault="002A25F4" w:rsidP="00F56F3A">
            <w:pPr>
              <w:rPr>
                <w:b/>
                <w:sz w:val="20"/>
                <w:szCs w:val="20"/>
                <w:lang w:val="fr-CA"/>
              </w:rPr>
            </w:pPr>
            <w:r>
              <w:rPr>
                <w:sz w:val="20"/>
                <w:szCs w:val="20"/>
                <w:lang w:val="fr-CA"/>
              </w:rPr>
              <w:pict>
                <v:rect id="_x0000_i1032" style="width:108pt;height:1pt" o:hrpct="0" o:hrstd="t" o:hrnoshade="t" o:hr="t" fillcolor="black [3213]" stroked="f"/>
              </w:pict>
            </w:r>
          </w:p>
        </w:tc>
      </w:tr>
      <w:tr w:rsidR="00F56F3A" w:rsidRPr="00AA6F74" w:rsidTr="00F138C1">
        <w:tc>
          <w:tcPr>
            <w:tcW w:w="4239" w:type="dxa"/>
            <w:shd w:val="clear" w:color="auto" w:fill="auto"/>
          </w:tcPr>
          <w:p w:rsidR="00F56F3A" w:rsidRPr="00AA6F74" w:rsidRDefault="00316ABF" w:rsidP="00F56F3A">
            <w:pPr>
              <w:rPr>
                <w:sz w:val="20"/>
                <w:szCs w:val="20"/>
                <w:lang w:val="en-US"/>
              </w:rPr>
            </w:pPr>
            <w:r w:rsidRPr="00AA6F74">
              <w:rPr>
                <w:b/>
                <w:sz w:val="20"/>
                <w:szCs w:val="20"/>
                <w:lang w:val="en-US"/>
              </w:rPr>
              <w:t>BridgeMark Financial Corp., et al.</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Sullivan, Patrick</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Whitelaw Twining Law Corporation</w:t>
            </w:r>
          </w:p>
          <w:p w:rsidR="00F56F3A" w:rsidRPr="00AA6F74" w:rsidRDefault="00F56F3A" w:rsidP="00F56F3A">
            <w:pPr>
              <w:tabs>
                <w:tab w:val="left" w:pos="-1440"/>
                <w:tab w:val="left" w:pos="-720"/>
              </w:tabs>
              <w:rPr>
                <w:sz w:val="20"/>
                <w:szCs w:val="20"/>
                <w:lang w:val="en-US"/>
              </w:rPr>
            </w:pPr>
          </w:p>
          <w:p w:rsidR="00F56F3A" w:rsidRPr="00AA6F74" w:rsidRDefault="00F56F3A" w:rsidP="00F56F3A">
            <w:pPr>
              <w:tabs>
                <w:tab w:val="left" w:pos="-1440"/>
                <w:tab w:val="left" w:pos="-720"/>
              </w:tabs>
              <w:rPr>
                <w:sz w:val="20"/>
                <w:szCs w:val="20"/>
                <w:lang w:val="en-US"/>
              </w:rPr>
            </w:pPr>
            <w:r w:rsidRPr="00AA6F74">
              <w:rPr>
                <w:sz w:val="20"/>
                <w:szCs w:val="20"/>
                <w:lang w:val="en-US"/>
              </w:rPr>
              <w:tab/>
              <w:t>v. (39</w:t>
            </w:r>
            <w:r w:rsidR="00316ABF" w:rsidRPr="00AA6F74">
              <w:rPr>
                <w:sz w:val="20"/>
                <w:szCs w:val="20"/>
                <w:lang w:val="en-US"/>
              </w:rPr>
              <w:t>520</w:t>
            </w:r>
            <w:r w:rsidRPr="00AA6F74">
              <w:rPr>
                <w:sz w:val="20"/>
                <w:szCs w:val="20"/>
                <w:lang w:val="en-US"/>
              </w:rPr>
              <w:t>)</w:t>
            </w:r>
          </w:p>
          <w:p w:rsidR="00F56F3A" w:rsidRPr="00AA6F74" w:rsidRDefault="00F56F3A" w:rsidP="00F56F3A">
            <w:pPr>
              <w:tabs>
                <w:tab w:val="left" w:pos="-1440"/>
                <w:tab w:val="left" w:pos="-720"/>
              </w:tabs>
              <w:rPr>
                <w:sz w:val="20"/>
                <w:szCs w:val="20"/>
                <w:lang w:val="en-US"/>
              </w:rPr>
            </w:pPr>
          </w:p>
          <w:p w:rsidR="00F56F3A" w:rsidRPr="00AA6F74" w:rsidRDefault="00316ABF" w:rsidP="00F56F3A">
            <w:pPr>
              <w:tabs>
                <w:tab w:val="left" w:pos="-1440"/>
                <w:tab w:val="left" w:pos="-720"/>
              </w:tabs>
              <w:rPr>
                <w:b/>
                <w:sz w:val="20"/>
                <w:szCs w:val="20"/>
                <w:lang w:val="en-US"/>
              </w:rPr>
            </w:pPr>
            <w:r w:rsidRPr="00AA6F74">
              <w:rPr>
                <w:b/>
                <w:sz w:val="20"/>
                <w:szCs w:val="20"/>
                <w:lang w:val="en-US"/>
              </w:rPr>
              <w:t>British Columbia Securities Commission, et al.</w:t>
            </w:r>
            <w:r w:rsidR="00F56F3A" w:rsidRPr="00AA6F74">
              <w:rPr>
                <w:b/>
                <w:sz w:val="20"/>
                <w:szCs w:val="20"/>
                <w:lang w:val="en-US"/>
              </w:rPr>
              <w:t xml:space="preserve"> (</w:t>
            </w:r>
            <w:r w:rsidRPr="00AA6F74">
              <w:rPr>
                <w:b/>
                <w:sz w:val="20"/>
                <w:szCs w:val="20"/>
                <w:lang w:val="en-US"/>
              </w:rPr>
              <w:t>B.C</w:t>
            </w:r>
            <w:r w:rsidR="00F56F3A" w:rsidRPr="00AA6F74">
              <w:rPr>
                <w:b/>
                <w:sz w:val="20"/>
                <w:szCs w:val="20"/>
                <w:lang w:val="en-US"/>
              </w:rPr>
              <w:t>.)</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Zolnay, Stephen M.</w:t>
            </w:r>
          </w:p>
          <w:p w:rsidR="00F56F3A" w:rsidRPr="00AA6F74" w:rsidRDefault="00F56F3A" w:rsidP="00F56F3A">
            <w:pPr>
              <w:tabs>
                <w:tab w:val="left" w:pos="-1440"/>
                <w:tab w:val="left" w:pos="-720"/>
              </w:tabs>
              <w:rPr>
                <w:sz w:val="20"/>
                <w:szCs w:val="20"/>
              </w:rPr>
            </w:pPr>
            <w:r w:rsidRPr="00AA6F74">
              <w:rPr>
                <w:sz w:val="20"/>
                <w:szCs w:val="20"/>
                <w:lang w:val="en-US"/>
              </w:rPr>
              <w:tab/>
            </w:r>
            <w:r w:rsidR="00316ABF" w:rsidRPr="00AA6F74">
              <w:rPr>
                <w:sz w:val="20"/>
                <w:szCs w:val="20"/>
              </w:rPr>
              <w:t>British Columbia Securities Commission</w:t>
            </w:r>
          </w:p>
          <w:p w:rsidR="00F56F3A" w:rsidRPr="00AA6F74" w:rsidRDefault="00F56F3A" w:rsidP="00F56F3A">
            <w:pPr>
              <w:tabs>
                <w:tab w:val="left" w:pos="-1440"/>
                <w:tab w:val="left" w:pos="-720"/>
              </w:tabs>
              <w:rPr>
                <w:sz w:val="20"/>
                <w:szCs w:val="20"/>
              </w:rPr>
            </w:pPr>
          </w:p>
          <w:p w:rsidR="00F56F3A" w:rsidRPr="00AA6F74" w:rsidRDefault="00F56F3A" w:rsidP="00F56F3A">
            <w:pPr>
              <w:rPr>
                <w:sz w:val="20"/>
                <w:szCs w:val="20"/>
              </w:rPr>
            </w:pPr>
            <w:r w:rsidRPr="00AA6F74">
              <w:rPr>
                <w:sz w:val="20"/>
                <w:szCs w:val="20"/>
              </w:rPr>
              <w:t xml:space="preserve">FILING DATE: January </w:t>
            </w:r>
            <w:r w:rsidR="00316ABF" w:rsidRPr="00AA6F74">
              <w:rPr>
                <w:sz w:val="20"/>
                <w:szCs w:val="20"/>
              </w:rPr>
              <w:t>8</w:t>
            </w:r>
            <w:r w:rsidRPr="00AA6F74">
              <w:rPr>
                <w:sz w:val="20"/>
                <w:szCs w:val="20"/>
              </w:rPr>
              <w:t>, 202</w:t>
            </w:r>
            <w:r w:rsidR="00316ABF" w:rsidRPr="00AA6F74">
              <w:rPr>
                <w:sz w:val="20"/>
                <w:szCs w:val="20"/>
              </w:rPr>
              <w:t>1</w:t>
            </w:r>
          </w:p>
          <w:p w:rsidR="00F56F3A" w:rsidRPr="00AA6F74" w:rsidRDefault="00F56F3A" w:rsidP="00F56F3A">
            <w:pPr>
              <w:rPr>
                <w:sz w:val="20"/>
                <w:szCs w:val="20"/>
              </w:rPr>
            </w:pPr>
          </w:p>
          <w:p w:rsidR="00F56F3A" w:rsidRPr="00AA6F74" w:rsidRDefault="002A25F4" w:rsidP="00F56F3A">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316ABF" w:rsidRPr="00AA6F74" w:rsidRDefault="00316ABF"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316ABF" w:rsidRPr="00AA6F74" w:rsidRDefault="00316ABF"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tc>
        <w:tc>
          <w:tcPr>
            <w:tcW w:w="4239" w:type="dxa"/>
            <w:shd w:val="clear" w:color="auto" w:fill="auto"/>
          </w:tcPr>
          <w:p w:rsidR="00F56F3A" w:rsidRPr="00AA6F74" w:rsidRDefault="00316ABF" w:rsidP="00F56F3A">
            <w:pPr>
              <w:rPr>
                <w:sz w:val="20"/>
                <w:szCs w:val="20"/>
                <w:lang w:val="en-US"/>
              </w:rPr>
            </w:pPr>
            <w:r w:rsidRPr="00AA6F74">
              <w:rPr>
                <w:b/>
                <w:sz w:val="20"/>
                <w:szCs w:val="20"/>
                <w:lang w:val="en-US"/>
              </w:rPr>
              <w:t>Mohd Ali Hirji, also known as Mohamedali Hirji Mohamed Lalani, et al.</w:t>
            </w:r>
          </w:p>
          <w:p w:rsidR="00316ABF" w:rsidRPr="00AA6F74" w:rsidRDefault="00F56F3A" w:rsidP="00F56F3A">
            <w:pPr>
              <w:tabs>
                <w:tab w:val="left" w:pos="-1440"/>
                <w:tab w:val="left" w:pos="-720"/>
              </w:tabs>
              <w:rPr>
                <w:sz w:val="20"/>
                <w:szCs w:val="20"/>
                <w:lang w:val="en-US"/>
              </w:rPr>
            </w:pPr>
            <w:r w:rsidRPr="00AA6F74">
              <w:rPr>
                <w:sz w:val="20"/>
                <w:szCs w:val="20"/>
                <w:lang w:val="en-US"/>
              </w:rPr>
              <w:tab/>
            </w:r>
            <w:r w:rsidR="00316ABF" w:rsidRPr="00AA6F74">
              <w:rPr>
                <w:sz w:val="20"/>
                <w:szCs w:val="20"/>
                <w:lang w:val="en-US"/>
              </w:rPr>
              <w:t xml:space="preserve">Mohd Ali Hirji, also known as </w:t>
            </w:r>
          </w:p>
          <w:p w:rsidR="00316ABF" w:rsidRPr="00AA6F74" w:rsidRDefault="00316ABF" w:rsidP="00F56F3A">
            <w:pPr>
              <w:tabs>
                <w:tab w:val="left" w:pos="-1440"/>
                <w:tab w:val="left" w:pos="-720"/>
              </w:tabs>
              <w:rPr>
                <w:sz w:val="20"/>
                <w:szCs w:val="20"/>
                <w:lang w:val="en-US"/>
              </w:rPr>
            </w:pPr>
            <w:r w:rsidRPr="00AA6F74">
              <w:rPr>
                <w:sz w:val="20"/>
                <w:szCs w:val="20"/>
                <w:lang w:val="en-US"/>
              </w:rPr>
              <w:tab/>
              <w:t xml:space="preserve">Mohamedali Hirji Mohamed Lalani, et </w:t>
            </w:r>
          </w:p>
          <w:p w:rsidR="00F56F3A" w:rsidRPr="00AA6F74" w:rsidRDefault="00316ABF" w:rsidP="00F56F3A">
            <w:pPr>
              <w:tabs>
                <w:tab w:val="left" w:pos="-1440"/>
                <w:tab w:val="left" w:pos="-720"/>
              </w:tabs>
              <w:rPr>
                <w:sz w:val="20"/>
                <w:szCs w:val="20"/>
                <w:lang w:val="en-US"/>
              </w:rPr>
            </w:pPr>
            <w:r w:rsidRPr="00AA6F74">
              <w:rPr>
                <w:sz w:val="20"/>
                <w:szCs w:val="20"/>
                <w:lang w:val="en-US"/>
              </w:rPr>
              <w:tab/>
              <w:t>al.</w:t>
            </w:r>
          </w:p>
          <w:p w:rsidR="00F56F3A" w:rsidRPr="00AA6F74" w:rsidRDefault="00F56F3A" w:rsidP="00F56F3A">
            <w:pPr>
              <w:tabs>
                <w:tab w:val="left" w:pos="-1440"/>
                <w:tab w:val="left" w:pos="-720"/>
              </w:tabs>
              <w:rPr>
                <w:sz w:val="20"/>
                <w:szCs w:val="20"/>
                <w:lang w:val="en-US"/>
              </w:rPr>
            </w:pPr>
          </w:p>
          <w:p w:rsidR="00F56F3A" w:rsidRPr="00AA6F74" w:rsidRDefault="00F56F3A" w:rsidP="00F56F3A">
            <w:pPr>
              <w:tabs>
                <w:tab w:val="left" w:pos="-1440"/>
                <w:tab w:val="left" w:pos="-720"/>
              </w:tabs>
              <w:rPr>
                <w:sz w:val="20"/>
                <w:szCs w:val="20"/>
                <w:lang w:val="en-US"/>
              </w:rPr>
            </w:pPr>
            <w:r w:rsidRPr="00AA6F74">
              <w:rPr>
                <w:sz w:val="20"/>
                <w:szCs w:val="20"/>
                <w:lang w:val="en-US"/>
              </w:rPr>
              <w:tab/>
              <w:t>v. (3</w:t>
            </w:r>
            <w:r w:rsidR="00316ABF" w:rsidRPr="00AA6F74">
              <w:rPr>
                <w:sz w:val="20"/>
                <w:szCs w:val="20"/>
                <w:lang w:val="en-US"/>
              </w:rPr>
              <w:t>7</w:t>
            </w:r>
            <w:r w:rsidRPr="00AA6F74">
              <w:rPr>
                <w:sz w:val="20"/>
                <w:szCs w:val="20"/>
                <w:lang w:val="en-US"/>
              </w:rPr>
              <w:t>4</w:t>
            </w:r>
            <w:r w:rsidR="00316ABF" w:rsidRPr="00AA6F74">
              <w:rPr>
                <w:sz w:val="20"/>
                <w:szCs w:val="20"/>
                <w:lang w:val="en-US"/>
              </w:rPr>
              <w:t>20</w:t>
            </w:r>
            <w:r w:rsidRPr="00AA6F74">
              <w:rPr>
                <w:sz w:val="20"/>
                <w:szCs w:val="20"/>
                <w:lang w:val="en-US"/>
              </w:rPr>
              <w:t>)</w:t>
            </w:r>
          </w:p>
          <w:p w:rsidR="00F56F3A" w:rsidRPr="00AA6F74" w:rsidRDefault="00F56F3A" w:rsidP="00F56F3A">
            <w:pPr>
              <w:tabs>
                <w:tab w:val="left" w:pos="-1440"/>
                <w:tab w:val="left" w:pos="-720"/>
              </w:tabs>
              <w:rPr>
                <w:sz w:val="20"/>
                <w:szCs w:val="20"/>
                <w:lang w:val="en-US"/>
              </w:rPr>
            </w:pPr>
          </w:p>
          <w:p w:rsidR="00F56F3A" w:rsidRPr="00AA6F74" w:rsidRDefault="00316ABF" w:rsidP="00F56F3A">
            <w:pPr>
              <w:tabs>
                <w:tab w:val="left" w:pos="-1440"/>
                <w:tab w:val="left" w:pos="-720"/>
              </w:tabs>
              <w:rPr>
                <w:b/>
                <w:sz w:val="20"/>
                <w:szCs w:val="20"/>
                <w:lang w:val="en-US"/>
              </w:rPr>
            </w:pPr>
            <w:r w:rsidRPr="00AA6F74">
              <w:rPr>
                <w:b/>
                <w:sz w:val="20"/>
                <w:szCs w:val="20"/>
                <w:lang w:val="en-US"/>
              </w:rPr>
              <w:t>Owners Strata Corporation Plan VR 44</w:t>
            </w:r>
            <w:r w:rsidR="00F56F3A" w:rsidRPr="00AA6F74">
              <w:rPr>
                <w:b/>
                <w:sz w:val="20"/>
                <w:szCs w:val="20"/>
                <w:lang w:val="en-US"/>
              </w:rPr>
              <w:t xml:space="preserve"> (</w:t>
            </w:r>
            <w:r w:rsidRPr="00AA6F74">
              <w:rPr>
                <w:b/>
                <w:sz w:val="20"/>
                <w:szCs w:val="20"/>
                <w:lang w:val="en-US"/>
              </w:rPr>
              <w:t>B.C</w:t>
            </w:r>
            <w:r w:rsidR="00F56F3A" w:rsidRPr="00AA6F74">
              <w:rPr>
                <w:b/>
                <w:sz w:val="20"/>
                <w:szCs w:val="20"/>
                <w:lang w:val="en-US"/>
              </w:rPr>
              <w:t>.)</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7711B0" w:rsidRPr="00AA6F74">
              <w:rPr>
                <w:sz w:val="20"/>
                <w:szCs w:val="20"/>
                <w:lang w:val="en-US"/>
              </w:rPr>
              <w:t>Shaw, Ryan</w:t>
            </w:r>
          </w:p>
          <w:p w:rsidR="00F56F3A" w:rsidRPr="00AA6F74" w:rsidRDefault="00F56F3A" w:rsidP="00F56F3A">
            <w:pPr>
              <w:tabs>
                <w:tab w:val="left" w:pos="-1440"/>
                <w:tab w:val="left" w:pos="-720"/>
              </w:tabs>
              <w:rPr>
                <w:sz w:val="20"/>
                <w:szCs w:val="20"/>
              </w:rPr>
            </w:pPr>
            <w:r w:rsidRPr="00AA6F74">
              <w:rPr>
                <w:sz w:val="20"/>
                <w:szCs w:val="20"/>
                <w:lang w:val="en-US"/>
              </w:rPr>
              <w:tab/>
            </w:r>
            <w:r w:rsidR="007711B0" w:rsidRPr="00AA6F74">
              <w:rPr>
                <w:sz w:val="20"/>
                <w:szCs w:val="20"/>
              </w:rPr>
              <w:t>Richards Buell Sutton</w:t>
            </w:r>
          </w:p>
          <w:p w:rsidR="00F56F3A" w:rsidRPr="00AA6F74" w:rsidRDefault="00F56F3A" w:rsidP="00F56F3A">
            <w:pPr>
              <w:tabs>
                <w:tab w:val="left" w:pos="-1440"/>
                <w:tab w:val="left" w:pos="-720"/>
              </w:tabs>
              <w:rPr>
                <w:sz w:val="20"/>
                <w:szCs w:val="20"/>
              </w:rPr>
            </w:pPr>
          </w:p>
          <w:p w:rsidR="00F56F3A" w:rsidRPr="00AA6F74" w:rsidRDefault="00F56F3A" w:rsidP="00F56F3A">
            <w:pPr>
              <w:rPr>
                <w:sz w:val="20"/>
                <w:szCs w:val="20"/>
              </w:rPr>
            </w:pPr>
            <w:r w:rsidRPr="00AA6F74">
              <w:rPr>
                <w:sz w:val="20"/>
                <w:szCs w:val="20"/>
              </w:rPr>
              <w:t xml:space="preserve">FILING DATE: January </w:t>
            </w:r>
            <w:r w:rsidR="00316ABF" w:rsidRPr="00AA6F74">
              <w:rPr>
                <w:sz w:val="20"/>
                <w:szCs w:val="20"/>
              </w:rPr>
              <w:t>2</w:t>
            </w:r>
            <w:r w:rsidRPr="00AA6F74">
              <w:rPr>
                <w:sz w:val="20"/>
                <w:szCs w:val="20"/>
              </w:rPr>
              <w:t>6, 20</w:t>
            </w:r>
            <w:r w:rsidR="00316ABF" w:rsidRPr="00AA6F74">
              <w:rPr>
                <w:sz w:val="20"/>
                <w:szCs w:val="20"/>
              </w:rPr>
              <w:t>17</w:t>
            </w:r>
          </w:p>
          <w:p w:rsidR="00F56F3A" w:rsidRPr="00AA6F74" w:rsidRDefault="00F56F3A" w:rsidP="00F56F3A">
            <w:pPr>
              <w:rPr>
                <w:sz w:val="20"/>
                <w:szCs w:val="20"/>
              </w:rPr>
            </w:pPr>
          </w:p>
          <w:p w:rsidR="00F56F3A" w:rsidRPr="00AA6F74" w:rsidRDefault="002A25F4" w:rsidP="00F56F3A">
            <w:pPr>
              <w:rPr>
                <w:b/>
                <w:sz w:val="20"/>
                <w:szCs w:val="20"/>
                <w:lang w:val="en-US"/>
              </w:rPr>
            </w:pPr>
            <w:r>
              <w:rPr>
                <w:sz w:val="20"/>
                <w:szCs w:val="20"/>
                <w:lang w:val="fr-CA"/>
              </w:rPr>
              <w:pict>
                <v:rect id="_x0000_i1034" style="width:108pt;height:1pt" o:hrpct="0" o:hrstd="t" o:hrnoshade="t" o:hr="t" fillcolor="black [3213]" stroked="f"/>
              </w:pict>
            </w:r>
          </w:p>
        </w:tc>
      </w:tr>
      <w:tr w:rsidR="00F56F3A" w:rsidRPr="00AA6F74" w:rsidTr="00F138C1">
        <w:tc>
          <w:tcPr>
            <w:tcW w:w="4239" w:type="dxa"/>
            <w:shd w:val="clear" w:color="auto" w:fill="auto"/>
          </w:tcPr>
          <w:p w:rsidR="00F56F3A" w:rsidRPr="00AA6F74" w:rsidRDefault="007711B0" w:rsidP="00F56F3A">
            <w:pPr>
              <w:rPr>
                <w:sz w:val="20"/>
                <w:szCs w:val="20"/>
              </w:rPr>
            </w:pPr>
            <w:r w:rsidRPr="00AA6F74">
              <w:rPr>
                <w:b/>
                <w:sz w:val="20"/>
                <w:szCs w:val="20"/>
              </w:rPr>
              <w:t>0799701 B.C. Ltd., et al.</w:t>
            </w:r>
          </w:p>
          <w:p w:rsidR="00F56F3A" w:rsidRPr="00AA6F74" w:rsidRDefault="00F56F3A" w:rsidP="00F56F3A">
            <w:pPr>
              <w:tabs>
                <w:tab w:val="left" w:pos="-1440"/>
                <w:tab w:val="left" w:pos="-720"/>
              </w:tabs>
              <w:rPr>
                <w:sz w:val="20"/>
                <w:szCs w:val="20"/>
              </w:rPr>
            </w:pPr>
            <w:r w:rsidRPr="00AA6F74">
              <w:rPr>
                <w:sz w:val="20"/>
                <w:szCs w:val="20"/>
              </w:rPr>
              <w:tab/>
            </w:r>
            <w:r w:rsidR="007711B0" w:rsidRPr="00AA6F74">
              <w:rPr>
                <w:sz w:val="20"/>
                <w:szCs w:val="20"/>
              </w:rPr>
              <w:t>Allen, Greg J.</w:t>
            </w:r>
          </w:p>
          <w:p w:rsidR="00F56F3A" w:rsidRPr="00AA6F74" w:rsidRDefault="00F56F3A" w:rsidP="00F56F3A">
            <w:pPr>
              <w:tabs>
                <w:tab w:val="left" w:pos="-1440"/>
                <w:tab w:val="left" w:pos="-720"/>
              </w:tabs>
              <w:rPr>
                <w:sz w:val="20"/>
                <w:szCs w:val="20"/>
                <w:lang w:val="en-US"/>
              </w:rPr>
            </w:pPr>
            <w:r w:rsidRPr="00AA6F74">
              <w:rPr>
                <w:sz w:val="20"/>
                <w:szCs w:val="20"/>
              </w:rPr>
              <w:tab/>
            </w:r>
            <w:r w:rsidR="007711B0" w:rsidRPr="00AA6F74">
              <w:rPr>
                <w:sz w:val="20"/>
                <w:szCs w:val="20"/>
                <w:lang w:val="en-US"/>
              </w:rPr>
              <w:t>Allen/McMillan Litigation Counsel</w:t>
            </w:r>
          </w:p>
          <w:p w:rsidR="00F56F3A" w:rsidRPr="00AA6F74" w:rsidRDefault="00F56F3A" w:rsidP="00F56F3A">
            <w:pPr>
              <w:tabs>
                <w:tab w:val="left" w:pos="-1440"/>
                <w:tab w:val="left" w:pos="-720"/>
              </w:tabs>
              <w:rPr>
                <w:sz w:val="20"/>
                <w:szCs w:val="20"/>
                <w:lang w:val="en-US"/>
              </w:rPr>
            </w:pPr>
          </w:p>
          <w:p w:rsidR="00F56F3A" w:rsidRPr="00AA6F74" w:rsidRDefault="00F56F3A" w:rsidP="00F56F3A">
            <w:pPr>
              <w:tabs>
                <w:tab w:val="left" w:pos="-1440"/>
                <w:tab w:val="left" w:pos="-720"/>
              </w:tabs>
              <w:rPr>
                <w:sz w:val="20"/>
                <w:szCs w:val="20"/>
                <w:lang w:val="en-US"/>
              </w:rPr>
            </w:pPr>
            <w:r w:rsidRPr="00AA6F74">
              <w:rPr>
                <w:sz w:val="20"/>
                <w:szCs w:val="20"/>
                <w:lang w:val="en-US"/>
              </w:rPr>
              <w:tab/>
              <w:t>v. (3941</w:t>
            </w:r>
            <w:r w:rsidR="007711B0" w:rsidRPr="00AA6F74">
              <w:rPr>
                <w:sz w:val="20"/>
                <w:szCs w:val="20"/>
                <w:lang w:val="en-US"/>
              </w:rPr>
              <w:t>9</w:t>
            </w:r>
            <w:r w:rsidRPr="00AA6F74">
              <w:rPr>
                <w:sz w:val="20"/>
                <w:szCs w:val="20"/>
                <w:lang w:val="en-US"/>
              </w:rPr>
              <w:t>)</w:t>
            </w:r>
          </w:p>
          <w:p w:rsidR="00F56F3A" w:rsidRPr="00AA6F74" w:rsidRDefault="00F56F3A" w:rsidP="00F56F3A">
            <w:pPr>
              <w:tabs>
                <w:tab w:val="left" w:pos="-1440"/>
                <w:tab w:val="left" w:pos="-720"/>
              </w:tabs>
              <w:rPr>
                <w:sz w:val="20"/>
                <w:szCs w:val="20"/>
                <w:lang w:val="en-US"/>
              </w:rPr>
            </w:pPr>
          </w:p>
          <w:p w:rsidR="00F56F3A" w:rsidRPr="00AA6F74" w:rsidRDefault="007711B0" w:rsidP="00F56F3A">
            <w:pPr>
              <w:tabs>
                <w:tab w:val="left" w:pos="-1440"/>
                <w:tab w:val="left" w:pos="-720"/>
              </w:tabs>
              <w:rPr>
                <w:b/>
                <w:sz w:val="20"/>
                <w:szCs w:val="20"/>
                <w:lang w:val="en-US"/>
              </w:rPr>
            </w:pPr>
            <w:r w:rsidRPr="00AA6F74">
              <w:rPr>
                <w:b/>
                <w:sz w:val="20"/>
                <w:szCs w:val="20"/>
                <w:lang w:val="en-US"/>
              </w:rPr>
              <w:t xml:space="preserve">Canex Investment Corporation, et al. </w:t>
            </w:r>
            <w:r w:rsidR="00F56F3A" w:rsidRPr="00AA6F74">
              <w:rPr>
                <w:b/>
                <w:sz w:val="20"/>
                <w:szCs w:val="20"/>
                <w:lang w:val="en-US"/>
              </w:rPr>
              <w:t>(</w:t>
            </w:r>
            <w:r w:rsidRPr="00AA6F74">
              <w:rPr>
                <w:b/>
                <w:sz w:val="20"/>
                <w:szCs w:val="20"/>
                <w:lang w:val="en-US"/>
              </w:rPr>
              <w:t>B.C</w:t>
            </w:r>
            <w:r w:rsidR="00F56F3A" w:rsidRPr="00AA6F74">
              <w:rPr>
                <w:b/>
                <w:sz w:val="20"/>
                <w:szCs w:val="20"/>
                <w:lang w:val="en-US"/>
              </w:rPr>
              <w:t>.)</w:t>
            </w:r>
          </w:p>
          <w:p w:rsidR="00F56F3A" w:rsidRPr="00AA6F74" w:rsidRDefault="00F56F3A" w:rsidP="00F56F3A">
            <w:pPr>
              <w:tabs>
                <w:tab w:val="left" w:pos="-1440"/>
                <w:tab w:val="left" w:pos="-720"/>
              </w:tabs>
              <w:rPr>
                <w:sz w:val="20"/>
                <w:szCs w:val="20"/>
                <w:lang w:val="en-US"/>
              </w:rPr>
            </w:pPr>
            <w:r w:rsidRPr="00AA6F74">
              <w:rPr>
                <w:sz w:val="20"/>
                <w:szCs w:val="20"/>
                <w:lang w:val="en-US"/>
              </w:rPr>
              <w:tab/>
            </w:r>
            <w:r w:rsidR="007711B0" w:rsidRPr="00AA6F74">
              <w:rPr>
                <w:sz w:val="20"/>
                <w:szCs w:val="20"/>
                <w:lang w:val="en-US"/>
              </w:rPr>
              <w:t>Carpenter, Brent</w:t>
            </w:r>
          </w:p>
          <w:p w:rsidR="00F56F3A" w:rsidRPr="00AA6F74" w:rsidRDefault="00F56F3A" w:rsidP="00F56F3A">
            <w:pPr>
              <w:tabs>
                <w:tab w:val="left" w:pos="-1440"/>
                <w:tab w:val="left" w:pos="-720"/>
              </w:tabs>
              <w:rPr>
                <w:sz w:val="20"/>
                <w:szCs w:val="20"/>
              </w:rPr>
            </w:pPr>
            <w:r w:rsidRPr="00AA6F74">
              <w:rPr>
                <w:sz w:val="20"/>
                <w:szCs w:val="20"/>
                <w:lang w:val="en-US"/>
              </w:rPr>
              <w:tab/>
            </w:r>
            <w:r w:rsidR="007711B0" w:rsidRPr="00AA6F74">
              <w:rPr>
                <w:sz w:val="20"/>
                <w:szCs w:val="20"/>
              </w:rPr>
              <w:t>Shambha Law</w:t>
            </w:r>
          </w:p>
          <w:p w:rsidR="00F56F3A" w:rsidRPr="00AA6F74" w:rsidRDefault="00F56F3A" w:rsidP="00F56F3A">
            <w:pPr>
              <w:tabs>
                <w:tab w:val="left" w:pos="-1440"/>
                <w:tab w:val="left" w:pos="-720"/>
              </w:tabs>
              <w:rPr>
                <w:sz w:val="20"/>
                <w:szCs w:val="20"/>
              </w:rPr>
            </w:pPr>
          </w:p>
          <w:p w:rsidR="00F56F3A" w:rsidRPr="00AA6F74" w:rsidRDefault="00F56F3A" w:rsidP="00F56F3A">
            <w:pPr>
              <w:rPr>
                <w:sz w:val="20"/>
                <w:szCs w:val="20"/>
              </w:rPr>
            </w:pPr>
            <w:r w:rsidRPr="00AA6F74">
              <w:rPr>
                <w:sz w:val="20"/>
                <w:szCs w:val="20"/>
              </w:rPr>
              <w:t xml:space="preserve">FILING DATE: </w:t>
            </w:r>
            <w:r w:rsidR="007711B0" w:rsidRPr="00AA6F74">
              <w:rPr>
                <w:sz w:val="20"/>
                <w:szCs w:val="20"/>
              </w:rPr>
              <w:t>December</w:t>
            </w:r>
            <w:r w:rsidRPr="00AA6F74">
              <w:rPr>
                <w:sz w:val="20"/>
                <w:szCs w:val="20"/>
              </w:rPr>
              <w:t xml:space="preserve"> </w:t>
            </w:r>
            <w:r w:rsidR="007711B0" w:rsidRPr="00AA6F74">
              <w:rPr>
                <w:sz w:val="20"/>
                <w:szCs w:val="20"/>
              </w:rPr>
              <w:t>3</w:t>
            </w:r>
            <w:r w:rsidRPr="00AA6F74">
              <w:rPr>
                <w:sz w:val="20"/>
                <w:szCs w:val="20"/>
              </w:rPr>
              <w:t>, 2020</w:t>
            </w:r>
          </w:p>
          <w:p w:rsidR="00F56F3A" w:rsidRPr="00AA6F74" w:rsidRDefault="00F56F3A" w:rsidP="00F56F3A">
            <w:pPr>
              <w:rPr>
                <w:sz w:val="20"/>
                <w:szCs w:val="20"/>
              </w:rPr>
            </w:pPr>
          </w:p>
          <w:p w:rsidR="00F56F3A" w:rsidRPr="00AA6F74" w:rsidRDefault="002A25F4" w:rsidP="00F56F3A">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p w:rsidR="00F56F3A" w:rsidRPr="00AA6F74" w:rsidRDefault="00F56F3A" w:rsidP="00F138C1">
            <w:pPr>
              <w:jc w:val="center"/>
              <w:rPr>
                <w:sz w:val="20"/>
                <w:szCs w:val="20"/>
                <w:lang w:val="en-US"/>
              </w:rPr>
            </w:pPr>
          </w:p>
        </w:tc>
        <w:tc>
          <w:tcPr>
            <w:tcW w:w="4239" w:type="dxa"/>
            <w:shd w:val="clear" w:color="auto" w:fill="auto"/>
          </w:tcPr>
          <w:p w:rsidR="0075220B" w:rsidRPr="00AA6F74" w:rsidRDefault="0075220B" w:rsidP="0075220B">
            <w:pPr>
              <w:rPr>
                <w:sz w:val="20"/>
                <w:szCs w:val="20"/>
              </w:rPr>
            </w:pPr>
            <w:r w:rsidRPr="00AA6F74">
              <w:rPr>
                <w:b/>
                <w:sz w:val="20"/>
                <w:szCs w:val="20"/>
              </w:rPr>
              <w:t>A.S.</w:t>
            </w:r>
          </w:p>
          <w:p w:rsidR="0075220B" w:rsidRPr="00AA6F74" w:rsidRDefault="0075220B" w:rsidP="0075220B">
            <w:pPr>
              <w:tabs>
                <w:tab w:val="left" w:pos="-1440"/>
                <w:tab w:val="left" w:pos="-720"/>
              </w:tabs>
              <w:rPr>
                <w:sz w:val="20"/>
                <w:szCs w:val="20"/>
              </w:rPr>
            </w:pPr>
            <w:r w:rsidRPr="00AA6F74">
              <w:rPr>
                <w:sz w:val="20"/>
                <w:szCs w:val="20"/>
              </w:rPr>
              <w:tab/>
              <w:t>Butt, David B.</w:t>
            </w:r>
          </w:p>
          <w:p w:rsidR="0075220B" w:rsidRPr="00AA6F74" w:rsidRDefault="0075220B" w:rsidP="0075220B">
            <w:pPr>
              <w:tabs>
                <w:tab w:val="left" w:pos="-1440"/>
                <w:tab w:val="left" w:pos="-720"/>
              </w:tabs>
              <w:rPr>
                <w:sz w:val="20"/>
                <w:szCs w:val="20"/>
                <w:lang w:val="en-US"/>
              </w:rPr>
            </w:pPr>
          </w:p>
          <w:p w:rsidR="0075220B" w:rsidRPr="00AA6F74" w:rsidRDefault="0075220B" w:rsidP="0075220B">
            <w:pPr>
              <w:tabs>
                <w:tab w:val="left" w:pos="-1440"/>
                <w:tab w:val="left" w:pos="-720"/>
              </w:tabs>
              <w:rPr>
                <w:sz w:val="20"/>
                <w:szCs w:val="20"/>
                <w:lang w:val="en-US"/>
              </w:rPr>
            </w:pPr>
            <w:r w:rsidRPr="00AA6F74">
              <w:rPr>
                <w:sz w:val="20"/>
                <w:szCs w:val="20"/>
                <w:lang w:val="en-US"/>
              </w:rPr>
              <w:tab/>
              <w:t>v. (39516)</w:t>
            </w:r>
          </w:p>
          <w:p w:rsidR="0075220B" w:rsidRPr="00AA6F74" w:rsidRDefault="0075220B" w:rsidP="0075220B">
            <w:pPr>
              <w:tabs>
                <w:tab w:val="left" w:pos="-1440"/>
                <w:tab w:val="left" w:pos="-720"/>
              </w:tabs>
              <w:rPr>
                <w:sz w:val="20"/>
                <w:szCs w:val="20"/>
                <w:lang w:val="en-US"/>
              </w:rPr>
            </w:pPr>
          </w:p>
          <w:p w:rsidR="0075220B" w:rsidRPr="00AA6F74" w:rsidRDefault="0075220B" w:rsidP="0075220B">
            <w:pPr>
              <w:tabs>
                <w:tab w:val="left" w:pos="-1440"/>
                <w:tab w:val="left" w:pos="-720"/>
              </w:tabs>
              <w:rPr>
                <w:b/>
                <w:sz w:val="20"/>
                <w:szCs w:val="20"/>
                <w:lang w:val="en-US"/>
              </w:rPr>
            </w:pPr>
            <w:r w:rsidRPr="00AA6F74">
              <w:rPr>
                <w:b/>
                <w:sz w:val="20"/>
                <w:szCs w:val="20"/>
                <w:lang w:val="en-US"/>
              </w:rPr>
              <w:t>Her Majesty the Queen, et al. (Ont.)</w:t>
            </w:r>
          </w:p>
          <w:p w:rsidR="0075220B" w:rsidRPr="00AA6F74" w:rsidRDefault="0075220B" w:rsidP="0075220B">
            <w:pPr>
              <w:tabs>
                <w:tab w:val="left" w:pos="-1440"/>
                <w:tab w:val="left" w:pos="-720"/>
              </w:tabs>
              <w:rPr>
                <w:sz w:val="20"/>
                <w:szCs w:val="20"/>
                <w:lang w:val="en-US"/>
              </w:rPr>
            </w:pPr>
            <w:r w:rsidRPr="00AA6F74">
              <w:rPr>
                <w:sz w:val="20"/>
                <w:szCs w:val="20"/>
                <w:lang w:val="en-US"/>
              </w:rPr>
              <w:tab/>
              <w:t>Wilkin, Jill</w:t>
            </w:r>
          </w:p>
          <w:p w:rsidR="0075220B" w:rsidRPr="00AA6F74" w:rsidRDefault="0075220B" w:rsidP="0075220B">
            <w:pPr>
              <w:tabs>
                <w:tab w:val="left" w:pos="-1440"/>
                <w:tab w:val="left" w:pos="-720"/>
              </w:tabs>
              <w:rPr>
                <w:sz w:val="20"/>
                <w:szCs w:val="20"/>
              </w:rPr>
            </w:pPr>
            <w:r w:rsidRPr="00AA6F74">
              <w:rPr>
                <w:sz w:val="20"/>
                <w:szCs w:val="20"/>
                <w:lang w:val="en-US"/>
              </w:rPr>
              <w:tab/>
            </w:r>
            <w:r w:rsidRPr="00AA6F74">
              <w:rPr>
                <w:sz w:val="20"/>
                <w:szCs w:val="20"/>
              </w:rPr>
              <w:t xml:space="preserve">Ministry of the Attorney General of </w:t>
            </w:r>
          </w:p>
          <w:p w:rsidR="0075220B" w:rsidRPr="00AA6F74" w:rsidRDefault="0075220B" w:rsidP="0075220B">
            <w:pPr>
              <w:tabs>
                <w:tab w:val="left" w:pos="-1440"/>
                <w:tab w:val="left" w:pos="-720"/>
              </w:tabs>
              <w:rPr>
                <w:sz w:val="20"/>
                <w:szCs w:val="20"/>
              </w:rPr>
            </w:pPr>
            <w:r w:rsidRPr="00AA6F74">
              <w:rPr>
                <w:sz w:val="20"/>
                <w:szCs w:val="20"/>
                <w:lang w:val="en-US"/>
              </w:rPr>
              <w:tab/>
            </w:r>
            <w:r w:rsidRPr="00AA6F74">
              <w:rPr>
                <w:sz w:val="20"/>
                <w:szCs w:val="20"/>
              </w:rPr>
              <w:t>Ontario</w:t>
            </w:r>
          </w:p>
          <w:p w:rsidR="0075220B" w:rsidRPr="00AA6F74" w:rsidRDefault="0075220B" w:rsidP="0075220B">
            <w:pPr>
              <w:tabs>
                <w:tab w:val="left" w:pos="-1440"/>
                <w:tab w:val="left" w:pos="-720"/>
              </w:tabs>
              <w:rPr>
                <w:sz w:val="20"/>
                <w:szCs w:val="20"/>
              </w:rPr>
            </w:pPr>
          </w:p>
          <w:p w:rsidR="0075220B" w:rsidRPr="00AA6F74" w:rsidRDefault="0075220B" w:rsidP="0075220B">
            <w:pPr>
              <w:rPr>
                <w:sz w:val="20"/>
                <w:szCs w:val="20"/>
              </w:rPr>
            </w:pPr>
            <w:r w:rsidRPr="00AA6F74">
              <w:rPr>
                <w:sz w:val="20"/>
                <w:szCs w:val="20"/>
              </w:rPr>
              <w:t>FILING DATE: January 6, 2021</w:t>
            </w:r>
          </w:p>
          <w:p w:rsidR="0075220B" w:rsidRPr="00AA6F74" w:rsidRDefault="0075220B" w:rsidP="0075220B">
            <w:pPr>
              <w:rPr>
                <w:sz w:val="20"/>
                <w:szCs w:val="20"/>
              </w:rPr>
            </w:pPr>
          </w:p>
          <w:p w:rsidR="00F56F3A" w:rsidRPr="00AA6F74" w:rsidRDefault="002A25F4" w:rsidP="0075220B">
            <w:pPr>
              <w:rPr>
                <w:b/>
                <w:sz w:val="20"/>
                <w:szCs w:val="20"/>
                <w:lang w:val="en-US"/>
              </w:rPr>
            </w:pPr>
            <w:r>
              <w:rPr>
                <w:sz w:val="20"/>
                <w:szCs w:val="20"/>
                <w:lang w:val="fr-CA"/>
              </w:rPr>
              <w:pict>
                <v:rect id="_x0000_i1036" style="width:108pt;height:1pt" o:hrpct="0" o:hrstd="t" o:hrnoshade="t" o:hr="t" fillcolor="black [3213]" stroked="f"/>
              </w:pict>
            </w:r>
          </w:p>
        </w:tc>
      </w:tr>
    </w:tbl>
    <w:p w:rsidR="00F138C1" w:rsidRPr="00AA6F74" w:rsidRDefault="00F138C1" w:rsidP="00F138C1">
      <w:pPr>
        <w:tabs>
          <w:tab w:val="right" w:pos="9360"/>
        </w:tabs>
        <w:rPr>
          <w:sz w:val="20"/>
          <w:szCs w:val="20"/>
          <w:lang w:val="fr-CA"/>
        </w:rPr>
      </w:pPr>
    </w:p>
    <w:p w:rsidR="00F138C1" w:rsidRPr="00AA6F74" w:rsidRDefault="00F138C1" w:rsidP="00F138C1">
      <w:pPr>
        <w:tabs>
          <w:tab w:val="right" w:pos="9360"/>
        </w:tabs>
        <w:rPr>
          <w:sz w:val="20"/>
          <w:szCs w:val="20"/>
          <w:lang w:val="fr-CA"/>
        </w:rPr>
      </w:pPr>
    </w:p>
    <w:p w:rsidR="00F56F3A" w:rsidRPr="00AA6F74" w:rsidRDefault="00F56F3A" w:rsidP="00F138C1">
      <w:pPr>
        <w:tabs>
          <w:tab w:val="right" w:pos="9360"/>
        </w:tabs>
        <w:rPr>
          <w:sz w:val="20"/>
          <w:szCs w:val="20"/>
          <w:lang w:val="fr-CA"/>
        </w:rPr>
      </w:pPr>
    </w:p>
    <w:p w:rsidR="00C01FCB" w:rsidRPr="00AA6F74" w:rsidRDefault="00C01FCB" w:rsidP="0095096B">
      <w:pPr>
        <w:tabs>
          <w:tab w:val="right" w:pos="9360"/>
        </w:tabs>
        <w:rPr>
          <w:sz w:val="20"/>
          <w:szCs w:val="20"/>
          <w:lang w:val="fr-CA"/>
        </w:rPr>
      </w:pPr>
    </w:p>
    <w:p w:rsidR="00242AEE" w:rsidRPr="00AA6F74" w:rsidRDefault="00242AEE" w:rsidP="0095096B">
      <w:pPr>
        <w:tabs>
          <w:tab w:val="right" w:pos="9360"/>
        </w:tabs>
        <w:rPr>
          <w:sz w:val="20"/>
          <w:szCs w:val="20"/>
          <w:lang w:val="fr-CA"/>
        </w:rPr>
        <w:sectPr w:rsidR="00242AEE" w:rsidRPr="00AA6F7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A6F74" w:rsidRDefault="00DD0BDC" w:rsidP="00567602">
      <w:pPr>
        <w:pStyle w:val="Header1StyleE"/>
        <w:pBdr>
          <w:bottom w:val="single" w:sz="12" w:space="1" w:color="auto"/>
        </w:pBdr>
        <w:rPr>
          <w:lang w:val="fr-CA"/>
        </w:rPr>
      </w:pPr>
      <w:bookmarkStart w:id="2" w:name="QuickMark_1"/>
      <w:bookmarkStart w:id="3" w:name="_Toc62134392"/>
      <w:bookmarkEnd w:id="2"/>
      <w:r w:rsidRPr="00AA6F74">
        <w:rPr>
          <w:lang w:val="fr-CA"/>
        </w:rPr>
        <w:lastRenderedPageBreak/>
        <w:t>Judgments on applications</w:t>
      </w:r>
      <w:r w:rsidR="000C1D9D" w:rsidRPr="00AA6F74">
        <w:rPr>
          <w:lang w:val="fr-CA"/>
        </w:rPr>
        <w:t xml:space="preserve"> </w:t>
      </w:r>
      <w:r w:rsidRPr="00AA6F74">
        <w:rPr>
          <w:lang w:val="fr-CA"/>
        </w:rPr>
        <w:t>for leave</w:t>
      </w:r>
      <w:r w:rsidR="00693C38" w:rsidRPr="00AA6F74">
        <w:rPr>
          <w:noProof/>
          <w:sz w:val="20"/>
          <w:lang w:val="fr-CA"/>
        </w:rPr>
        <w:t xml:space="preserve"> </w:t>
      </w:r>
      <w:r w:rsidR="00271E1E" w:rsidRPr="00AA6F74">
        <w:rPr>
          <w:noProof/>
          <w:sz w:val="20"/>
          <w:lang w:val="fr-CA"/>
        </w:rPr>
        <w:t xml:space="preserve">/ </w:t>
      </w:r>
      <w:r w:rsidR="00693C38" w:rsidRPr="00AA6F74">
        <w:rPr>
          <w:noProof/>
          <w:sz w:val="20"/>
          <w:lang w:val="fr-CA"/>
        </w:rPr>
        <w:br/>
      </w:r>
      <w:r w:rsidRPr="00AA6F74">
        <w:rPr>
          <w:lang w:val="fr-CA"/>
        </w:rPr>
        <w:t>Jugements rendus sur les demandes d’autorisation</w:t>
      </w:r>
      <w:bookmarkEnd w:id="3"/>
    </w:p>
    <w:p w:rsidR="00FB1DB6" w:rsidRPr="00AA6F74" w:rsidRDefault="00FB1DB6" w:rsidP="00693C38">
      <w:pPr>
        <w:rPr>
          <w:sz w:val="20"/>
          <w:szCs w:val="20"/>
          <w:lang w:val="fr-CA"/>
        </w:rPr>
      </w:pPr>
    </w:p>
    <w:p w:rsidR="00F16063" w:rsidRPr="00AA6F74" w:rsidRDefault="009B36BA" w:rsidP="00F16063">
      <w:pPr>
        <w:rPr>
          <w:b/>
          <w:sz w:val="20"/>
          <w:szCs w:val="20"/>
        </w:rPr>
      </w:pPr>
      <w:r w:rsidRPr="00AA6F74">
        <w:rPr>
          <w:b/>
          <w:sz w:val="20"/>
          <w:szCs w:val="20"/>
        </w:rPr>
        <w:t>JANUARY</w:t>
      </w:r>
      <w:r w:rsidR="00F16063" w:rsidRPr="00AA6F74">
        <w:rPr>
          <w:b/>
          <w:sz w:val="20"/>
          <w:szCs w:val="20"/>
        </w:rPr>
        <w:t xml:space="preserve"> </w:t>
      </w:r>
      <w:r w:rsidR="007A13B6" w:rsidRPr="00AA6F74">
        <w:rPr>
          <w:b/>
          <w:sz w:val="20"/>
          <w:szCs w:val="20"/>
        </w:rPr>
        <w:t>2</w:t>
      </w:r>
      <w:r w:rsidR="00691D1D" w:rsidRPr="00AA6F74">
        <w:rPr>
          <w:b/>
          <w:sz w:val="20"/>
          <w:szCs w:val="20"/>
        </w:rPr>
        <w:t>1</w:t>
      </w:r>
      <w:r w:rsidR="00F16063" w:rsidRPr="00AA6F74">
        <w:rPr>
          <w:b/>
          <w:sz w:val="20"/>
          <w:szCs w:val="20"/>
        </w:rPr>
        <w:t xml:space="preserve">, </w:t>
      </w:r>
      <w:r w:rsidR="0034657E" w:rsidRPr="00AA6F74">
        <w:rPr>
          <w:b/>
          <w:sz w:val="20"/>
          <w:szCs w:val="20"/>
        </w:rPr>
        <w:t>20</w:t>
      </w:r>
      <w:r w:rsidR="005967EF" w:rsidRPr="00AA6F74">
        <w:rPr>
          <w:b/>
          <w:sz w:val="20"/>
          <w:szCs w:val="20"/>
        </w:rPr>
        <w:t>2</w:t>
      </w:r>
      <w:r w:rsidRPr="00AA6F74">
        <w:rPr>
          <w:b/>
          <w:sz w:val="20"/>
          <w:szCs w:val="20"/>
        </w:rPr>
        <w:t>1</w:t>
      </w:r>
      <w:r w:rsidR="00F16063" w:rsidRPr="00AA6F74">
        <w:rPr>
          <w:b/>
          <w:sz w:val="20"/>
          <w:szCs w:val="20"/>
        </w:rPr>
        <w:t xml:space="preserve"> / LE </w:t>
      </w:r>
      <w:r w:rsidR="007A13B6" w:rsidRPr="00AA6F74">
        <w:rPr>
          <w:b/>
          <w:sz w:val="20"/>
          <w:szCs w:val="20"/>
        </w:rPr>
        <w:t>2</w:t>
      </w:r>
      <w:r w:rsidR="00691D1D" w:rsidRPr="00AA6F74">
        <w:rPr>
          <w:b/>
          <w:sz w:val="20"/>
          <w:szCs w:val="20"/>
        </w:rPr>
        <w:t>1</w:t>
      </w:r>
      <w:r w:rsidR="00F16063" w:rsidRPr="00AA6F74">
        <w:rPr>
          <w:b/>
          <w:sz w:val="20"/>
          <w:szCs w:val="20"/>
        </w:rPr>
        <w:t xml:space="preserve"> </w:t>
      </w:r>
      <w:r w:rsidRPr="00AA6F74">
        <w:rPr>
          <w:b/>
          <w:sz w:val="20"/>
          <w:szCs w:val="20"/>
        </w:rPr>
        <w:t>JANVIER</w:t>
      </w:r>
      <w:r w:rsidR="00F16063" w:rsidRPr="00AA6F74">
        <w:rPr>
          <w:b/>
          <w:sz w:val="20"/>
          <w:szCs w:val="20"/>
        </w:rPr>
        <w:t xml:space="preserve"> </w:t>
      </w:r>
      <w:r w:rsidR="0034657E" w:rsidRPr="00AA6F74">
        <w:rPr>
          <w:b/>
          <w:sz w:val="20"/>
          <w:szCs w:val="20"/>
        </w:rPr>
        <w:t>20</w:t>
      </w:r>
      <w:r w:rsidR="005967EF" w:rsidRPr="00AA6F74">
        <w:rPr>
          <w:b/>
          <w:sz w:val="20"/>
          <w:szCs w:val="20"/>
        </w:rPr>
        <w:t>2</w:t>
      </w:r>
      <w:r w:rsidRPr="00AA6F74">
        <w:rPr>
          <w:b/>
          <w:sz w:val="20"/>
          <w:szCs w:val="20"/>
        </w:rPr>
        <w:t>1</w:t>
      </w:r>
    </w:p>
    <w:p w:rsidR="006C1EBE" w:rsidRPr="00AA6F74" w:rsidRDefault="006C1EBE" w:rsidP="006C1EB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39123</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Sylvia H.C.C. Richardson v. Mark Edward Richardson</w:t>
            </w:r>
          </w:p>
          <w:p w:rsidR="006C1EBE" w:rsidRPr="00AA6F74" w:rsidRDefault="006C1EBE" w:rsidP="002E545B">
            <w:pPr>
              <w:jc w:val="both"/>
              <w:rPr>
                <w:sz w:val="20"/>
              </w:rPr>
            </w:pPr>
            <w:r w:rsidRPr="00AA6F74">
              <w:rPr>
                <w:sz w:val="20"/>
              </w:rPr>
              <w:t>(Ont.) (Civil) (By Leave)</w:t>
            </w:r>
          </w:p>
        </w:tc>
      </w:tr>
      <w:tr w:rsidR="006C1EBE" w:rsidRPr="00AA6F74" w:rsidTr="002E545B">
        <w:tc>
          <w:tcPr>
            <w:tcW w:w="5000" w:type="pct"/>
            <w:gridSpan w:val="4"/>
          </w:tcPr>
          <w:p w:rsidR="002E545B" w:rsidRPr="00AA6F74" w:rsidRDefault="002E545B" w:rsidP="002E545B">
            <w:pPr>
              <w:jc w:val="both"/>
              <w:rPr>
                <w:sz w:val="20"/>
                <w:szCs w:val="20"/>
              </w:rPr>
            </w:pPr>
            <w:r w:rsidRPr="00AA6F74">
              <w:rPr>
                <w:sz w:val="20"/>
                <w:szCs w:val="20"/>
              </w:rPr>
              <w:t>The motion for extension of time to serve and file the application for leave to appeal is granted. The application for leave to appeal from the judgment of the</w:t>
            </w:r>
            <w:bookmarkStart w:id="4" w:name="BM_1_"/>
            <w:bookmarkEnd w:id="4"/>
            <w:r w:rsidRPr="00AA6F74">
              <w:rPr>
                <w:sz w:val="20"/>
                <w:szCs w:val="20"/>
              </w:rPr>
              <w:t xml:space="preserve"> Court of Appeal for Ontario, Number C66918, 2019 ONCA 983, dated December 13, 2019, is granted with costs in the cause.</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Family law — Custody — Judgments and orders — Reasons — Trial judge making custody order contrary to terms of minutes of settlement signed by parties during course of trial — When is it appropriate for courts to reject parties’ reasonable settlement agreements? — What are the standards for rejecting such settlements and what are the appropriate steps for a trial judge to take in such circumstances? — When, if ever, is it appropriate for a trial judge to continue to sit on a trial after being privy to the parties’ settlement positions?</w:t>
            </w:r>
          </w:p>
        </w:tc>
      </w:tr>
      <w:tr w:rsidR="006C1EBE" w:rsidRPr="00AA6F74" w:rsidTr="002E545B">
        <w:tc>
          <w:tcPr>
            <w:tcW w:w="5000" w:type="pct"/>
            <w:gridSpan w:val="4"/>
          </w:tcPr>
          <w:p w:rsidR="006C1EBE" w:rsidRPr="00AA6F74" w:rsidRDefault="006C1EBE" w:rsidP="002E545B">
            <w:pPr>
              <w:jc w:val="both"/>
              <w:rPr>
                <w:sz w:val="20"/>
              </w:rPr>
            </w:pPr>
          </w:p>
        </w:tc>
      </w:tr>
      <w:tr w:rsidR="006C1EBE" w:rsidRPr="00AA6F74" w:rsidTr="002E545B">
        <w:trPr>
          <w:trHeight w:val="3927"/>
        </w:trPr>
        <w:tc>
          <w:tcPr>
            <w:tcW w:w="5000" w:type="pct"/>
            <w:gridSpan w:val="4"/>
          </w:tcPr>
          <w:p w:rsidR="006C1EBE" w:rsidRPr="00AA6F74" w:rsidRDefault="006C1EBE" w:rsidP="002E545B">
            <w:pPr>
              <w:pStyle w:val="aparanumbering"/>
              <w:spacing w:before="0" w:beforeAutospacing="0" w:after="0" w:afterAutospacing="0"/>
              <w:jc w:val="both"/>
              <w:rPr>
                <w:sz w:val="20"/>
                <w:szCs w:val="20"/>
                <w:lang w:val="en"/>
              </w:rPr>
            </w:pPr>
            <w:r w:rsidRPr="00AA6F74">
              <w:rPr>
                <w:sz w:val="20"/>
                <w:szCs w:val="20"/>
                <w:lang w:val="en"/>
              </w:rPr>
              <w:t xml:space="preserve">The parties were married in 2003 and divorced in 2015. They have both since remarried. Their daughter was born in 2005 and they had a son in 2011. They all resided in the Niagara region until 2017. In 2015, the parties participated in an assessment pursuant to </w:t>
            </w:r>
            <w:hyperlink r:id="rId15" w:anchor="sec30_smooth" w:history="1">
              <w:r w:rsidRPr="00AA6F74">
                <w:rPr>
                  <w:rStyle w:val="Hyperlink"/>
                  <w:rFonts w:eastAsiaTheme="majorEastAsia"/>
                  <w:sz w:val="20"/>
                  <w:szCs w:val="20"/>
                  <w:lang w:val="en"/>
                </w:rPr>
                <w:t>s. 30</w:t>
              </w:r>
            </w:hyperlink>
            <w:r w:rsidRPr="00AA6F74">
              <w:rPr>
                <w:sz w:val="20"/>
                <w:szCs w:val="20"/>
                <w:lang w:val="en"/>
              </w:rPr>
              <w:t xml:space="preserve"> of the </w:t>
            </w:r>
            <w:hyperlink r:id="rId16" w:history="1">
              <w:r w:rsidRPr="00AA6F74">
                <w:rPr>
                  <w:rStyle w:val="Emphasis"/>
                  <w:rFonts w:eastAsiaTheme="minorHAnsi"/>
                  <w:sz w:val="20"/>
                  <w:szCs w:val="20"/>
                  <w:lang w:val="en"/>
                </w:rPr>
                <w:t>Children’s Law Reform Act</w:t>
              </w:r>
              <w:r w:rsidRPr="00AA6F74">
                <w:rPr>
                  <w:rStyle w:val="Hyperlink"/>
                  <w:rFonts w:eastAsiaTheme="majorEastAsia"/>
                  <w:sz w:val="20"/>
                  <w:szCs w:val="20"/>
                  <w:lang w:val="en"/>
                </w:rPr>
                <w:t>, R.S.O. 1990, c. C.12</w:t>
              </w:r>
            </w:hyperlink>
            <w:r w:rsidRPr="00AA6F74">
              <w:rPr>
                <w:sz w:val="20"/>
                <w:szCs w:val="20"/>
                <w:lang w:val="en"/>
              </w:rPr>
              <w:t>. Ms. Richardson was seeking to have the children move with her to Ottawa, where she planned to relocate. The assessor recommended that the children stay in the Niagara region and that the parties have joint custody. The parties accepted this recommendation and settled the matter pursuant to a consent order in 2016. At the time both parties had residences in the Niagara region and Ms. Richardson was dividing her time between the Niagara region and the Ottawa area, where she had a home with her new spouse.</w:t>
            </w:r>
          </w:p>
          <w:p w:rsidR="006C1EBE" w:rsidRPr="00AA6F74" w:rsidRDefault="006C1EBE" w:rsidP="002E545B">
            <w:pPr>
              <w:pStyle w:val="aparanumbering"/>
              <w:spacing w:before="0" w:beforeAutospacing="0" w:after="0" w:afterAutospacing="0"/>
              <w:jc w:val="both"/>
              <w:rPr>
                <w:sz w:val="20"/>
                <w:szCs w:val="20"/>
                <w:lang w:val="en"/>
              </w:rPr>
            </w:pPr>
          </w:p>
          <w:p w:rsidR="006C1EBE" w:rsidRPr="00AA6F74" w:rsidRDefault="006C1EBE" w:rsidP="002E545B">
            <w:pPr>
              <w:pStyle w:val="aparanumbering"/>
              <w:spacing w:before="0" w:beforeAutospacing="0" w:after="0" w:afterAutospacing="0"/>
              <w:jc w:val="both"/>
              <w:rPr>
                <w:sz w:val="20"/>
                <w:szCs w:val="20"/>
              </w:rPr>
            </w:pPr>
            <w:r w:rsidRPr="00AA6F74">
              <w:rPr>
                <w:sz w:val="20"/>
                <w:szCs w:val="20"/>
                <w:lang w:val="en"/>
              </w:rPr>
              <w:t xml:space="preserve">In July 2017, Ms. Richardson sold her Niagara residence and moved to Ottawa. She brought a motion to change the consent order on the basis that it would be in the children’s best interests to reside primarily with her in Ottawa. The parties could not settle the matter and it proceeded to trial. On the third day of the trial, counsel for the parties presented a proposed settlement to the trial judge that provided that the children would move from their home in the Niagara region to Ottawa to live primarily with their mother. The trial judge did not accept the terms of the minutes of settlement and stated that he wanted to hear all of the evidence. The trial proceeded. </w:t>
            </w:r>
            <w:r w:rsidRPr="00AA6F74">
              <w:rPr>
                <w:sz w:val="20"/>
                <w:szCs w:val="20"/>
              </w:rPr>
              <w:t>The trial judge concluded that the children would not relocate to Ottawa. This decision was upheld by a majority of the Court of Appeal.</w:t>
            </w:r>
          </w:p>
          <w:p w:rsidR="006C1EBE" w:rsidRPr="00AA6F74" w:rsidRDefault="006C1EBE" w:rsidP="002E545B">
            <w:pPr>
              <w:pStyle w:val="aparanumbering"/>
              <w:spacing w:before="0" w:beforeAutospacing="0" w:after="0" w:afterAutospacing="0"/>
              <w:jc w:val="both"/>
              <w:rPr>
                <w:sz w:val="20"/>
                <w:szCs w:val="20"/>
                <w:lang w:val="en"/>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April 8, 2019</w:t>
            </w:r>
          </w:p>
          <w:p w:rsidR="006C1EBE" w:rsidRPr="00AA6F74" w:rsidRDefault="006C1EBE" w:rsidP="002E545B">
            <w:pPr>
              <w:jc w:val="both"/>
              <w:rPr>
                <w:sz w:val="20"/>
              </w:rPr>
            </w:pPr>
            <w:r w:rsidRPr="00AA6F74">
              <w:rPr>
                <w:sz w:val="20"/>
              </w:rPr>
              <w:t>Ontario Superior Court of Justice</w:t>
            </w:r>
          </w:p>
          <w:p w:rsidR="006C1EBE" w:rsidRPr="00AA6F74" w:rsidRDefault="006C1EBE" w:rsidP="002E545B">
            <w:pPr>
              <w:jc w:val="both"/>
              <w:rPr>
                <w:sz w:val="20"/>
              </w:rPr>
            </w:pPr>
            <w:r w:rsidRPr="00AA6F74">
              <w:rPr>
                <w:sz w:val="20"/>
              </w:rPr>
              <w:t>(Ramsay J.)</w:t>
            </w:r>
          </w:p>
          <w:p w:rsidR="006C1EBE" w:rsidRPr="00AA6F74" w:rsidRDefault="006C1EBE" w:rsidP="002E545B">
            <w:pPr>
              <w:jc w:val="both"/>
              <w:rPr>
                <w:sz w:val="20"/>
              </w:rPr>
            </w:pPr>
            <w:r w:rsidRPr="00AA6F74">
              <w:rPr>
                <w:sz w:val="20"/>
              </w:rPr>
              <w:t>2019 ONSC 2175</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Trial judge rejecting terms of minutes of settlement and ordering children’s primary residence to be with father</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December 13, 2019</w:t>
            </w:r>
          </w:p>
          <w:p w:rsidR="006C1EBE" w:rsidRPr="00AA6F74" w:rsidRDefault="006C1EBE" w:rsidP="002E545B">
            <w:pPr>
              <w:jc w:val="both"/>
              <w:rPr>
                <w:sz w:val="20"/>
              </w:rPr>
            </w:pPr>
            <w:r w:rsidRPr="00AA6F74">
              <w:rPr>
                <w:sz w:val="20"/>
              </w:rPr>
              <w:t>Court of Appeal for Ontario</w:t>
            </w:r>
          </w:p>
          <w:p w:rsidR="006C1EBE" w:rsidRPr="00AA6F74" w:rsidRDefault="006C1EBE" w:rsidP="002E545B">
            <w:pPr>
              <w:jc w:val="both"/>
              <w:rPr>
                <w:sz w:val="20"/>
              </w:rPr>
            </w:pPr>
            <w:r w:rsidRPr="00AA6F74">
              <w:rPr>
                <w:sz w:val="20"/>
              </w:rPr>
              <w:t xml:space="preserve">(Rouleau, Huscroft and Nordheimer </w:t>
            </w:r>
          </w:p>
          <w:p w:rsidR="006C1EBE" w:rsidRPr="00AA6F74" w:rsidRDefault="006C1EBE" w:rsidP="002E545B">
            <w:pPr>
              <w:jc w:val="both"/>
              <w:rPr>
                <w:sz w:val="20"/>
              </w:rPr>
            </w:pPr>
            <w:r w:rsidRPr="00AA6F74">
              <w:rPr>
                <w:sz w:val="20"/>
              </w:rPr>
              <w:t>[dissenting] JJ.A.)</w:t>
            </w:r>
          </w:p>
          <w:p w:rsidR="006C1EBE" w:rsidRPr="00AA6F74" w:rsidRDefault="002A25F4" w:rsidP="002E545B">
            <w:pPr>
              <w:jc w:val="both"/>
              <w:rPr>
                <w:sz w:val="20"/>
              </w:rPr>
            </w:pPr>
            <w:hyperlink r:id="rId17" w:history="1">
              <w:r w:rsidR="006C1EBE" w:rsidRPr="00AA6F74">
                <w:rPr>
                  <w:rStyle w:val="Hyperlink"/>
                  <w:sz w:val="20"/>
                </w:rPr>
                <w:t>2019 ONCA 983</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Applicant’s appeal dismissed</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April 7, 2020</w:t>
            </w:r>
          </w:p>
          <w:p w:rsidR="006C1EBE" w:rsidRPr="00AA6F74" w:rsidRDefault="006C1EBE" w:rsidP="002E545B">
            <w:pPr>
              <w:jc w:val="both"/>
              <w:rPr>
                <w:sz w:val="20"/>
              </w:rPr>
            </w:pPr>
            <w:r w:rsidRPr="00AA6F74">
              <w:rPr>
                <w:sz w:val="20"/>
              </w:rPr>
              <w:t>Supreme Court of Canada</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Motion for extension of time in which to serve and file application for leave to appeal and application for leave to appeal filed</w:t>
            </w: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39" style="width:2in;height:1pt" o:hrpct="0" o:hralign="center" o:hrstd="t" o:hrnoshade="t" o:hr="t" fillcolor="black [3213]" stroked="f"/>
        </w:pict>
      </w:r>
    </w:p>
    <w:p w:rsidR="006C1EBE" w:rsidRPr="00AA6F74" w:rsidRDefault="006C1EBE" w:rsidP="006C1EBE">
      <w:pPr>
        <w:jc w:val="both"/>
        <w:rPr>
          <w:sz w:val="20"/>
        </w:rPr>
      </w:pPr>
    </w:p>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lastRenderedPageBreak/>
              <w:t>39123</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Sylvia H.C.C. Richardson c. Mark Edward Richardson</w:t>
            </w:r>
          </w:p>
          <w:p w:rsidR="006C1EBE" w:rsidRPr="00AA6F74" w:rsidRDefault="006C1EBE" w:rsidP="002E545B">
            <w:pPr>
              <w:jc w:val="both"/>
              <w:rPr>
                <w:sz w:val="20"/>
              </w:rPr>
            </w:pPr>
            <w:r w:rsidRPr="00AA6F74">
              <w:rPr>
                <w:sz w:val="20"/>
              </w:rPr>
              <w:t>(Ont.) (Civile) (Sur autorisation)</w:t>
            </w:r>
          </w:p>
        </w:tc>
      </w:tr>
      <w:tr w:rsidR="006C1EBE" w:rsidRPr="002A25F4" w:rsidTr="002E545B">
        <w:tc>
          <w:tcPr>
            <w:tcW w:w="5000" w:type="pct"/>
            <w:gridSpan w:val="4"/>
          </w:tcPr>
          <w:p w:rsidR="006C1EBE" w:rsidRPr="00AA6F74" w:rsidRDefault="002E545B" w:rsidP="002E545B">
            <w:pPr>
              <w:tabs>
                <w:tab w:val="left" w:pos="2240"/>
              </w:tabs>
              <w:jc w:val="both"/>
              <w:rPr>
                <w:sz w:val="20"/>
                <w:szCs w:val="20"/>
                <w:lang w:val="fr-CA"/>
              </w:rPr>
            </w:pPr>
            <w:r w:rsidRPr="00AA6F74">
              <w:rPr>
                <w:rFonts w:cs="Times New Roman"/>
                <w:sz w:val="20"/>
                <w:szCs w:val="20"/>
                <w:lang w:val="fr-CA"/>
              </w:rPr>
              <w:t xml:space="preserve">La requête en prorogation du délai de signification et de dépôt de la demande d’autorisation d’appel est accueillie. </w:t>
            </w:r>
            <w:r w:rsidRPr="00AA6F74">
              <w:rPr>
                <w:sz w:val="20"/>
                <w:szCs w:val="20"/>
                <w:lang w:val="fr-CA"/>
              </w:rPr>
              <w:t>La demande d’autorisation d’appel de l’arrêt de la Cour d’appel de l’Ontario, numéro C66918, 2019 ONCA 983, daté du 13 décembre 2019, est accueillie avec dépens suivant l’issue de la cause.</w:t>
            </w:r>
          </w:p>
          <w:p w:rsidR="002E545B" w:rsidRPr="00AA6F74" w:rsidRDefault="002E545B" w:rsidP="002E545B">
            <w:pPr>
              <w:tabs>
                <w:tab w:val="left" w:pos="2240"/>
              </w:tabs>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Droit de la famille — Garde — Jugements et ordonnances — Motifs — Juge de première instance rendant une ordonnance de garde qui va à l’encontre des modalités du procès</w:t>
            </w:r>
            <w:r w:rsidRPr="00AA6F74">
              <w:rPr>
                <w:sz w:val="20"/>
                <w:lang w:val="fr-CA"/>
              </w:rPr>
              <w:noBreakHyphen/>
              <w:t>verbal de règlement signé par les parties au cours du procès — Dans quels cas est</w:t>
            </w:r>
            <w:r w:rsidRPr="00AA6F74">
              <w:rPr>
                <w:sz w:val="20"/>
                <w:lang w:val="fr-CA"/>
              </w:rPr>
              <w:noBreakHyphen/>
              <w:t>il indiqué pour les tribunaux de rejeter les conventions de règlement raisonnables conclues entre les parties? — Quelles sont les normes à appliquer pour rejeter pareils règlements et quelles mesures doit prendre le juge de première instance dans de tels cas? — Dans quelles circonstances, s’il en est, convient-il que le juge de première instance continue de présider le procès après avoir été mis au courant de la position respective des parties à l’égard de leur règlement?</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2A25F4" w:rsidTr="002E545B">
        <w:trPr>
          <w:trHeight w:val="569"/>
        </w:trPr>
        <w:tc>
          <w:tcPr>
            <w:tcW w:w="5000" w:type="pct"/>
            <w:gridSpan w:val="4"/>
          </w:tcPr>
          <w:p w:rsidR="006C1EBE" w:rsidRPr="00AA6F74" w:rsidRDefault="006C1EBE" w:rsidP="002E545B">
            <w:pPr>
              <w:pStyle w:val="aparanumbering"/>
              <w:spacing w:before="0" w:beforeAutospacing="0" w:after="0" w:afterAutospacing="0"/>
              <w:jc w:val="both"/>
              <w:rPr>
                <w:sz w:val="20"/>
                <w:szCs w:val="20"/>
                <w:lang w:val="fr-CA"/>
              </w:rPr>
            </w:pPr>
            <w:r w:rsidRPr="00AA6F74">
              <w:rPr>
                <w:sz w:val="20"/>
                <w:szCs w:val="20"/>
                <w:lang w:val="fr-CA"/>
              </w:rPr>
              <w:t>Les parties se sont mariées en 2003 et ont divorcé en 2015. Elles ont toutes deux épousé une autre personne depuis. Leur fille est née en 2005 et ils ont eu un fils en 2011. Ils habitaient tous dans la région de Niagara jusqu’en 2017. En 2015, les parties ont participé à une évaluation en application de l’art. </w:t>
            </w:r>
            <w:hyperlink r:id="rId18" w:anchor="sec30_smooth" w:history="1">
              <w:r w:rsidRPr="00AA6F74">
                <w:rPr>
                  <w:rStyle w:val="Hyperlink"/>
                  <w:rFonts w:eastAsiaTheme="majorEastAsia"/>
                  <w:sz w:val="20"/>
                  <w:szCs w:val="20"/>
                  <w:lang w:val="fr-CA"/>
                </w:rPr>
                <w:t>30</w:t>
              </w:r>
            </w:hyperlink>
            <w:r w:rsidRPr="00AA6F74">
              <w:rPr>
                <w:sz w:val="20"/>
                <w:szCs w:val="20"/>
                <w:lang w:val="fr-CA"/>
              </w:rPr>
              <w:t xml:space="preserve"> de la </w:t>
            </w:r>
            <w:r w:rsidRPr="00AA6F74">
              <w:rPr>
                <w:i/>
                <w:sz w:val="20"/>
                <w:szCs w:val="20"/>
                <w:lang w:val="fr-CA"/>
              </w:rPr>
              <w:t>Loi portant réforme du droit de l’enfance</w:t>
            </w:r>
            <w:r w:rsidRPr="00AA6F74">
              <w:rPr>
                <w:sz w:val="20"/>
                <w:szCs w:val="20"/>
                <w:lang w:val="fr-CA"/>
              </w:rPr>
              <w:t>,</w:t>
            </w:r>
            <w:hyperlink r:id="rId19" w:history="1">
              <w:r w:rsidRPr="00AA6F74">
                <w:rPr>
                  <w:rStyle w:val="Emphasis"/>
                  <w:rFonts w:eastAsiaTheme="minorHAnsi"/>
                  <w:sz w:val="20"/>
                  <w:szCs w:val="20"/>
                  <w:lang w:val="fr-CA"/>
                </w:rPr>
                <w:t xml:space="preserve"> L.</w:t>
              </w:r>
              <w:r w:rsidRPr="00AA6F74">
                <w:rPr>
                  <w:rStyle w:val="Hyperlink"/>
                  <w:rFonts w:eastAsiaTheme="majorEastAsia"/>
                  <w:sz w:val="20"/>
                  <w:szCs w:val="20"/>
                  <w:lang w:val="fr-CA"/>
                </w:rPr>
                <w:t>R.O. 1990, c. C.12</w:t>
              </w:r>
            </w:hyperlink>
            <w:r w:rsidRPr="00AA6F74">
              <w:rPr>
                <w:sz w:val="20"/>
                <w:szCs w:val="20"/>
                <w:lang w:val="fr-CA"/>
              </w:rPr>
              <w:t>. M</w:t>
            </w:r>
            <w:r w:rsidRPr="00AA6F74">
              <w:rPr>
                <w:sz w:val="20"/>
                <w:szCs w:val="20"/>
                <w:vertAlign w:val="superscript"/>
                <w:lang w:val="fr-CA"/>
              </w:rPr>
              <w:t>me</w:t>
            </w:r>
            <w:r w:rsidRPr="00AA6F74">
              <w:rPr>
                <w:sz w:val="20"/>
                <w:szCs w:val="20"/>
                <w:lang w:val="fr-CA"/>
              </w:rPr>
              <w:t> Richardson voulait que les enfants emménagent avec elle à Ottawa, où elle prévoyait déménager. L’évaluateur a recommandé que les enfants demeurent dans la région de Niagara et que les parties en aient la garde partagée. Les parties ont accepté cette recommandation et réglé la question par ordonnance sur consentement en 2016. À l’époque, les deux parties possédaient des résidences dans la région de Niagara, et M</w:t>
            </w:r>
            <w:r w:rsidRPr="00AA6F74">
              <w:rPr>
                <w:sz w:val="20"/>
                <w:szCs w:val="20"/>
                <w:vertAlign w:val="superscript"/>
                <w:lang w:val="fr-CA"/>
              </w:rPr>
              <w:t>me</w:t>
            </w:r>
            <w:r w:rsidRPr="00AA6F74">
              <w:rPr>
                <w:sz w:val="20"/>
                <w:szCs w:val="20"/>
                <w:lang w:val="fr-CA"/>
              </w:rPr>
              <w:t> Richardson partageait son temps entre la région de Niagara et celle d’Ottawa, où elle possédait une maison avec son nouvel époux.</w:t>
            </w:r>
          </w:p>
          <w:p w:rsidR="006C1EBE" w:rsidRPr="00AA6F74" w:rsidRDefault="006C1EBE" w:rsidP="002E545B">
            <w:pPr>
              <w:pStyle w:val="aparanumbering"/>
              <w:spacing w:before="0" w:beforeAutospacing="0" w:after="0" w:afterAutospacing="0"/>
              <w:jc w:val="both"/>
              <w:rPr>
                <w:sz w:val="20"/>
                <w:szCs w:val="20"/>
                <w:lang w:val="fr-CA"/>
              </w:rPr>
            </w:pPr>
          </w:p>
        </w:tc>
      </w:tr>
      <w:tr w:rsidR="006C1EBE" w:rsidRPr="002A25F4" w:rsidTr="002E545B">
        <w:trPr>
          <w:trHeight w:val="2091"/>
        </w:trPr>
        <w:tc>
          <w:tcPr>
            <w:tcW w:w="5000" w:type="pct"/>
            <w:gridSpan w:val="4"/>
          </w:tcPr>
          <w:p w:rsidR="006C1EBE" w:rsidRPr="00AA6F74" w:rsidRDefault="006C1EBE" w:rsidP="002E545B">
            <w:pPr>
              <w:pStyle w:val="aparanumbering"/>
              <w:spacing w:before="0" w:beforeAutospacing="0" w:after="0" w:afterAutospacing="0"/>
              <w:jc w:val="both"/>
              <w:rPr>
                <w:sz w:val="20"/>
                <w:szCs w:val="20"/>
                <w:lang w:val="fr-CA"/>
              </w:rPr>
            </w:pPr>
            <w:r w:rsidRPr="00AA6F74">
              <w:rPr>
                <w:sz w:val="20"/>
                <w:szCs w:val="20"/>
                <w:lang w:val="fr-CA"/>
              </w:rPr>
              <w:t>En juillet 2017, M</w:t>
            </w:r>
            <w:r w:rsidRPr="00AA6F74">
              <w:rPr>
                <w:sz w:val="20"/>
                <w:szCs w:val="20"/>
                <w:vertAlign w:val="superscript"/>
                <w:lang w:val="fr-CA"/>
              </w:rPr>
              <w:t>me</w:t>
            </w:r>
            <w:r w:rsidRPr="00AA6F74">
              <w:rPr>
                <w:sz w:val="20"/>
                <w:szCs w:val="20"/>
                <w:lang w:val="fr-CA"/>
              </w:rPr>
              <w:t> Richardson a vendu sa résidence de Niagara et déménagé à Ottawa. Elle a déposé une motion pour faire modifier l’ordonnance sur consentement au motif qu’il serait dans l’intérêt véritable des enfants qu’ils demeurent principalement avec elle à Ottawa. Les parties ne sont pas parvenues à s’entendre sur la question, qui a été instruite. Le troisième jour du procès, les avocats des parties ont présenté au juge de première instance une proposition de règlement selon laquelle les enfants déménageraient de leur maison située dans la région de Niagara à Ottawa pour vivre principalement avec leur mère. Le juge de première instance n’a pas accepté les modalités du procès</w:t>
            </w:r>
            <w:r w:rsidRPr="00AA6F74">
              <w:rPr>
                <w:sz w:val="20"/>
                <w:szCs w:val="20"/>
                <w:lang w:val="fr-CA"/>
              </w:rPr>
              <w:noBreakHyphen/>
              <w:t>verbal de règlement et a affirmé vouloir entendre tous les témoignages. Le procès a suivi son cours. Le juge de première instance a décidé que les enfants ne déménageraient pas à Ottawa. La Cour d’appel a confirmé à la majorité cette décision.</w:t>
            </w:r>
          </w:p>
          <w:p w:rsidR="006C1EBE" w:rsidRPr="00AA6F74" w:rsidRDefault="006C1EBE" w:rsidP="002E545B">
            <w:pPr>
              <w:pStyle w:val="aparanumbering"/>
              <w:spacing w:before="0" w:beforeAutospacing="0" w:after="0" w:afterAutospacing="0"/>
              <w:jc w:val="both"/>
              <w:rPr>
                <w:sz w:val="20"/>
                <w:szCs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8 avril 2019</w:t>
            </w:r>
          </w:p>
          <w:p w:rsidR="006C1EBE" w:rsidRPr="00AA6F74" w:rsidRDefault="006C1EBE" w:rsidP="002E545B">
            <w:pPr>
              <w:jc w:val="both"/>
              <w:rPr>
                <w:sz w:val="20"/>
                <w:lang w:val="fr-CA"/>
              </w:rPr>
            </w:pPr>
            <w:r w:rsidRPr="00AA6F74">
              <w:rPr>
                <w:sz w:val="20"/>
                <w:lang w:val="fr-CA"/>
              </w:rPr>
              <w:t xml:space="preserve">Cour supérieure de justice de l’Ontario </w:t>
            </w:r>
          </w:p>
          <w:p w:rsidR="006C1EBE" w:rsidRPr="00AA6F74" w:rsidRDefault="006C1EBE" w:rsidP="002E545B">
            <w:pPr>
              <w:jc w:val="both"/>
              <w:rPr>
                <w:sz w:val="20"/>
              </w:rPr>
            </w:pPr>
            <w:r w:rsidRPr="00AA6F74">
              <w:rPr>
                <w:sz w:val="20"/>
              </w:rPr>
              <w:t>(Juge Ramsay)</w:t>
            </w:r>
          </w:p>
          <w:p w:rsidR="006C1EBE" w:rsidRPr="00AA6F74" w:rsidRDefault="006C1EBE" w:rsidP="002E545B">
            <w:pPr>
              <w:jc w:val="both"/>
              <w:rPr>
                <w:sz w:val="20"/>
              </w:rPr>
            </w:pPr>
            <w:r w:rsidRPr="00AA6F74">
              <w:rPr>
                <w:sz w:val="20"/>
              </w:rPr>
              <w:t>2019 ONSC 2175</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 xml:space="preserve">Modalités du procès-verbal de règlement rejetées par le juge de première instance, qui ordonne que les enfants vivent principalement avec le père </w:t>
            </w:r>
          </w:p>
          <w:p w:rsidR="006C1EBE" w:rsidRPr="00AA6F74" w:rsidRDefault="006C1EBE" w:rsidP="002E545B">
            <w:pPr>
              <w:jc w:val="both"/>
              <w:rPr>
                <w:sz w:val="20"/>
                <w:lang w:val="fr-CA"/>
              </w:rPr>
            </w:pP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13 décembre 2019</w:t>
            </w:r>
          </w:p>
          <w:p w:rsidR="006C1EBE" w:rsidRPr="00AA6F74" w:rsidRDefault="006C1EBE" w:rsidP="002E545B">
            <w:pPr>
              <w:jc w:val="both"/>
              <w:rPr>
                <w:sz w:val="20"/>
                <w:lang w:val="fr-CA"/>
              </w:rPr>
            </w:pPr>
            <w:r w:rsidRPr="00AA6F74">
              <w:rPr>
                <w:sz w:val="20"/>
                <w:lang w:val="fr-CA"/>
              </w:rPr>
              <w:t>Cour d’appel de l’Ontario</w:t>
            </w:r>
          </w:p>
          <w:p w:rsidR="006C1EBE" w:rsidRPr="00AA6F74" w:rsidRDefault="006C1EBE" w:rsidP="002E545B">
            <w:pPr>
              <w:jc w:val="both"/>
              <w:rPr>
                <w:sz w:val="20"/>
                <w:lang w:val="fr-CA"/>
              </w:rPr>
            </w:pPr>
            <w:r w:rsidRPr="00AA6F74">
              <w:rPr>
                <w:sz w:val="20"/>
                <w:lang w:val="fr-CA"/>
              </w:rPr>
              <w:t xml:space="preserve">(Juges Rouleau, Huscroft et Nordheimer </w:t>
            </w:r>
          </w:p>
          <w:p w:rsidR="006C1EBE" w:rsidRPr="00AA6F74" w:rsidRDefault="006C1EBE" w:rsidP="002E545B">
            <w:pPr>
              <w:jc w:val="both"/>
              <w:rPr>
                <w:sz w:val="20"/>
              </w:rPr>
            </w:pPr>
            <w:r w:rsidRPr="00AA6F74">
              <w:rPr>
                <w:sz w:val="20"/>
              </w:rPr>
              <w:t>[dissident])</w:t>
            </w:r>
          </w:p>
          <w:p w:rsidR="006C1EBE" w:rsidRPr="00AA6F74" w:rsidRDefault="002A25F4" w:rsidP="002E545B">
            <w:pPr>
              <w:jc w:val="both"/>
              <w:rPr>
                <w:sz w:val="20"/>
              </w:rPr>
            </w:pPr>
            <w:hyperlink r:id="rId20" w:history="1">
              <w:r w:rsidR="006C1EBE" w:rsidRPr="00AA6F74">
                <w:rPr>
                  <w:rStyle w:val="Hyperlink"/>
                  <w:sz w:val="20"/>
                </w:rPr>
                <w:t>2019 ONCA 983</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 xml:space="preserve">Rejet de l’appel de la demanderesse </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rPr>
            </w:pPr>
            <w:r w:rsidRPr="00AA6F74">
              <w:rPr>
                <w:sz w:val="20"/>
              </w:rPr>
              <w:t>7 avril 2020</w:t>
            </w:r>
          </w:p>
          <w:p w:rsidR="006C1EBE" w:rsidRPr="00AA6F74" w:rsidRDefault="006C1EBE" w:rsidP="002E545B">
            <w:pPr>
              <w:jc w:val="both"/>
              <w:rPr>
                <w:sz w:val="20"/>
              </w:rPr>
            </w:pPr>
            <w:r w:rsidRPr="00AA6F74">
              <w:rPr>
                <w:sz w:val="20"/>
              </w:rPr>
              <w:t>Cour suprême du Canada</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 xml:space="preserve">Dépôt d’une requête en prorogation de délai pour signifier et déposer la demande d’autorisation d’appel ainsi que de la demande d’autorisation d’appel </w:t>
            </w:r>
          </w:p>
        </w:tc>
      </w:tr>
    </w:tbl>
    <w:p w:rsidR="006C1EBE" w:rsidRPr="00AA6F74" w:rsidRDefault="006C1EBE" w:rsidP="006C1EBE">
      <w:pPr>
        <w:jc w:val="both"/>
        <w:rPr>
          <w:sz w:val="20"/>
          <w:lang w:val="fr-CA"/>
        </w:rPr>
      </w:pPr>
    </w:p>
    <w:p w:rsidR="006C1EBE" w:rsidRPr="00AA6F74" w:rsidRDefault="002A25F4" w:rsidP="006C1EBE">
      <w:pPr>
        <w:jc w:val="both"/>
        <w:rPr>
          <w:sz w:val="20"/>
          <w:lang w:val="fr-CA"/>
        </w:rPr>
      </w:pPr>
      <w:r>
        <w:rPr>
          <w:sz w:val="20"/>
        </w:rPr>
        <w:pict>
          <v:rect id="_x0000_i1040" style="width:2in;height:1pt" o:hrpct="0" o:hralign="center" o:hrstd="t" o:hrnoshade="t" o:hr="t" fillcolor="black [3213]" stroked="f"/>
        </w:pict>
      </w:r>
    </w:p>
    <w:p w:rsidR="006C1EBE" w:rsidRPr="00AA6F74" w:rsidRDefault="006C1EBE" w:rsidP="006C1EBE">
      <w:pPr>
        <w:widowControl w:val="0"/>
        <w:jc w:val="both"/>
        <w:rPr>
          <w:sz w:val="20"/>
          <w:lang w:val="fr-CA"/>
        </w:rPr>
      </w:pPr>
    </w:p>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lastRenderedPageBreak/>
              <w:t>39317</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BC Government and Service Employees’ Union (BCGEU) v. Bryce J. Casavant</w:t>
            </w:r>
          </w:p>
          <w:p w:rsidR="006C1EBE" w:rsidRPr="00AA6F74" w:rsidRDefault="006C1EBE" w:rsidP="002E545B">
            <w:pPr>
              <w:pStyle w:val="SCCLsocParty"/>
              <w:jc w:val="both"/>
              <w:rPr>
                <w:b/>
                <w:sz w:val="20"/>
                <w:szCs w:val="20"/>
                <w:lang w:val="en-US"/>
              </w:rPr>
            </w:pPr>
            <w:r w:rsidRPr="00AA6F74">
              <w:rPr>
                <w:b/>
                <w:sz w:val="20"/>
                <w:szCs w:val="20"/>
                <w:lang w:val="en-US"/>
              </w:rPr>
              <w:t>- and –</w:t>
            </w:r>
          </w:p>
          <w:p w:rsidR="006C1EBE" w:rsidRPr="00AA6F74" w:rsidRDefault="006C1EBE" w:rsidP="002E545B">
            <w:pPr>
              <w:pStyle w:val="SCCLsocParty"/>
              <w:jc w:val="both"/>
              <w:rPr>
                <w:b/>
                <w:sz w:val="20"/>
                <w:szCs w:val="20"/>
                <w:lang w:val="en-US"/>
              </w:rPr>
            </w:pPr>
            <w:r w:rsidRPr="00AA6F74">
              <w:rPr>
                <w:b/>
                <w:sz w:val="20"/>
                <w:szCs w:val="20"/>
                <w:lang w:val="en-US"/>
              </w:rPr>
              <w:t>British Columbia Labour Relations Board</w:t>
            </w:r>
          </w:p>
          <w:p w:rsidR="006C1EBE" w:rsidRPr="00AA6F74" w:rsidRDefault="006C1EBE" w:rsidP="002E545B">
            <w:pPr>
              <w:jc w:val="both"/>
              <w:rPr>
                <w:sz w:val="20"/>
              </w:rPr>
            </w:pPr>
            <w:r w:rsidRPr="00AA6F74">
              <w:rPr>
                <w:sz w:val="20"/>
              </w:rPr>
              <w:t>(B.C.) (Civil) (By Leave)</w:t>
            </w:r>
          </w:p>
        </w:tc>
      </w:tr>
      <w:tr w:rsidR="006C1EBE" w:rsidRPr="00AA6F74" w:rsidTr="002E545B">
        <w:tc>
          <w:tcPr>
            <w:tcW w:w="5000" w:type="pct"/>
            <w:gridSpan w:val="4"/>
          </w:tcPr>
          <w:p w:rsidR="002E545B" w:rsidRPr="00AA6F74" w:rsidRDefault="002E545B" w:rsidP="002E545B">
            <w:pPr>
              <w:jc w:val="both"/>
              <w:rPr>
                <w:sz w:val="20"/>
                <w:szCs w:val="20"/>
              </w:rPr>
            </w:pPr>
            <w:r w:rsidRPr="00AA6F74">
              <w:rPr>
                <w:sz w:val="20"/>
                <w:szCs w:val="20"/>
                <w:lang w:eastAsia="en-CA"/>
              </w:rPr>
              <w:t>The motion for leave to intervene by the Government of British Columbia as Represented by the Public Service Agency is dismissed.</w:t>
            </w:r>
            <w:r w:rsidRPr="00AA6F74">
              <w:rPr>
                <w:sz w:val="20"/>
                <w:szCs w:val="20"/>
              </w:rPr>
              <w:t xml:space="preserve"> The application for leave to appeal from the judgment of the Court of Appeal for British Columbia (Vancouver), Number CA46376, 2020 BCCA 159, dated June 4, 2020, is </w:t>
            </w:r>
            <w:r w:rsidRPr="00AA6F74">
              <w:rPr>
                <w:sz w:val="20"/>
                <w:szCs w:val="20"/>
                <w:lang w:eastAsia="en-CA"/>
              </w:rPr>
              <w:t>dismissed with costs to the respondent, Bryce J. Casavant.</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Administrative law — Boards and tribunals — Jurisdiction — Appeal of judicial review — Remedial discretion — Dismissed employee raising issue of labour relations board’s jurisdiction directly for the first time on judicial review — Reviewing court refusing to exercise discretion to review question of jurisdiction — Court of Appeal holding that answer to question of jurisdiction inevitable and declaring that labour arbitrator and labour relations board had no jurisdiction to address dismissal — What is the proper role of administrative decision makers and reviewing courts when addressing jurisdictional issues that were not squarely raised before the administrative tribunal? — To what extent are administrative tribunals and the parties before them required to anticipate and explore potential arguments?</w:t>
            </w:r>
          </w:p>
        </w:tc>
      </w:tr>
      <w:tr w:rsidR="006C1EBE" w:rsidRPr="00AA6F74" w:rsidTr="002E545B">
        <w:tc>
          <w:tcPr>
            <w:tcW w:w="5000" w:type="pct"/>
            <w:gridSpan w:val="4"/>
          </w:tcPr>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 xml:space="preserve">The respondent, Mr. Casavant, was dismissed from his position as a conservation officer after refusing to follow an order from his supervisor. His challenge to that dismissal set in motion a series of proceedings under the </w:t>
            </w:r>
            <w:r w:rsidRPr="00AA6F74">
              <w:rPr>
                <w:i/>
                <w:sz w:val="20"/>
              </w:rPr>
              <w:t>Labour Relations Code</w:t>
            </w:r>
            <w:r w:rsidRPr="00AA6F74">
              <w:rPr>
                <w:sz w:val="20"/>
              </w:rPr>
              <w:t xml:space="preserve">, R.S.B.C. 1996, c. 244. Ultimately, the Labour Relations Board (the “Board”) dismissed his application for reconsideration. On judicial review of that decision, Mr. Casavant clearly raised a jurisdictional challenge to the Board for the first time. He argued that, based on the nature of his employment as a Special Provincial Constable, all disciplinary proceedings should have proceeded in accordance with the </w:t>
            </w:r>
            <w:r w:rsidRPr="00AA6F74">
              <w:rPr>
                <w:i/>
                <w:sz w:val="20"/>
              </w:rPr>
              <w:t>Police Act</w:t>
            </w:r>
            <w:r w:rsidRPr="00AA6F74">
              <w:rPr>
                <w:sz w:val="20"/>
              </w:rPr>
              <w:t xml:space="preserve">, R.S.B.C. 1996, c. 367, and the </w:t>
            </w:r>
            <w:r w:rsidRPr="00AA6F74">
              <w:rPr>
                <w:i/>
                <w:sz w:val="20"/>
              </w:rPr>
              <w:t>Special Provincial Constable Complaint Procedure Regulation</w:t>
            </w:r>
            <w:r w:rsidRPr="00AA6F74">
              <w:rPr>
                <w:sz w:val="20"/>
              </w:rPr>
              <w:t>, BC Reg. 206/98. The reviewing judge declined to address the question and dismissed the application. The Court of Appeal allowed Mr. Casavant’s appeal. It concluded that the reviewing judge erred in the exercise of her discretion not to address the jurisdictional question. It held that the inevitable answer to the question of the Board’s jurisdiction was that it had no jurisdiction to address Mr. Casavant’s dismissal; it was settled law that a labour board does not have jurisdiction to deal with a police disciplinary matter governed by a distinct process. It declared the proceedings before the Board and the arbitrator a nullity.</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February 7, 2018</w:t>
            </w:r>
          </w:p>
          <w:p w:rsidR="006C1EBE" w:rsidRPr="00AA6F74" w:rsidRDefault="006C1EBE" w:rsidP="002E545B">
            <w:pPr>
              <w:jc w:val="both"/>
              <w:rPr>
                <w:sz w:val="20"/>
              </w:rPr>
            </w:pPr>
            <w:r w:rsidRPr="00AA6F74">
              <w:rPr>
                <w:sz w:val="20"/>
              </w:rPr>
              <w:t>British Columbia Labour Relations Board</w:t>
            </w:r>
          </w:p>
          <w:p w:rsidR="006C1EBE" w:rsidRPr="00AA6F74" w:rsidRDefault="006C1EBE" w:rsidP="002E545B">
            <w:pPr>
              <w:jc w:val="both"/>
              <w:rPr>
                <w:sz w:val="20"/>
              </w:rPr>
            </w:pPr>
            <w:r w:rsidRPr="00AA6F74">
              <w:rPr>
                <w:sz w:val="20"/>
              </w:rPr>
              <w:t>(Associate Chair Wilkins, Vice</w:t>
            </w:r>
            <w:r w:rsidRPr="00AA6F74">
              <w:rPr>
                <w:sz w:val="20"/>
              </w:rPr>
              <w:noBreakHyphen/>
              <w:t>Chair Kandola and Vice</w:t>
            </w:r>
            <w:r w:rsidRPr="00AA6F74">
              <w:rPr>
                <w:sz w:val="20"/>
              </w:rPr>
              <w:noBreakHyphen/>
              <w:t>Chair Miller)</w:t>
            </w:r>
          </w:p>
          <w:p w:rsidR="006C1EBE" w:rsidRPr="00AA6F74" w:rsidRDefault="006C1EBE" w:rsidP="002E545B">
            <w:pPr>
              <w:jc w:val="both"/>
              <w:rPr>
                <w:sz w:val="20"/>
              </w:rPr>
            </w:pPr>
            <w:r w:rsidRPr="00AA6F74">
              <w:rPr>
                <w:sz w:val="20"/>
              </w:rPr>
              <w:t xml:space="preserve">BCLRB No. B21/2018, </w:t>
            </w:r>
            <w:hyperlink r:id="rId21" w:history="1">
              <w:r w:rsidRPr="00AA6F74">
                <w:rPr>
                  <w:rStyle w:val="Hyperlink"/>
                  <w:sz w:val="20"/>
                </w:rPr>
                <w:t>2018 CanLII 5111</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Respondent’s application for reconsideration dismissed.</w:t>
            </w:r>
          </w:p>
        </w:tc>
      </w:tr>
      <w:tr w:rsidR="006C1EBE" w:rsidRPr="00AA6F74" w:rsidTr="002E545B">
        <w:tc>
          <w:tcPr>
            <w:tcW w:w="2427" w:type="pct"/>
            <w:gridSpan w:val="2"/>
          </w:tcPr>
          <w:p w:rsidR="006C1EBE" w:rsidRPr="00AA6F74" w:rsidRDefault="006C1EBE" w:rsidP="002E545B">
            <w:pPr>
              <w:jc w:val="both"/>
              <w:rPr>
                <w:sz w:val="20"/>
              </w:rPr>
            </w:pPr>
            <w:r w:rsidRPr="00AA6F74">
              <w:rPr>
                <w:sz w:val="20"/>
              </w:rPr>
              <w:t>August 23, 2019</w:t>
            </w:r>
          </w:p>
          <w:p w:rsidR="006C1EBE" w:rsidRPr="00AA6F74" w:rsidRDefault="006C1EBE" w:rsidP="002E545B">
            <w:pPr>
              <w:jc w:val="both"/>
              <w:rPr>
                <w:sz w:val="20"/>
              </w:rPr>
            </w:pPr>
            <w:r w:rsidRPr="00AA6F74">
              <w:rPr>
                <w:sz w:val="20"/>
              </w:rPr>
              <w:t>Supreme Court of British Columbia</w:t>
            </w:r>
          </w:p>
          <w:p w:rsidR="006C1EBE" w:rsidRPr="00AA6F74" w:rsidRDefault="006C1EBE" w:rsidP="002E545B">
            <w:pPr>
              <w:jc w:val="both"/>
              <w:rPr>
                <w:sz w:val="20"/>
              </w:rPr>
            </w:pPr>
            <w:r w:rsidRPr="00AA6F74">
              <w:rPr>
                <w:sz w:val="20"/>
              </w:rPr>
              <w:t>(MacNaughton J.)</w:t>
            </w:r>
          </w:p>
          <w:p w:rsidR="006C1EBE" w:rsidRPr="00AA6F74" w:rsidRDefault="002A25F4" w:rsidP="002E545B">
            <w:pPr>
              <w:jc w:val="both"/>
              <w:rPr>
                <w:sz w:val="20"/>
              </w:rPr>
            </w:pPr>
            <w:hyperlink r:id="rId22" w:history="1">
              <w:r w:rsidR="006C1EBE" w:rsidRPr="00AA6F74">
                <w:rPr>
                  <w:rStyle w:val="Hyperlink"/>
                  <w:sz w:val="20"/>
                </w:rPr>
                <w:t>2019 BCSC 1422</w:t>
              </w:r>
            </w:hyperlink>
            <w:r w:rsidR="006C1EBE" w:rsidRPr="00AA6F74">
              <w:rPr>
                <w:sz w:val="20"/>
              </w:rPr>
              <w:t xml:space="preserve"> </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Respondent’s application for judicial review dismissed.</w:t>
            </w:r>
          </w:p>
        </w:tc>
      </w:tr>
      <w:tr w:rsidR="006C1EBE" w:rsidRPr="00AA6F74" w:rsidTr="002E545B">
        <w:tc>
          <w:tcPr>
            <w:tcW w:w="2427" w:type="pct"/>
            <w:gridSpan w:val="2"/>
          </w:tcPr>
          <w:p w:rsidR="006C1EBE" w:rsidRPr="00AA6F74" w:rsidRDefault="006C1EBE" w:rsidP="002E545B">
            <w:pPr>
              <w:jc w:val="both"/>
              <w:rPr>
                <w:sz w:val="20"/>
              </w:rPr>
            </w:pPr>
            <w:r w:rsidRPr="00AA6F74">
              <w:rPr>
                <w:sz w:val="20"/>
              </w:rPr>
              <w:t>June 4, 2020</w:t>
            </w:r>
          </w:p>
          <w:p w:rsidR="006C1EBE" w:rsidRPr="00AA6F74" w:rsidRDefault="006C1EBE" w:rsidP="002E545B">
            <w:pPr>
              <w:jc w:val="both"/>
              <w:rPr>
                <w:sz w:val="20"/>
              </w:rPr>
            </w:pPr>
            <w:r w:rsidRPr="00AA6F74">
              <w:rPr>
                <w:sz w:val="20"/>
              </w:rPr>
              <w:t xml:space="preserve">Court of Appeal for British Columbia </w:t>
            </w:r>
          </w:p>
          <w:p w:rsidR="006C1EBE" w:rsidRPr="00AA6F74" w:rsidRDefault="006C1EBE" w:rsidP="002E545B">
            <w:pPr>
              <w:jc w:val="both"/>
              <w:rPr>
                <w:sz w:val="20"/>
              </w:rPr>
            </w:pPr>
            <w:r w:rsidRPr="00AA6F74">
              <w:rPr>
                <w:sz w:val="20"/>
              </w:rPr>
              <w:t>(Vancouver)</w:t>
            </w:r>
          </w:p>
          <w:p w:rsidR="006C1EBE" w:rsidRPr="00AA6F74" w:rsidRDefault="006C1EBE" w:rsidP="002E545B">
            <w:pPr>
              <w:jc w:val="both"/>
              <w:rPr>
                <w:sz w:val="20"/>
              </w:rPr>
            </w:pPr>
            <w:r w:rsidRPr="00AA6F74">
              <w:rPr>
                <w:sz w:val="20"/>
              </w:rPr>
              <w:t>(Willcock, Fenlon and Hunter JJ.A.)</w:t>
            </w:r>
          </w:p>
          <w:p w:rsidR="006C1EBE" w:rsidRPr="00AA6F74" w:rsidRDefault="002A25F4" w:rsidP="002E545B">
            <w:pPr>
              <w:jc w:val="both"/>
              <w:rPr>
                <w:sz w:val="20"/>
              </w:rPr>
            </w:pPr>
            <w:hyperlink r:id="rId23" w:history="1">
              <w:r w:rsidR="006C1EBE" w:rsidRPr="00AA6F74">
                <w:rPr>
                  <w:rStyle w:val="Hyperlink"/>
                  <w:sz w:val="20"/>
                </w:rPr>
                <w:t>2020 BCCA 159</w:t>
              </w:r>
            </w:hyperlink>
            <w:r w:rsidR="006C1EBE" w:rsidRPr="00AA6F74">
              <w:rPr>
                <w:sz w:val="20"/>
              </w:rPr>
              <w:t xml:space="preserve"> (Docket: CA46376)</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Respondent’s appeal allowed; proceedings before arbitrator and Labour Relations Board declared a nullity for lack of jurisdiction.</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September 3,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leave to appeal filed.</w:t>
            </w: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41"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lang w:val="fr-CA"/>
              </w:rPr>
            </w:pPr>
            <w:r w:rsidRPr="00AA6F74">
              <w:rPr>
                <w:rStyle w:val="SCCFileNumberChar"/>
                <w:sz w:val="20"/>
                <w:szCs w:val="20"/>
                <w:lang w:val="fr-CA"/>
              </w:rPr>
              <w:t>39317</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BC Government and Service Employees’ Union (BCGEU) c. Bryce J. Casavant</w:t>
            </w:r>
          </w:p>
          <w:p w:rsidR="006C1EBE" w:rsidRPr="00AA6F74" w:rsidRDefault="006C1EBE" w:rsidP="002E545B">
            <w:pPr>
              <w:pStyle w:val="SCCLsocParty"/>
              <w:jc w:val="both"/>
              <w:rPr>
                <w:b/>
                <w:sz w:val="20"/>
                <w:szCs w:val="20"/>
                <w:lang w:val="en-US"/>
              </w:rPr>
            </w:pPr>
            <w:r w:rsidRPr="00AA6F74">
              <w:rPr>
                <w:b/>
                <w:sz w:val="20"/>
                <w:szCs w:val="20"/>
                <w:lang w:val="en-US"/>
              </w:rPr>
              <w:t>- et –</w:t>
            </w:r>
          </w:p>
          <w:p w:rsidR="006C1EBE" w:rsidRPr="00AA6F74" w:rsidRDefault="006C1EBE" w:rsidP="002E545B">
            <w:pPr>
              <w:pStyle w:val="SCCLsocParty"/>
              <w:jc w:val="both"/>
              <w:rPr>
                <w:b/>
                <w:sz w:val="20"/>
                <w:szCs w:val="20"/>
                <w:lang w:val="en-US"/>
              </w:rPr>
            </w:pPr>
            <w:r w:rsidRPr="00AA6F74">
              <w:rPr>
                <w:b/>
                <w:sz w:val="20"/>
                <w:szCs w:val="20"/>
                <w:lang w:val="en-US"/>
              </w:rPr>
              <w:t>British Columbia Labour Relations Board</w:t>
            </w:r>
          </w:p>
          <w:p w:rsidR="006C1EBE" w:rsidRPr="00AA6F74" w:rsidRDefault="006C1EBE" w:rsidP="002E545B">
            <w:pPr>
              <w:jc w:val="both"/>
              <w:rPr>
                <w:sz w:val="20"/>
                <w:lang w:val="fr-CA"/>
              </w:rPr>
            </w:pPr>
            <w:r w:rsidRPr="00AA6F74">
              <w:rPr>
                <w:sz w:val="20"/>
                <w:lang w:val="fr-CA"/>
              </w:rPr>
              <w:t>(C.</w:t>
            </w:r>
            <w:r w:rsidRPr="00AA6F74">
              <w:rPr>
                <w:sz w:val="20"/>
                <w:lang w:val="fr-CA"/>
              </w:rPr>
              <w:noBreakHyphen/>
              <w:t>B.) (Civile) (Autorisation)</w:t>
            </w:r>
          </w:p>
        </w:tc>
      </w:tr>
      <w:tr w:rsidR="006C1EBE" w:rsidRPr="002A25F4" w:rsidTr="002E545B">
        <w:tc>
          <w:tcPr>
            <w:tcW w:w="5000" w:type="pct"/>
            <w:gridSpan w:val="4"/>
          </w:tcPr>
          <w:p w:rsidR="006C1EBE" w:rsidRPr="00AA6F74" w:rsidRDefault="002E545B" w:rsidP="002E545B">
            <w:pPr>
              <w:tabs>
                <w:tab w:val="left" w:pos="1307"/>
              </w:tabs>
              <w:jc w:val="both"/>
              <w:rPr>
                <w:sz w:val="20"/>
                <w:szCs w:val="20"/>
                <w:lang w:val="fr-CA"/>
              </w:rPr>
            </w:pPr>
            <w:r w:rsidRPr="00AA6F74">
              <w:rPr>
                <w:rFonts w:cs="Times New Roman"/>
                <w:sz w:val="20"/>
                <w:szCs w:val="20"/>
              </w:rPr>
              <w:t xml:space="preserve">La requête pour permission d’intervenir du </w:t>
            </w:r>
            <w:r w:rsidRPr="00AA6F74">
              <w:rPr>
                <w:sz w:val="20"/>
                <w:szCs w:val="20"/>
                <w:lang w:eastAsia="en-CA"/>
              </w:rPr>
              <w:t xml:space="preserve">Government of British Columbia as Represented by the Public Service Agency </w:t>
            </w:r>
            <w:r w:rsidRPr="00AA6F74">
              <w:rPr>
                <w:rFonts w:cs="Times New Roman"/>
                <w:sz w:val="20"/>
                <w:szCs w:val="20"/>
              </w:rPr>
              <w:t xml:space="preserve">est rejetée. </w:t>
            </w:r>
            <w:r w:rsidRPr="00AA6F74">
              <w:rPr>
                <w:sz w:val="20"/>
                <w:szCs w:val="20"/>
                <w:lang w:val="fr-CA"/>
              </w:rPr>
              <w:t>La demande d’autorisation d’appel de l’arrêt de la Cour d’appel de la Colombie-Britannique (Vancouver), numéro CA46376, 2020 BCCA 159, daté du 4 juin 2020, est rejetée avec dépens en faveur de l’intimé, Bryce J. Casavant.</w:t>
            </w:r>
          </w:p>
          <w:p w:rsidR="002E545B" w:rsidRPr="00AA6F74" w:rsidRDefault="002E545B" w:rsidP="002E545B">
            <w:pPr>
              <w:tabs>
                <w:tab w:val="left" w:pos="1307"/>
              </w:tabs>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Droit administratif — Organismes et tribunaux administratifs — Compétence — Appel d’un contrôle judiciaire — Pouvoir discrétionnaire de réparation — Un employé congédié soulève directement et pour la première fois la question de la compétence de la commission des relations de travail lors du contrôle judiciaire — Le tribunal saisi du contrôle judiciaire refuse d’exercer son pouvoir discrétionnaire pour examiner la question de la compétence — La Cour d’appel a statué que la réponse à la question de compétence était inéluctable et a déclaré que l’arbitre du travail et la commission des relations de travail n’avaient pas compétence pour se pencher sur le congédiement — Quel rôle est dévolu aux décideurs administratifs et aux tribunaux saisis du contrôle judiciaire lorsqu’ils se penchent sur des questions de compétence qui n’ont pas été soulevées explicitement devant le tribunal administratif? — Dans quelle mesure les tribunaux administratifs et les parties devant eux sont-ils tenus de prévoir et d’analyser des arguments éventuels?</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 xml:space="preserve">L’intimé, M. Casavant, a été congédié de son poste d’agent de conservation après qu’il eut refusé d’obéir à un ordre de son superviseur. Sa contestation de ce congédiement a mis en branle une série d’instances sous le régime du </w:t>
            </w:r>
            <w:r w:rsidRPr="00AA6F74">
              <w:rPr>
                <w:i/>
                <w:sz w:val="20"/>
                <w:lang w:val="fr-CA"/>
              </w:rPr>
              <w:t>Labour Relations Code</w:t>
            </w:r>
            <w:r w:rsidRPr="00AA6F74">
              <w:rPr>
                <w:sz w:val="20"/>
                <w:lang w:val="fr-CA"/>
              </w:rPr>
              <w:t xml:space="preserve">, R.S.B.C. 1996, ch. 244. À la fin, la </w:t>
            </w:r>
            <w:r w:rsidRPr="00AA6F74">
              <w:rPr>
                <w:i/>
                <w:sz w:val="20"/>
                <w:lang w:val="fr-CA"/>
              </w:rPr>
              <w:t>Labour Relations Board</w:t>
            </w:r>
            <w:r w:rsidRPr="00AA6F74">
              <w:rPr>
                <w:sz w:val="20"/>
                <w:lang w:val="fr-CA"/>
              </w:rPr>
              <w:t xml:space="preserve"> (la « Commission ») a rejeté sa demande de réexamen. Lors du contrôle judiciaire de cette décision, M. Casavant a clairement soulevé la question de la compétence de la Commission pour la première fois. Il a plaidé qu’en raison de la nature de son emploi comme constable spécial provincial, toutes les procédures disciplinaires auraient dû se faire en application de la </w:t>
            </w:r>
            <w:r w:rsidRPr="00AA6F74">
              <w:rPr>
                <w:i/>
                <w:sz w:val="20"/>
                <w:lang w:val="fr-CA"/>
              </w:rPr>
              <w:t>Police Act</w:t>
            </w:r>
            <w:r w:rsidRPr="00AA6F74">
              <w:rPr>
                <w:sz w:val="20"/>
                <w:lang w:val="fr-CA"/>
              </w:rPr>
              <w:t xml:space="preserve">, R.S.B.C. 1996, ch. 367, et du </w:t>
            </w:r>
            <w:r w:rsidRPr="00AA6F74">
              <w:rPr>
                <w:i/>
                <w:sz w:val="20"/>
                <w:lang w:val="fr-CA"/>
              </w:rPr>
              <w:t>Special Provincial Constable Complaint Procedure Regulation</w:t>
            </w:r>
            <w:r w:rsidRPr="00AA6F74">
              <w:rPr>
                <w:sz w:val="20"/>
                <w:lang w:val="fr-CA"/>
              </w:rPr>
              <w:t>, BC Reg. 206/98. La juge saisie du contrôle judiciaire a refusé de se pencher sur la question et a rejeté la demande. La Cour d’appel a accueilli l’appel de M. Casavant. Elle a conclu que la juge saisie du contrôle judiciaire avait commis une erreur dans l’exercice de son pouvoir discrétionnaire en ne se penchant pas sur la question de la compétence. Elle a conclu que la réponse inéluctable à la question de la compétence de la Commission était que celle</w:t>
            </w:r>
            <w:r w:rsidRPr="00AA6F74">
              <w:rPr>
                <w:sz w:val="20"/>
                <w:lang w:val="fr-CA"/>
              </w:rPr>
              <w:noBreakHyphen/>
              <w:t>ci n’avait pas compétence pour se pencher sur le congédiement de M. Casavant; il était acquis qu’une commission de travail n’a pas compétence pour traiter un dossier disciplinaire de la police régi par un processus distinct. Elle a prononcé la nullité des procédures devant la Commission et l’arbitre.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rPr>
            </w:pPr>
            <w:r w:rsidRPr="00AA6F74">
              <w:rPr>
                <w:sz w:val="20"/>
              </w:rPr>
              <w:t>7 février 2018</w:t>
            </w:r>
          </w:p>
          <w:p w:rsidR="006C1EBE" w:rsidRPr="00AA6F74" w:rsidRDefault="006C1EBE" w:rsidP="002E545B">
            <w:pPr>
              <w:jc w:val="both"/>
              <w:rPr>
                <w:sz w:val="20"/>
              </w:rPr>
            </w:pPr>
            <w:r w:rsidRPr="00AA6F74">
              <w:rPr>
                <w:sz w:val="20"/>
              </w:rPr>
              <w:t>British Columbia Labour Relations Board</w:t>
            </w:r>
          </w:p>
          <w:p w:rsidR="006C1EBE" w:rsidRPr="00AA6F74" w:rsidRDefault="006C1EBE" w:rsidP="002E545B">
            <w:pPr>
              <w:jc w:val="both"/>
              <w:rPr>
                <w:sz w:val="20"/>
                <w:lang w:val="fr-CA"/>
              </w:rPr>
            </w:pPr>
            <w:r w:rsidRPr="00AA6F74">
              <w:rPr>
                <w:sz w:val="20"/>
                <w:lang w:val="fr-CA"/>
              </w:rPr>
              <w:t>(Président adjoint Wilkins, vice</w:t>
            </w:r>
            <w:r w:rsidRPr="00AA6F74">
              <w:rPr>
                <w:sz w:val="20"/>
                <w:lang w:val="fr-CA"/>
              </w:rPr>
              <w:noBreakHyphen/>
              <w:t>présidente Kandola et vice</w:t>
            </w:r>
            <w:r w:rsidRPr="00AA6F74">
              <w:rPr>
                <w:sz w:val="20"/>
                <w:lang w:val="fr-CA"/>
              </w:rPr>
              <w:noBreakHyphen/>
              <w:t>présidente Miller)</w:t>
            </w:r>
          </w:p>
          <w:p w:rsidR="006C1EBE" w:rsidRPr="00AA6F74" w:rsidRDefault="006C1EBE" w:rsidP="002E545B">
            <w:pPr>
              <w:jc w:val="both"/>
              <w:rPr>
                <w:sz w:val="20"/>
                <w:lang w:val="fr-CA"/>
              </w:rPr>
            </w:pPr>
            <w:r w:rsidRPr="00AA6F74">
              <w:rPr>
                <w:sz w:val="20"/>
                <w:lang w:val="fr-CA"/>
              </w:rPr>
              <w:t xml:space="preserve">BCLRB No. B21/2018, </w:t>
            </w:r>
            <w:hyperlink r:id="rId24" w:history="1">
              <w:r w:rsidRPr="00AA6F74">
                <w:rPr>
                  <w:rStyle w:val="Hyperlink"/>
                  <w:sz w:val="20"/>
                  <w:lang w:val="fr-CA"/>
                </w:rPr>
                <w:t>2018 CanLII 5111</w:t>
              </w:r>
            </w:hyperlink>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Rejet de la demande de l’intimé en réexamen.</w:t>
            </w: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23 août 2019</w:t>
            </w:r>
          </w:p>
          <w:p w:rsidR="006C1EBE" w:rsidRPr="00AA6F74" w:rsidRDefault="006C1EBE" w:rsidP="002E545B">
            <w:pPr>
              <w:jc w:val="both"/>
              <w:rPr>
                <w:sz w:val="20"/>
                <w:lang w:val="fr-CA"/>
              </w:rPr>
            </w:pPr>
            <w:r w:rsidRPr="00AA6F74">
              <w:rPr>
                <w:sz w:val="20"/>
                <w:lang w:val="fr-CA"/>
              </w:rPr>
              <w:t>Cour suprême de la Colombie</w:t>
            </w:r>
            <w:r w:rsidRPr="00AA6F74">
              <w:rPr>
                <w:sz w:val="20"/>
                <w:lang w:val="fr-CA"/>
              </w:rPr>
              <w:noBreakHyphen/>
              <w:t>Britannique</w:t>
            </w:r>
          </w:p>
          <w:p w:rsidR="006C1EBE" w:rsidRPr="00AA6F74" w:rsidRDefault="006C1EBE" w:rsidP="002E545B">
            <w:pPr>
              <w:jc w:val="both"/>
              <w:rPr>
                <w:sz w:val="20"/>
                <w:lang w:val="fr-CA"/>
              </w:rPr>
            </w:pPr>
            <w:r w:rsidRPr="00AA6F74">
              <w:rPr>
                <w:sz w:val="20"/>
                <w:lang w:val="fr-CA"/>
              </w:rPr>
              <w:t>(Juge MacNaughton)</w:t>
            </w:r>
          </w:p>
          <w:p w:rsidR="006C1EBE" w:rsidRPr="00AA6F74" w:rsidRDefault="002A25F4" w:rsidP="002E545B">
            <w:pPr>
              <w:jc w:val="both"/>
              <w:rPr>
                <w:sz w:val="20"/>
                <w:lang w:val="fr-CA"/>
              </w:rPr>
            </w:pPr>
            <w:hyperlink r:id="rId25" w:history="1">
              <w:r w:rsidR="006C1EBE" w:rsidRPr="00AA6F74">
                <w:rPr>
                  <w:rStyle w:val="Hyperlink"/>
                  <w:sz w:val="20"/>
                  <w:lang w:val="fr-CA"/>
                </w:rPr>
                <w:t>2019 BCSC 1422</w:t>
              </w:r>
            </w:hyperlink>
            <w:r w:rsidR="006C1EBE" w:rsidRPr="00AA6F74">
              <w:rPr>
                <w:sz w:val="20"/>
                <w:lang w:val="fr-CA"/>
              </w:rPr>
              <w:t xml:space="preserve"> </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Rejet de la demande de l’intimé en contrôle judiciaire.</w:t>
            </w: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4 juin 2020</w:t>
            </w:r>
          </w:p>
          <w:p w:rsidR="006C1EBE" w:rsidRPr="00AA6F74" w:rsidRDefault="006C1EBE" w:rsidP="002E545B">
            <w:pPr>
              <w:jc w:val="both"/>
              <w:rPr>
                <w:sz w:val="20"/>
                <w:lang w:val="fr-CA"/>
              </w:rPr>
            </w:pPr>
            <w:r w:rsidRPr="00AA6F74">
              <w:rPr>
                <w:sz w:val="20"/>
                <w:lang w:val="fr-CA"/>
              </w:rPr>
              <w:t>Cour d’appel de la Colombie</w:t>
            </w:r>
            <w:r w:rsidRPr="00AA6F74">
              <w:rPr>
                <w:sz w:val="20"/>
                <w:lang w:val="fr-CA"/>
              </w:rPr>
              <w:noBreakHyphen/>
              <w:t>Britannique</w:t>
            </w:r>
          </w:p>
          <w:p w:rsidR="006C1EBE" w:rsidRPr="00AA6F74" w:rsidRDefault="006C1EBE" w:rsidP="002E545B">
            <w:pPr>
              <w:jc w:val="both"/>
              <w:rPr>
                <w:sz w:val="20"/>
                <w:lang w:val="fr-CA"/>
              </w:rPr>
            </w:pPr>
            <w:r w:rsidRPr="00AA6F74">
              <w:rPr>
                <w:sz w:val="20"/>
                <w:lang w:val="fr-CA"/>
              </w:rPr>
              <w:t>(Vancouver)</w:t>
            </w:r>
          </w:p>
          <w:p w:rsidR="006C1EBE" w:rsidRPr="00AA6F74" w:rsidRDefault="006C1EBE" w:rsidP="002E545B">
            <w:pPr>
              <w:jc w:val="both"/>
              <w:rPr>
                <w:sz w:val="20"/>
                <w:lang w:val="fr-CA"/>
              </w:rPr>
            </w:pPr>
            <w:r w:rsidRPr="00AA6F74">
              <w:rPr>
                <w:sz w:val="20"/>
                <w:lang w:val="fr-CA"/>
              </w:rPr>
              <w:t>(Juges Willcock, Fenlon et Hunter)</w:t>
            </w:r>
          </w:p>
          <w:p w:rsidR="006C1EBE" w:rsidRPr="00AA6F74" w:rsidRDefault="002A25F4" w:rsidP="002E545B">
            <w:pPr>
              <w:jc w:val="both"/>
              <w:rPr>
                <w:sz w:val="20"/>
                <w:lang w:val="fr-CA"/>
              </w:rPr>
            </w:pPr>
            <w:hyperlink r:id="rId26" w:history="1">
              <w:r w:rsidR="006C1EBE" w:rsidRPr="00AA6F74">
                <w:rPr>
                  <w:rStyle w:val="Hyperlink"/>
                  <w:sz w:val="20"/>
                  <w:lang w:val="fr-CA"/>
                </w:rPr>
                <w:t>2020 BCCA 159</w:t>
              </w:r>
            </w:hyperlink>
            <w:r w:rsidR="006C1EBE" w:rsidRPr="00AA6F74">
              <w:rPr>
                <w:sz w:val="20"/>
                <w:lang w:val="fr-CA"/>
              </w:rPr>
              <w:t xml:space="preserve"> (Dossier CA46376)</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 xml:space="preserve">Arrêt accueillant l’appel de l’intimé et prononçant la nullité des procédures devant l’arbitre et la </w:t>
            </w:r>
            <w:r w:rsidRPr="00AA6F74">
              <w:rPr>
                <w:i/>
                <w:sz w:val="20"/>
                <w:lang w:val="fr-CA"/>
              </w:rPr>
              <w:t>Labour Relations Board</w:t>
            </w:r>
            <w:r w:rsidRPr="00AA6F74">
              <w:rPr>
                <w:sz w:val="20"/>
                <w:lang w:val="fr-CA"/>
              </w:rPr>
              <w:t xml:space="preserve"> pour défaut de compétence.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lastRenderedPageBreak/>
              <w:t>3 septembre 2020</w:t>
            </w:r>
          </w:p>
          <w:p w:rsidR="006C1EBE" w:rsidRPr="00AA6F74" w:rsidRDefault="006C1EBE" w:rsidP="002E545B">
            <w:pPr>
              <w:jc w:val="both"/>
              <w:rPr>
                <w:sz w:val="20"/>
                <w:lang w:val="fr-CA"/>
              </w:rPr>
            </w:pPr>
            <w:r w:rsidRPr="00AA6F74">
              <w:rPr>
                <w:sz w:val="20"/>
                <w:lang w:val="fr-CA"/>
              </w:rPr>
              <w:t>Cour suprême du Canada</w:t>
            </w: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Dépôt de la demande d’autorisation d’appel.</w:t>
            </w:r>
          </w:p>
        </w:tc>
      </w:tr>
    </w:tbl>
    <w:p w:rsidR="006C1EBE" w:rsidRPr="00AA6F74" w:rsidRDefault="006C1EBE" w:rsidP="006C1EBE">
      <w:pPr>
        <w:jc w:val="both"/>
        <w:rPr>
          <w:sz w:val="20"/>
          <w:lang w:val="fr-CA"/>
        </w:rPr>
      </w:pPr>
    </w:p>
    <w:p w:rsidR="006C1EBE" w:rsidRPr="00AA6F74" w:rsidRDefault="002A25F4" w:rsidP="006C1EBE">
      <w:pPr>
        <w:jc w:val="both"/>
        <w:rPr>
          <w:sz w:val="20"/>
          <w:lang w:val="fr-CA"/>
        </w:rPr>
      </w:pPr>
      <w:r>
        <w:rPr>
          <w:sz w:val="20"/>
        </w:rPr>
        <w:pict>
          <v:rect id="_x0000_i1042" style="width:2in;height:1pt" o:hrpct="0" o:hralign="center" o:hrstd="t" o:hrnoshade="t" o:hr="t" fillcolor="black [3213]" stroked="f"/>
        </w:pict>
      </w:r>
    </w:p>
    <w:p w:rsidR="006C1EBE" w:rsidRPr="00AA6F74" w:rsidRDefault="006C1EBE" w:rsidP="006C1E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39196</w:t>
            </w:r>
          </w:p>
        </w:tc>
        <w:tc>
          <w:tcPr>
            <w:tcW w:w="4457" w:type="pct"/>
            <w:gridSpan w:val="3"/>
          </w:tcPr>
          <w:p w:rsidR="006C1EBE" w:rsidRPr="00AA6F74" w:rsidRDefault="006C1EBE" w:rsidP="002E545B">
            <w:pPr>
              <w:pStyle w:val="SCCLsocParty"/>
              <w:jc w:val="both"/>
              <w:rPr>
                <w:b/>
                <w:sz w:val="20"/>
                <w:szCs w:val="20"/>
              </w:rPr>
            </w:pPr>
            <w:r w:rsidRPr="00AA6F74">
              <w:rPr>
                <w:b/>
                <w:sz w:val="20"/>
                <w:szCs w:val="20"/>
              </w:rPr>
              <w:t>Brian Cadieux v. Greyhound Canada Transportation ULC and Syndicat uni du transport, section locale 1415</w:t>
            </w:r>
          </w:p>
          <w:p w:rsidR="006C1EBE" w:rsidRPr="00AA6F74" w:rsidRDefault="006C1EBE" w:rsidP="002E545B">
            <w:pPr>
              <w:jc w:val="both"/>
              <w:rPr>
                <w:sz w:val="20"/>
              </w:rPr>
            </w:pPr>
            <w:r w:rsidRPr="00AA6F74">
              <w:rPr>
                <w:sz w:val="20"/>
              </w:rPr>
              <w:t>(Que.) (Civil) (By Leave)</w:t>
            </w:r>
          </w:p>
        </w:tc>
      </w:tr>
      <w:tr w:rsidR="006C1EBE" w:rsidRPr="00AA6F74" w:rsidTr="002E545B">
        <w:tc>
          <w:tcPr>
            <w:tcW w:w="5000" w:type="pct"/>
            <w:gridSpan w:val="4"/>
          </w:tcPr>
          <w:p w:rsidR="002E545B" w:rsidRPr="00AA6F74" w:rsidRDefault="002E545B" w:rsidP="002E545B">
            <w:pPr>
              <w:jc w:val="both"/>
              <w:rPr>
                <w:sz w:val="20"/>
                <w:szCs w:val="20"/>
              </w:rPr>
            </w:pPr>
            <w:r w:rsidRPr="00AA6F74">
              <w:rPr>
                <w:sz w:val="20"/>
                <w:szCs w:val="20"/>
              </w:rPr>
              <w:t xml:space="preserve">The application for leave to appeal from the judgment of the </w:t>
            </w:r>
            <w:r w:rsidRPr="00AA6F74">
              <w:rPr>
                <w:sz w:val="20"/>
                <w:szCs w:val="20"/>
                <w:lang w:val="en-US"/>
              </w:rPr>
              <w:t>Court of Appeal of Quebec (Montréal)</w:t>
            </w:r>
            <w:r w:rsidRPr="00AA6F74">
              <w:rPr>
                <w:sz w:val="20"/>
                <w:szCs w:val="20"/>
              </w:rPr>
              <w:t xml:space="preserve">, Number </w:t>
            </w:r>
            <w:r w:rsidRPr="00AA6F74">
              <w:rPr>
                <w:sz w:val="20"/>
                <w:szCs w:val="20"/>
                <w:lang w:val="en-US"/>
              </w:rPr>
              <w:t>500</w:t>
            </w:r>
            <w:r w:rsidRPr="00AA6F74">
              <w:rPr>
                <w:sz w:val="20"/>
                <w:szCs w:val="20"/>
                <w:lang w:val="en-US"/>
              </w:rPr>
              <w:noBreakHyphen/>
              <w:t>09-027764-182</w:t>
            </w:r>
            <w:r w:rsidRPr="00AA6F74">
              <w:rPr>
                <w:sz w:val="20"/>
                <w:szCs w:val="20"/>
              </w:rPr>
              <w:t xml:space="preserve">, </w:t>
            </w:r>
            <w:r w:rsidRPr="00AA6F74">
              <w:rPr>
                <w:sz w:val="20"/>
                <w:szCs w:val="20"/>
                <w:lang w:val="en-US"/>
              </w:rPr>
              <w:t xml:space="preserve">2020 QCCA 498, </w:t>
            </w:r>
            <w:r w:rsidRPr="00AA6F74">
              <w:rPr>
                <w:sz w:val="20"/>
                <w:szCs w:val="20"/>
              </w:rPr>
              <w:t xml:space="preserve">dated </w:t>
            </w:r>
            <w:r w:rsidRPr="00AA6F74">
              <w:rPr>
                <w:sz w:val="20"/>
                <w:szCs w:val="20"/>
                <w:lang w:val="en-US"/>
              </w:rPr>
              <w:t>April 6, 2020,</w:t>
            </w:r>
            <w:r w:rsidRPr="00AA6F74">
              <w:rPr>
                <w:sz w:val="20"/>
                <w:szCs w:val="20"/>
              </w:rPr>
              <w:t xml:space="preserve"> is dismissed with costs to the respondent, Canada Transportation ULC.</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 xml:space="preserve">Labour relations — Union’s duty of fair representation — Grievance — Arbitral award contested by employee — Conflict of interest — Interest — Whether courts below erred in holding that union retains its monopoly on representation even where it is in real, personal and substantial conflict of interest with member — </w:t>
            </w:r>
            <w:r w:rsidRPr="00AA6F74">
              <w:rPr>
                <w:i/>
                <w:sz w:val="20"/>
              </w:rPr>
              <w:t>Canada Labour Code</w:t>
            </w:r>
            <w:r w:rsidRPr="00AA6F74">
              <w:rPr>
                <w:sz w:val="20"/>
              </w:rPr>
              <w:t>, R.S.C. 1985, c. L</w:t>
            </w:r>
            <w:r w:rsidRPr="00AA6F74">
              <w:rPr>
                <w:sz w:val="20"/>
              </w:rPr>
              <w:noBreakHyphen/>
              <w:t>2, ss. 37 and 99.</w:t>
            </w:r>
          </w:p>
        </w:tc>
      </w:tr>
      <w:tr w:rsidR="006C1EBE" w:rsidRPr="00AA6F74" w:rsidTr="002E545B">
        <w:tc>
          <w:tcPr>
            <w:tcW w:w="5000" w:type="pct"/>
            <w:gridSpan w:val="4"/>
          </w:tcPr>
          <w:p w:rsidR="006C1EBE" w:rsidRPr="00AA6F74" w:rsidRDefault="006C1EBE" w:rsidP="002E545B">
            <w:pPr>
              <w:jc w:val="both"/>
              <w:rPr>
                <w:sz w:val="20"/>
              </w:rPr>
            </w:pPr>
          </w:p>
          <w:p w:rsidR="006C1EBE" w:rsidRPr="00AA6F74" w:rsidRDefault="006C1EBE" w:rsidP="002E545B">
            <w:pPr>
              <w:jc w:val="both"/>
              <w:rPr>
                <w:sz w:val="20"/>
              </w:rPr>
            </w:pPr>
            <w:r w:rsidRPr="00AA6F74">
              <w:rPr>
                <w:sz w:val="20"/>
              </w:rPr>
              <w:t xml:space="preserve">After being suspended and then terminated by his employer, the applicant, represented by his union, filed two grievances with the Canada Industrial Relations Board (“CIRB”) to contest those penalties. The union then reached a settlement with the employer for the suspension and withdrew the grievance against the termination. The CIRB allowed the applicant’s complaint on the basis that his union had breached its duty of fair representation in respect of both grievances, and referred both grievances to arbitration, authorizing the applicant to retain counsel of his choice at the union’s expense. An arbitrator ultimately dismissed those grievances. The applicant, unhappy with this result, sought leave from the CIRB to apply for judicial review in his own name, which the CIRB denied on the ground that it did not have jurisdiction to consider this request and because the applicant had not first asked the union to present the application for judicial review. In the meantime, the applicant had personally filed his application for judicial review of the arbitral award. The Superior Court granted the union’s motion to dismiss and dismissed the applicant’s application for judicial review, finding that he lacked a sufficient interest to bring the proceeding. A majority of the Court of Appeal dismissed the appeal. </w:t>
            </w:r>
          </w:p>
        </w:tc>
      </w:tr>
      <w:tr w:rsidR="006C1EBE" w:rsidRPr="00AA6F74" w:rsidTr="002E545B">
        <w:tc>
          <w:tcPr>
            <w:tcW w:w="5000" w:type="pct"/>
            <w:gridSpan w:val="4"/>
          </w:tcPr>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July 20, 2018</w:t>
            </w:r>
          </w:p>
          <w:p w:rsidR="006C1EBE" w:rsidRPr="00AA6F74" w:rsidRDefault="006C1EBE" w:rsidP="002E545B">
            <w:pPr>
              <w:jc w:val="both"/>
              <w:rPr>
                <w:sz w:val="20"/>
              </w:rPr>
            </w:pPr>
            <w:r w:rsidRPr="00AA6F74">
              <w:rPr>
                <w:sz w:val="20"/>
              </w:rPr>
              <w:t>Quebec Superior Court</w:t>
            </w:r>
          </w:p>
          <w:p w:rsidR="006C1EBE" w:rsidRPr="00AA6F74" w:rsidRDefault="006C1EBE" w:rsidP="002E545B">
            <w:pPr>
              <w:jc w:val="both"/>
              <w:rPr>
                <w:sz w:val="20"/>
              </w:rPr>
            </w:pPr>
            <w:r w:rsidRPr="00AA6F74">
              <w:rPr>
                <w:sz w:val="20"/>
              </w:rPr>
              <w:t>(Brossard J.)</w:t>
            </w:r>
          </w:p>
          <w:p w:rsidR="006C1EBE" w:rsidRPr="00AA6F74" w:rsidRDefault="006C1EBE" w:rsidP="002E545B">
            <w:pPr>
              <w:jc w:val="both"/>
              <w:rPr>
                <w:sz w:val="20"/>
              </w:rPr>
            </w:pPr>
            <w:r w:rsidRPr="00AA6F74">
              <w:rPr>
                <w:sz w:val="20"/>
              </w:rPr>
              <w:t>500</w:t>
            </w:r>
            <w:r w:rsidRPr="00AA6F74">
              <w:rPr>
                <w:sz w:val="20"/>
              </w:rPr>
              <w:noBreakHyphen/>
              <w:t>17</w:t>
            </w:r>
            <w:r w:rsidRPr="00AA6F74">
              <w:rPr>
                <w:sz w:val="20"/>
              </w:rPr>
              <w:noBreakHyphen/>
              <w:t>099920</w:t>
            </w:r>
            <w:r w:rsidRPr="00AA6F74">
              <w:rPr>
                <w:sz w:val="20"/>
              </w:rPr>
              <w:noBreakHyphen/>
              <w:t xml:space="preserve">178 </w:t>
            </w:r>
          </w:p>
          <w:p w:rsidR="006C1EBE" w:rsidRPr="00AA6F74" w:rsidRDefault="002A25F4" w:rsidP="002E545B">
            <w:pPr>
              <w:jc w:val="both"/>
              <w:rPr>
                <w:sz w:val="20"/>
              </w:rPr>
            </w:pPr>
            <w:hyperlink r:id="rId27" w:history="1">
              <w:r w:rsidR="006C1EBE" w:rsidRPr="00AA6F74">
                <w:rPr>
                  <w:rStyle w:val="Hyperlink"/>
                  <w:sz w:val="20"/>
                </w:rPr>
                <w:t>2018 QCCS 3611</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 xml:space="preserve">Motion to dismiss granted, application for judicial review dismissed, with costs </w:t>
            </w:r>
          </w:p>
        </w:tc>
      </w:tr>
      <w:tr w:rsidR="006C1EBE" w:rsidRPr="00AA6F74" w:rsidTr="002E545B">
        <w:tc>
          <w:tcPr>
            <w:tcW w:w="2427" w:type="pct"/>
            <w:gridSpan w:val="2"/>
          </w:tcPr>
          <w:p w:rsidR="006C1EBE" w:rsidRPr="00AA6F74" w:rsidRDefault="006C1EBE" w:rsidP="002E545B">
            <w:pPr>
              <w:jc w:val="both"/>
              <w:rPr>
                <w:sz w:val="20"/>
              </w:rPr>
            </w:pPr>
            <w:r w:rsidRPr="00AA6F74">
              <w:rPr>
                <w:sz w:val="20"/>
              </w:rPr>
              <w:t>April 6, 2020</w:t>
            </w:r>
          </w:p>
          <w:p w:rsidR="006C1EBE" w:rsidRPr="00AA6F74" w:rsidRDefault="006C1EBE" w:rsidP="002E545B">
            <w:pPr>
              <w:jc w:val="both"/>
              <w:rPr>
                <w:sz w:val="20"/>
              </w:rPr>
            </w:pPr>
            <w:r w:rsidRPr="00AA6F74">
              <w:rPr>
                <w:sz w:val="20"/>
              </w:rPr>
              <w:t>Quebec Court of Appeal (Montréal)</w:t>
            </w:r>
          </w:p>
          <w:p w:rsidR="006C1EBE" w:rsidRPr="00AA6F74" w:rsidRDefault="006C1EBE" w:rsidP="002E545B">
            <w:pPr>
              <w:jc w:val="both"/>
              <w:rPr>
                <w:sz w:val="20"/>
              </w:rPr>
            </w:pPr>
            <w:r w:rsidRPr="00AA6F74">
              <w:rPr>
                <w:sz w:val="20"/>
              </w:rPr>
              <w:t>(Chamberland, Thibault and Hogue [dissenting] JJ.A.)</w:t>
            </w:r>
          </w:p>
          <w:p w:rsidR="006C1EBE" w:rsidRPr="00AA6F74" w:rsidRDefault="006C1EBE" w:rsidP="002E545B">
            <w:pPr>
              <w:jc w:val="both"/>
              <w:rPr>
                <w:sz w:val="20"/>
              </w:rPr>
            </w:pPr>
            <w:r w:rsidRPr="00AA6F74">
              <w:rPr>
                <w:sz w:val="20"/>
              </w:rPr>
              <w:t>500</w:t>
            </w:r>
            <w:r w:rsidRPr="00AA6F74">
              <w:rPr>
                <w:sz w:val="20"/>
              </w:rPr>
              <w:noBreakHyphen/>
              <w:t>09</w:t>
            </w:r>
            <w:r w:rsidRPr="00AA6F74">
              <w:rPr>
                <w:sz w:val="20"/>
              </w:rPr>
              <w:noBreakHyphen/>
              <w:t>027764</w:t>
            </w:r>
            <w:r w:rsidRPr="00AA6F74">
              <w:rPr>
                <w:sz w:val="20"/>
              </w:rPr>
              <w:noBreakHyphen/>
              <w:t>182</w:t>
            </w:r>
          </w:p>
          <w:p w:rsidR="006C1EBE" w:rsidRPr="00AA6F74" w:rsidRDefault="002A25F4" w:rsidP="002E545B">
            <w:pPr>
              <w:jc w:val="both"/>
              <w:rPr>
                <w:sz w:val="20"/>
              </w:rPr>
            </w:pPr>
            <w:hyperlink r:id="rId28" w:history="1">
              <w:r w:rsidR="006C1EBE" w:rsidRPr="00AA6F74">
                <w:rPr>
                  <w:rStyle w:val="Hyperlink"/>
                  <w:sz w:val="20"/>
                </w:rPr>
                <w:t>2020 QCCA 498</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Appeal dismissed with costs</w:t>
            </w:r>
          </w:p>
        </w:tc>
      </w:tr>
      <w:tr w:rsidR="006C1EBE" w:rsidRPr="00AA6F74" w:rsidTr="002E545B">
        <w:tc>
          <w:tcPr>
            <w:tcW w:w="2427" w:type="pct"/>
            <w:gridSpan w:val="2"/>
          </w:tcPr>
          <w:p w:rsidR="006C1EBE" w:rsidRPr="00AA6F74" w:rsidRDefault="006C1EBE" w:rsidP="002E545B">
            <w:pPr>
              <w:jc w:val="both"/>
              <w:rPr>
                <w:sz w:val="20"/>
              </w:rPr>
            </w:pPr>
            <w:r w:rsidRPr="00AA6F74">
              <w:rPr>
                <w:sz w:val="20"/>
              </w:rPr>
              <w:t>June 4,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leave to appeal filed</w:t>
            </w:r>
          </w:p>
          <w:p w:rsidR="006C1EBE" w:rsidRPr="00AA6F74" w:rsidRDefault="006C1EBE" w:rsidP="002E545B">
            <w:pPr>
              <w:jc w:val="both"/>
              <w:rPr>
                <w:sz w:val="20"/>
              </w:rPr>
            </w:pPr>
          </w:p>
        </w:tc>
      </w:tr>
    </w:tbl>
    <w:p w:rsidR="006C1EBE" w:rsidRPr="00AA6F74" w:rsidRDefault="006C1EBE" w:rsidP="006C1EBE">
      <w:pPr>
        <w:widowControl w:val="0"/>
        <w:jc w:val="both"/>
        <w:rPr>
          <w:sz w:val="20"/>
          <w:lang w:val="en-US"/>
        </w:rPr>
      </w:pPr>
    </w:p>
    <w:p w:rsidR="006C1EBE" w:rsidRPr="00AA6F74" w:rsidRDefault="002A25F4" w:rsidP="006C1EBE">
      <w:pPr>
        <w:widowControl w:val="0"/>
        <w:jc w:val="both"/>
        <w:rPr>
          <w:sz w:val="20"/>
          <w:lang w:val="en-US"/>
        </w:rPr>
      </w:pPr>
      <w:r>
        <w:rPr>
          <w:sz w:val="20"/>
        </w:rPr>
        <w:pict>
          <v:rect id="_x0000_i1043" style="width:2in;height:1pt" o:hrpct="0" o:hralign="center" o:hrstd="t" o:hrnoshade="t" o:hr="t" fillcolor="black [3213]" stroked="f"/>
        </w:pict>
      </w:r>
    </w:p>
    <w:p w:rsidR="006C1EBE" w:rsidRPr="00AA6F74" w:rsidRDefault="006C1EBE" w:rsidP="006C1EBE">
      <w:pPr>
        <w:widowControl w:val="0"/>
        <w:jc w:val="both"/>
        <w:rPr>
          <w:sz w:val="20"/>
          <w:lang w:val="en-US"/>
        </w:rPr>
      </w:pPr>
    </w:p>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lastRenderedPageBreak/>
              <w:t>39196</w:t>
            </w:r>
          </w:p>
        </w:tc>
        <w:tc>
          <w:tcPr>
            <w:tcW w:w="4457" w:type="pct"/>
            <w:gridSpan w:val="3"/>
          </w:tcPr>
          <w:p w:rsidR="006C1EBE" w:rsidRPr="00AA6F74" w:rsidRDefault="006C1EBE" w:rsidP="002E545B">
            <w:pPr>
              <w:pStyle w:val="SCCLsocParty"/>
              <w:jc w:val="both"/>
              <w:rPr>
                <w:b/>
                <w:sz w:val="20"/>
                <w:szCs w:val="20"/>
              </w:rPr>
            </w:pPr>
            <w:r w:rsidRPr="00AA6F74">
              <w:rPr>
                <w:b/>
                <w:sz w:val="20"/>
                <w:szCs w:val="20"/>
              </w:rPr>
              <w:t>Brian Cadieux c. Greyhound Canada Transportation ULC et Syndicat uni du transport, section locale 1415</w:t>
            </w:r>
          </w:p>
          <w:p w:rsidR="006C1EBE" w:rsidRPr="00AA6F74" w:rsidRDefault="006C1EBE" w:rsidP="002E545B">
            <w:pPr>
              <w:jc w:val="both"/>
              <w:rPr>
                <w:sz w:val="20"/>
              </w:rPr>
            </w:pPr>
            <w:r w:rsidRPr="00AA6F74">
              <w:rPr>
                <w:sz w:val="20"/>
              </w:rPr>
              <w:t>(Qc) (Civile) (Autorisation)</w:t>
            </w:r>
          </w:p>
        </w:tc>
      </w:tr>
      <w:tr w:rsidR="006C1EBE" w:rsidRPr="002A25F4" w:rsidTr="002E545B">
        <w:tc>
          <w:tcPr>
            <w:tcW w:w="5000" w:type="pct"/>
            <w:gridSpan w:val="4"/>
          </w:tcPr>
          <w:p w:rsidR="002E545B" w:rsidRPr="00AA6F74" w:rsidRDefault="002E545B" w:rsidP="002E545B">
            <w:pPr>
              <w:jc w:val="both"/>
              <w:rPr>
                <w:sz w:val="20"/>
                <w:szCs w:val="20"/>
                <w:lang w:val="fr-CA"/>
              </w:rPr>
            </w:pPr>
            <w:r w:rsidRPr="00AA6F74">
              <w:rPr>
                <w:sz w:val="20"/>
                <w:szCs w:val="20"/>
                <w:lang w:val="fr-CA"/>
              </w:rPr>
              <w:t>La demande d’autorisation d’appel de l’arrêt de la Cour d’appel du Québec (Montréal), numéro 500-09-027764-182, 2020 QCCA 498, daté du 6 avril 2020, est rejetée avec dépens en faveur de l’intimée, Greyhound Canada Transportation ULC.</w:t>
            </w:r>
          </w:p>
          <w:p w:rsidR="006C1EBE" w:rsidRPr="00AA6F74" w:rsidRDefault="006C1EBE" w:rsidP="002E545B">
            <w:pPr>
              <w:tabs>
                <w:tab w:val="left" w:pos="1733"/>
              </w:tabs>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Relations du travail — Obligation de représentation syndicale — Grief — Sentence arbitrale contestée par un salarié — Conflit d’intérêts — Intérêt pour agir — Les instances inférieures ont</w:t>
            </w:r>
            <w:r w:rsidRPr="00AA6F74">
              <w:rPr>
                <w:sz w:val="20"/>
                <w:lang w:val="fr-CA"/>
              </w:rPr>
              <w:noBreakHyphen/>
              <w:t xml:space="preserve">elles erré en concluant que le syndicat conserve son monopole de représentation même lorsqu’il est en situation de conflit d’intérêts réel, personnel et significatif avec son membre? — </w:t>
            </w:r>
            <w:r w:rsidRPr="00AA6F74">
              <w:rPr>
                <w:i/>
                <w:sz w:val="20"/>
                <w:lang w:val="fr-CA"/>
              </w:rPr>
              <w:t>Code canadien du travail</w:t>
            </w:r>
            <w:r w:rsidRPr="00AA6F74">
              <w:rPr>
                <w:sz w:val="20"/>
                <w:lang w:val="fr-CA"/>
              </w:rPr>
              <w:t>, LRC 1985, c L</w:t>
            </w:r>
            <w:r w:rsidRPr="00AA6F74">
              <w:rPr>
                <w:sz w:val="20"/>
                <w:lang w:val="fr-CA"/>
              </w:rPr>
              <w:noBreakHyphen/>
              <w:t>2, art. 37 et 99.</w:t>
            </w:r>
          </w:p>
        </w:tc>
      </w:tr>
      <w:tr w:rsidR="006C1EBE" w:rsidRPr="00AA6F74" w:rsidTr="002E545B">
        <w:tc>
          <w:tcPr>
            <w:tcW w:w="5000" w:type="pct"/>
            <w:gridSpan w:val="4"/>
          </w:tcPr>
          <w:p w:rsidR="006C1EBE" w:rsidRPr="00AA6F74" w:rsidRDefault="006C1EBE" w:rsidP="002E545B">
            <w:pPr>
              <w:jc w:val="both"/>
              <w:rPr>
                <w:sz w:val="20"/>
                <w:lang w:val="fr-CA"/>
              </w:rPr>
            </w:pPr>
          </w:p>
          <w:p w:rsidR="006C1EBE" w:rsidRPr="00AA6F74" w:rsidRDefault="006C1EBE" w:rsidP="002E545B">
            <w:pPr>
              <w:jc w:val="both"/>
              <w:rPr>
                <w:sz w:val="20"/>
              </w:rPr>
            </w:pPr>
            <w:r w:rsidRPr="00AA6F74">
              <w:rPr>
                <w:sz w:val="20"/>
                <w:lang w:val="fr-CA"/>
              </w:rPr>
              <w:t xml:space="preserve">Suspendu puis congédié par son employeur, le demandeur représenté par son syndicat dépose deux griefs auprès du Conseil canadien des relations industrielles (« CCRI ») pour contester ces sanctions. Le syndicat convient ensuite avec l’employeur d’un règlement concernant la suspension et se désiste du grief relié au congédiement. Le CCRI accueille la plainte du demandeur reprochant à son syndicat d’avoir manqué à son obligation de représentation pour les deux griefs et renvoie les deux griefs à l’arbitrage en autorisant le demandeur à retenir les services de l’avocat de son choix aux frais du syndicat. Un arbitre rejette ultimement ces griefs. Insatisfait, le demandeur sollicite l’autorisation du CCRI de se pourvoir en contrôle judiciaire en son propre nom, ce que le CCRI refuse au motif que cette demande dépasse son rôle et parce que le demandeur n’a pas préalablement demandé au syndicat de présenter ce pourvoi. Entre temps, le demandeur dépose personnellement son pourvoi en contrôle judiciaire de la sentence arbitrale. La Cour supérieure accueille le moyen d’irrecevabilité du syndicat et rejette le pourvoi en contrôle judiciaire du demandeur, concluant qu’il ne possède pas l’intérêt suffisant pour agir. </w:t>
            </w:r>
            <w:r w:rsidRPr="00AA6F74">
              <w:rPr>
                <w:sz w:val="20"/>
              </w:rPr>
              <w:t xml:space="preserve">La Cour d’appel, à la majorité, rejette l’appel. </w:t>
            </w:r>
          </w:p>
        </w:tc>
      </w:tr>
      <w:tr w:rsidR="006C1EBE" w:rsidRPr="00AA6F74" w:rsidTr="002E545B">
        <w:tc>
          <w:tcPr>
            <w:tcW w:w="5000" w:type="pct"/>
            <w:gridSpan w:val="4"/>
          </w:tcPr>
          <w:p w:rsidR="006C1EBE" w:rsidRPr="00AA6F74" w:rsidRDefault="006C1EBE" w:rsidP="002E545B">
            <w:pPr>
              <w:jc w:val="both"/>
              <w:rPr>
                <w:sz w:val="20"/>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Le 20 juillet 2018</w:t>
            </w:r>
          </w:p>
          <w:p w:rsidR="006C1EBE" w:rsidRPr="00AA6F74" w:rsidRDefault="006C1EBE" w:rsidP="002E545B">
            <w:pPr>
              <w:jc w:val="both"/>
              <w:rPr>
                <w:sz w:val="20"/>
                <w:lang w:val="fr-CA"/>
              </w:rPr>
            </w:pPr>
            <w:r w:rsidRPr="00AA6F74">
              <w:rPr>
                <w:sz w:val="20"/>
                <w:lang w:val="fr-CA"/>
              </w:rPr>
              <w:t>Cour supérieure du Québec</w:t>
            </w:r>
          </w:p>
          <w:p w:rsidR="006C1EBE" w:rsidRPr="00AA6F74" w:rsidRDefault="006C1EBE" w:rsidP="002E545B">
            <w:pPr>
              <w:jc w:val="both"/>
              <w:rPr>
                <w:sz w:val="20"/>
              </w:rPr>
            </w:pPr>
            <w:r w:rsidRPr="00AA6F74">
              <w:rPr>
                <w:sz w:val="20"/>
              </w:rPr>
              <w:t>(Le juge Brossard)</w:t>
            </w:r>
          </w:p>
          <w:p w:rsidR="006C1EBE" w:rsidRPr="00AA6F74" w:rsidRDefault="006C1EBE" w:rsidP="002E545B">
            <w:pPr>
              <w:jc w:val="both"/>
              <w:rPr>
                <w:sz w:val="20"/>
              </w:rPr>
            </w:pPr>
            <w:r w:rsidRPr="00AA6F74">
              <w:rPr>
                <w:sz w:val="20"/>
              </w:rPr>
              <w:t>500</w:t>
            </w:r>
            <w:r w:rsidRPr="00AA6F74">
              <w:rPr>
                <w:sz w:val="20"/>
              </w:rPr>
              <w:noBreakHyphen/>
              <w:t>17</w:t>
            </w:r>
            <w:r w:rsidRPr="00AA6F74">
              <w:rPr>
                <w:sz w:val="20"/>
              </w:rPr>
              <w:noBreakHyphen/>
              <w:t>099920</w:t>
            </w:r>
            <w:r w:rsidRPr="00AA6F74">
              <w:rPr>
                <w:sz w:val="20"/>
              </w:rPr>
              <w:noBreakHyphen/>
              <w:t xml:space="preserve">178 </w:t>
            </w:r>
          </w:p>
          <w:p w:rsidR="006C1EBE" w:rsidRPr="00AA6F74" w:rsidRDefault="002A25F4" w:rsidP="002E545B">
            <w:pPr>
              <w:jc w:val="both"/>
              <w:rPr>
                <w:sz w:val="20"/>
              </w:rPr>
            </w:pPr>
            <w:hyperlink r:id="rId29" w:history="1">
              <w:r w:rsidR="006C1EBE" w:rsidRPr="00AA6F74">
                <w:rPr>
                  <w:rStyle w:val="Hyperlink"/>
                  <w:sz w:val="20"/>
                </w:rPr>
                <w:t>2018 QCCS 3611</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Requête en irrecevabilité accueillie, pourvoi en contrôle judiciaire rejeté, avec frais de justice.</w:t>
            </w: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Le 6 avril 2020</w:t>
            </w:r>
          </w:p>
          <w:p w:rsidR="006C1EBE" w:rsidRPr="00AA6F74" w:rsidRDefault="006C1EBE" w:rsidP="002E545B">
            <w:pPr>
              <w:jc w:val="both"/>
              <w:rPr>
                <w:sz w:val="20"/>
                <w:lang w:val="fr-CA"/>
              </w:rPr>
            </w:pPr>
            <w:r w:rsidRPr="00AA6F74">
              <w:rPr>
                <w:sz w:val="20"/>
                <w:lang w:val="fr-CA"/>
              </w:rPr>
              <w:t>Cour d’appel du Québec (Montréal)</w:t>
            </w:r>
          </w:p>
          <w:p w:rsidR="006C1EBE" w:rsidRPr="00AA6F74" w:rsidRDefault="006C1EBE" w:rsidP="002E545B">
            <w:pPr>
              <w:jc w:val="both"/>
              <w:rPr>
                <w:sz w:val="20"/>
                <w:lang w:val="fr-CA"/>
              </w:rPr>
            </w:pPr>
            <w:r w:rsidRPr="00AA6F74">
              <w:rPr>
                <w:sz w:val="20"/>
                <w:lang w:val="fr-CA"/>
              </w:rPr>
              <w:t>(Les juges Chamberland, Thibault et Hogue [dissidente])</w:t>
            </w:r>
          </w:p>
          <w:p w:rsidR="006C1EBE" w:rsidRPr="00AA6F74" w:rsidRDefault="006C1EBE" w:rsidP="002E545B">
            <w:pPr>
              <w:jc w:val="both"/>
              <w:rPr>
                <w:sz w:val="20"/>
              </w:rPr>
            </w:pPr>
            <w:r w:rsidRPr="00AA6F74">
              <w:rPr>
                <w:sz w:val="20"/>
              </w:rPr>
              <w:t>500</w:t>
            </w:r>
            <w:r w:rsidRPr="00AA6F74">
              <w:rPr>
                <w:sz w:val="20"/>
              </w:rPr>
              <w:noBreakHyphen/>
              <w:t>09</w:t>
            </w:r>
            <w:r w:rsidRPr="00AA6F74">
              <w:rPr>
                <w:sz w:val="20"/>
              </w:rPr>
              <w:noBreakHyphen/>
              <w:t>027764</w:t>
            </w:r>
            <w:r w:rsidRPr="00AA6F74">
              <w:rPr>
                <w:sz w:val="20"/>
              </w:rPr>
              <w:noBreakHyphen/>
              <w:t>182</w:t>
            </w:r>
          </w:p>
          <w:p w:rsidR="006C1EBE" w:rsidRPr="00AA6F74" w:rsidRDefault="002A25F4" w:rsidP="002E545B">
            <w:pPr>
              <w:jc w:val="both"/>
              <w:rPr>
                <w:sz w:val="20"/>
              </w:rPr>
            </w:pPr>
            <w:hyperlink r:id="rId30" w:history="1">
              <w:r w:rsidR="006C1EBE" w:rsidRPr="00AA6F74">
                <w:rPr>
                  <w:rStyle w:val="Hyperlink"/>
                  <w:sz w:val="20"/>
                </w:rPr>
                <w:t>2020 QCCA 498</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Appel rejeté, avec frais de justice.</w:t>
            </w:r>
          </w:p>
        </w:tc>
      </w:tr>
      <w:tr w:rsidR="006C1EBE" w:rsidRPr="00AA6F74" w:rsidTr="002E545B">
        <w:tc>
          <w:tcPr>
            <w:tcW w:w="2427" w:type="pct"/>
            <w:gridSpan w:val="2"/>
          </w:tcPr>
          <w:p w:rsidR="006C1EBE" w:rsidRPr="00AA6F74" w:rsidRDefault="006C1EBE" w:rsidP="002E545B">
            <w:pPr>
              <w:jc w:val="both"/>
              <w:rPr>
                <w:sz w:val="20"/>
                <w:lang w:val="fr-CA"/>
              </w:rPr>
            </w:pPr>
            <w:r w:rsidRPr="00AA6F74">
              <w:rPr>
                <w:sz w:val="20"/>
                <w:lang w:val="fr-CA"/>
              </w:rPr>
              <w:t>Le 4 juin 2020</w:t>
            </w:r>
          </w:p>
          <w:p w:rsidR="006C1EBE" w:rsidRPr="00AA6F74" w:rsidRDefault="006C1EBE" w:rsidP="002E545B">
            <w:pPr>
              <w:jc w:val="both"/>
              <w:rPr>
                <w:sz w:val="20"/>
                <w:lang w:val="fr-CA"/>
              </w:rPr>
            </w:pPr>
            <w:r w:rsidRPr="00AA6F74">
              <w:rPr>
                <w:sz w:val="20"/>
                <w:lang w:val="fr-CA"/>
              </w:rPr>
              <w:t>Cour suprême du Canada</w:t>
            </w: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rPr>
            </w:pPr>
            <w:r w:rsidRPr="00AA6F74">
              <w:rPr>
                <w:sz w:val="20"/>
              </w:rPr>
              <w:t>Demande d’autorisation d’appel déposée.</w:t>
            </w:r>
          </w:p>
          <w:p w:rsidR="006C1EBE" w:rsidRPr="00AA6F74" w:rsidRDefault="006C1EBE" w:rsidP="002E545B">
            <w:pPr>
              <w:jc w:val="both"/>
              <w:rPr>
                <w:sz w:val="20"/>
              </w:rPr>
            </w:pP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44" style="width:2in;height:1pt" o:hrpct="0" o:hralign="center" o:hrstd="t" o:hrnoshade="t" o:hr="t" fillcolor="black [3213]" stroked="f"/>
        </w:pict>
      </w:r>
    </w:p>
    <w:p w:rsidR="006C1EBE" w:rsidRPr="00AA6F74" w:rsidRDefault="006C1EBE" w:rsidP="006C1EB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39246</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Youyi Group Holdings (Canada) Ltd.</w:t>
            </w:r>
            <w:r w:rsidR="008077DB" w:rsidRPr="00AA6F74">
              <w:rPr>
                <w:b/>
                <w:sz w:val="20"/>
                <w:szCs w:val="20"/>
                <w:lang w:val="en-US"/>
              </w:rPr>
              <w:t xml:space="preserve"> and</w:t>
            </w:r>
            <w:r w:rsidRPr="00AA6F74">
              <w:rPr>
                <w:b/>
                <w:sz w:val="20"/>
                <w:szCs w:val="20"/>
                <w:lang w:val="en-US"/>
              </w:rPr>
              <w:t xml:space="preserve"> DHI Holdings Inc. v. Brentwood Lanes Canada Ltd.</w:t>
            </w:r>
            <w:r w:rsidR="008077DB" w:rsidRPr="00AA6F74">
              <w:rPr>
                <w:b/>
                <w:sz w:val="20"/>
                <w:szCs w:val="20"/>
                <w:lang w:val="en-US"/>
              </w:rPr>
              <w:t xml:space="preserve"> and</w:t>
            </w:r>
            <w:r w:rsidRPr="00AA6F74">
              <w:rPr>
                <w:b/>
                <w:sz w:val="20"/>
                <w:szCs w:val="20"/>
                <w:lang w:val="en-US"/>
              </w:rPr>
              <w:t xml:space="preserve"> Maple Ridge Lanes (1981) Ltd.</w:t>
            </w:r>
          </w:p>
          <w:p w:rsidR="006C1EBE" w:rsidRPr="00AA6F74" w:rsidRDefault="006C1EBE" w:rsidP="002E545B">
            <w:pPr>
              <w:jc w:val="both"/>
              <w:rPr>
                <w:sz w:val="20"/>
              </w:rPr>
            </w:pPr>
            <w:r w:rsidRPr="00AA6F74">
              <w:rPr>
                <w:sz w:val="20"/>
              </w:rPr>
              <w:t>(B.C.) (Civil) (By Leave)</w:t>
            </w:r>
          </w:p>
        </w:tc>
      </w:tr>
      <w:tr w:rsidR="006C1EBE" w:rsidRPr="00AA6F74" w:rsidTr="002E545B">
        <w:tc>
          <w:tcPr>
            <w:tcW w:w="5000" w:type="pct"/>
            <w:gridSpan w:val="4"/>
          </w:tcPr>
          <w:p w:rsidR="008077DB" w:rsidRPr="00AA6F74" w:rsidRDefault="008077DB" w:rsidP="008077DB">
            <w:pPr>
              <w:jc w:val="both"/>
              <w:rPr>
                <w:sz w:val="20"/>
                <w:szCs w:val="20"/>
              </w:rPr>
            </w:pPr>
            <w:r w:rsidRPr="00AA6F74">
              <w:rPr>
                <w:sz w:val="20"/>
                <w:szCs w:val="20"/>
              </w:rPr>
              <w:t>The application for leave to appeal from the judgment of the Court of Appeal for British Columbia (Vancouver), Number CA46116, 2020 BCCA 130, dated May 8, 2020, is dismissed with costs.</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Contracts — Lawful excuse for non</w:t>
            </w:r>
            <w:r w:rsidRPr="00AA6F74">
              <w:rPr>
                <w:sz w:val="20"/>
              </w:rPr>
              <w:noBreakHyphen/>
              <w:t xml:space="preserve">performance — Illegal contracts — Does establishing an “unlawful intention” remain a ground sufficient to invalidate an otherwise lawful contract, in light of the modern approach to </w:t>
            </w:r>
            <w:r w:rsidRPr="00AA6F74">
              <w:rPr>
                <w:i/>
                <w:sz w:val="20"/>
              </w:rPr>
              <w:t>ex turpi causa</w:t>
            </w:r>
            <w:r w:rsidRPr="00AA6F74">
              <w:rPr>
                <w:sz w:val="20"/>
              </w:rPr>
              <w:t xml:space="preserve"> established by this Court in </w:t>
            </w:r>
            <w:r w:rsidRPr="00AA6F74">
              <w:rPr>
                <w:i/>
                <w:sz w:val="20"/>
              </w:rPr>
              <w:t>Hall v. Hebert</w:t>
            </w:r>
            <w:r w:rsidRPr="00AA6F74">
              <w:rPr>
                <w:sz w:val="20"/>
              </w:rPr>
              <w:t>, [1993] 2 S.C.R. 159 — If so, what is the scope of the unlawful intentions branch of the doctrine as a basis to refuse performance of an otherwise lawful contract.</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lastRenderedPageBreak/>
              <w:t xml:space="preserve">The applicant purchasers entered into two linked purchase and sale agreements with the respondent vendors for the purchase and sale of two commercial properties. Two weeks before the completion date the respondents gave notice to the applicants that they would not be proceeding with the sale on the ground that the agreements had been repudiated or were unenforceable due to alleged wrongdoings by the applicants and the parties’ common real estate agent.  The applicants rejected what they claimed was a wrongful repudiation and commenced an action for specific performance or, alternatively, damages. </w:t>
            </w:r>
          </w:p>
          <w:p w:rsidR="006C1EBE" w:rsidRPr="00AA6F74" w:rsidRDefault="006C1EBE" w:rsidP="002E545B">
            <w:pPr>
              <w:jc w:val="both"/>
              <w:rPr>
                <w:sz w:val="20"/>
              </w:rPr>
            </w:pPr>
          </w:p>
          <w:p w:rsidR="006C1EBE" w:rsidRPr="00AA6F74" w:rsidRDefault="006C1EBE" w:rsidP="002E545B">
            <w:pPr>
              <w:jc w:val="both"/>
              <w:rPr>
                <w:sz w:val="20"/>
              </w:rPr>
            </w:pPr>
            <w:r w:rsidRPr="00AA6F74">
              <w:rPr>
                <w:sz w:val="20"/>
              </w:rPr>
              <w:t>The Supreme Court of British Columbia dismissed the applicants’ action, accepting the respondents’ defence that the purchase agreements “were part of a transaction intended to be used for unlawful purposes or otherwise tainted by illegality”. For reasons of public policy, the Court declined to enforce them against the respondents as to do so “would be harmful to the integrity of the legal system”. The Court dismissed the respondents’ counterclaims except a claim for breach of contract and fiduciary duty against their real estate agents. The Court of Appeal for British Columbia dismissed the applicants’ appeal and the respondents’ cross</w:t>
            </w:r>
            <w:r w:rsidRPr="00AA6F74">
              <w:rPr>
                <w:sz w:val="20"/>
              </w:rPr>
              <w:noBreakHyphen/>
              <w:t>appeal.</w:t>
            </w:r>
          </w:p>
        </w:tc>
      </w:tr>
      <w:tr w:rsidR="006C1EBE" w:rsidRPr="00AA6F74" w:rsidTr="002E545B">
        <w:tc>
          <w:tcPr>
            <w:tcW w:w="5000" w:type="pct"/>
            <w:gridSpan w:val="4"/>
          </w:tcPr>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May 10, 2019</w:t>
            </w:r>
          </w:p>
          <w:p w:rsidR="006C1EBE" w:rsidRPr="00AA6F74" w:rsidRDefault="006C1EBE" w:rsidP="002E545B">
            <w:pPr>
              <w:jc w:val="both"/>
              <w:rPr>
                <w:sz w:val="20"/>
              </w:rPr>
            </w:pPr>
            <w:r w:rsidRPr="00AA6F74">
              <w:rPr>
                <w:sz w:val="20"/>
              </w:rPr>
              <w:t>Supreme Court of British Columbia</w:t>
            </w:r>
          </w:p>
          <w:p w:rsidR="006C1EBE" w:rsidRPr="00AA6F74" w:rsidRDefault="006C1EBE" w:rsidP="002E545B">
            <w:pPr>
              <w:jc w:val="both"/>
              <w:rPr>
                <w:sz w:val="20"/>
              </w:rPr>
            </w:pPr>
            <w:r w:rsidRPr="00AA6F74">
              <w:rPr>
                <w:sz w:val="20"/>
              </w:rPr>
              <w:t>(Mayer J.)</w:t>
            </w:r>
          </w:p>
          <w:p w:rsidR="006C1EBE" w:rsidRPr="00AA6F74" w:rsidRDefault="002A25F4" w:rsidP="002E545B">
            <w:pPr>
              <w:jc w:val="both"/>
              <w:rPr>
                <w:sz w:val="20"/>
              </w:rPr>
            </w:pPr>
            <w:hyperlink r:id="rId31" w:history="1">
              <w:r w:rsidR="006C1EBE" w:rsidRPr="00AA6F74">
                <w:rPr>
                  <w:rStyle w:val="Hyperlink"/>
                  <w:sz w:val="20"/>
                </w:rPr>
                <w:t>2019 BCSC 739</w:t>
              </w:r>
            </w:hyperlink>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Applicants’ claim for specific performance or damages is dismissed. Respondents’ claim for breach of contract and fiduciary duty against some defendants by counterclaim allowed, other counterclaims dismissed</w:t>
            </w:r>
          </w:p>
        </w:tc>
      </w:tr>
      <w:tr w:rsidR="006C1EBE" w:rsidRPr="00AA6F74" w:rsidTr="002E545B">
        <w:tc>
          <w:tcPr>
            <w:tcW w:w="2427" w:type="pct"/>
            <w:gridSpan w:val="2"/>
          </w:tcPr>
          <w:p w:rsidR="006C1EBE" w:rsidRPr="00AA6F74" w:rsidRDefault="006C1EBE" w:rsidP="002E545B">
            <w:pPr>
              <w:jc w:val="both"/>
              <w:rPr>
                <w:sz w:val="20"/>
              </w:rPr>
            </w:pPr>
            <w:r w:rsidRPr="00AA6F74">
              <w:rPr>
                <w:sz w:val="20"/>
              </w:rPr>
              <w:t>May 8, 2020</w:t>
            </w:r>
          </w:p>
          <w:p w:rsidR="006C1EBE" w:rsidRPr="00AA6F74" w:rsidRDefault="006C1EBE" w:rsidP="002E545B">
            <w:pPr>
              <w:jc w:val="both"/>
              <w:rPr>
                <w:sz w:val="20"/>
              </w:rPr>
            </w:pPr>
            <w:r w:rsidRPr="00AA6F74">
              <w:rPr>
                <w:sz w:val="20"/>
              </w:rPr>
              <w:t xml:space="preserve">Court of Appeal for British Columbia </w:t>
            </w:r>
          </w:p>
          <w:p w:rsidR="006C1EBE" w:rsidRPr="00AA6F74" w:rsidRDefault="006C1EBE" w:rsidP="002E545B">
            <w:pPr>
              <w:jc w:val="both"/>
              <w:rPr>
                <w:sz w:val="20"/>
              </w:rPr>
            </w:pPr>
            <w:r w:rsidRPr="00AA6F74">
              <w:rPr>
                <w:sz w:val="20"/>
              </w:rPr>
              <w:t>(Vancouver)</w:t>
            </w:r>
          </w:p>
          <w:p w:rsidR="006C1EBE" w:rsidRPr="00AA6F74" w:rsidRDefault="006C1EBE" w:rsidP="002E545B">
            <w:pPr>
              <w:jc w:val="both"/>
              <w:rPr>
                <w:sz w:val="20"/>
              </w:rPr>
            </w:pPr>
            <w:r w:rsidRPr="00AA6F74">
              <w:rPr>
                <w:sz w:val="20"/>
              </w:rPr>
              <w:t>(Groberman, Dickson and Hunter JJ.A.)</w:t>
            </w:r>
          </w:p>
          <w:p w:rsidR="006C1EBE" w:rsidRPr="00AA6F74" w:rsidRDefault="002A25F4" w:rsidP="002E545B">
            <w:pPr>
              <w:jc w:val="both"/>
              <w:rPr>
                <w:sz w:val="20"/>
              </w:rPr>
            </w:pPr>
            <w:hyperlink r:id="rId32" w:history="1">
              <w:r w:rsidR="006C1EBE" w:rsidRPr="00AA6F74">
                <w:rPr>
                  <w:rStyle w:val="Hyperlink"/>
                  <w:sz w:val="20"/>
                </w:rPr>
                <w:t>2020 BCCA 130</w:t>
              </w:r>
            </w:hyperlink>
            <w:r w:rsidR="006C1EBE" w:rsidRPr="00AA6F74">
              <w:rPr>
                <w:sz w:val="20"/>
              </w:rPr>
              <w:t>; CA46116 and CA46140</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Appeal and cross</w:t>
            </w:r>
            <w:r w:rsidRPr="00AA6F74">
              <w:rPr>
                <w:sz w:val="20"/>
              </w:rPr>
              <w:noBreakHyphen/>
              <w:t>appeal dismissed.</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July 7, 2020</w:t>
            </w:r>
          </w:p>
          <w:p w:rsidR="006C1EBE" w:rsidRPr="00AA6F74" w:rsidRDefault="006C1EBE" w:rsidP="002E545B">
            <w:pPr>
              <w:jc w:val="both"/>
              <w:rPr>
                <w:sz w:val="20"/>
              </w:rPr>
            </w:pPr>
            <w:r w:rsidRPr="00AA6F74">
              <w:rPr>
                <w:sz w:val="20"/>
              </w:rPr>
              <w:t>Supreme Court of Canada</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leave to appeal filed.</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September 18,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Conditional application for leave to cross</w:t>
            </w:r>
            <w:r w:rsidRPr="00AA6F74">
              <w:rPr>
                <w:sz w:val="20"/>
              </w:rPr>
              <w:noBreakHyphen/>
              <w:t>appeal filed.</w:t>
            </w: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45"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39246</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Youyi Group Holdings (Canada) Ltd.</w:t>
            </w:r>
            <w:r w:rsidR="008077DB" w:rsidRPr="00AA6F74">
              <w:rPr>
                <w:b/>
                <w:sz w:val="20"/>
                <w:szCs w:val="20"/>
                <w:lang w:val="en-US"/>
              </w:rPr>
              <w:t xml:space="preserve"> et</w:t>
            </w:r>
            <w:r w:rsidRPr="00AA6F74">
              <w:rPr>
                <w:b/>
                <w:sz w:val="20"/>
                <w:szCs w:val="20"/>
                <w:lang w:val="en-US"/>
              </w:rPr>
              <w:t xml:space="preserve"> DHI Holdings Inc. c. Brentwood Lanes Canada Ltd.</w:t>
            </w:r>
            <w:r w:rsidR="008077DB" w:rsidRPr="00AA6F74">
              <w:rPr>
                <w:b/>
                <w:sz w:val="20"/>
                <w:szCs w:val="20"/>
                <w:lang w:val="en-US"/>
              </w:rPr>
              <w:t xml:space="preserve"> et</w:t>
            </w:r>
            <w:r w:rsidRPr="00AA6F74">
              <w:rPr>
                <w:b/>
                <w:sz w:val="20"/>
                <w:szCs w:val="20"/>
                <w:lang w:val="en-US"/>
              </w:rPr>
              <w:t xml:space="preserve"> Maple Ridge Lanes (1981) Ltd.</w:t>
            </w:r>
          </w:p>
          <w:p w:rsidR="006C1EBE" w:rsidRPr="00AA6F74" w:rsidRDefault="006C1EBE" w:rsidP="002E545B">
            <w:pPr>
              <w:jc w:val="both"/>
              <w:rPr>
                <w:sz w:val="20"/>
                <w:lang w:val="fr-CA"/>
              </w:rPr>
            </w:pPr>
            <w:r w:rsidRPr="00AA6F74">
              <w:rPr>
                <w:sz w:val="20"/>
                <w:lang w:val="fr-CA"/>
              </w:rPr>
              <w:t>(C.</w:t>
            </w:r>
            <w:r w:rsidRPr="00AA6F74">
              <w:rPr>
                <w:sz w:val="20"/>
                <w:lang w:val="fr-CA"/>
              </w:rPr>
              <w:noBreakHyphen/>
              <w:t>B.) (Civile) (Autorisation)</w:t>
            </w:r>
          </w:p>
        </w:tc>
      </w:tr>
      <w:tr w:rsidR="006C1EBE" w:rsidRPr="002A25F4" w:rsidTr="002E545B">
        <w:tc>
          <w:tcPr>
            <w:tcW w:w="5000" w:type="pct"/>
            <w:gridSpan w:val="4"/>
          </w:tcPr>
          <w:p w:rsidR="006C1EBE" w:rsidRPr="00AA6F74" w:rsidRDefault="008077DB" w:rsidP="002E545B">
            <w:pPr>
              <w:jc w:val="both"/>
              <w:rPr>
                <w:sz w:val="20"/>
                <w:szCs w:val="20"/>
                <w:lang w:val="fr-CA"/>
              </w:rPr>
            </w:pPr>
            <w:r w:rsidRPr="00AA6F74">
              <w:rPr>
                <w:sz w:val="20"/>
                <w:szCs w:val="20"/>
                <w:lang w:val="fr-CA"/>
              </w:rPr>
              <w:t>La demande d’autorisation d’appel de l’arrêt de la Cour d’appel de la Colombie-Britannique (Vancouver), numéro CA46116, 2020 BCCA 130, daté du 8 mai 2020, est rejetée avec dépens.</w:t>
            </w:r>
          </w:p>
          <w:p w:rsidR="008077DB" w:rsidRPr="00AA6F74" w:rsidRDefault="008077DB"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Contrats — Excuses légitimes pour la non</w:t>
            </w:r>
            <w:r w:rsidRPr="00AA6F74">
              <w:rPr>
                <w:sz w:val="20"/>
                <w:lang w:val="fr-CA"/>
              </w:rPr>
              <w:noBreakHyphen/>
              <w:t>exécution — Contrats illicites — La preuve de l’existence d’une « intention illégale » demeure</w:t>
            </w:r>
            <w:r w:rsidRPr="00AA6F74">
              <w:rPr>
                <w:sz w:val="20"/>
                <w:lang w:val="fr-CA"/>
              </w:rPr>
              <w:noBreakHyphen/>
              <w:t>t</w:t>
            </w:r>
            <w:r w:rsidRPr="00AA6F74">
              <w:rPr>
                <w:sz w:val="20"/>
                <w:lang w:val="fr-CA"/>
              </w:rPr>
              <w:noBreakHyphen/>
              <w:t xml:space="preserve">elle un motif suffisant permettant d’invalider un contrat qui autrement serait licite, compte tenu de l’approche actuelle de la doctrine </w:t>
            </w:r>
            <w:r w:rsidRPr="00AA6F74">
              <w:rPr>
                <w:i/>
                <w:sz w:val="20"/>
                <w:lang w:val="fr-CA"/>
              </w:rPr>
              <w:t>ex turpi causa</w:t>
            </w:r>
            <w:r w:rsidRPr="00AA6F74">
              <w:rPr>
                <w:sz w:val="20"/>
                <w:lang w:val="fr-CA"/>
              </w:rPr>
              <w:t xml:space="preserve"> établie par la Cour dans </w:t>
            </w:r>
            <w:r w:rsidRPr="00AA6F74">
              <w:rPr>
                <w:i/>
                <w:sz w:val="20"/>
                <w:lang w:val="fr-CA"/>
              </w:rPr>
              <w:t>Hall c. Hebert</w:t>
            </w:r>
            <w:r w:rsidRPr="00AA6F74">
              <w:rPr>
                <w:sz w:val="20"/>
                <w:lang w:val="fr-CA"/>
              </w:rPr>
              <w:t>, [1993] 2 R.C.S. 159? — Si tel est le cas, quelle est la portée des volets relatifs à l’intention illégale de la doctrine qui fonde le refus d’exécuter un contrat autrement licite?</w:t>
            </w:r>
          </w:p>
          <w:p w:rsidR="006C1EBE" w:rsidRPr="00AA6F74" w:rsidRDefault="006C1EBE"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Les demandeurs, les acheteurs, ont conclu deux accords de vente et achat interreliés avec les défendeurs, les vendeurs, pour l’achat et la vente de deux immeubles commerciaux. Deux semaines avant la date d’occupation, les défendeurs ont donné un préavis aux demandeurs les informant qu’ils ne donneraient pas suite à la vente, au motif que les accords avaient été répudiés ou ne pouvaient pas être exécutés en raison de prétendus actes fautifs commis par les demandeurs et l’agent immobilier commun des parties. Les demandeurs ont rejeté ce qu’ils ont dit être une répudiation illicite et ont intenté une action en exécution intégrale ou, de manière subsidiaire, une action en dommages</w:t>
            </w:r>
            <w:r w:rsidRPr="00AA6F74">
              <w:rPr>
                <w:sz w:val="20"/>
                <w:lang w:val="fr-CA"/>
              </w:rPr>
              <w:noBreakHyphen/>
              <w:t>intérêts.</w:t>
            </w:r>
          </w:p>
          <w:p w:rsidR="006C1EBE" w:rsidRPr="00AA6F74" w:rsidRDefault="006C1EBE" w:rsidP="002E545B">
            <w:pPr>
              <w:jc w:val="both"/>
              <w:rPr>
                <w:sz w:val="20"/>
                <w:lang w:val="fr-CA"/>
              </w:rPr>
            </w:pPr>
          </w:p>
          <w:p w:rsidR="006C1EBE" w:rsidRPr="00AA6F74" w:rsidRDefault="006C1EBE" w:rsidP="002E545B">
            <w:pPr>
              <w:jc w:val="both"/>
              <w:rPr>
                <w:sz w:val="20"/>
                <w:lang w:val="fr-CA"/>
              </w:rPr>
            </w:pPr>
            <w:r w:rsidRPr="00AA6F74">
              <w:rPr>
                <w:sz w:val="20"/>
                <w:lang w:val="fr-CA"/>
              </w:rPr>
              <w:t>La Cour suprême de la Colombie</w:t>
            </w:r>
            <w:r w:rsidRPr="00AA6F74">
              <w:rPr>
                <w:sz w:val="20"/>
                <w:lang w:val="fr-CA"/>
              </w:rPr>
              <w:noBreakHyphen/>
              <w:t>Britannique a rejeté l’action des demandeurs, faisant droit au moyen de défense des défendeurs selon lequel les accords d’achat [</w:t>
            </w:r>
            <w:r w:rsidRPr="00AA6F74">
              <w:rPr>
                <w:smallCaps/>
                <w:sz w:val="20"/>
                <w:lang w:val="fr-CA"/>
              </w:rPr>
              <w:t>traduction</w:t>
            </w:r>
            <w:r w:rsidRPr="00AA6F74">
              <w:rPr>
                <w:sz w:val="20"/>
                <w:lang w:val="fr-CA"/>
              </w:rPr>
              <w:t>] « faisaient partie d’une transaction censée être utilisée à des fins illicites ou autrement entachées d’illégalité ». Pour des raisons de politique publique, la Cour a refusé d’ordonner leur exécution contre les défendeurs, car le faire serait [</w:t>
            </w:r>
            <w:r w:rsidRPr="00AA6F74">
              <w:rPr>
                <w:smallCaps/>
                <w:sz w:val="20"/>
                <w:lang w:val="fr-CA"/>
              </w:rPr>
              <w:t>traduction</w:t>
            </w:r>
            <w:r w:rsidRPr="00AA6F74">
              <w:rPr>
                <w:sz w:val="20"/>
                <w:lang w:val="fr-CA"/>
              </w:rPr>
              <w:t>] « préjudiciable à l’intégrité du système judiciaire ». La Cour a rejeté les demandes reconventionnelles des défendeurs, à l’exception d’une demande relative à la violation du contrat et d’une obligation fiduciaire à l’encontre de leurs agents immobiliers. La Cour d’appel de la Colombie</w:t>
            </w:r>
            <w:r w:rsidRPr="00AA6F74">
              <w:rPr>
                <w:sz w:val="20"/>
                <w:lang w:val="fr-CA"/>
              </w:rPr>
              <w:noBreakHyphen/>
              <w:t xml:space="preserve">Britannique a rejeté l’appel interjeté par les demandeurs et l’appel incident des défendeurs. </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10 mai 2019</w:t>
            </w:r>
          </w:p>
          <w:p w:rsidR="006C1EBE" w:rsidRPr="00AA6F74" w:rsidRDefault="006C1EBE" w:rsidP="002E545B">
            <w:pPr>
              <w:jc w:val="both"/>
              <w:rPr>
                <w:sz w:val="20"/>
                <w:lang w:val="fr-CA"/>
              </w:rPr>
            </w:pPr>
            <w:r w:rsidRPr="00AA6F74">
              <w:rPr>
                <w:sz w:val="20"/>
                <w:lang w:val="fr-CA"/>
              </w:rPr>
              <w:t>Cour suprême de la Colombie</w:t>
            </w:r>
            <w:r w:rsidRPr="00AA6F74">
              <w:rPr>
                <w:sz w:val="20"/>
                <w:lang w:val="fr-CA"/>
              </w:rPr>
              <w:noBreakHyphen/>
              <w:t xml:space="preserve">Britannique </w:t>
            </w:r>
          </w:p>
          <w:p w:rsidR="006C1EBE" w:rsidRPr="00AA6F74" w:rsidRDefault="006C1EBE" w:rsidP="002E545B">
            <w:pPr>
              <w:jc w:val="both"/>
              <w:rPr>
                <w:sz w:val="20"/>
              </w:rPr>
            </w:pPr>
            <w:r w:rsidRPr="00AA6F74">
              <w:rPr>
                <w:sz w:val="20"/>
              </w:rPr>
              <w:t>(juge Mayer)</w:t>
            </w:r>
          </w:p>
          <w:p w:rsidR="006C1EBE" w:rsidRPr="00AA6F74" w:rsidRDefault="002A25F4" w:rsidP="002E545B">
            <w:pPr>
              <w:jc w:val="both"/>
              <w:rPr>
                <w:sz w:val="20"/>
              </w:rPr>
            </w:pPr>
            <w:hyperlink r:id="rId33" w:history="1">
              <w:r w:rsidR="006C1EBE" w:rsidRPr="00AA6F74">
                <w:rPr>
                  <w:rStyle w:val="Hyperlink"/>
                  <w:sz w:val="20"/>
                </w:rPr>
                <w:t>2019 BCSC 739</w:t>
              </w:r>
            </w:hyperlink>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Rejet de la demande des demandeurs visant l’exécution intégrale ou l’octroi de dommages</w:t>
            </w:r>
            <w:r w:rsidRPr="00AA6F74">
              <w:rPr>
                <w:sz w:val="20"/>
                <w:lang w:val="fr-CA"/>
              </w:rPr>
              <w:noBreakHyphen/>
              <w:t xml:space="preserve">intérêts. Accueil de la demande des défendeurs en violation du contrat et de l’obligation fiduciaire contre certains défendeurs au moyen d’une demande reconventionnelle, rejet des autres demandes reconventionnelles. </w:t>
            </w: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8 mai 2020</w:t>
            </w:r>
          </w:p>
          <w:p w:rsidR="006C1EBE" w:rsidRPr="00AA6F74" w:rsidRDefault="006C1EBE" w:rsidP="002E545B">
            <w:pPr>
              <w:jc w:val="both"/>
              <w:rPr>
                <w:sz w:val="20"/>
                <w:lang w:val="fr-CA"/>
              </w:rPr>
            </w:pPr>
            <w:r w:rsidRPr="00AA6F74">
              <w:rPr>
                <w:sz w:val="20"/>
                <w:lang w:val="fr-CA"/>
              </w:rPr>
              <w:t>Cour suprême de la Colombie</w:t>
            </w:r>
            <w:r w:rsidRPr="00AA6F74">
              <w:rPr>
                <w:sz w:val="20"/>
                <w:lang w:val="fr-CA"/>
              </w:rPr>
              <w:noBreakHyphen/>
              <w:t>Britannique</w:t>
            </w:r>
          </w:p>
          <w:p w:rsidR="006C1EBE" w:rsidRPr="00AA6F74" w:rsidRDefault="006C1EBE" w:rsidP="002E545B">
            <w:pPr>
              <w:jc w:val="both"/>
              <w:rPr>
                <w:sz w:val="20"/>
                <w:lang w:val="fr-CA"/>
              </w:rPr>
            </w:pPr>
            <w:r w:rsidRPr="00AA6F74">
              <w:rPr>
                <w:sz w:val="20"/>
                <w:lang w:val="fr-CA"/>
              </w:rPr>
              <w:t>(Vancouver)</w:t>
            </w:r>
          </w:p>
          <w:p w:rsidR="006C1EBE" w:rsidRPr="00AA6F74" w:rsidRDefault="006C1EBE" w:rsidP="002E545B">
            <w:pPr>
              <w:jc w:val="both"/>
              <w:rPr>
                <w:sz w:val="20"/>
                <w:lang w:val="fr-CA"/>
              </w:rPr>
            </w:pPr>
            <w:r w:rsidRPr="00AA6F74">
              <w:rPr>
                <w:sz w:val="20"/>
                <w:lang w:val="fr-CA"/>
              </w:rPr>
              <w:t>(juge Groberman, Dickson et Hunter)</w:t>
            </w:r>
          </w:p>
          <w:p w:rsidR="006C1EBE" w:rsidRPr="00AA6F74" w:rsidRDefault="002A25F4" w:rsidP="002E545B">
            <w:pPr>
              <w:jc w:val="both"/>
              <w:rPr>
                <w:sz w:val="20"/>
              </w:rPr>
            </w:pPr>
            <w:hyperlink r:id="rId34" w:history="1">
              <w:r w:rsidR="006C1EBE" w:rsidRPr="00AA6F74">
                <w:rPr>
                  <w:rStyle w:val="Hyperlink"/>
                  <w:sz w:val="20"/>
                </w:rPr>
                <w:t>2020 BCCA 130</w:t>
              </w:r>
            </w:hyperlink>
            <w:r w:rsidR="006C1EBE" w:rsidRPr="00AA6F74">
              <w:rPr>
                <w:sz w:val="20"/>
              </w:rPr>
              <w:t>; CA46116 et CA46140</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lang w:val="fr-CA"/>
              </w:rPr>
            </w:pPr>
            <w:r w:rsidRPr="00AA6F74">
              <w:rPr>
                <w:sz w:val="20"/>
                <w:lang w:val="fr-CA"/>
              </w:rPr>
              <w:t>Rejet de l’appel et de l’appel incident.</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7 juillet 2020</w:t>
            </w:r>
          </w:p>
          <w:p w:rsidR="006C1EBE" w:rsidRPr="00AA6F74" w:rsidRDefault="006C1EBE" w:rsidP="002E545B">
            <w:pPr>
              <w:jc w:val="both"/>
              <w:rPr>
                <w:sz w:val="20"/>
                <w:lang w:val="fr-CA"/>
              </w:rPr>
            </w:pPr>
            <w:r w:rsidRPr="00AA6F74">
              <w:rPr>
                <w:sz w:val="20"/>
                <w:lang w:val="fr-CA"/>
              </w:rPr>
              <w:t>Cour suprême du Canada</w:t>
            </w:r>
          </w:p>
          <w:p w:rsidR="006C1EBE" w:rsidRPr="00AA6F74" w:rsidRDefault="006C1EBE" w:rsidP="002E545B">
            <w:pPr>
              <w:jc w:val="both"/>
              <w:rPr>
                <w:sz w:val="20"/>
                <w:lang w:val="fr-CA"/>
              </w:rPr>
            </w:pPr>
          </w:p>
        </w:tc>
        <w:tc>
          <w:tcPr>
            <w:tcW w:w="243" w:type="pct"/>
          </w:tcPr>
          <w:p w:rsidR="006C1EBE" w:rsidRPr="00AA6F74" w:rsidRDefault="006C1EBE" w:rsidP="002E545B">
            <w:pPr>
              <w:tabs>
                <w:tab w:val="left" w:pos="428"/>
              </w:tabs>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Dépôt de la demande d’autorisation d’appel.</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18 septembre 2020</w:t>
            </w:r>
          </w:p>
          <w:p w:rsidR="006C1EBE" w:rsidRPr="00AA6F74" w:rsidRDefault="006C1EBE" w:rsidP="002E545B">
            <w:pPr>
              <w:jc w:val="both"/>
              <w:rPr>
                <w:sz w:val="20"/>
                <w:lang w:val="fr-CA"/>
              </w:rPr>
            </w:pPr>
            <w:r w:rsidRPr="00AA6F74">
              <w:rPr>
                <w:sz w:val="20"/>
                <w:lang w:val="fr-CA"/>
              </w:rPr>
              <w:t>Cour suprême du Canada</w:t>
            </w: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Dépôt de la demande conditionnelle d’autorisation d’appel incident.</w:t>
            </w:r>
          </w:p>
        </w:tc>
      </w:tr>
    </w:tbl>
    <w:p w:rsidR="006C1EBE" w:rsidRPr="00AA6F74" w:rsidRDefault="006C1EBE" w:rsidP="006C1EBE">
      <w:pPr>
        <w:jc w:val="both"/>
        <w:rPr>
          <w:sz w:val="20"/>
          <w:lang w:val="fr-CA"/>
        </w:rPr>
      </w:pPr>
    </w:p>
    <w:p w:rsidR="006C1EBE" w:rsidRPr="00AA6F74" w:rsidRDefault="002A25F4" w:rsidP="006C1EBE">
      <w:pPr>
        <w:widowControl w:val="0"/>
        <w:jc w:val="both"/>
        <w:rPr>
          <w:sz w:val="20"/>
          <w:lang w:val="fr-CA"/>
        </w:rPr>
      </w:pPr>
      <w:r>
        <w:rPr>
          <w:sz w:val="20"/>
        </w:rPr>
        <w:pict>
          <v:rect id="_x0000_i1046" style="width:2in;height:1pt" o:hrpct="0" o:hralign="center" o:hrstd="t" o:hrnoshade="t" o:hr="t" fillcolor="black [3213]" stroked="f"/>
        </w:pict>
      </w:r>
    </w:p>
    <w:p w:rsidR="006C1EBE" w:rsidRPr="00AA6F74" w:rsidRDefault="006C1EBE" w:rsidP="006C1E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39319</w:t>
            </w:r>
          </w:p>
        </w:tc>
        <w:tc>
          <w:tcPr>
            <w:tcW w:w="4457" w:type="pct"/>
          </w:tcPr>
          <w:p w:rsidR="006C1EBE" w:rsidRPr="00AA6F74" w:rsidRDefault="006C1EBE" w:rsidP="002E545B">
            <w:pPr>
              <w:pStyle w:val="SCCLsocParty"/>
              <w:jc w:val="both"/>
              <w:rPr>
                <w:b/>
                <w:sz w:val="20"/>
                <w:szCs w:val="20"/>
                <w:lang w:val="en-US"/>
              </w:rPr>
            </w:pPr>
            <w:r w:rsidRPr="00AA6F74">
              <w:rPr>
                <w:b/>
                <w:sz w:val="20"/>
                <w:szCs w:val="20"/>
                <w:lang w:val="en-US"/>
              </w:rPr>
              <w:t>Jeremy Newborn v. Her Majesty the Queen</w:t>
            </w:r>
          </w:p>
          <w:p w:rsidR="006C1EBE" w:rsidRPr="00AA6F74" w:rsidRDefault="006C1EBE" w:rsidP="002E545B">
            <w:pPr>
              <w:jc w:val="both"/>
              <w:rPr>
                <w:sz w:val="20"/>
              </w:rPr>
            </w:pPr>
            <w:r w:rsidRPr="00AA6F74">
              <w:rPr>
                <w:sz w:val="20"/>
              </w:rPr>
              <w:t>(Alta.) (Criminal) (By Leave)</w:t>
            </w:r>
          </w:p>
        </w:tc>
      </w:tr>
      <w:tr w:rsidR="006C1EBE" w:rsidRPr="00AA6F74" w:rsidTr="002E545B">
        <w:tc>
          <w:tcPr>
            <w:tcW w:w="5000" w:type="pct"/>
            <w:gridSpan w:val="2"/>
          </w:tcPr>
          <w:p w:rsidR="008077DB" w:rsidRPr="00AA6F74" w:rsidRDefault="008077DB" w:rsidP="008077DB">
            <w:pPr>
              <w:jc w:val="both"/>
              <w:rPr>
                <w:sz w:val="20"/>
                <w:szCs w:val="20"/>
              </w:rPr>
            </w:pPr>
            <w:r w:rsidRPr="00AA6F74">
              <w:rPr>
                <w:sz w:val="20"/>
                <w:szCs w:val="20"/>
              </w:rPr>
              <w:t>The motion to join two Court of Appeal of Alberta files in a single application for leave to appeal is granted. The motion for an extension of time to serve and file the application for leave to appeal is granted. The application for leave to appeal from the judgments of the Court of Appeal of Alberta (Edmonton), Number 1603-0145-A, 2019 ABCA 123, dated April</w:t>
            </w:r>
            <w:r w:rsidRPr="00AA6F74">
              <w:rPr>
                <w:sz w:val="20"/>
                <w:szCs w:val="20"/>
                <w:lang w:val="en-US"/>
              </w:rPr>
              <w:t> </w:t>
            </w:r>
            <w:r w:rsidRPr="00AA6F74">
              <w:rPr>
                <w:sz w:val="20"/>
                <w:szCs w:val="20"/>
              </w:rPr>
              <w:t>5,</w:t>
            </w:r>
            <w:r w:rsidRPr="00AA6F74">
              <w:rPr>
                <w:sz w:val="20"/>
                <w:szCs w:val="20"/>
                <w:lang w:val="en-US"/>
              </w:rPr>
              <w:t> </w:t>
            </w:r>
            <w:r w:rsidRPr="00AA6F74">
              <w:rPr>
                <w:sz w:val="20"/>
                <w:szCs w:val="20"/>
              </w:rPr>
              <w:t>2019, and Number 1603-0145-A, 2020 ABCA 120, dated March 26, 2020, is dismissed.</w:t>
            </w:r>
          </w:p>
          <w:p w:rsidR="006C1EBE" w:rsidRPr="00AA6F74" w:rsidRDefault="006C1EBE" w:rsidP="002E545B">
            <w:pPr>
              <w:jc w:val="both"/>
              <w:rPr>
                <w:sz w:val="20"/>
              </w:rPr>
            </w:pPr>
          </w:p>
        </w:tc>
      </w:tr>
      <w:tr w:rsidR="006C1EBE" w:rsidRPr="00AA6F74" w:rsidTr="002E545B">
        <w:tc>
          <w:tcPr>
            <w:tcW w:w="5000" w:type="pct"/>
            <w:gridSpan w:val="2"/>
          </w:tcPr>
          <w:p w:rsidR="006C1EBE" w:rsidRPr="00AA6F74" w:rsidRDefault="006C1EBE" w:rsidP="002E545B">
            <w:pPr>
              <w:jc w:val="both"/>
              <w:rPr>
                <w:sz w:val="20"/>
              </w:rPr>
            </w:pPr>
            <w:r w:rsidRPr="00AA6F74">
              <w:rPr>
                <w:i/>
                <w:sz w:val="20"/>
              </w:rPr>
              <w:t>Charter of Rights</w:t>
            </w:r>
            <w:r w:rsidRPr="00AA6F74">
              <w:rPr>
                <w:sz w:val="20"/>
              </w:rPr>
              <w:t xml:space="preserve"> — Criminal law — Cruel and unusual treatment or punishment — Right to fair hearing — Right to trial by jury — Whether the mandatory minimum life sentence for second degree murder establishes a punishment that is grossly disproportionate when considered in the context of the individual circumstances of the applicant and therefore infringes s. 12 of the </w:t>
            </w:r>
            <w:r w:rsidRPr="00AA6F74">
              <w:rPr>
                <w:i/>
                <w:sz w:val="20"/>
              </w:rPr>
              <w:t>Charter</w:t>
            </w:r>
            <w:r w:rsidRPr="00AA6F74">
              <w:rPr>
                <w:sz w:val="20"/>
              </w:rPr>
              <w:t xml:space="preserve"> — Whether s. 4(h) of the </w:t>
            </w:r>
            <w:r w:rsidRPr="00AA6F74">
              <w:rPr>
                <w:i/>
                <w:sz w:val="20"/>
              </w:rPr>
              <w:t>Alberta Jury Act</w:t>
            </w:r>
            <w:r w:rsidRPr="00AA6F74">
              <w:rPr>
                <w:sz w:val="20"/>
              </w:rPr>
              <w:t xml:space="preserve"> is unconstitutional as it systemically excludes indigenous people from juries — ss. 11(d), 11(f), 12 of the </w:t>
            </w:r>
            <w:r w:rsidRPr="00AA6F74">
              <w:rPr>
                <w:i/>
                <w:sz w:val="20"/>
              </w:rPr>
              <w:t>Charter of Rights and Freedoms</w:t>
            </w:r>
            <w:r w:rsidRPr="00AA6F74">
              <w:rPr>
                <w:sz w:val="20"/>
              </w:rPr>
              <w:t>.</w:t>
            </w:r>
          </w:p>
          <w:p w:rsidR="006C1EBE" w:rsidRPr="00AA6F74" w:rsidRDefault="006C1EBE" w:rsidP="002E545B">
            <w:pPr>
              <w:jc w:val="both"/>
              <w:rPr>
                <w:sz w:val="20"/>
              </w:rPr>
            </w:pPr>
          </w:p>
        </w:tc>
      </w:tr>
    </w:tbl>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C1EBE" w:rsidRPr="00AA6F74" w:rsidTr="002E545B">
        <w:tc>
          <w:tcPr>
            <w:tcW w:w="5000" w:type="pct"/>
          </w:tcPr>
          <w:p w:rsidR="006C1EBE" w:rsidRPr="00AA6F74" w:rsidRDefault="006C1EBE" w:rsidP="002E545B">
            <w:pPr>
              <w:jc w:val="both"/>
              <w:rPr>
                <w:sz w:val="20"/>
              </w:rPr>
            </w:pPr>
            <w:r w:rsidRPr="00AA6F74">
              <w:rPr>
                <w:sz w:val="20"/>
                <w:lang w:val="en"/>
              </w:rPr>
              <w:lastRenderedPageBreak/>
              <w:t xml:space="preserve">Mr. Newborn attacked Mr. Hollar on a Light Rail Transit train. Mr. Hollar was placed on life support, and died two days later. The attack appeared to be unprovoked. </w:t>
            </w:r>
            <w:r w:rsidRPr="00AA6F74">
              <w:rPr>
                <w:sz w:val="20"/>
              </w:rPr>
              <w:t xml:space="preserve">Mr. Newborn, an Indigenous person, </w:t>
            </w:r>
            <w:r w:rsidRPr="00AA6F74">
              <w:rPr>
                <w:sz w:val="20"/>
                <w:lang w:val="en"/>
              </w:rPr>
              <w:t xml:space="preserve">challenged the jury selection process, arguing that his rights under s. 11 (d) and (f) of the </w:t>
            </w:r>
            <w:r w:rsidRPr="00AA6F74">
              <w:rPr>
                <w:i/>
                <w:sz w:val="20"/>
                <w:lang w:val="en"/>
              </w:rPr>
              <w:t>Charter</w:t>
            </w:r>
            <w:r w:rsidRPr="00AA6F74">
              <w:rPr>
                <w:sz w:val="20"/>
                <w:lang w:val="en"/>
              </w:rPr>
              <w:t xml:space="preserve"> had been violated. Mr. Newborn also argued that the exclusion from jury eligibility (under s. 4 of the </w:t>
            </w:r>
            <w:r w:rsidRPr="00AA6F74">
              <w:rPr>
                <w:i/>
                <w:sz w:val="20"/>
                <w:lang w:val="en"/>
              </w:rPr>
              <w:t>Jury Act</w:t>
            </w:r>
            <w:r w:rsidRPr="00AA6F74">
              <w:rPr>
                <w:sz w:val="20"/>
                <w:lang w:val="en"/>
              </w:rPr>
              <w:t>, RSA, 2000, c.J</w:t>
            </w:r>
            <w:r w:rsidRPr="00AA6F74">
              <w:rPr>
                <w:sz w:val="20"/>
                <w:lang w:val="en"/>
              </w:rPr>
              <w:noBreakHyphen/>
              <w:t xml:space="preserve">3) of persons who have been convicted of a criminal offence was unconstitutional, because it disproportionately excluded aboriginal persons. The trial judge </w:t>
            </w:r>
            <w:r w:rsidRPr="00AA6F74">
              <w:rPr>
                <w:color w:val="000000"/>
                <w:sz w:val="20"/>
              </w:rPr>
              <w:t xml:space="preserve">upheld the constitutionality of s. 4(h)(i) of the </w:t>
            </w:r>
            <w:r w:rsidRPr="00AA6F74">
              <w:rPr>
                <w:i/>
                <w:color w:val="000000"/>
                <w:sz w:val="20"/>
              </w:rPr>
              <w:t>Jury Act</w:t>
            </w:r>
            <w:r w:rsidRPr="00AA6F74">
              <w:rPr>
                <w:color w:val="000000"/>
                <w:sz w:val="20"/>
              </w:rPr>
              <w:t xml:space="preserve">. </w:t>
            </w:r>
            <w:r w:rsidRPr="00AA6F74">
              <w:rPr>
                <w:sz w:val="20"/>
                <w:lang w:val="en"/>
              </w:rPr>
              <w:t xml:space="preserve">Mr. Newborn was convicted of second degree murder. The sentencing judge held that the mandatory minimum sentence for second degree murder did not violate Mr. Newborn’s s. 12 </w:t>
            </w:r>
            <w:r w:rsidRPr="00AA6F74">
              <w:rPr>
                <w:i/>
                <w:iCs/>
                <w:sz w:val="20"/>
                <w:lang w:val="en"/>
              </w:rPr>
              <w:t xml:space="preserve">Charter </w:t>
            </w:r>
            <w:r w:rsidRPr="00AA6F74">
              <w:rPr>
                <w:sz w:val="20"/>
                <w:lang w:val="en"/>
              </w:rPr>
              <w:t xml:space="preserve">rights. Mr. Newborn was sentenced to life imprisonment, setting parole ineligibility at 15 years. Mr. Newborn’s appeal regarding the constitutionality of the </w:t>
            </w:r>
            <w:r w:rsidRPr="00AA6F74">
              <w:rPr>
                <w:i/>
                <w:sz w:val="20"/>
                <w:lang w:val="en"/>
              </w:rPr>
              <w:t>Jury Act</w:t>
            </w:r>
            <w:r w:rsidRPr="00AA6F74">
              <w:rPr>
                <w:sz w:val="20"/>
                <w:lang w:val="en"/>
              </w:rPr>
              <w:t xml:space="preserve"> was dismissed. The constitutional challenge to the provisions of the </w:t>
            </w:r>
            <w:r w:rsidRPr="00AA6F74">
              <w:rPr>
                <w:i/>
                <w:sz w:val="20"/>
                <w:lang w:val="en"/>
              </w:rPr>
              <w:t>Criminal Code</w:t>
            </w:r>
            <w:r w:rsidRPr="00AA6F74">
              <w:rPr>
                <w:sz w:val="20"/>
                <w:lang w:val="en"/>
              </w:rPr>
              <w:t xml:space="preserve"> regarding the mandatory minimum sentence for second degree murder was denied. The mandatory minimum sentence for second degree murder did not violate Mr. Newborn’s s. 12 </w:t>
            </w:r>
            <w:r w:rsidRPr="00AA6F74">
              <w:rPr>
                <w:i/>
                <w:iCs/>
                <w:sz w:val="20"/>
                <w:lang w:val="en"/>
              </w:rPr>
              <w:t xml:space="preserve">Charter </w:t>
            </w:r>
            <w:r w:rsidRPr="00AA6F74">
              <w:rPr>
                <w:sz w:val="20"/>
                <w:lang w:val="en"/>
              </w:rPr>
              <w:t>rights. Mr. Newborn’s appeal of his period of parole ineligibility was also dismissed. The Court of Appeal dismissed the conviction, and sentence appeals.</w:t>
            </w:r>
          </w:p>
        </w:tc>
      </w:tr>
      <w:tr w:rsidR="006C1EBE" w:rsidRPr="00AA6F74" w:rsidTr="002E545B">
        <w:tc>
          <w:tcPr>
            <w:tcW w:w="5000" w:type="pct"/>
          </w:tcPr>
          <w:p w:rsidR="006C1EBE" w:rsidRPr="00AA6F74" w:rsidRDefault="006C1EBE" w:rsidP="002E545B">
            <w:pPr>
              <w:jc w:val="both"/>
              <w:rPr>
                <w:sz w:val="20"/>
              </w:rPr>
            </w:pPr>
          </w:p>
        </w:tc>
      </w:tr>
      <w:tr w:rsidR="006C1EBE" w:rsidRPr="00AA6F74" w:rsidTr="002E545B">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C1EBE" w:rsidRPr="00AA6F74" w:rsidTr="002E545B">
              <w:tc>
                <w:tcPr>
                  <w:tcW w:w="2367" w:type="pct"/>
                </w:tcPr>
                <w:p w:rsidR="006C1EBE" w:rsidRPr="00AA6F74" w:rsidRDefault="006C1EBE" w:rsidP="002E545B">
                  <w:pPr>
                    <w:jc w:val="both"/>
                    <w:rPr>
                      <w:sz w:val="20"/>
                    </w:rPr>
                  </w:pPr>
                  <w:r w:rsidRPr="00AA6F74">
                    <w:rPr>
                      <w:sz w:val="20"/>
                    </w:rPr>
                    <w:t>May 6, 2016</w:t>
                  </w:r>
                </w:p>
                <w:p w:rsidR="006C1EBE" w:rsidRPr="00AA6F74" w:rsidRDefault="006C1EBE" w:rsidP="002E545B">
                  <w:pPr>
                    <w:jc w:val="both"/>
                    <w:rPr>
                      <w:sz w:val="20"/>
                    </w:rPr>
                  </w:pPr>
                  <w:r w:rsidRPr="00AA6F74">
                    <w:rPr>
                      <w:sz w:val="20"/>
                    </w:rPr>
                    <w:t>Court of Queen’s Bench of Alberta</w:t>
                  </w:r>
                </w:p>
                <w:p w:rsidR="006C1EBE" w:rsidRPr="00AA6F74" w:rsidRDefault="006C1EBE" w:rsidP="002E545B">
                  <w:pPr>
                    <w:jc w:val="both"/>
                    <w:rPr>
                      <w:sz w:val="20"/>
                    </w:rPr>
                  </w:pPr>
                  <w:r w:rsidRPr="00AA6F74">
                    <w:rPr>
                      <w:sz w:val="20"/>
                    </w:rPr>
                    <w:t>(Burrows J.)</w:t>
                  </w:r>
                </w:p>
                <w:p w:rsidR="006C1EBE" w:rsidRPr="00AA6F74" w:rsidRDefault="002A25F4" w:rsidP="002E545B">
                  <w:pPr>
                    <w:jc w:val="both"/>
                    <w:rPr>
                      <w:sz w:val="20"/>
                    </w:rPr>
                  </w:pPr>
                  <w:hyperlink r:id="rId35" w:history="1">
                    <w:r w:rsidR="006C1EBE" w:rsidRPr="00AA6F74">
                      <w:rPr>
                        <w:rStyle w:val="Hyperlink"/>
                        <w:sz w:val="20"/>
                      </w:rPr>
                      <w:t>2016 ABQB 13</w:t>
                    </w:r>
                  </w:hyperlink>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rPr>
                  </w:pPr>
                  <w:r w:rsidRPr="00AA6F74">
                    <w:rPr>
                      <w:sz w:val="20"/>
                    </w:rPr>
                    <w:t>Conviction entered: second degree murder</w:t>
                  </w:r>
                </w:p>
                <w:p w:rsidR="006C1EBE" w:rsidRPr="00AA6F74" w:rsidRDefault="006C1EBE" w:rsidP="002E545B">
                  <w:pPr>
                    <w:jc w:val="both"/>
                    <w:rPr>
                      <w:sz w:val="20"/>
                    </w:rPr>
                  </w:pPr>
                </w:p>
              </w:tc>
            </w:tr>
            <w:tr w:rsidR="006C1EBE" w:rsidRPr="00AA6F74" w:rsidTr="002E545B">
              <w:tc>
                <w:tcPr>
                  <w:tcW w:w="2367" w:type="pct"/>
                </w:tcPr>
                <w:p w:rsidR="006C1EBE" w:rsidRPr="00AA6F74" w:rsidRDefault="006C1EBE" w:rsidP="002E545B">
                  <w:pPr>
                    <w:jc w:val="both"/>
                    <w:rPr>
                      <w:sz w:val="20"/>
                    </w:rPr>
                  </w:pPr>
                  <w:r w:rsidRPr="00AA6F74">
                    <w:rPr>
                      <w:sz w:val="20"/>
                    </w:rPr>
                    <w:t>January 19, 2018</w:t>
                  </w:r>
                </w:p>
                <w:p w:rsidR="006C1EBE" w:rsidRPr="00AA6F74" w:rsidRDefault="006C1EBE" w:rsidP="002E545B">
                  <w:pPr>
                    <w:jc w:val="both"/>
                    <w:rPr>
                      <w:sz w:val="20"/>
                    </w:rPr>
                  </w:pPr>
                  <w:r w:rsidRPr="00AA6F74">
                    <w:rPr>
                      <w:sz w:val="20"/>
                    </w:rPr>
                    <w:t>Court of Queen’s Bench of Alberta</w:t>
                  </w:r>
                </w:p>
                <w:p w:rsidR="006C1EBE" w:rsidRPr="00AA6F74" w:rsidRDefault="006C1EBE" w:rsidP="002E545B">
                  <w:pPr>
                    <w:jc w:val="both"/>
                    <w:rPr>
                      <w:sz w:val="20"/>
                    </w:rPr>
                  </w:pPr>
                  <w:r w:rsidRPr="00AA6F74">
                    <w:rPr>
                      <w:sz w:val="20"/>
                    </w:rPr>
                    <w:t>(Burrows J.)</w:t>
                  </w:r>
                </w:p>
                <w:p w:rsidR="006C1EBE" w:rsidRPr="00AA6F74" w:rsidRDefault="002A25F4" w:rsidP="002E545B">
                  <w:pPr>
                    <w:jc w:val="both"/>
                    <w:rPr>
                      <w:sz w:val="20"/>
                    </w:rPr>
                  </w:pPr>
                  <w:hyperlink r:id="rId36" w:history="1">
                    <w:r w:rsidR="006C1EBE" w:rsidRPr="00AA6F74">
                      <w:rPr>
                        <w:rStyle w:val="Hyperlink"/>
                        <w:sz w:val="20"/>
                      </w:rPr>
                      <w:t>2018 ABQB 47</w:t>
                    </w:r>
                  </w:hyperlink>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rPr>
                  </w:pPr>
                  <w:r w:rsidRPr="00AA6F74">
                    <w:rPr>
                      <w:sz w:val="20"/>
                    </w:rPr>
                    <w:t>Sentence imposed: life imprisonment</w:t>
                  </w:r>
                </w:p>
                <w:p w:rsidR="006C1EBE" w:rsidRPr="00AA6F74" w:rsidRDefault="006C1EBE" w:rsidP="002E545B">
                  <w:pPr>
                    <w:jc w:val="both"/>
                    <w:rPr>
                      <w:sz w:val="20"/>
                    </w:rPr>
                  </w:pPr>
                </w:p>
              </w:tc>
            </w:tr>
            <w:tr w:rsidR="006C1EBE" w:rsidRPr="00AA6F74" w:rsidTr="002E545B">
              <w:tc>
                <w:tcPr>
                  <w:tcW w:w="2367" w:type="pct"/>
                </w:tcPr>
                <w:p w:rsidR="006C1EBE" w:rsidRPr="00AA6F74" w:rsidRDefault="006C1EBE" w:rsidP="002E545B">
                  <w:pPr>
                    <w:jc w:val="both"/>
                    <w:rPr>
                      <w:sz w:val="20"/>
                    </w:rPr>
                  </w:pPr>
                  <w:r w:rsidRPr="00AA6F74">
                    <w:rPr>
                      <w:sz w:val="20"/>
                    </w:rPr>
                    <w:t>April 5, 2019</w:t>
                  </w:r>
                </w:p>
                <w:p w:rsidR="006C1EBE" w:rsidRPr="00AA6F74" w:rsidRDefault="006C1EBE" w:rsidP="002E545B">
                  <w:pPr>
                    <w:jc w:val="both"/>
                    <w:rPr>
                      <w:sz w:val="20"/>
                    </w:rPr>
                  </w:pPr>
                  <w:r w:rsidRPr="00AA6F74">
                    <w:rPr>
                      <w:sz w:val="20"/>
                    </w:rPr>
                    <w:t>Court of Appeal of Alberta (Edmonton)</w:t>
                  </w:r>
                </w:p>
                <w:p w:rsidR="006C1EBE" w:rsidRPr="00AA6F74" w:rsidRDefault="006C1EBE" w:rsidP="002E545B">
                  <w:pPr>
                    <w:jc w:val="both"/>
                    <w:rPr>
                      <w:sz w:val="20"/>
                    </w:rPr>
                  </w:pPr>
                  <w:r w:rsidRPr="00AA6F74">
                    <w:rPr>
                      <w:sz w:val="20"/>
                    </w:rPr>
                    <w:t>(Slatter, Veldhuis, Khullar JJ.A.)</w:t>
                  </w:r>
                </w:p>
                <w:p w:rsidR="006C1EBE" w:rsidRPr="00AA6F74" w:rsidRDefault="002A25F4" w:rsidP="002E545B">
                  <w:pPr>
                    <w:jc w:val="both"/>
                    <w:rPr>
                      <w:sz w:val="20"/>
                    </w:rPr>
                  </w:pPr>
                  <w:hyperlink r:id="rId37" w:history="1">
                    <w:r w:rsidR="006C1EBE" w:rsidRPr="00AA6F74">
                      <w:rPr>
                        <w:rStyle w:val="Hyperlink"/>
                        <w:sz w:val="20"/>
                      </w:rPr>
                      <w:t>2019 ABCA 123</w:t>
                    </w:r>
                  </w:hyperlink>
                  <w:r w:rsidR="006C1EBE" w:rsidRPr="00AA6F74">
                    <w:rPr>
                      <w:sz w:val="20"/>
                    </w:rPr>
                    <w:t>; 1603</w:t>
                  </w:r>
                  <w:r w:rsidR="006C1EBE" w:rsidRPr="00AA6F74">
                    <w:rPr>
                      <w:sz w:val="20"/>
                    </w:rPr>
                    <w:noBreakHyphen/>
                    <w:t>0145</w:t>
                  </w:r>
                  <w:r w:rsidR="006C1EBE" w:rsidRPr="00AA6F74">
                    <w:rPr>
                      <w:sz w:val="20"/>
                    </w:rPr>
                    <w:noBreakHyphen/>
                    <w:t xml:space="preserve">A </w:t>
                  </w:r>
                </w:p>
                <w:p w:rsidR="006C1EBE" w:rsidRPr="00AA6F74" w:rsidRDefault="006C1EBE" w:rsidP="002E545B">
                  <w:pPr>
                    <w:jc w:val="both"/>
                    <w:rPr>
                      <w:sz w:val="20"/>
                    </w:rPr>
                  </w:pPr>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rPr>
                  </w:pPr>
                  <w:r w:rsidRPr="00AA6F74">
                    <w:rPr>
                      <w:sz w:val="20"/>
                    </w:rPr>
                    <w:t>Conviction appeal dismissed</w:t>
                  </w:r>
                </w:p>
                <w:p w:rsidR="006C1EBE" w:rsidRPr="00AA6F74" w:rsidRDefault="006C1EBE" w:rsidP="002E545B">
                  <w:pPr>
                    <w:jc w:val="both"/>
                    <w:rPr>
                      <w:sz w:val="20"/>
                    </w:rPr>
                  </w:pPr>
                </w:p>
              </w:tc>
            </w:tr>
            <w:tr w:rsidR="006C1EBE" w:rsidRPr="00AA6F74" w:rsidTr="002E545B">
              <w:tc>
                <w:tcPr>
                  <w:tcW w:w="2367" w:type="pct"/>
                </w:tcPr>
                <w:p w:rsidR="006C1EBE" w:rsidRPr="00AA6F74" w:rsidRDefault="006C1EBE" w:rsidP="002E545B">
                  <w:pPr>
                    <w:jc w:val="both"/>
                    <w:rPr>
                      <w:sz w:val="20"/>
                    </w:rPr>
                  </w:pPr>
                  <w:r w:rsidRPr="00AA6F74">
                    <w:rPr>
                      <w:sz w:val="20"/>
                    </w:rPr>
                    <w:t>March 26, 2020</w:t>
                  </w:r>
                </w:p>
                <w:p w:rsidR="006C1EBE" w:rsidRPr="00AA6F74" w:rsidRDefault="006C1EBE" w:rsidP="002E545B">
                  <w:pPr>
                    <w:jc w:val="both"/>
                    <w:rPr>
                      <w:sz w:val="20"/>
                    </w:rPr>
                  </w:pPr>
                  <w:r w:rsidRPr="00AA6F74">
                    <w:rPr>
                      <w:sz w:val="20"/>
                    </w:rPr>
                    <w:t>Court of Appeal of Alberta (Edmonton)</w:t>
                  </w:r>
                </w:p>
                <w:p w:rsidR="006C1EBE" w:rsidRPr="00AA6F74" w:rsidRDefault="006C1EBE" w:rsidP="002E545B">
                  <w:pPr>
                    <w:jc w:val="both"/>
                    <w:rPr>
                      <w:sz w:val="20"/>
                    </w:rPr>
                  </w:pPr>
                  <w:r w:rsidRPr="00AA6F74">
                    <w:rPr>
                      <w:sz w:val="20"/>
                    </w:rPr>
                    <w:t>(Martin, Watson, Hughes, Pentelechuck, Feehan JJ.A.)</w:t>
                  </w:r>
                </w:p>
                <w:p w:rsidR="006C1EBE" w:rsidRPr="00AA6F74" w:rsidRDefault="002A25F4" w:rsidP="002E545B">
                  <w:pPr>
                    <w:jc w:val="both"/>
                    <w:rPr>
                      <w:sz w:val="20"/>
                    </w:rPr>
                  </w:pPr>
                  <w:hyperlink r:id="rId38" w:history="1">
                    <w:r w:rsidR="006C1EBE" w:rsidRPr="00AA6F74">
                      <w:rPr>
                        <w:rStyle w:val="Hyperlink"/>
                        <w:sz w:val="20"/>
                      </w:rPr>
                      <w:t>2020 ABCA 120</w:t>
                    </w:r>
                  </w:hyperlink>
                  <w:r w:rsidR="006C1EBE" w:rsidRPr="00AA6F74">
                    <w:rPr>
                      <w:sz w:val="20"/>
                    </w:rPr>
                    <w:t>; 1603</w:t>
                  </w:r>
                  <w:r w:rsidR="006C1EBE" w:rsidRPr="00AA6F74">
                    <w:rPr>
                      <w:sz w:val="20"/>
                    </w:rPr>
                    <w:noBreakHyphen/>
                    <w:t>0145</w:t>
                  </w:r>
                  <w:r w:rsidR="006C1EBE" w:rsidRPr="00AA6F74">
                    <w:rPr>
                      <w:sz w:val="20"/>
                    </w:rPr>
                    <w:noBreakHyphen/>
                    <w:t xml:space="preserve">A </w:t>
                  </w:r>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rPr>
                  </w:pPr>
                  <w:r w:rsidRPr="00AA6F74">
                    <w:rPr>
                      <w:sz w:val="20"/>
                    </w:rPr>
                    <w:t>Sentence appeal dismissed</w:t>
                  </w:r>
                </w:p>
                <w:p w:rsidR="006C1EBE" w:rsidRPr="00AA6F74" w:rsidRDefault="006C1EBE" w:rsidP="002E545B">
                  <w:pPr>
                    <w:jc w:val="both"/>
                    <w:rPr>
                      <w:sz w:val="20"/>
                    </w:rPr>
                  </w:pPr>
                </w:p>
              </w:tc>
            </w:tr>
            <w:tr w:rsidR="006C1EBE" w:rsidRPr="00AA6F74" w:rsidTr="002E545B">
              <w:tc>
                <w:tcPr>
                  <w:tcW w:w="2367" w:type="pct"/>
                </w:tcPr>
                <w:p w:rsidR="006C1EBE" w:rsidRPr="00AA6F74" w:rsidRDefault="006C1EBE" w:rsidP="002E545B">
                  <w:pPr>
                    <w:jc w:val="both"/>
                    <w:rPr>
                      <w:sz w:val="20"/>
                    </w:rPr>
                  </w:pPr>
                  <w:r w:rsidRPr="00AA6F74">
                    <w:rPr>
                      <w:sz w:val="20"/>
                    </w:rPr>
                    <w:t>September 9, 2020</w:t>
                  </w:r>
                </w:p>
                <w:p w:rsidR="006C1EBE" w:rsidRPr="00AA6F74" w:rsidRDefault="006C1EBE" w:rsidP="002E545B">
                  <w:pPr>
                    <w:jc w:val="both"/>
                    <w:rPr>
                      <w:sz w:val="20"/>
                    </w:rPr>
                  </w:pPr>
                  <w:r w:rsidRPr="00AA6F74">
                    <w:rPr>
                      <w:sz w:val="20"/>
                    </w:rPr>
                    <w:t>Supreme Court of Canada</w:t>
                  </w:r>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rPr>
                  </w:pPr>
                  <w:r w:rsidRPr="00AA6F74">
                    <w:rPr>
                      <w:sz w:val="20"/>
                    </w:rPr>
                    <w:t>Motion for an extension of time to serve and file the application for leave to appeal, motion to join, and application for leave to appeal filed</w:t>
                  </w:r>
                </w:p>
              </w:tc>
            </w:tr>
          </w:tbl>
          <w:p w:rsidR="006C1EBE" w:rsidRPr="00AA6F74" w:rsidRDefault="006C1EBE" w:rsidP="002E545B">
            <w:pPr>
              <w:jc w:val="both"/>
              <w:rPr>
                <w:sz w:val="20"/>
              </w:rPr>
            </w:pP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47"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C1EBE" w:rsidRPr="00AA6F74" w:rsidTr="002E545B">
        <w:tc>
          <w:tcPr>
            <w:tcW w:w="543" w:type="pct"/>
          </w:tcPr>
          <w:p w:rsidR="006C1EBE" w:rsidRPr="00AA6F74" w:rsidRDefault="006C1EBE" w:rsidP="002E545B">
            <w:pPr>
              <w:jc w:val="both"/>
              <w:rPr>
                <w:sz w:val="20"/>
                <w:lang w:val="fr-CA"/>
              </w:rPr>
            </w:pPr>
            <w:r w:rsidRPr="00AA6F74">
              <w:rPr>
                <w:rStyle w:val="SCCFileNumberChar"/>
                <w:sz w:val="20"/>
                <w:szCs w:val="20"/>
                <w:lang w:val="fr-CA"/>
              </w:rPr>
              <w:t>39319</w:t>
            </w:r>
          </w:p>
        </w:tc>
        <w:tc>
          <w:tcPr>
            <w:tcW w:w="4457" w:type="pct"/>
          </w:tcPr>
          <w:p w:rsidR="006C1EBE" w:rsidRPr="00AA6F74" w:rsidRDefault="006C1EBE" w:rsidP="002E545B">
            <w:pPr>
              <w:pStyle w:val="SCCLsocParty"/>
              <w:jc w:val="both"/>
              <w:rPr>
                <w:b/>
                <w:sz w:val="20"/>
                <w:szCs w:val="20"/>
              </w:rPr>
            </w:pPr>
            <w:r w:rsidRPr="00AA6F74">
              <w:rPr>
                <w:b/>
                <w:sz w:val="20"/>
                <w:szCs w:val="20"/>
              </w:rPr>
              <w:t>Jeremy Newborn c. Sa Majesté la Reine</w:t>
            </w:r>
          </w:p>
          <w:p w:rsidR="006C1EBE" w:rsidRPr="00AA6F74" w:rsidRDefault="006C1EBE" w:rsidP="002E545B">
            <w:pPr>
              <w:jc w:val="both"/>
              <w:rPr>
                <w:sz w:val="20"/>
                <w:lang w:val="fr-CA"/>
              </w:rPr>
            </w:pPr>
            <w:r w:rsidRPr="00AA6F74">
              <w:rPr>
                <w:sz w:val="20"/>
                <w:lang w:val="fr-CA"/>
              </w:rPr>
              <w:t>(Alb.) (Criminelle) (Sur autorisation)</w:t>
            </w:r>
          </w:p>
        </w:tc>
      </w:tr>
      <w:tr w:rsidR="006C1EBE" w:rsidRPr="002A25F4" w:rsidTr="002E545B">
        <w:tc>
          <w:tcPr>
            <w:tcW w:w="5000" w:type="pct"/>
            <w:gridSpan w:val="2"/>
          </w:tcPr>
          <w:p w:rsidR="006C1EBE" w:rsidRPr="00AA6F74" w:rsidRDefault="008077DB" w:rsidP="002E545B">
            <w:pPr>
              <w:jc w:val="both"/>
              <w:rPr>
                <w:sz w:val="20"/>
                <w:szCs w:val="20"/>
                <w:lang w:val="fr-CA"/>
              </w:rPr>
            </w:pPr>
            <w:r w:rsidRPr="00AA6F74">
              <w:rPr>
                <w:sz w:val="20"/>
                <w:szCs w:val="20"/>
                <w:lang w:val="fr-CA"/>
              </w:rPr>
              <w:t>La requête pour joindre deux dossiers de la Cour d’appel de l’Alberta dans une seule demande d’autorisation d’appel est accueillie. La requête en prorogation du délai de signification et de dépôt de la demande d’autorisation d’appel est accueillie. La demande d’autorisation d’appel des arrêts de la Cour d’appel de l’Alberta (Edmonton), numéro 1603-0145-A, 2019 ABCA 123, daté du 5 avril 2019, et numéro 1603-0145-A, 2020 ABCA 120, daté du 26 mars 2020, est rejetée.</w:t>
            </w:r>
          </w:p>
          <w:p w:rsidR="008077DB" w:rsidRPr="00AA6F74" w:rsidRDefault="008077DB" w:rsidP="002E545B">
            <w:pPr>
              <w:jc w:val="both"/>
              <w:rPr>
                <w:sz w:val="20"/>
                <w:lang w:val="fr-CA"/>
              </w:rPr>
            </w:pPr>
          </w:p>
        </w:tc>
      </w:tr>
    </w:tbl>
    <w:p w:rsidR="009504A9" w:rsidRPr="00AA6F74" w:rsidRDefault="009504A9">
      <w:pPr>
        <w:rPr>
          <w:lang w:val="fr-CA"/>
        </w:rPr>
      </w:pPr>
      <w:r w:rsidRPr="00AA6F7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C1EBE" w:rsidRPr="002A25F4" w:rsidTr="002E545B">
        <w:tc>
          <w:tcPr>
            <w:tcW w:w="5000" w:type="pct"/>
          </w:tcPr>
          <w:p w:rsidR="006C1EBE" w:rsidRPr="00AA6F74" w:rsidRDefault="006C1EBE" w:rsidP="002E545B">
            <w:pPr>
              <w:jc w:val="both"/>
              <w:rPr>
                <w:sz w:val="20"/>
                <w:lang w:val="fr-CA"/>
              </w:rPr>
            </w:pPr>
            <w:r w:rsidRPr="00AA6F74">
              <w:rPr>
                <w:i/>
                <w:sz w:val="20"/>
                <w:lang w:val="fr-CA"/>
              </w:rPr>
              <w:lastRenderedPageBreak/>
              <w:t>Charte des droits</w:t>
            </w:r>
            <w:r w:rsidRPr="00AA6F74">
              <w:rPr>
                <w:sz w:val="20"/>
                <w:lang w:val="fr-CA"/>
              </w:rPr>
              <w:t xml:space="preserve"> — Droit criminel — </w:t>
            </w:r>
            <w:r w:rsidRPr="00AA6F74">
              <w:rPr>
                <w:iCs/>
                <w:sz w:val="20"/>
                <w:lang w:val="fr-CA"/>
              </w:rPr>
              <w:t>Traitements ou peines cruels et inusités</w:t>
            </w:r>
            <w:r w:rsidRPr="00AA6F74">
              <w:rPr>
                <w:sz w:val="20"/>
                <w:lang w:val="fr-CA"/>
              </w:rPr>
              <w:t xml:space="preserve"> — Procès équitable — Droit à un procès avec jury — La peine minimale obligatoire d’emprisonnement à perpétuité prévue pour le meurtre au deuxième degré établit</w:t>
            </w:r>
            <w:r w:rsidRPr="00AA6F74">
              <w:rPr>
                <w:sz w:val="20"/>
                <w:lang w:val="fr-CA"/>
              </w:rPr>
              <w:noBreakHyphen/>
              <w:t xml:space="preserve">elle une peine qui est exagérément disproportionnée lorsqu’elle est examinée dans le contexte de la situation particulière du demandeur, portant ainsi atteinte à l’art. 12 de la </w:t>
            </w:r>
            <w:r w:rsidRPr="00AA6F74">
              <w:rPr>
                <w:i/>
                <w:sz w:val="20"/>
                <w:lang w:val="fr-CA"/>
              </w:rPr>
              <w:t>Charte </w:t>
            </w:r>
            <w:r w:rsidRPr="00AA6F74">
              <w:rPr>
                <w:sz w:val="20"/>
                <w:lang w:val="fr-CA"/>
              </w:rPr>
              <w:t xml:space="preserve">? — L’al. 4(h) de la </w:t>
            </w:r>
            <w:r w:rsidRPr="00AA6F74">
              <w:rPr>
                <w:i/>
                <w:sz w:val="20"/>
                <w:lang w:val="fr-CA"/>
              </w:rPr>
              <w:t>Alberta Jury Act</w:t>
            </w:r>
            <w:r w:rsidRPr="00AA6F74">
              <w:rPr>
                <w:sz w:val="20"/>
                <w:lang w:val="fr-CA"/>
              </w:rPr>
              <w:t xml:space="preserve"> est</w:t>
            </w:r>
            <w:r w:rsidRPr="00AA6F74">
              <w:rPr>
                <w:sz w:val="20"/>
                <w:lang w:val="fr-CA"/>
              </w:rPr>
              <w:noBreakHyphen/>
              <w:t xml:space="preserve">il inconstitutionnel puisqu’il a pour effet de systématiquement exclure les personnes autochtones des jurys ? — art. 11(d), 11(f), 12 de la </w:t>
            </w:r>
            <w:r w:rsidRPr="00AA6F74">
              <w:rPr>
                <w:i/>
                <w:sz w:val="20"/>
                <w:lang w:val="fr-CA"/>
              </w:rPr>
              <w:t>Charte des droits et libertés</w:t>
            </w:r>
            <w:r w:rsidRPr="00AA6F74">
              <w:rPr>
                <w:sz w:val="20"/>
                <w:lang w:val="fr-CA"/>
              </w:rPr>
              <w:t>.</w:t>
            </w:r>
          </w:p>
          <w:p w:rsidR="006C1EBE" w:rsidRPr="00AA6F74" w:rsidRDefault="006C1EBE" w:rsidP="002E545B">
            <w:pPr>
              <w:jc w:val="both"/>
              <w:rPr>
                <w:sz w:val="20"/>
                <w:lang w:val="fr-CA"/>
              </w:rPr>
            </w:pPr>
          </w:p>
        </w:tc>
      </w:tr>
      <w:tr w:rsidR="006C1EBE" w:rsidRPr="002A25F4" w:rsidTr="002E545B">
        <w:tc>
          <w:tcPr>
            <w:tcW w:w="5000" w:type="pct"/>
          </w:tcPr>
          <w:p w:rsidR="006C1EBE" w:rsidRPr="00AA6F74" w:rsidRDefault="006C1EBE" w:rsidP="002E545B">
            <w:pPr>
              <w:jc w:val="both"/>
              <w:rPr>
                <w:sz w:val="20"/>
                <w:lang w:val="fr-CA"/>
              </w:rPr>
            </w:pPr>
            <w:r w:rsidRPr="00AA6F74">
              <w:rPr>
                <w:sz w:val="20"/>
                <w:lang w:val="fr-CA"/>
              </w:rPr>
              <w:t>M. Newborn a attaqué M. Hollar à bord un train léger sur rail. M. Hollar a reçu des soins de maintien des fonctions vitales, et est décédé deux jours plus tard. L’attaque semblait ne pas avoir été provoquée. M. Newborn, un Autochtone, a contesté le processus de sélection des membres du jury, soutenant qu’il y avait eu violation de ses droits prévus aux al. 11</w:t>
            </w:r>
            <w:r w:rsidRPr="00AA6F74">
              <w:rPr>
                <w:i/>
                <w:sz w:val="20"/>
                <w:lang w:val="fr-CA"/>
              </w:rPr>
              <w:t>d</w:t>
            </w:r>
            <w:r w:rsidRPr="00AA6F74">
              <w:rPr>
                <w:sz w:val="20"/>
                <w:lang w:val="fr-CA"/>
              </w:rPr>
              <w:t>) et 11</w:t>
            </w:r>
            <w:r w:rsidRPr="00AA6F74">
              <w:rPr>
                <w:i/>
                <w:sz w:val="20"/>
                <w:lang w:val="fr-CA"/>
              </w:rPr>
              <w:t>f</w:t>
            </w:r>
            <w:r w:rsidRPr="00AA6F74">
              <w:rPr>
                <w:sz w:val="20"/>
                <w:lang w:val="fr-CA"/>
              </w:rPr>
              <w:t xml:space="preserve">) de la </w:t>
            </w:r>
            <w:r w:rsidRPr="00AA6F74">
              <w:rPr>
                <w:i/>
                <w:sz w:val="20"/>
                <w:lang w:val="fr-CA"/>
              </w:rPr>
              <w:t>Charte</w:t>
            </w:r>
            <w:r w:rsidRPr="00AA6F74">
              <w:rPr>
                <w:sz w:val="20"/>
                <w:lang w:val="fr-CA"/>
              </w:rPr>
              <w:t xml:space="preserve">. M. Newborn a également soutenu que le fait d’exclure des personnes déclarées coupables d’une infraction criminelle à l’admissibilité en tant que membre d’un jury (en vertu de l’art. 4 de la </w:t>
            </w:r>
            <w:r w:rsidRPr="00AA6F74">
              <w:rPr>
                <w:i/>
                <w:sz w:val="20"/>
                <w:lang w:val="fr-CA"/>
              </w:rPr>
              <w:t>Jury Act</w:t>
            </w:r>
            <w:r w:rsidRPr="00AA6F74">
              <w:rPr>
                <w:sz w:val="20"/>
                <w:lang w:val="fr-CA"/>
              </w:rPr>
              <w:t>, RSA, 2000, c.J</w:t>
            </w:r>
            <w:r w:rsidRPr="00AA6F74">
              <w:rPr>
                <w:sz w:val="20"/>
                <w:lang w:val="fr-CA"/>
              </w:rPr>
              <w:noBreakHyphen/>
              <w:t xml:space="preserve">3) était inconstitutionnel, au motif que les personnes autochtones y sont exclues de façon disproportionnée. Le juge de première instance a confirmé la </w:t>
            </w:r>
            <w:r w:rsidRPr="00AA6F74">
              <w:rPr>
                <w:color w:val="000000"/>
                <w:sz w:val="20"/>
                <w:lang w:val="fr-CA"/>
              </w:rPr>
              <w:t>constitutionnalité du sous</w:t>
            </w:r>
            <w:r w:rsidRPr="00AA6F74">
              <w:rPr>
                <w:color w:val="000000"/>
                <w:sz w:val="20"/>
                <w:lang w:val="fr-CA"/>
              </w:rPr>
              <w:noBreakHyphen/>
              <w:t xml:space="preserve">al. 4(h)(i) de la </w:t>
            </w:r>
            <w:r w:rsidRPr="00AA6F74">
              <w:rPr>
                <w:i/>
                <w:color w:val="000000"/>
                <w:sz w:val="20"/>
                <w:lang w:val="fr-CA"/>
              </w:rPr>
              <w:t>Jury Act</w:t>
            </w:r>
            <w:r w:rsidRPr="00AA6F74">
              <w:rPr>
                <w:color w:val="000000"/>
                <w:sz w:val="20"/>
                <w:lang w:val="fr-CA"/>
              </w:rPr>
              <w:t xml:space="preserve">. </w:t>
            </w:r>
            <w:r w:rsidRPr="00AA6F74">
              <w:rPr>
                <w:sz w:val="20"/>
                <w:lang w:val="fr-CA"/>
              </w:rPr>
              <w:t xml:space="preserve">M. Newborn a été déclaré coupable de meurtre au deuxième degré. Le juge chargé de la détermination de la peine a statué que la peine minimale obligatoire prévue pour le meurtre au deuxième degré ne portait pas atteinte aux droits de M. Newborn prévus par l’art. 12 de la </w:t>
            </w:r>
            <w:r w:rsidRPr="00AA6F74">
              <w:rPr>
                <w:i/>
                <w:iCs/>
                <w:sz w:val="20"/>
                <w:lang w:val="fr-CA"/>
              </w:rPr>
              <w:t>Charte</w:t>
            </w:r>
            <w:r w:rsidRPr="00AA6F74">
              <w:rPr>
                <w:sz w:val="20"/>
                <w:lang w:val="fr-CA"/>
              </w:rPr>
              <w:t xml:space="preserve">. M. Newborn a été condamné à une peine d’emprisonnement à perpétuité, fixant le délai préalable à l’admissibilité à la libération conditionnelle à 15 ans. L’appel de M. Newborn visant la constitutionnalité de la </w:t>
            </w:r>
            <w:r w:rsidRPr="00AA6F74">
              <w:rPr>
                <w:i/>
                <w:sz w:val="20"/>
                <w:lang w:val="fr-CA"/>
              </w:rPr>
              <w:t>Jury Act</w:t>
            </w:r>
            <w:r w:rsidRPr="00AA6F74">
              <w:rPr>
                <w:sz w:val="20"/>
                <w:lang w:val="fr-CA"/>
              </w:rPr>
              <w:t xml:space="preserve"> a été rejeté. La contestation constitutionnelle des dispositions du </w:t>
            </w:r>
            <w:r w:rsidRPr="00AA6F74">
              <w:rPr>
                <w:i/>
                <w:sz w:val="20"/>
                <w:lang w:val="fr-CA"/>
              </w:rPr>
              <w:t>Code criminel</w:t>
            </w:r>
            <w:r w:rsidRPr="00AA6F74">
              <w:rPr>
                <w:sz w:val="20"/>
                <w:lang w:val="fr-CA"/>
              </w:rPr>
              <w:t xml:space="preserve"> relative à la peine minimale obligatoire prévue pour meurtre au deuxième degré a été rejetée. La peine minimale obligatoire prévue pour meurtre au deuxième degré ne portait pas atteinte aux droits de M. Newborn prévus à l’art. 12 de la </w:t>
            </w:r>
            <w:r w:rsidRPr="00AA6F74">
              <w:rPr>
                <w:i/>
                <w:iCs/>
                <w:sz w:val="20"/>
                <w:lang w:val="fr-CA"/>
              </w:rPr>
              <w:t>Charte</w:t>
            </w:r>
            <w:r w:rsidRPr="00AA6F74">
              <w:rPr>
                <w:sz w:val="20"/>
                <w:lang w:val="fr-CA"/>
              </w:rPr>
              <w:t>. L’appel de M. Newborn à l’encontre de la période du délai préalable à son admissibilité à la libération conditionnelle a également été rejeté. La Cour d’appel a rejeté l’appel visant la déclaration de culpabilité et l’appel visant la peine imposée.</w:t>
            </w:r>
          </w:p>
        </w:tc>
      </w:tr>
      <w:tr w:rsidR="006C1EBE" w:rsidRPr="002A25F4" w:rsidTr="002E545B">
        <w:tc>
          <w:tcPr>
            <w:tcW w:w="5000" w:type="pct"/>
          </w:tcPr>
          <w:p w:rsidR="006C1EBE" w:rsidRPr="00AA6F74" w:rsidRDefault="006C1EBE" w:rsidP="002E545B">
            <w:pPr>
              <w:jc w:val="both"/>
              <w:rPr>
                <w:sz w:val="20"/>
                <w:lang w:val="fr-CA"/>
              </w:rPr>
            </w:pPr>
          </w:p>
        </w:tc>
      </w:tr>
      <w:tr w:rsidR="006C1EBE" w:rsidRPr="002A25F4" w:rsidTr="002E545B">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C1EBE" w:rsidRPr="002A25F4" w:rsidTr="002E545B">
              <w:tc>
                <w:tcPr>
                  <w:tcW w:w="2367" w:type="pct"/>
                </w:tcPr>
                <w:p w:rsidR="006C1EBE" w:rsidRPr="00AA6F74" w:rsidRDefault="006C1EBE" w:rsidP="002E545B">
                  <w:pPr>
                    <w:jc w:val="both"/>
                    <w:rPr>
                      <w:sz w:val="20"/>
                      <w:lang w:val="fr-CA"/>
                    </w:rPr>
                  </w:pPr>
                  <w:r w:rsidRPr="00AA6F74">
                    <w:rPr>
                      <w:sz w:val="20"/>
                      <w:lang w:val="fr-CA"/>
                    </w:rPr>
                    <w:t>6 mai 2016</w:t>
                  </w:r>
                </w:p>
                <w:p w:rsidR="006C1EBE" w:rsidRPr="00AA6F74" w:rsidRDefault="006C1EBE" w:rsidP="002E545B">
                  <w:pPr>
                    <w:jc w:val="both"/>
                    <w:rPr>
                      <w:sz w:val="20"/>
                      <w:lang w:val="fr-CA"/>
                    </w:rPr>
                  </w:pPr>
                  <w:r w:rsidRPr="00AA6F74">
                    <w:rPr>
                      <w:sz w:val="20"/>
                      <w:lang w:val="fr-CA"/>
                    </w:rPr>
                    <w:t>Cour du Banc de la Reine de l’Alberta</w:t>
                  </w:r>
                </w:p>
                <w:p w:rsidR="006C1EBE" w:rsidRPr="00AA6F74" w:rsidRDefault="006C1EBE" w:rsidP="002E545B">
                  <w:pPr>
                    <w:jc w:val="both"/>
                    <w:rPr>
                      <w:sz w:val="20"/>
                      <w:lang w:val="fr-CA"/>
                    </w:rPr>
                  </w:pPr>
                  <w:r w:rsidRPr="00AA6F74">
                    <w:rPr>
                      <w:sz w:val="20"/>
                      <w:lang w:val="fr-CA"/>
                    </w:rPr>
                    <w:t>(Juge Burrows)</w:t>
                  </w:r>
                </w:p>
                <w:p w:rsidR="006C1EBE" w:rsidRPr="00AA6F74" w:rsidRDefault="002A25F4" w:rsidP="002E545B">
                  <w:pPr>
                    <w:jc w:val="both"/>
                    <w:rPr>
                      <w:sz w:val="20"/>
                      <w:lang w:val="fr-CA"/>
                    </w:rPr>
                  </w:pPr>
                  <w:hyperlink r:id="rId39" w:history="1">
                    <w:r w:rsidR="006C1EBE" w:rsidRPr="00AA6F74">
                      <w:rPr>
                        <w:rStyle w:val="Hyperlink"/>
                        <w:sz w:val="20"/>
                        <w:lang w:val="fr-CA"/>
                      </w:rPr>
                      <w:t>2016 ABQB 13</w:t>
                    </w:r>
                  </w:hyperlink>
                </w:p>
                <w:p w:rsidR="006C1EBE" w:rsidRPr="00AA6F74" w:rsidRDefault="006C1EBE" w:rsidP="002E545B">
                  <w:pPr>
                    <w:jc w:val="both"/>
                    <w:rPr>
                      <w:sz w:val="20"/>
                      <w:lang w:val="fr-CA"/>
                    </w:rPr>
                  </w:pPr>
                </w:p>
              </w:tc>
              <w:tc>
                <w:tcPr>
                  <w:tcW w:w="267" w:type="pct"/>
                </w:tcPr>
                <w:p w:rsidR="006C1EBE" w:rsidRPr="00AA6F74" w:rsidRDefault="006C1EBE" w:rsidP="002E545B">
                  <w:pPr>
                    <w:jc w:val="both"/>
                    <w:rPr>
                      <w:sz w:val="20"/>
                      <w:lang w:val="fr-CA"/>
                    </w:rPr>
                  </w:pPr>
                </w:p>
              </w:tc>
              <w:tc>
                <w:tcPr>
                  <w:tcW w:w="2366" w:type="pct"/>
                </w:tcPr>
                <w:p w:rsidR="006C1EBE" w:rsidRPr="00AA6F74" w:rsidRDefault="006C1EBE" w:rsidP="002E545B">
                  <w:pPr>
                    <w:jc w:val="both"/>
                    <w:rPr>
                      <w:sz w:val="20"/>
                      <w:lang w:val="fr-CA"/>
                    </w:rPr>
                  </w:pPr>
                  <w:r w:rsidRPr="00AA6F74">
                    <w:rPr>
                      <w:sz w:val="20"/>
                      <w:lang w:val="fr-CA"/>
                    </w:rPr>
                    <w:t>Déclaration de culpabilité prononcée : meurtre au deuxième degré.</w:t>
                  </w:r>
                </w:p>
                <w:p w:rsidR="006C1EBE" w:rsidRPr="00AA6F74" w:rsidRDefault="006C1EBE" w:rsidP="002E545B">
                  <w:pPr>
                    <w:jc w:val="both"/>
                    <w:rPr>
                      <w:sz w:val="20"/>
                      <w:lang w:val="fr-CA"/>
                    </w:rPr>
                  </w:pPr>
                </w:p>
              </w:tc>
            </w:tr>
            <w:tr w:rsidR="006C1EBE" w:rsidRPr="002A25F4" w:rsidTr="002E545B">
              <w:tc>
                <w:tcPr>
                  <w:tcW w:w="2367" w:type="pct"/>
                </w:tcPr>
                <w:p w:rsidR="006C1EBE" w:rsidRPr="00AA6F74" w:rsidRDefault="006C1EBE" w:rsidP="002E545B">
                  <w:pPr>
                    <w:jc w:val="both"/>
                    <w:rPr>
                      <w:sz w:val="20"/>
                      <w:lang w:val="fr-CA"/>
                    </w:rPr>
                  </w:pPr>
                  <w:r w:rsidRPr="00AA6F74">
                    <w:rPr>
                      <w:sz w:val="20"/>
                      <w:lang w:val="fr-CA"/>
                    </w:rPr>
                    <w:t>19 janvier 2018</w:t>
                  </w:r>
                </w:p>
                <w:p w:rsidR="006C1EBE" w:rsidRPr="00AA6F74" w:rsidRDefault="006C1EBE" w:rsidP="002E545B">
                  <w:pPr>
                    <w:jc w:val="both"/>
                    <w:rPr>
                      <w:sz w:val="20"/>
                      <w:lang w:val="fr-CA"/>
                    </w:rPr>
                  </w:pPr>
                  <w:r w:rsidRPr="00AA6F74">
                    <w:rPr>
                      <w:sz w:val="20"/>
                      <w:lang w:val="fr-CA"/>
                    </w:rPr>
                    <w:t>Cour du Banc de la Reine de l’Alberta</w:t>
                  </w:r>
                </w:p>
                <w:p w:rsidR="006C1EBE" w:rsidRPr="00AA6F74" w:rsidRDefault="006C1EBE" w:rsidP="002E545B">
                  <w:pPr>
                    <w:jc w:val="both"/>
                    <w:rPr>
                      <w:sz w:val="20"/>
                      <w:lang w:val="fr-CA"/>
                    </w:rPr>
                  </w:pPr>
                  <w:r w:rsidRPr="00AA6F74">
                    <w:rPr>
                      <w:sz w:val="20"/>
                      <w:lang w:val="fr-CA"/>
                    </w:rPr>
                    <w:t>(Juge Burrows)</w:t>
                  </w:r>
                </w:p>
                <w:p w:rsidR="006C1EBE" w:rsidRPr="00AA6F74" w:rsidRDefault="002A25F4" w:rsidP="002E545B">
                  <w:pPr>
                    <w:jc w:val="both"/>
                    <w:rPr>
                      <w:sz w:val="20"/>
                      <w:lang w:val="fr-CA"/>
                    </w:rPr>
                  </w:pPr>
                  <w:hyperlink r:id="rId40" w:history="1">
                    <w:r w:rsidR="006C1EBE" w:rsidRPr="00AA6F74">
                      <w:rPr>
                        <w:rStyle w:val="Hyperlink"/>
                        <w:sz w:val="20"/>
                        <w:lang w:val="fr-CA"/>
                      </w:rPr>
                      <w:t>2018 ABQB 47</w:t>
                    </w:r>
                  </w:hyperlink>
                </w:p>
                <w:p w:rsidR="006C1EBE" w:rsidRPr="00AA6F74" w:rsidRDefault="006C1EBE" w:rsidP="002E545B">
                  <w:pPr>
                    <w:jc w:val="both"/>
                    <w:rPr>
                      <w:sz w:val="20"/>
                      <w:lang w:val="fr-CA"/>
                    </w:rPr>
                  </w:pPr>
                </w:p>
              </w:tc>
              <w:tc>
                <w:tcPr>
                  <w:tcW w:w="267" w:type="pct"/>
                </w:tcPr>
                <w:p w:rsidR="006C1EBE" w:rsidRPr="00AA6F74" w:rsidRDefault="006C1EBE" w:rsidP="002E545B">
                  <w:pPr>
                    <w:jc w:val="both"/>
                    <w:rPr>
                      <w:sz w:val="20"/>
                      <w:lang w:val="fr-CA"/>
                    </w:rPr>
                  </w:pPr>
                </w:p>
              </w:tc>
              <w:tc>
                <w:tcPr>
                  <w:tcW w:w="2366" w:type="pct"/>
                </w:tcPr>
                <w:p w:rsidR="006C1EBE" w:rsidRPr="00AA6F74" w:rsidRDefault="006C1EBE" w:rsidP="002E545B">
                  <w:pPr>
                    <w:jc w:val="both"/>
                    <w:rPr>
                      <w:sz w:val="20"/>
                      <w:lang w:val="fr-CA"/>
                    </w:rPr>
                  </w:pPr>
                  <w:r w:rsidRPr="00AA6F74">
                    <w:rPr>
                      <w:sz w:val="20"/>
                      <w:lang w:val="fr-CA"/>
                    </w:rPr>
                    <w:t>Peine imposée : emprisonnement à perpétuité.</w:t>
                  </w:r>
                </w:p>
                <w:p w:rsidR="006C1EBE" w:rsidRPr="00AA6F74" w:rsidRDefault="006C1EBE" w:rsidP="002E545B">
                  <w:pPr>
                    <w:jc w:val="both"/>
                    <w:rPr>
                      <w:sz w:val="20"/>
                      <w:lang w:val="fr-CA"/>
                    </w:rPr>
                  </w:pPr>
                </w:p>
              </w:tc>
            </w:tr>
            <w:tr w:rsidR="006C1EBE" w:rsidRPr="002A25F4" w:rsidTr="002E545B">
              <w:tc>
                <w:tcPr>
                  <w:tcW w:w="2367" w:type="pct"/>
                </w:tcPr>
                <w:p w:rsidR="006C1EBE" w:rsidRPr="00AA6F74" w:rsidRDefault="006C1EBE" w:rsidP="002E545B">
                  <w:pPr>
                    <w:jc w:val="both"/>
                    <w:rPr>
                      <w:sz w:val="20"/>
                      <w:lang w:val="fr-CA"/>
                    </w:rPr>
                  </w:pPr>
                  <w:r w:rsidRPr="00AA6F74">
                    <w:rPr>
                      <w:sz w:val="20"/>
                      <w:lang w:val="fr-CA"/>
                    </w:rPr>
                    <w:t>5 avril 2019</w:t>
                  </w:r>
                </w:p>
                <w:p w:rsidR="006C1EBE" w:rsidRPr="00AA6F74" w:rsidRDefault="006C1EBE" w:rsidP="002E545B">
                  <w:pPr>
                    <w:jc w:val="both"/>
                    <w:rPr>
                      <w:sz w:val="20"/>
                      <w:lang w:val="fr-CA"/>
                    </w:rPr>
                  </w:pPr>
                  <w:r w:rsidRPr="00AA6F74">
                    <w:rPr>
                      <w:sz w:val="20"/>
                      <w:lang w:val="fr-CA"/>
                    </w:rPr>
                    <w:t>Cour d’appel de l’Alberta (Edmonton)</w:t>
                  </w:r>
                </w:p>
                <w:p w:rsidR="006C1EBE" w:rsidRPr="00AA6F74" w:rsidRDefault="006C1EBE" w:rsidP="002E545B">
                  <w:pPr>
                    <w:jc w:val="both"/>
                    <w:rPr>
                      <w:sz w:val="20"/>
                    </w:rPr>
                  </w:pPr>
                  <w:r w:rsidRPr="00AA6F74">
                    <w:rPr>
                      <w:sz w:val="20"/>
                    </w:rPr>
                    <w:t>(Juges Slatter, Veldhuis, Khullar)</w:t>
                  </w:r>
                </w:p>
                <w:p w:rsidR="006C1EBE" w:rsidRPr="00AA6F74" w:rsidRDefault="002A25F4" w:rsidP="002E545B">
                  <w:pPr>
                    <w:jc w:val="both"/>
                    <w:rPr>
                      <w:sz w:val="20"/>
                    </w:rPr>
                  </w:pPr>
                  <w:hyperlink r:id="rId41" w:history="1">
                    <w:r w:rsidR="006C1EBE" w:rsidRPr="00AA6F74">
                      <w:rPr>
                        <w:rStyle w:val="Hyperlink"/>
                        <w:sz w:val="20"/>
                      </w:rPr>
                      <w:t>2019 ABCA 123</w:t>
                    </w:r>
                  </w:hyperlink>
                  <w:r w:rsidR="006C1EBE" w:rsidRPr="00AA6F74">
                    <w:rPr>
                      <w:sz w:val="20"/>
                    </w:rPr>
                    <w:t>; 1603</w:t>
                  </w:r>
                  <w:r w:rsidR="006C1EBE" w:rsidRPr="00AA6F74">
                    <w:rPr>
                      <w:sz w:val="20"/>
                    </w:rPr>
                    <w:noBreakHyphen/>
                    <w:t>0145</w:t>
                  </w:r>
                  <w:r w:rsidR="006C1EBE" w:rsidRPr="00AA6F74">
                    <w:rPr>
                      <w:sz w:val="20"/>
                    </w:rPr>
                    <w:noBreakHyphen/>
                    <w:t xml:space="preserve">A </w:t>
                  </w:r>
                </w:p>
                <w:p w:rsidR="006C1EBE" w:rsidRPr="00AA6F74" w:rsidRDefault="006C1EBE" w:rsidP="002E545B">
                  <w:pPr>
                    <w:jc w:val="both"/>
                    <w:rPr>
                      <w:sz w:val="20"/>
                    </w:rPr>
                  </w:pPr>
                </w:p>
              </w:tc>
              <w:tc>
                <w:tcPr>
                  <w:tcW w:w="267" w:type="pct"/>
                </w:tcPr>
                <w:p w:rsidR="006C1EBE" w:rsidRPr="00AA6F74" w:rsidRDefault="006C1EBE" w:rsidP="002E545B">
                  <w:pPr>
                    <w:jc w:val="both"/>
                    <w:rPr>
                      <w:sz w:val="20"/>
                    </w:rPr>
                  </w:pPr>
                </w:p>
              </w:tc>
              <w:tc>
                <w:tcPr>
                  <w:tcW w:w="2366" w:type="pct"/>
                </w:tcPr>
                <w:p w:rsidR="006C1EBE" w:rsidRPr="00AA6F74" w:rsidRDefault="006C1EBE" w:rsidP="002E545B">
                  <w:pPr>
                    <w:jc w:val="both"/>
                    <w:rPr>
                      <w:sz w:val="20"/>
                      <w:lang w:val="fr-CA"/>
                    </w:rPr>
                  </w:pPr>
                  <w:r w:rsidRPr="00AA6F74">
                    <w:rPr>
                      <w:sz w:val="20"/>
                      <w:lang w:val="fr-CA"/>
                    </w:rPr>
                    <w:t>L’appel visant la déclaration de culpabilité est rejeté.</w:t>
                  </w:r>
                </w:p>
                <w:p w:rsidR="006C1EBE" w:rsidRPr="00AA6F74" w:rsidRDefault="006C1EBE" w:rsidP="002E545B">
                  <w:pPr>
                    <w:jc w:val="both"/>
                    <w:rPr>
                      <w:sz w:val="20"/>
                      <w:lang w:val="fr-CA"/>
                    </w:rPr>
                  </w:pPr>
                </w:p>
              </w:tc>
            </w:tr>
            <w:tr w:rsidR="006C1EBE" w:rsidRPr="002A25F4" w:rsidTr="002E545B">
              <w:tc>
                <w:tcPr>
                  <w:tcW w:w="2367" w:type="pct"/>
                </w:tcPr>
                <w:p w:rsidR="006C1EBE" w:rsidRPr="00AA6F74" w:rsidRDefault="006C1EBE" w:rsidP="002E545B">
                  <w:pPr>
                    <w:jc w:val="both"/>
                    <w:rPr>
                      <w:sz w:val="20"/>
                      <w:lang w:val="fr-CA"/>
                    </w:rPr>
                  </w:pPr>
                  <w:r w:rsidRPr="00AA6F74">
                    <w:rPr>
                      <w:sz w:val="20"/>
                      <w:lang w:val="fr-CA"/>
                    </w:rPr>
                    <w:t>26 mars 2020</w:t>
                  </w:r>
                </w:p>
                <w:p w:rsidR="006C1EBE" w:rsidRPr="00AA6F74" w:rsidRDefault="006C1EBE" w:rsidP="002E545B">
                  <w:pPr>
                    <w:jc w:val="both"/>
                    <w:rPr>
                      <w:sz w:val="20"/>
                      <w:lang w:val="fr-CA"/>
                    </w:rPr>
                  </w:pPr>
                  <w:r w:rsidRPr="00AA6F74">
                    <w:rPr>
                      <w:sz w:val="20"/>
                      <w:lang w:val="fr-CA"/>
                    </w:rPr>
                    <w:t>Cour d’appel de l’Alberta (Edmonton)</w:t>
                  </w:r>
                </w:p>
                <w:p w:rsidR="006C1EBE" w:rsidRPr="00AA6F74" w:rsidRDefault="006C1EBE" w:rsidP="002E545B">
                  <w:pPr>
                    <w:jc w:val="both"/>
                    <w:rPr>
                      <w:sz w:val="20"/>
                    </w:rPr>
                  </w:pPr>
                  <w:r w:rsidRPr="00AA6F74">
                    <w:rPr>
                      <w:sz w:val="20"/>
                    </w:rPr>
                    <w:t>(Juges Martin, Watson, Hughes, Pentelechuck, Feehan)</w:t>
                  </w:r>
                </w:p>
                <w:p w:rsidR="006C1EBE" w:rsidRPr="00AA6F74" w:rsidRDefault="002A25F4" w:rsidP="002E545B">
                  <w:pPr>
                    <w:jc w:val="both"/>
                    <w:rPr>
                      <w:sz w:val="20"/>
                      <w:lang w:val="fr-CA"/>
                    </w:rPr>
                  </w:pPr>
                  <w:hyperlink r:id="rId42" w:history="1">
                    <w:r w:rsidR="006C1EBE" w:rsidRPr="00AA6F74">
                      <w:rPr>
                        <w:rStyle w:val="Hyperlink"/>
                        <w:sz w:val="20"/>
                        <w:lang w:val="fr-CA"/>
                      </w:rPr>
                      <w:t>2020 ABCA 120</w:t>
                    </w:r>
                  </w:hyperlink>
                  <w:r w:rsidR="006C1EBE" w:rsidRPr="00AA6F74">
                    <w:rPr>
                      <w:sz w:val="20"/>
                      <w:lang w:val="fr-CA"/>
                    </w:rPr>
                    <w:t>; 1603</w:t>
                  </w:r>
                  <w:r w:rsidR="006C1EBE" w:rsidRPr="00AA6F74">
                    <w:rPr>
                      <w:sz w:val="20"/>
                      <w:lang w:val="fr-CA"/>
                    </w:rPr>
                    <w:noBreakHyphen/>
                    <w:t>0145</w:t>
                  </w:r>
                  <w:r w:rsidR="006C1EBE" w:rsidRPr="00AA6F74">
                    <w:rPr>
                      <w:sz w:val="20"/>
                      <w:lang w:val="fr-CA"/>
                    </w:rPr>
                    <w:noBreakHyphen/>
                    <w:t xml:space="preserve">A </w:t>
                  </w:r>
                </w:p>
                <w:p w:rsidR="006C1EBE" w:rsidRPr="00AA6F74" w:rsidRDefault="006C1EBE" w:rsidP="002E545B">
                  <w:pPr>
                    <w:jc w:val="both"/>
                    <w:rPr>
                      <w:sz w:val="20"/>
                      <w:lang w:val="fr-CA"/>
                    </w:rPr>
                  </w:pPr>
                </w:p>
              </w:tc>
              <w:tc>
                <w:tcPr>
                  <w:tcW w:w="267" w:type="pct"/>
                </w:tcPr>
                <w:p w:rsidR="006C1EBE" w:rsidRPr="00AA6F74" w:rsidRDefault="006C1EBE" w:rsidP="002E545B">
                  <w:pPr>
                    <w:jc w:val="both"/>
                    <w:rPr>
                      <w:sz w:val="20"/>
                      <w:lang w:val="fr-CA"/>
                    </w:rPr>
                  </w:pPr>
                </w:p>
              </w:tc>
              <w:tc>
                <w:tcPr>
                  <w:tcW w:w="2366" w:type="pct"/>
                </w:tcPr>
                <w:p w:rsidR="006C1EBE" w:rsidRPr="00AA6F74" w:rsidRDefault="006C1EBE" w:rsidP="002E545B">
                  <w:pPr>
                    <w:jc w:val="both"/>
                    <w:rPr>
                      <w:sz w:val="20"/>
                      <w:lang w:val="fr-CA"/>
                    </w:rPr>
                  </w:pPr>
                  <w:r w:rsidRPr="00AA6F74">
                    <w:rPr>
                      <w:sz w:val="20"/>
                      <w:lang w:val="fr-CA"/>
                    </w:rPr>
                    <w:t>L’appel visant la peine est rejeté.</w:t>
                  </w:r>
                </w:p>
                <w:p w:rsidR="006C1EBE" w:rsidRPr="00AA6F74" w:rsidRDefault="006C1EBE" w:rsidP="002E545B">
                  <w:pPr>
                    <w:jc w:val="both"/>
                    <w:rPr>
                      <w:sz w:val="20"/>
                      <w:lang w:val="fr-CA"/>
                    </w:rPr>
                  </w:pPr>
                </w:p>
              </w:tc>
            </w:tr>
            <w:tr w:rsidR="006C1EBE" w:rsidRPr="002A25F4" w:rsidTr="002E545B">
              <w:tc>
                <w:tcPr>
                  <w:tcW w:w="2367" w:type="pct"/>
                </w:tcPr>
                <w:p w:rsidR="006C1EBE" w:rsidRPr="00AA6F74" w:rsidRDefault="006C1EBE" w:rsidP="002E545B">
                  <w:pPr>
                    <w:jc w:val="both"/>
                    <w:rPr>
                      <w:sz w:val="20"/>
                      <w:lang w:val="fr-CA"/>
                    </w:rPr>
                  </w:pPr>
                  <w:r w:rsidRPr="00AA6F74">
                    <w:rPr>
                      <w:sz w:val="20"/>
                      <w:lang w:val="fr-CA"/>
                    </w:rPr>
                    <w:t>9 septembre 2020</w:t>
                  </w:r>
                </w:p>
                <w:p w:rsidR="006C1EBE" w:rsidRPr="00AA6F74" w:rsidRDefault="006C1EBE" w:rsidP="002E545B">
                  <w:pPr>
                    <w:jc w:val="both"/>
                    <w:rPr>
                      <w:sz w:val="20"/>
                      <w:lang w:val="fr-CA"/>
                    </w:rPr>
                  </w:pPr>
                  <w:r w:rsidRPr="00AA6F74">
                    <w:rPr>
                      <w:sz w:val="20"/>
                      <w:lang w:val="fr-CA"/>
                    </w:rPr>
                    <w:t>Cour suprême du Canada</w:t>
                  </w:r>
                </w:p>
                <w:p w:rsidR="006C1EBE" w:rsidRPr="00AA6F74" w:rsidRDefault="006C1EBE" w:rsidP="002E545B">
                  <w:pPr>
                    <w:jc w:val="both"/>
                    <w:rPr>
                      <w:sz w:val="20"/>
                      <w:lang w:val="fr-CA"/>
                    </w:rPr>
                  </w:pPr>
                </w:p>
              </w:tc>
              <w:tc>
                <w:tcPr>
                  <w:tcW w:w="267" w:type="pct"/>
                </w:tcPr>
                <w:p w:rsidR="006C1EBE" w:rsidRPr="00AA6F74" w:rsidRDefault="006C1EBE" w:rsidP="002E545B">
                  <w:pPr>
                    <w:jc w:val="both"/>
                    <w:rPr>
                      <w:sz w:val="20"/>
                      <w:lang w:val="fr-CA"/>
                    </w:rPr>
                  </w:pPr>
                </w:p>
              </w:tc>
              <w:tc>
                <w:tcPr>
                  <w:tcW w:w="2366" w:type="pct"/>
                </w:tcPr>
                <w:p w:rsidR="006C1EBE" w:rsidRPr="00AA6F74" w:rsidRDefault="006C1EBE" w:rsidP="002E545B">
                  <w:pPr>
                    <w:jc w:val="both"/>
                    <w:rPr>
                      <w:sz w:val="20"/>
                      <w:lang w:val="fr-CA"/>
                    </w:rPr>
                  </w:pPr>
                  <w:r w:rsidRPr="00AA6F74">
                    <w:rPr>
                      <w:sz w:val="20"/>
                      <w:lang w:val="fr-CA"/>
                    </w:rPr>
                    <w:t>La requête en prorogation du délai de signification et de dépôt de la demande d’autorisation d’appel, la requête en réunion des demandes et la demande d’autorisation d’appel sont présentées.</w:t>
                  </w:r>
                </w:p>
              </w:tc>
            </w:tr>
          </w:tbl>
          <w:p w:rsidR="006C1EBE" w:rsidRPr="00AA6F74" w:rsidRDefault="006C1EBE" w:rsidP="002E545B">
            <w:pPr>
              <w:jc w:val="both"/>
              <w:rPr>
                <w:sz w:val="20"/>
                <w:lang w:val="fr-CA"/>
              </w:rPr>
            </w:pPr>
          </w:p>
        </w:tc>
      </w:tr>
    </w:tbl>
    <w:p w:rsidR="006C1EBE" w:rsidRPr="00AA6F74" w:rsidRDefault="006C1EBE" w:rsidP="006C1EBE">
      <w:pPr>
        <w:jc w:val="both"/>
        <w:rPr>
          <w:sz w:val="20"/>
          <w:lang w:val="fr-CA"/>
        </w:rPr>
      </w:pPr>
    </w:p>
    <w:p w:rsidR="006C1EBE" w:rsidRPr="00AA6F74" w:rsidRDefault="002A25F4" w:rsidP="006C1EBE">
      <w:pPr>
        <w:jc w:val="both"/>
        <w:rPr>
          <w:sz w:val="20"/>
          <w:lang w:val="fr-CA"/>
        </w:rPr>
      </w:pPr>
      <w:r>
        <w:rPr>
          <w:sz w:val="20"/>
        </w:rPr>
        <w:pict>
          <v:rect id="_x0000_i1048" style="width:2in;height:1pt" o:hrpct="0" o:hralign="center" o:hrstd="t" o:hrnoshade="t" o:hr="t" fillcolor="black [3213]" stroked="f"/>
        </w:pict>
      </w:r>
    </w:p>
    <w:p w:rsidR="006C1EBE" w:rsidRPr="00AA6F74" w:rsidRDefault="006C1EBE" w:rsidP="006C1EBE">
      <w:pPr>
        <w:widowControl w:val="0"/>
        <w:jc w:val="both"/>
        <w:rPr>
          <w:sz w:val="20"/>
          <w:lang w:val="fr-CA"/>
        </w:rPr>
      </w:pPr>
    </w:p>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lastRenderedPageBreak/>
              <w:t>39292</w:t>
            </w:r>
          </w:p>
        </w:tc>
        <w:tc>
          <w:tcPr>
            <w:tcW w:w="4457" w:type="pct"/>
            <w:gridSpan w:val="3"/>
          </w:tcPr>
          <w:p w:rsidR="006C1EBE" w:rsidRPr="00AA6F74" w:rsidRDefault="006C1EBE" w:rsidP="002E545B">
            <w:pPr>
              <w:pStyle w:val="SCCLsocParty"/>
              <w:jc w:val="both"/>
              <w:rPr>
                <w:b/>
                <w:sz w:val="20"/>
                <w:szCs w:val="20"/>
                <w:lang w:val="en-US"/>
              </w:rPr>
            </w:pPr>
            <w:r w:rsidRPr="00AA6F74">
              <w:rPr>
                <w:b/>
                <w:sz w:val="20"/>
                <w:szCs w:val="20"/>
                <w:lang w:val="en-US"/>
              </w:rPr>
              <w:t xml:space="preserve">McLeod Lake Indian Band v. </w:t>
            </w:r>
            <w:r w:rsidR="008077DB" w:rsidRPr="00AA6F74">
              <w:rPr>
                <w:b/>
                <w:sz w:val="20"/>
                <w:szCs w:val="20"/>
                <w:lang w:val="en-US"/>
              </w:rPr>
              <w:t>West Moberly First Nations, Halfway River First Nation, Saulteau First Nations, Prophet River First Nation, Doig River First Nation and Attorney General of Canada</w:t>
            </w:r>
          </w:p>
          <w:p w:rsidR="006C1EBE" w:rsidRPr="00AA6F74" w:rsidRDefault="006C1EBE" w:rsidP="002E545B">
            <w:pPr>
              <w:pStyle w:val="SCCLsocSubfileSeparator0"/>
              <w:rPr>
                <w:sz w:val="20"/>
                <w:szCs w:val="20"/>
              </w:rPr>
            </w:pPr>
            <w:r w:rsidRPr="00AA6F74">
              <w:rPr>
                <w:sz w:val="20"/>
                <w:szCs w:val="20"/>
              </w:rPr>
              <w:t>- and between -</w:t>
            </w:r>
          </w:p>
          <w:p w:rsidR="006C1EBE" w:rsidRPr="00AA6F74" w:rsidRDefault="006C1EBE" w:rsidP="002E545B">
            <w:pPr>
              <w:pStyle w:val="SCCLsocParty"/>
              <w:jc w:val="both"/>
              <w:rPr>
                <w:b/>
                <w:sz w:val="20"/>
                <w:szCs w:val="20"/>
                <w:lang w:val="en-US"/>
              </w:rPr>
            </w:pPr>
            <w:r w:rsidRPr="00AA6F74">
              <w:rPr>
                <w:b/>
                <w:sz w:val="20"/>
                <w:szCs w:val="20"/>
                <w:lang w:val="en-US"/>
              </w:rPr>
              <w:t xml:space="preserve">Her Majesty the Queen In Right of British Columbia v. </w:t>
            </w:r>
            <w:r w:rsidR="008077DB" w:rsidRPr="00AA6F74">
              <w:rPr>
                <w:b/>
                <w:sz w:val="20"/>
                <w:szCs w:val="20"/>
                <w:lang w:val="en-US"/>
              </w:rPr>
              <w:t>West Moberly First Nations, Halfway River First Nation, Saulteau First Nations, Prophet River First Nation, Doig River First Nation and Attorney General of Canada</w:t>
            </w:r>
          </w:p>
          <w:p w:rsidR="006C1EBE" w:rsidRPr="00AA6F74" w:rsidRDefault="006C1EBE" w:rsidP="002E545B">
            <w:pPr>
              <w:jc w:val="both"/>
              <w:rPr>
                <w:sz w:val="20"/>
              </w:rPr>
            </w:pPr>
            <w:r w:rsidRPr="00AA6F74">
              <w:rPr>
                <w:sz w:val="20"/>
              </w:rPr>
              <w:t>(B.C.) (Civil) (By Leave)</w:t>
            </w:r>
          </w:p>
        </w:tc>
      </w:tr>
      <w:tr w:rsidR="006C1EBE" w:rsidRPr="00AA6F74" w:rsidTr="002E545B">
        <w:tc>
          <w:tcPr>
            <w:tcW w:w="5000" w:type="pct"/>
            <w:gridSpan w:val="4"/>
          </w:tcPr>
          <w:p w:rsidR="008077DB" w:rsidRPr="00AA6F74" w:rsidRDefault="008077DB" w:rsidP="008077DB">
            <w:pPr>
              <w:jc w:val="both"/>
              <w:rPr>
                <w:sz w:val="20"/>
                <w:szCs w:val="20"/>
              </w:rPr>
            </w:pPr>
            <w:r w:rsidRPr="00AA6F74">
              <w:rPr>
                <w:sz w:val="20"/>
                <w:szCs w:val="20"/>
              </w:rPr>
              <w:t>The applications for leave to appeal from the judgment of the Court of Appeal for British Columbia (Vancouver), Number CA44849, 2020 BCCA 138, dated May 19, 2020, are dismissed with costs.</w:t>
            </w:r>
          </w:p>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 xml:space="preserve">First application: Aboriginal law — Treaty rights — Treaty interpretation — Indigenous understanding of treaty — Honour of the Crown — Judgments and orders — Declaratory judgments — Real dispute — Western boundary of Treaty 8 uncertain — </w:t>
            </w:r>
            <w:r w:rsidRPr="00AA6F74">
              <w:rPr>
                <w:i/>
                <w:sz w:val="20"/>
              </w:rPr>
              <w:t>In rem</w:t>
            </w:r>
            <w:r w:rsidRPr="00AA6F74">
              <w:rPr>
                <w:sz w:val="20"/>
              </w:rPr>
              <w:t xml:space="preserve"> declaration of western boundary of Treaty 8 — Content of test to determine whether a dispute is “real” or “hypothetical” for the purposes of declaratory relief — When consideration of Indigenous intention and understanding of a treaty is irrelevant to interpretation of treaty — Whether impact of a treaty with Indigenous people upon Indigenous non</w:t>
            </w:r>
            <w:r w:rsidRPr="00AA6F74">
              <w:rPr>
                <w:sz w:val="20"/>
              </w:rPr>
              <w:noBreakHyphen/>
              <w:t>signatories to the treaty engages the honour of the Crown — Whether honour of Crown always relevant and timely in treaty interpretation — Whether impact on treaty and non-treaty holders of s. 35 rights should be considered as part of honour of Crown — Whether it is appropriate for court to consider treaty provisions in isolation — Whether other provisions and impact of interpretation on the honour of the Crown are relevant to interpretation.</w:t>
            </w:r>
          </w:p>
        </w:tc>
      </w:tr>
      <w:tr w:rsidR="006C1EBE" w:rsidRPr="00AA6F74" w:rsidTr="002E545B">
        <w:tc>
          <w:tcPr>
            <w:tcW w:w="5000" w:type="pct"/>
            <w:gridSpan w:val="4"/>
          </w:tcPr>
          <w:p w:rsidR="006C1EBE" w:rsidRPr="00AA6F74" w:rsidRDefault="006C1EBE" w:rsidP="002E545B">
            <w:pPr>
              <w:jc w:val="both"/>
              <w:rPr>
                <w:sz w:val="20"/>
              </w:rPr>
            </w:pPr>
          </w:p>
        </w:tc>
      </w:tr>
      <w:tr w:rsidR="006C1EBE" w:rsidRPr="00AA6F74" w:rsidTr="002E545B">
        <w:tc>
          <w:tcPr>
            <w:tcW w:w="5000" w:type="pct"/>
            <w:gridSpan w:val="4"/>
          </w:tcPr>
          <w:p w:rsidR="006C1EBE" w:rsidRPr="00AA6F74" w:rsidRDefault="006C1EBE" w:rsidP="002E545B">
            <w:pPr>
              <w:jc w:val="both"/>
              <w:rPr>
                <w:sz w:val="20"/>
              </w:rPr>
            </w:pPr>
            <w:r w:rsidRPr="00AA6F74">
              <w:rPr>
                <w:sz w:val="20"/>
              </w:rPr>
              <w:t xml:space="preserve">Treaty 8, signed on June 21, 1899, described its boundaries. The Treaty Commissioners prepared a map to accompany Treaty 8, but it has been lost, and the location of the western boundary of the tract is, as a result, uncertain. The respondent First Nations applied for a declaration that the western boundary was the height of land along the continental divide between the Arctic and Pacific watersheds (the “wider boundary”). They named Canada and British Columbia as defendants. Canada assented to the First Nations’ position, as did the McLeod Lake Indian Band when it was added as a third defendant. British Columbia objected and applied for a declaration that the phrase referred to “the line of watershed within the Rocky Mountains as those mountains were understood to be situated in 1899”, referred to as the “narrow boundary”. The narrow boundary creates a tract approximately 48,000 square miles smaller than the wider boundary. </w:t>
            </w:r>
          </w:p>
          <w:p w:rsidR="006C1EBE" w:rsidRPr="00AA6F74" w:rsidRDefault="006C1EBE" w:rsidP="002E545B">
            <w:pPr>
              <w:jc w:val="both"/>
              <w:rPr>
                <w:sz w:val="20"/>
              </w:rPr>
            </w:pPr>
          </w:p>
          <w:p w:rsidR="006C1EBE" w:rsidRPr="00AA6F74" w:rsidRDefault="006C1EBE" w:rsidP="002E545B">
            <w:pPr>
              <w:jc w:val="both"/>
              <w:rPr>
                <w:sz w:val="20"/>
              </w:rPr>
            </w:pPr>
            <w:r w:rsidRPr="00AA6F74">
              <w:rPr>
                <w:sz w:val="20"/>
              </w:rPr>
              <w:t>Of the many pre</w:t>
            </w:r>
            <w:r w:rsidRPr="00AA6F74">
              <w:rPr>
                <w:sz w:val="20"/>
              </w:rPr>
              <w:noBreakHyphen/>
              <w:t xml:space="preserve">trial rulings made by the trial judge, two remain relevant. First, it was determined that, if a declaration was granted, it would be both in fact and </w:t>
            </w:r>
            <w:r w:rsidRPr="00AA6F74">
              <w:rPr>
                <w:i/>
                <w:sz w:val="20"/>
              </w:rPr>
              <w:t>in rem</w:t>
            </w:r>
            <w:r w:rsidRPr="00AA6F74">
              <w:rPr>
                <w:sz w:val="20"/>
              </w:rPr>
              <w:t>, such that it would bind parties and non</w:t>
            </w:r>
            <w:r w:rsidRPr="00AA6F74">
              <w:rPr>
                <w:sz w:val="20"/>
              </w:rPr>
              <w:noBreakHyphen/>
              <w:t xml:space="preserve">parties alike: </w:t>
            </w:r>
            <w:r w:rsidRPr="00AA6F74">
              <w:rPr>
                <w:i/>
                <w:sz w:val="20"/>
              </w:rPr>
              <w:t>Willson v. British Columbia (Attorney General)</w:t>
            </w:r>
            <w:r w:rsidRPr="00AA6F74">
              <w:rPr>
                <w:sz w:val="20"/>
              </w:rPr>
              <w:t xml:space="preserve">, 2007 BCSC 1324. The First Nations were, therefore, ordered to give notice to all of the signatories and adherents to Treaty 8 that a declaration, if granted, would be binding </w:t>
            </w:r>
            <w:r w:rsidRPr="00AA6F74">
              <w:rPr>
                <w:i/>
                <w:sz w:val="20"/>
              </w:rPr>
              <w:t>in rem</w:t>
            </w:r>
            <w:r w:rsidRPr="00AA6F74">
              <w:rPr>
                <w:sz w:val="20"/>
              </w:rPr>
              <w:t xml:space="preserve"> and binding on them. Second, in the face of two motions to strike the Notice of Claim on the grounds that it related to a hypothetical dispute and to strike the claim for declaratory relief were dismissed: </w:t>
            </w:r>
            <w:r w:rsidRPr="00AA6F74">
              <w:rPr>
                <w:i/>
                <w:sz w:val="20"/>
              </w:rPr>
              <w:t>Willson v. British Columbia</w:t>
            </w:r>
            <w:r w:rsidRPr="00AA6F74">
              <w:rPr>
                <w:sz w:val="20"/>
              </w:rPr>
              <w:t>, 2012 BCSC 1256.</w:t>
            </w:r>
          </w:p>
          <w:p w:rsidR="006C1EBE" w:rsidRPr="00AA6F74" w:rsidRDefault="006C1EBE" w:rsidP="002E545B">
            <w:pPr>
              <w:jc w:val="both"/>
              <w:rPr>
                <w:sz w:val="20"/>
              </w:rPr>
            </w:pPr>
          </w:p>
          <w:p w:rsidR="006C1EBE" w:rsidRPr="00AA6F74" w:rsidRDefault="006C1EBE" w:rsidP="002E545B">
            <w:pPr>
              <w:jc w:val="both"/>
              <w:rPr>
                <w:sz w:val="20"/>
              </w:rPr>
            </w:pPr>
            <w:r w:rsidRPr="00AA6F74">
              <w:rPr>
                <w:sz w:val="20"/>
              </w:rPr>
              <w:t xml:space="preserve">In his final decision on the matter, the trial judge declared </w:t>
            </w:r>
            <w:r w:rsidRPr="00AA6F74">
              <w:rPr>
                <w:i/>
                <w:sz w:val="20"/>
              </w:rPr>
              <w:t>in rem</w:t>
            </w:r>
            <w:r w:rsidRPr="00AA6F74">
              <w:rPr>
                <w:sz w:val="20"/>
              </w:rPr>
              <w:t xml:space="preserve"> that the western boundary of Treaty 8 is the height of the land along the continental divide between the Arctic and Pacific watersheds (the Arctic</w:t>
            </w:r>
            <w:r w:rsidRPr="00AA6F74">
              <w:rPr>
                <w:sz w:val="20"/>
              </w:rPr>
              <w:noBreakHyphen/>
              <w:t>Pacific divide). The Court of Appeal dismissed the appeal.</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September 25, 2017</w:t>
            </w:r>
          </w:p>
          <w:p w:rsidR="006C1EBE" w:rsidRPr="00AA6F74" w:rsidRDefault="006C1EBE" w:rsidP="002E545B">
            <w:pPr>
              <w:jc w:val="both"/>
              <w:rPr>
                <w:sz w:val="20"/>
              </w:rPr>
            </w:pPr>
            <w:r w:rsidRPr="00AA6F74">
              <w:rPr>
                <w:sz w:val="20"/>
              </w:rPr>
              <w:t>Supreme Court of British Columbia</w:t>
            </w:r>
          </w:p>
          <w:p w:rsidR="006C1EBE" w:rsidRPr="00AA6F74" w:rsidRDefault="006C1EBE" w:rsidP="002E545B">
            <w:pPr>
              <w:jc w:val="both"/>
              <w:rPr>
                <w:sz w:val="20"/>
              </w:rPr>
            </w:pPr>
            <w:r w:rsidRPr="00AA6F74">
              <w:rPr>
                <w:sz w:val="20"/>
              </w:rPr>
              <w:t>(Johnston J.)</w:t>
            </w:r>
          </w:p>
          <w:p w:rsidR="006C1EBE" w:rsidRPr="00AA6F74" w:rsidRDefault="002A25F4" w:rsidP="002E545B">
            <w:pPr>
              <w:jc w:val="both"/>
              <w:rPr>
                <w:sz w:val="20"/>
              </w:rPr>
            </w:pPr>
            <w:hyperlink r:id="rId43" w:history="1">
              <w:r w:rsidR="006C1EBE" w:rsidRPr="00AA6F74">
                <w:rPr>
                  <w:rStyle w:val="Hyperlink"/>
                  <w:sz w:val="20"/>
                </w:rPr>
                <w:t>2017 BCSC 1700</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 xml:space="preserve">Declaration </w:t>
            </w:r>
            <w:r w:rsidRPr="00AA6F74">
              <w:rPr>
                <w:i/>
                <w:sz w:val="20"/>
              </w:rPr>
              <w:t>in rem</w:t>
            </w:r>
            <w:r w:rsidRPr="00AA6F74">
              <w:rPr>
                <w:sz w:val="20"/>
              </w:rPr>
              <w:t xml:space="preserve"> that the western boundary of Treaty No. 8 is the height of land along the continental divide between the Arctic and Pacific watersheds</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May 19, 2020</w:t>
            </w:r>
          </w:p>
          <w:p w:rsidR="006C1EBE" w:rsidRPr="00AA6F74" w:rsidRDefault="006C1EBE" w:rsidP="002E545B">
            <w:pPr>
              <w:jc w:val="both"/>
              <w:rPr>
                <w:sz w:val="20"/>
              </w:rPr>
            </w:pPr>
            <w:r w:rsidRPr="00AA6F74">
              <w:rPr>
                <w:sz w:val="20"/>
              </w:rPr>
              <w:t xml:space="preserve">Court of Appeal for British Columbia </w:t>
            </w:r>
          </w:p>
          <w:p w:rsidR="006C1EBE" w:rsidRPr="00AA6F74" w:rsidRDefault="006C1EBE" w:rsidP="002E545B">
            <w:pPr>
              <w:jc w:val="both"/>
              <w:rPr>
                <w:sz w:val="20"/>
              </w:rPr>
            </w:pPr>
            <w:r w:rsidRPr="00AA6F74">
              <w:rPr>
                <w:sz w:val="20"/>
              </w:rPr>
              <w:t>(Vancouver)</w:t>
            </w:r>
          </w:p>
          <w:p w:rsidR="006C1EBE" w:rsidRPr="00AA6F74" w:rsidRDefault="006C1EBE" w:rsidP="002E545B">
            <w:pPr>
              <w:jc w:val="both"/>
              <w:rPr>
                <w:sz w:val="20"/>
              </w:rPr>
            </w:pPr>
            <w:r w:rsidRPr="00AA6F74">
              <w:rPr>
                <w:sz w:val="20"/>
              </w:rPr>
              <w:t>(Bauman C.J.B.C., Smith, Goepel JJ.A.)</w:t>
            </w:r>
          </w:p>
          <w:p w:rsidR="006C1EBE" w:rsidRPr="00AA6F74" w:rsidRDefault="002A25F4" w:rsidP="002E545B">
            <w:pPr>
              <w:jc w:val="both"/>
              <w:rPr>
                <w:sz w:val="20"/>
              </w:rPr>
            </w:pPr>
            <w:hyperlink r:id="rId44" w:history="1">
              <w:r w:rsidR="006C1EBE" w:rsidRPr="00AA6F74">
                <w:rPr>
                  <w:rStyle w:val="Hyperlink"/>
                  <w:sz w:val="20"/>
                </w:rPr>
                <w:t>2020 BCCA 138</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Appeal dismissed</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August 18, 2020</w:t>
            </w:r>
          </w:p>
          <w:p w:rsidR="006C1EBE" w:rsidRPr="00AA6F74" w:rsidRDefault="006C1EBE" w:rsidP="002E545B">
            <w:pPr>
              <w:jc w:val="both"/>
              <w:rPr>
                <w:sz w:val="20"/>
              </w:rPr>
            </w:pPr>
            <w:r w:rsidRPr="00AA6F74">
              <w:rPr>
                <w:sz w:val="20"/>
              </w:rPr>
              <w:t>Supreme Court of Canada</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First application for leave to appeal filed by McLeod Lake Indian Band</w:t>
            </w:r>
          </w:p>
          <w:p w:rsidR="006C1EBE" w:rsidRPr="00AA6F74" w:rsidRDefault="006C1EBE" w:rsidP="002E545B">
            <w:pPr>
              <w:jc w:val="both"/>
              <w:rPr>
                <w:sz w:val="20"/>
              </w:rPr>
            </w:pPr>
          </w:p>
        </w:tc>
      </w:tr>
      <w:tr w:rsidR="006C1EBE" w:rsidRPr="00AA6F74" w:rsidTr="002E545B">
        <w:tc>
          <w:tcPr>
            <w:tcW w:w="2427" w:type="pct"/>
            <w:gridSpan w:val="2"/>
          </w:tcPr>
          <w:p w:rsidR="006C1EBE" w:rsidRPr="00AA6F74" w:rsidRDefault="006C1EBE" w:rsidP="002E545B">
            <w:pPr>
              <w:jc w:val="both"/>
              <w:rPr>
                <w:sz w:val="20"/>
              </w:rPr>
            </w:pPr>
            <w:r w:rsidRPr="00AA6F74">
              <w:rPr>
                <w:sz w:val="20"/>
              </w:rPr>
              <w:t>August 18,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Second application for leave to appeal filed by Her Majesty the Queen in Right of British Columbia</w:t>
            </w: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49"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2A25F4" w:rsidTr="002E545B">
        <w:tc>
          <w:tcPr>
            <w:tcW w:w="543" w:type="pct"/>
          </w:tcPr>
          <w:p w:rsidR="006C1EBE" w:rsidRPr="00AA6F74" w:rsidRDefault="006C1EBE" w:rsidP="002E545B">
            <w:pPr>
              <w:jc w:val="both"/>
              <w:rPr>
                <w:sz w:val="20"/>
                <w:lang w:val="fr-CA"/>
              </w:rPr>
            </w:pPr>
            <w:r w:rsidRPr="00AA6F74">
              <w:rPr>
                <w:rStyle w:val="SCCFileNumberChar"/>
                <w:sz w:val="20"/>
                <w:szCs w:val="20"/>
                <w:lang w:val="fr-CA"/>
              </w:rPr>
              <w:t>39292</w:t>
            </w:r>
          </w:p>
        </w:tc>
        <w:tc>
          <w:tcPr>
            <w:tcW w:w="4457" w:type="pct"/>
            <w:gridSpan w:val="3"/>
          </w:tcPr>
          <w:p w:rsidR="006C1EBE" w:rsidRPr="00AA6F74" w:rsidRDefault="008077DB" w:rsidP="002E545B">
            <w:pPr>
              <w:pStyle w:val="SCCLsocParty"/>
              <w:jc w:val="both"/>
              <w:rPr>
                <w:b/>
                <w:sz w:val="20"/>
                <w:szCs w:val="20"/>
              </w:rPr>
            </w:pPr>
            <w:r w:rsidRPr="00AA6F74">
              <w:rPr>
                <w:b/>
                <w:sz w:val="20"/>
                <w:szCs w:val="20"/>
              </w:rPr>
              <w:t>McLeod Lake Indian Band</w:t>
            </w:r>
            <w:r w:rsidR="006C1EBE" w:rsidRPr="00AA6F74">
              <w:rPr>
                <w:b/>
                <w:sz w:val="20"/>
                <w:szCs w:val="20"/>
              </w:rPr>
              <w:t xml:space="preserve"> c. </w:t>
            </w:r>
            <w:r w:rsidRPr="00AA6F74">
              <w:rPr>
                <w:b/>
                <w:sz w:val="20"/>
                <w:szCs w:val="20"/>
              </w:rPr>
              <w:t>West Moberly First Nations, Halfway River First Nation, Saulteau First Nations, Prophet River First Nation, Doig River First Nation et procureur général du Canada</w:t>
            </w:r>
          </w:p>
          <w:p w:rsidR="006C1EBE" w:rsidRPr="00AA6F74" w:rsidRDefault="006C1EBE" w:rsidP="002E545B">
            <w:pPr>
              <w:pStyle w:val="SCCLsocSubfileSeparator0"/>
              <w:rPr>
                <w:sz w:val="20"/>
                <w:szCs w:val="20"/>
                <w:lang w:val="fr-CA"/>
              </w:rPr>
            </w:pPr>
            <w:r w:rsidRPr="00AA6F74">
              <w:rPr>
                <w:sz w:val="20"/>
                <w:szCs w:val="20"/>
                <w:lang w:val="fr-CA"/>
              </w:rPr>
              <w:t>- et entre -</w:t>
            </w:r>
          </w:p>
          <w:p w:rsidR="006C1EBE" w:rsidRPr="00AA6F74" w:rsidRDefault="006C1EBE" w:rsidP="002E545B">
            <w:pPr>
              <w:pStyle w:val="SCCLsocParty"/>
              <w:jc w:val="both"/>
              <w:rPr>
                <w:b/>
                <w:sz w:val="20"/>
                <w:szCs w:val="20"/>
              </w:rPr>
            </w:pPr>
            <w:r w:rsidRPr="00AA6F74">
              <w:rPr>
                <w:b/>
                <w:sz w:val="20"/>
                <w:szCs w:val="20"/>
              </w:rPr>
              <w:t xml:space="preserve">Sa Majesté la Reine du chef de la Colombie-Britannique c. </w:t>
            </w:r>
            <w:r w:rsidR="008077DB" w:rsidRPr="00AA6F74">
              <w:rPr>
                <w:b/>
                <w:sz w:val="20"/>
                <w:szCs w:val="20"/>
              </w:rPr>
              <w:t>West Moberly First Nations, Halfway River First Nation, Saulteau First Nations, Prophet River First Nation, Doig River First Nation et procureur général du Canada</w:t>
            </w:r>
          </w:p>
          <w:p w:rsidR="006C1EBE" w:rsidRPr="00AA6F74" w:rsidRDefault="006C1EBE" w:rsidP="002E545B">
            <w:pPr>
              <w:jc w:val="both"/>
              <w:rPr>
                <w:sz w:val="20"/>
                <w:lang w:val="fr-CA"/>
              </w:rPr>
            </w:pPr>
            <w:r w:rsidRPr="00AA6F74">
              <w:rPr>
                <w:sz w:val="20"/>
                <w:lang w:val="fr-CA"/>
              </w:rPr>
              <w:t>(C.-B.) (Civile) (Sur autorisation)</w:t>
            </w:r>
          </w:p>
        </w:tc>
      </w:tr>
      <w:tr w:rsidR="006C1EBE" w:rsidRPr="002A25F4" w:rsidTr="002E545B">
        <w:tc>
          <w:tcPr>
            <w:tcW w:w="5000" w:type="pct"/>
            <w:gridSpan w:val="4"/>
          </w:tcPr>
          <w:p w:rsidR="008077DB" w:rsidRPr="00AA6F74" w:rsidRDefault="008077DB" w:rsidP="008077DB">
            <w:pPr>
              <w:jc w:val="both"/>
              <w:rPr>
                <w:sz w:val="20"/>
                <w:szCs w:val="20"/>
                <w:lang w:val="fr-CA"/>
              </w:rPr>
            </w:pPr>
            <w:r w:rsidRPr="00AA6F74">
              <w:rPr>
                <w:sz w:val="20"/>
                <w:szCs w:val="20"/>
                <w:lang w:val="fr-CA"/>
              </w:rPr>
              <w:t>Les demandes d’autorisation d’appel de l’arrêt de la Cour d’appel de la Colombie-Britannique (Vancouver), numéro CA44849, 2020 BCCA 138, daté du 19 mai 2020, sont rejetées avec dépens.</w:t>
            </w:r>
          </w:p>
          <w:p w:rsidR="006C1EBE" w:rsidRPr="00AA6F74" w:rsidRDefault="006C1EBE"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Première demande : Droit des Autochtones — Droits issus de traités — Interprétation des traités — Compréhension du traité par les Autochtones — Honneur de la Couronne — Jugements et ordonnances — Jugements déclaratoires — Véritable litige — Frontière ouest du Traité n</w:t>
            </w:r>
            <w:r w:rsidRPr="00AA6F74">
              <w:rPr>
                <w:sz w:val="20"/>
                <w:vertAlign w:val="superscript"/>
                <w:lang w:val="fr-CA"/>
              </w:rPr>
              <w:t>o</w:t>
            </w:r>
            <w:r w:rsidRPr="00AA6F74">
              <w:rPr>
                <w:sz w:val="20"/>
                <w:lang w:val="fr-CA"/>
              </w:rPr>
              <w:t xml:space="preserve"> 8 incertaine — Jugement déclaratoire </w:t>
            </w:r>
            <w:r w:rsidRPr="00AA6F74">
              <w:rPr>
                <w:i/>
                <w:sz w:val="20"/>
                <w:lang w:val="fr-CA"/>
              </w:rPr>
              <w:t>in rem</w:t>
            </w:r>
            <w:r w:rsidRPr="00AA6F74">
              <w:rPr>
                <w:sz w:val="20"/>
                <w:lang w:val="fr-CA"/>
              </w:rPr>
              <w:t xml:space="preserve"> relatif à la frontière ouest du Traité n</w:t>
            </w:r>
            <w:r w:rsidRPr="00AA6F74">
              <w:rPr>
                <w:sz w:val="20"/>
                <w:vertAlign w:val="superscript"/>
                <w:lang w:val="fr-CA"/>
              </w:rPr>
              <w:t>o</w:t>
            </w:r>
            <w:r w:rsidRPr="00AA6F74">
              <w:rPr>
                <w:sz w:val="20"/>
                <w:lang w:val="fr-CA"/>
              </w:rPr>
              <w:t> 8 — Contenu du critère visant à déterminer si un litige est « véritable » ou « hypothétique » aux fins d’un jugement déclaratoire — Circonstances dans lesquelles l’examen de l’intention des Autochtones relativement au traité et leur compréhension de celui</w:t>
            </w:r>
            <w:r w:rsidRPr="00AA6F74">
              <w:rPr>
                <w:sz w:val="20"/>
                <w:lang w:val="fr-CA"/>
              </w:rPr>
              <w:noBreakHyphen/>
              <w:t>ci ne sont pas pertinentes dans l’interprétation du traité — L’impact d’un traité conclu avec des peuples autochtones sur les non</w:t>
            </w:r>
            <w:r w:rsidRPr="00AA6F74">
              <w:rPr>
                <w:sz w:val="20"/>
                <w:lang w:val="fr-CA"/>
              </w:rPr>
              <w:noBreakHyphen/>
              <w:t>signataires autochtones du traité engage</w:t>
            </w:r>
            <w:r w:rsidRPr="00AA6F74">
              <w:rPr>
                <w:sz w:val="20"/>
                <w:lang w:val="fr-CA"/>
              </w:rPr>
              <w:noBreakHyphen/>
              <w:t>t</w:t>
            </w:r>
            <w:r w:rsidRPr="00AA6F74">
              <w:rPr>
                <w:sz w:val="20"/>
                <w:lang w:val="fr-CA"/>
              </w:rPr>
              <w:noBreakHyphen/>
              <w:t>il l’honneur de la Couronne ? — L’honneur de la Couronne est</w:t>
            </w:r>
            <w:r w:rsidRPr="00AA6F74">
              <w:rPr>
                <w:sz w:val="20"/>
                <w:lang w:val="fr-CA"/>
              </w:rPr>
              <w:noBreakHyphen/>
              <w:t>il toujours pertinent et opportun dans le cadre de l’interprétation des traités ? — L’impact sur les signataires et les non</w:t>
            </w:r>
            <w:r w:rsidRPr="00AA6F74">
              <w:rPr>
                <w:sz w:val="20"/>
                <w:lang w:val="fr-CA"/>
              </w:rPr>
              <w:noBreakHyphen/>
              <w:t>signataires titulaires de droits protégés par l’art. 35 devrait</w:t>
            </w:r>
            <w:r w:rsidRPr="00AA6F74">
              <w:rPr>
                <w:sz w:val="20"/>
                <w:lang w:val="fr-CA"/>
              </w:rPr>
              <w:noBreakHyphen/>
              <w:t>il être considéré comme faisant partie intégrante de l’honneur de la Couronne ? — Convient</w:t>
            </w:r>
            <w:r w:rsidRPr="00AA6F74">
              <w:rPr>
                <w:sz w:val="20"/>
                <w:lang w:val="fr-CA"/>
              </w:rPr>
              <w:noBreakHyphen/>
              <w:t>il pour les tribunaux d’examiner les dispositions d’un traité isolément ? — Les autres dispositions et l’impact de l’interprétation sur l’honneur de la Couronne sont</w:t>
            </w:r>
            <w:r w:rsidRPr="00AA6F74">
              <w:rPr>
                <w:sz w:val="20"/>
                <w:lang w:val="fr-CA"/>
              </w:rPr>
              <w:noBreakHyphen/>
              <w:t>ils pertinents en ce qui concerne l’interprétation ?</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AA6F74" w:rsidTr="002E545B">
        <w:tc>
          <w:tcPr>
            <w:tcW w:w="5000" w:type="pct"/>
            <w:gridSpan w:val="4"/>
          </w:tcPr>
          <w:p w:rsidR="006C1EBE" w:rsidRPr="00AA6F74" w:rsidRDefault="006C1EBE" w:rsidP="002E545B">
            <w:pPr>
              <w:jc w:val="both"/>
              <w:rPr>
                <w:sz w:val="20"/>
                <w:lang w:val="fr-CA"/>
              </w:rPr>
            </w:pPr>
            <w:r w:rsidRPr="00AA6F74">
              <w:rPr>
                <w:sz w:val="20"/>
                <w:lang w:val="fr-CA"/>
              </w:rPr>
              <w:t>Le Traité n</w:t>
            </w:r>
            <w:r w:rsidRPr="00AA6F74">
              <w:rPr>
                <w:sz w:val="20"/>
                <w:vertAlign w:val="superscript"/>
                <w:lang w:val="fr-CA"/>
              </w:rPr>
              <w:t>o</w:t>
            </w:r>
            <w:r w:rsidRPr="00AA6F74">
              <w:rPr>
                <w:sz w:val="20"/>
                <w:lang w:val="fr-CA"/>
              </w:rPr>
              <w:t> 8, conclu le 21 juin 1899, décrivait les frontières y afférentes. Les commissaires au traité ont préparé une carte pour accompagner le Traité n</w:t>
            </w:r>
            <w:r w:rsidRPr="00AA6F74">
              <w:rPr>
                <w:sz w:val="20"/>
                <w:vertAlign w:val="superscript"/>
                <w:lang w:val="fr-CA"/>
              </w:rPr>
              <w:t>o</w:t>
            </w:r>
            <w:r w:rsidRPr="00AA6F74">
              <w:rPr>
                <w:sz w:val="20"/>
                <w:lang w:val="fr-CA"/>
              </w:rPr>
              <w:t> 8, mais cette dernière a été perdue, et l’emplacement de la frontière ouest de l’étendue de terre est, en conséquence, incertain. Les Premières nations intimées ont sollicité un jugement déclaratoire indiquant que la frontière ouest est située à l’endroit où se trouve la ligne de crête le long de la ligne de partage des eaux entre les bassins hydrographiques des océans Arctique et Pacifique (la « frontière plus large »). Elles ont désigné le Canada et la Colombie</w:t>
            </w:r>
            <w:r w:rsidRPr="00AA6F74">
              <w:rPr>
                <w:sz w:val="20"/>
                <w:lang w:val="fr-CA"/>
              </w:rPr>
              <w:noBreakHyphen/>
              <w:t>Britannique à titre de défendeurs. Le Canada a adhéré à la position des Premières nations, aussi bien que la Bande indienne de McLeod Lake lorsqu’elle a été ajoutée comme troisième partie défenderesse. La Colombie</w:t>
            </w:r>
            <w:r w:rsidRPr="00AA6F74">
              <w:rPr>
                <w:sz w:val="20"/>
                <w:lang w:val="fr-CA"/>
              </w:rPr>
              <w:noBreakHyphen/>
              <w:t>Britannique s’est opposée et a demandé un jugement déclaratoire portant que la phrase désigne la [</w:t>
            </w:r>
            <w:r w:rsidRPr="00AA6F74">
              <w:rPr>
                <w:smallCaps/>
                <w:sz w:val="20"/>
                <w:lang w:val="fr-CA"/>
              </w:rPr>
              <w:t>traduction</w:t>
            </w:r>
            <w:r w:rsidRPr="00AA6F74">
              <w:rPr>
                <w:rFonts w:asciiTheme="minorBidi" w:hAnsiTheme="minorBidi"/>
                <w:sz w:val="20"/>
                <w:lang w:val="fr-CA"/>
              </w:rPr>
              <w:t xml:space="preserve">] </w:t>
            </w:r>
            <w:r w:rsidRPr="00AA6F74">
              <w:rPr>
                <w:sz w:val="20"/>
                <w:lang w:val="fr-CA"/>
              </w:rPr>
              <w:t xml:space="preserve">« ligne de partage des eaux au sein des montagnes Rocheuses à l’endroit où ces montagnes étaient considérées comme étant situées en 1899 », qualifiée de « frontière étroite ». La frontière étroite crée une étendue de terre d’environ 48 000 miles carrés moins grande que la frontière plus large. </w:t>
            </w:r>
          </w:p>
          <w:p w:rsidR="006C1EBE" w:rsidRPr="00AA6F74" w:rsidRDefault="006C1EBE" w:rsidP="002E545B">
            <w:pPr>
              <w:jc w:val="both"/>
              <w:rPr>
                <w:sz w:val="20"/>
                <w:lang w:val="fr-CA"/>
              </w:rPr>
            </w:pPr>
          </w:p>
          <w:p w:rsidR="006C1EBE" w:rsidRPr="00AA6F74" w:rsidRDefault="006C1EBE" w:rsidP="002E545B">
            <w:pPr>
              <w:jc w:val="both"/>
              <w:rPr>
                <w:sz w:val="20"/>
                <w:lang w:val="fr-CA"/>
              </w:rPr>
            </w:pPr>
            <w:r w:rsidRPr="00AA6F74">
              <w:rPr>
                <w:sz w:val="20"/>
                <w:lang w:val="fr-CA"/>
              </w:rPr>
              <w:t xml:space="preserve">Parmi les nombreuses décisions préalables au procès rendues par le juge de première instance, deux d’entre elles demeurent pertinentes. Premièrement, il a été conclu que, si un jugement déclaratoire était accordé, il le serait de fait et </w:t>
            </w:r>
            <w:r w:rsidRPr="00AA6F74">
              <w:rPr>
                <w:i/>
                <w:sz w:val="20"/>
                <w:lang w:val="fr-CA"/>
              </w:rPr>
              <w:t>in rem</w:t>
            </w:r>
            <w:r w:rsidRPr="00AA6F74">
              <w:rPr>
                <w:sz w:val="20"/>
                <w:lang w:val="fr-CA"/>
              </w:rPr>
              <w:t xml:space="preserve">, liant ainsi les parties aussi bien que les tiers : </w:t>
            </w:r>
            <w:r w:rsidRPr="00AA6F74">
              <w:rPr>
                <w:i/>
                <w:sz w:val="20"/>
                <w:lang w:val="fr-CA"/>
              </w:rPr>
              <w:t>Willson v. British Columbia (Attorney General)</w:t>
            </w:r>
            <w:r w:rsidRPr="00AA6F74">
              <w:rPr>
                <w:sz w:val="20"/>
                <w:lang w:val="fr-CA"/>
              </w:rPr>
              <w:t>, 2007 BCSC 1324. Les Premières nations ont donc été ordonnées de donner avis à tous les signataires du Traité n</w:t>
            </w:r>
            <w:r w:rsidRPr="00AA6F74">
              <w:rPr>
                <w:sz w:val="20"/>
                <w:vertAlign w:val="superscript"/>
                <w:lang w:val="fr-CA"/>
              </w:rPr>
              <w:t>o</w:t>
            </w:r>
            <w:r w:rsidRPr="00AA6F74">
              <w:rPr>
                <w:sz w:val="20"/>
                <w:lang w:val="fr-CA"/>
              </w:rPr>
              <w:t xml:space="preserve"> 8 et ceux y ayant adhéré qu’un jugement déclaratoire, s’il était accordé, serait exécutoire </w:t>
            </w:r>
            <w:r w:rsidRPr="00AA6F74">
              <w:rPr>
                <w:i/>
                <w:sz w:val="20"/>
                <w:lang w:val="fr-CA"/>
              </w:rPr>
              <w:t>in rem</w:t>
            </w:r>
            <w:r w:rsidRPr="00AA6F74">
              <w:rPr>
                <w:sz w:val="20"/>
                <w:lang w:val="fr-CA"/>
              </w:rPr>
              <w:t xml:space="preserve"> et ils seraient ainsi tous liés par celui</w:t>
            </w:r>
            <w:r w:rsidRPr="00AA6F74">
              <w:rPr>
                <w:sz w:val="20"/>
                <w:lang w:val="fr-CA"/>
              </w:rPr>
              <w:noBreakHyphen/>
              <w:t xml:space="preserve">ci. Deuxièmement, deux requêtes en radiation de l’avis de réclamation au motif qu’il se rapportait à un litige hypothétique et en radiation de la demande de jugement déclaratoire ont été rejetées : </w:t>
            </w:r>
            <w:r w:rsidRPr="00AA6F74">
              <w:rPr>
                <w:i/>
                <w:sz w:val="20"/>
                <w:lang w:val="fr-CA"/>
              </w:rPr>
              <w:t>Willson v. British Columbia</w:t>
            </w:r>
            <w:r w:rsidRPr="00AA6F74">
              <w:rPr>
                <w:sz w:val="20"/>
                <w:lang w:val="fr-CA"/>
              </w:rPr>
              <w:t>, 2012 BCSC 1256.</w:t>
            </w:r>
          </w:p>
          <w:p w:rsidR="006C1EBE" w:rsidRPr="00AA6F74" w:rsidRDefault="006C1EBE" w:rsidP="002E545B">
            <w:pPr>
              <w:jc w:val="both"/>
              <w:rPr>
                <w:sz w:val="20"/>
                <w:lang w:val="fr-CA"/>
              </w:rPr>
            </w:pPr>
          </w:p>
          <w:p w:rsidR="006C1EBE" w:rsidRPr="00AA6F74" w:rsidRDefault="006C1EBE" w:rsidP="002E545B">
            <w:pPr>
              <w:jc w:val="both"/>
              <w:rPr>
                <w:sz w:val="20"/>
                <w:lang w:val="fr-CA"/>
              </w:rPr>
            </w:pPr>
            <w:r w:rsidRPr="00AA6F74">
              <w:rPr>
                <w:sz w:val="20"/>
                <w:lang w:val="fr-CA"/>
              </w:rPr>
              <w:lastRenderedPageBreak/>
              <w:t xml:space="preserve">Dans sa dernière décision dans cette affaire, le juge de première instance a rendu un jugement déclaratoire </w:t>
            </w:r>
            <w:r w:rsidRPr="00AA6F74">
              <w:rPr>
                <w:i/>
                <w:sz w:val="20"/>
                <w:lang w:val="fr-CA"/>
              </w:rPr>
              <w:t>in rem</w:t>
            </w:r>
            <w:r w:rsidRPr="00AA6F74">
              <w:rPr>
                <w:sz w:val="20"/>
                <w:lang w:val="fr-CA"/>
              </w:rPr>
              <w:t xml:space="preserve"> portant que la frontière ouest du Traité n</w:t>
            </w:r>
            <w:r w:rsidRPr="00AA6F74">
              <w:rPr>
                <w:sz w:val="20"/>
                <w:vertAlign w:val="superscript"/>
                <w:lang w:val="fr-CA"/>
              </w:rPr>
              <w:t>o</w:t>
            </w:r>
            <w:r w:rsidRPr="00AA6F74">
              <w:rPr>
                <w:sz w:val="20"/>
                <w:lang w:val="fr-CA"/>
              </w:rPr>
              <w:t> 8 est la ligne de crête le long de la ligne de partage des eaux entre les bassins hydrographiques des océans Arctique et Pacifique (la côte arctique</w:t>
            </w:r>
            <w:r w:rsidRPr="00AA6F74">
              <w:rPr>
                <w:sz w:val="20"/>
                <w:lang w:val="fr-CA"/>
              </w:rPr>
              <w:noBreakHyphen/>
              <w:t>pacifique). La Cour d’appel a rejeté l’appel.</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lastRenderedPageBreak/>
              <w:t>25 septembre 2017</w:t>
            </w:r>
          </w:p>
          <w:p w:rsidR="006C1EBE" w:rsidRPr="00AA6F74" w:rsidRDefault="006C1EBE" w:rsidP="002E545B">
            <w:pPr>
              <w:jc w:val="both"/>
              <w:rPr>
                <w:sz w:val="20"/>
                <w:lang w:val="fr-CA"/>
              </w:rPr>
            </w:pPr>
            <w:r w:rsidRPr="00AA6F74">
              <w:rPr>
                <w:sz w:val="20"/>
                <w:lang w:val="fr-CA"/>
              </w:rPr>
              <w:t>Cour suprême de la Colombie-Britannique</w:t>
            </w:r>
          </w:p>
          <w:p w:rsidR="006C1EBE" w:rsidRPr="00AA6F74" w:rsidRDefault="006C1EBE" w:rsidP="002E545B">
            <w:pPr>
              <w:jc w:val="both"/>
              <w:rPr>
                <w:sz w:val="20"/>
                <w:lang w:val="fr-CA"/>
              </w:rPr>
            </w:pPr>
            <w:r w:rsidRPr="00AA6F74">
              <w:rPr>
                <w:sz w:val="20"/>
                <w:lang w:val="fr-CA"/>
              </w:rPr>
              <w:t>(Juge Johnston)</w:t>
            </w:r>
          </w:p>
          <w:p w:rsidR="006C1EBE" w:rsidRPr="00AA6F74" w:rsidRDefault="002A25F4" w:rsidP="002E545B">
            <w:pPr>
              <w:jc w:val="both"/>
              <w:rPr>
                <w:sz w:val="20"/>
                <w:lang w:val="fr-CA"/>
              </w:rPr>
            </w:pPr>
            <w:hyperlink r:id="rId45" w:history="1">
              <w:r w:rsidR="006C1EBE" w:rsidRPr="00AA6F74">
                <w:rPr>
                  <w:rStyle w:val="Hyperlink"/>
                  <w:sz w:val="20"/>
                  <w:lang w:val="fr-CA"/>
                </w:rPr>
                <w:t>2017 BCSC 1700</w:t>
              </w:r>
            </w:hyperlink>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 xml:space="preserve">Jugement déclaratoire </w:t>
            </w:r>
            <w:r w:rsidRPr="00AA6F74">
              <w:rPr>
                <w:i/>
                <w:sz w:val="20"/>
                <w:lang w:val="fr-CA"/>
              </w:rPr>
              <w:t>in rem</w:t>
            </w:r>
            <w:r w:rsidRPr="00AA6F74">
              <w:rPr>
                <w:sz w:val="20"/>
                <w:lang w:val="fr-CA"/>
              </w:rPr>
              <w:t xml:space="preserve"> portant que la frontière ouest du Traité n</w:t>
            </w:r>
            <w:r w:rsidRPr="00AA6F74">
              <w:rPr>
                <w:sz w:val="20"/>
                <w:vertAlign w:val="superscript"/>
                <w:lang w:val="fr-CA"/>
              </w:rPr>
              <w:t>o</w:t>
            </w:r>
            <w:r w:rsidRPr="00AA6F74">
              <w:rPr>
                <w:sz w:val="20"/>
                <w:lang w:val="fr-CA"/>
              </w:rPr>
              <w:t> 8 se situe à la ligne de crête le long de la ligne de partage des eaux entre les bassins hydrographiques des océans Arctique et Pacifique.</w:t>
            </w:r>
          </w:p>
          <w:p w:rsidR="006C1EBE" w:rsidRPr="00AA6F74" w:rsidRDefault="006C1EBE" w:rsidP="002E545B">
            <w:pPr>
              <w:jc w:val="both"/>
              <w:rPr>
                <w:sz w:val="20"/>
                <w:lang w:val="fr-CA"/>
              </w:rPr>
            </w:pPr>
          </w:p>
        </w:tc>
      </w:tr>
      <w:tr w:rsidR="006C1EBE" w:rsidRPr="00AA6F74" w:rsidTr="002E545B">
        <w:tc>
          <w:tcPr>
            <w:tcW w:w="2427" w:type="pct"/>
            <w:gridSpan w:val="2"/>
          </w:tcPr>
          <w:p w:rsidR="006C1EBE" w:rsidRPr="00AA6F74" w:rsidRDefault="006C1EBE" w:rsidP="002E545B">
            <w:pPr>
              <w:jc w:val="both"/>
              <w:rPr>
                <w:sz w:val="20"/>
                <w:lang w:val="fr-CA"/>
              </w:rPr>
            </w:pPr>
            <w:r w:rsidRPr="00AA6F74">
              <w:rPr>
                <w:sz w:val="20"/>
                <w:lang w:val="fr-CA"/>
              </w:rPr>
              <w:t>19 mai 2020</w:t>
            </w:r>
          </w:p>
          <w:p w:rsidR="006C1EBE" w:rsidRPr="00AA6F74" w:rsidRDefault="006C1EBE" w:rsidP="002E545B">
            <w:pPr>
              <w:jc w:val="both"/>
              <w:rPr>
                <w:sz w:val="20"/>
                <w:lang w:val="fr-CA"/>
              </w:rPr>
            </w:pPr>
            <w:r w:rsidRPr="00AA6F74">
              <w:rPr>
                <w:sz w:val="20"/>
                <w:lang w:val="fr-CA"/>
              </w:rPr>
              <w:t>Cour d’appel de la Colombie-Britannique</w:t>
            </w:r>
          </w:p>
          <w:p w:rsidR="006C1EBE" w:rsidRPr="00AA6F74" w:rsidRDefault="006C1EBE" w:rsidP="002E545B">
            <w:pPr>
              <w:jc w:val="both"/>
              <w:rPr>
                <w:sz w:val="20"/>
                <w:lang w:val="fr-CA"/>
              </w:rPr>
            </w:pPr>
            <w:r w:rsidRPr="00AA6F74">
              <w:rPr>
                <w:sz w:val="20"/>
                <w:lang w:val="fr-CA"/>
              </w:rPr>
              <w:t>(Vancouver)</w:t>
            </w:r>
          </w:p>
          <w:p w:rsidR="006C1EBE" w:rsidRPr="00AA6F74" w:rsidRDefault="006C1EBE" w:rsidP="002E545B">
            <w:pPr>
              <w:jc w:val="both"/>
              <w:rPr>
                <w:sz w:val="20"/>
                <w:lang w:val="fr-CA"/>
              </w:rPr>
            </w:pPr>
            <w:r w:rsidRPr="00AA6F74">
              <w:rPr>
                <w:sz w:val="20"/>
                <w:lang w:val="fr-CA"/>
              </w:rPr>
              <w:t>(Juge en chef Bauman, juges Smith, Goepel)</w:t>
            </w:r>
          </w:p>
          <w:p w:rsidR="006C1EBE" w:rsidRPr="00AA6F74" w:rsidRDefault="002A25F4" w:rsidP="002E545B">
            <w:pPr>
              <w:jc w:val="both"/>
              <w:rPr>
                <w:sz w:val="20"/>
                <w:lang w:val="fr-CA"/>
              </w:rPr>
            </w:pPr>
            <w:hyperlink r:id="rId46" w:history="1">
              <w:r w:rsidR="006C1EBE" w:rsidRPr="00AA6F74">
                <w:rPr>
                  <w:rStyle w:val="Hyperlink"/>
                  <w:sz w:val="20"/>
                  <w:lang w:val="fr-CA"/>
                </w:rPr>
                <w:t>2020 BCCA 138</w:t>
              </w:r>
            </w:hyperlink>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L’appel est rejeté.</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18 août 2020</w:t>
            </w:r>
          </w:p>
          <w:p w:rsidR="006C1EBE" w:rsidRPr="00AA6F74" w:rsidRDefault="006C1EBE" w:rsidP="002E545B">
            <w:pPr>
              <w:jc w:val="both"/>
              <w:rPr>
                <w:sz w:val="20"/>
                <w:lang w:val="fr-CA"/>
              </w:rPr>
            </w:pPr>
            <w:r w:rsidRPr="00AA6F74">
              <w:rPr>
                <w:sz w:val="20"/>
                <w:lang w:val="fr-CA"/>
              </w:rPr>
              <w:t>Cour suprême du Canada</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 première demande d’autorisation d’appel est présentée par la Bande indienne de McLeod Lake.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18 août 2020</w:t>
            </w:r>
          </w:p>
          <w:p w:rsidR="006C1EBE" w:rsidRPr="00AA6F74" w:rsidRDefault="006C1EBE" w:rsidP="002E545B">
            <w:pPr>
              <w:jc w:val="both"/>
              <w:rPr>
                <w:sz w:val="20"/>
                <w:lang w:val="fr-CA"/>
              </w:rPr>
            </w:pPr>
            <w:r w:rsidRPr="00AA6F74">
              <w:rPr>
                <w:sz w:val="20"/>
                <w:lang w:val="fr-CA"/>
              </w:rPr>
              <w:t>Cour suprême du Canada</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 deuxième demande d’autorisation d’appel est présentée par Sa Majesté la Reine du chef de la Colombie-Britannique.</w:t>
            </w:r>
          </w:p>
        </w:tc>
      </w:tr>
    </w:tbl>
    <w:p w:rsidR="006C1EBE" w:rsidRPr="00AA6F74" w:rsidRDefault="006C1EBE" w:rsidP="006C1EBE">
      <w:pPr>
        <w:jc w:val="both"/>
        <w:rPr>
          <w:sz w:val="20"/>
          <w:lang w:val="fr-CA"/>
        </w:rPr>
      </w:pPr>
    </w:p>
    <w:p w:rsidR="006C1EBE" w:rsidRPr="00AA6F74" w:rsidRDefault="002A25F4" w:rsidP="006C1EBE">
      <w:pPr>
        <w:jc w:val="both"/>
        <w:rPr>
          <w:sz w:val="20"/>
          <w:lang w:val="fr-CA"/>
        </w:rPr>
      </w:pPr>
      <w:r>
        <w:rPr>
          <w:sz w:val="20"/>
        </w:rPr>
        <w:pict>
          <v:rect id="_x0000_i1050" style="width:2in;height:1pt" o:hrpct="0" o:hralign="center" o:hrstd="t" o:hrnoshade="t" o:hr="t" fillcolor="black [3213]" stroked="f"/>
        </w:pict>
      </w:r>
    </w:p>
    <w:p w:rsidR="006C1EBE" w:rsidRPr="00AA6F74" w:rsidRDefault="006C1EBE" w:rsidP="006C1E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39323</w:t>
            </w:r>
          </w:p>
        </w:tc>
        <w:tc>
          <w:tcPr>
            <w:tcW w:w="4457" w:type="pct"/>
          </w:tcPr>
          <w:p w:rsidR="006C1EBE" w:rsidRPr="00AA6F74" w:rsidRDefault="006C1EBE" w:rsidP="002E545B">
            <w:pPr>
              <w:pStyle w:val="SCCLsocParty"/>
              <w:jc w:val="both"/>
              <w:rPr>
                <w:b/>
                <w:sz w:val="20"/>
                <w:szCs w:val="20"/>
                <w:lang w:val="en-US"/>
              </w:rPr>
            </w:pPr>
            <w:r w:rsidRPr="00AA6F74">
              <w:rPr>
                <w:b/>
                <w:sz w:val="20"/>
                <w:szCs w:val="20"/>
                <w:lang w:val="en-US"/>
              </w:rPr>
              <w:t>Germaine Anderson on her own behalf and on behalf of all other Beaver Lake Cree Nation beneficiaries of Treaty No. 6 and Beaver Lake Cree Nation v. Her Majesty the Queen in Right of the Province of Alberta</w:t>
            </w:r>
            <w:r w:rsidR="009504A9" w:rsidRPr="00AA6F74">
              <w:rPr>
                <w:b/>
                <w:sz w:val="20"/>
                <w:szCs w:val="20"/>
                <w:lang w:val="en-US"/>
              </w:rPr>
              <w:t xml:space="preserve"> and</w:t>
            </w:r>
            <w:r w:rsidRPr="00AA6F74">
              <w:rPr>
                <w:b/>
                <w:sz w:val="20"/>
                <w:szCs w:val="20"/>
                <w:lang w:val="en-US"/>
              </w:rPr>
              <w:t xml:space="preserve"> Attorney General of Canada</w:t>
            </w:r>
          </w:p>
          <w:p w:rsidR="006C1EBE" w:rsidRPr="00AA6F74" w:rsidRDefault="006C1EBE" w:rsidP="002E545B">
            <w:pPr>
              <w:jc w:val="both"/>
              <w:rPr>
                <w:sz w:val="20"/>
              </w:rPr>
            </w:pPr>
            <w:r w:rsidRPr="00AA6F74">
              <w:rPr>
                <w:sz w:val="20"/>
              </w:rPr>
              <w:t>(Alta.) (Civil) (By Leave)</w:t>
            </w:r>
          </w:p>
        </w:tc>
      </w:tr>
      <w:tr w:rsidR="006C1EBE" w:rsidRPr="00AA6F74" w:rsidTr="002E545B">
        <w:tc>
          <w:tcPr>
            <w:tcW w:w="5000" w:type="pct"/>
            <w:gridSpan w:val="2"/>
          </w:tcPr>
          <w:p w:rsidR="009504A9" w:rsidRPr="00AA6F74" w:rsidRDefault="009504A9" w:rsidP="009504A9">
            <w:pPr>
              <w:jc w:val="both"/>
              <w:rPr>
                <w:sz w:val="20"/>
                <w:szCs w:val="20"/>
              </w:rPr>
            </w:pPr>
            <w:r w:rsidRPr="00AA6F74">
              <w:rPr>
                <w:sz w:val="20"/>
                <w:szCs w:val="20"/>
              </w:rPr>
              <w:t>The motion for leave to intervene by the Tsilhqot’in National Government is dismissed, without prejudice to its right to bring a motion for leave to intervene in the appeal. The application for leave to appeal from the judgment of the Court of Appeal of Alberta (Edmonton), Numbers 1903-0274-AC and 1903-0279-AC, 2020 ABCA 238, dated June 15, 2020, is granted with costs in the cause.</w:t>
            </w:r>
          </w:p>
          <w:p w:rsidR="006C1EBE" w:rsidRPr="00AA6F74" w:rsidRDefault="006C1EBE" w:rsidP="002E545B">
            <w:pPr>
              <w:jc w:val="both"/>
              <w:rPr>
                <w:sz w:val="20"/>
              </w:rPr>
            </w:pPr>
          </w:p>
        </w:tc>
      </w:tr>
      <w:tr w:rsidR="006C1EBE" w:rsidRPr="00AA6F74" w:rsidTr="002E545B">
        <w:tc>
          <w:tcPr>
            <w:tcW w:w="5000" w:type="pct"/>
            <w:gridSpan w:val="2"/>
          </w:tcPr>
          <w:p w:rsidR="006C1EBE" w:rsidRPr="00AA6F74" w:rsidRDefault="006C1EBE" w:rsidP="002E545B">
            <w:pPr>
              <w:jc w:val="both"/>
              <w:rPr>
                <w:sz w:val="20"/>
              </w:rPr>
            </w:pPr>
            <w:r w:rsidRPr="00AA6F74">
              <w:rPr>
                <w:sz w:val="20"/>
              </w:rPr>
              <w:t>Civil procedure — Costs — Advance costs — First Nation pursuing claim against provincial and federal Crown for infringement of treaty rights — First Nation seeking advance costs to fund litigation — Case management judge finding criteria for partial advance costs order satisfied — Court of Appeal overturning order as unreasonable, and finding impecuniosity branch of test not met — Whether and how should unique context of First Nation governments and s. 35 claims be considered in financial means test — What is relationship between financial means test and requirements for exceptionality? — Whether litigant can be partially impecunious, resulting in a partial costs order — Whether and how should principle of honour of the Crown inform financial means test.</w:t>
            </w:r>
          </w:p>
        </w:tc>
      </w:tr>
      <w:tr w:rsidR="006C1EBE" w:rsidRPr="00AA6F74" w:rsidTr="002E545B">
        <w:tc>
          <w:tcPr>
            <w:tcW w:w="5000" w:type="pct"/>
            <w:gridSpan w:val="2"/>
          </w:tcPr>
          <w:p w:rsidR="006C1EBE" w:rsidRPr="00AA6F74" w:rsidRDefault="006C1EBE" w:rsidP="002E545B">
            <w:pPr>
              <w:jc w:val="both"/>
              <w:rPr>
                <w:sz w:val="20"/>
              </w:rPr>
            </w:pPr>
          </w:p>
        </w:tc>
      </w:tr>
      <w:tr w:rsidR="009504A9" w:rsidRPr="00AA6F74" w:rsidTr="002E545B">
        <w:tc>
          <w:tcPr>
            <w:tcW w:w="5000" w:type="pct"/>
            <w:gridSpan w:val="2"/>
          </w:tcPr>
          <w:p w:rsidR="009504A9" w:rsidRPr="00AA6F74" w:rsidRDefault="009504A9" w:rsidP="009504A9">
            <w:pPr>
              <w:jc w:val="both"/>
              <w:rPr>
                <w:sz w:val="20"/>
              </w:rPr>
            </w:pPr>
            <w:r w:rsidRPr="00AA6F74">
              <w:rPr>
                <w:sz w:val="20"/>
              </w:rPr>
              <w:t>The applicant Beaver Lake Cree Nation filed a claim against Alberta and Canada in 2008, seeking various declarations of rights, injunctions, and damages for the cumulative effects of resource developments allowed on their traditional lands protected by Treaty 6. The trial is currently scheduled for 2024. Thus far, Beaver Lake has spent approximately $3 million in legal fees, of which approximately one half has been paid from its own funds; it presently pays $300,000 in legal fees per year. Beaver Lake filed an application for advance costs in the amount of $5 million to allow them to proceed with their claim.</w:t>
            </w:r>
          </w:p>
          <w:p w:rsidR="009504A9" w:rsidRPr="00AA6F74" w:rsidRDefault="009504A9" w:rsidP="002E545B">
            <w:pPr>
              <w:jc w:val="both"/>
              <w:rPr>
                <w:sz w:val="20"/>
              </w:rPr>
            </w:pPr>
          </w:p>
        </w:tc>
      </w:tr>
    </w:tbl>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C1EBE" w:rsidRPr="00AA6F74" w:rsidTr="002E545B">
        <w:tc>
          <w:tcPr>
            <w:tcW w:w="5000" w:type="pct"/>
            <w:gridSpan w:val="3"/>
          </w:tcPr>
          <w:p w:rsidR="006C1EBE" w:rsidRPr="00AA6F74" w:rsidRDefault="006C1EBE" w:rsidP="002E545B">
            <w:pPr>
              <w:jc w:val="both"/>
              <w:rPr>
                <w:sz w:val="20"/>
              </w:rPr>
            </w:pPr>
            <w:r w:rsidRPr="00AA6F74">
              <w:rPr>
                <w:sz w:val="20"/>
              </w:rPr>
              <w:lastRenderedPageBreak/>
              <w:t>The case management judge at the Alberta Court of Queen’s Bench awarded partial advance costs to Beaver Lake, ordering Alberta and Canada to each pay $300,000 per year towards Beaver Lake’s legal fees, until such time as the trial is concluded or the litigation is resolved. The Court of Appeal reversed this decision and set aside the case management judge’s order of partial advance costs as being unreasonable, finding that Beaver Lake had failed to satisfy the “impecuniosity” branch of the test for advance costs, and that Beaver Lake in fact had access or potential access to several million dollars in order to continue funding the litigation.</w:t>
            </w:r>
          </w:p>
          <w:p w:rsidR="006C1EBE" w:rsidRPr="00AA6F74" w:rsidRDefault="006C1EBE" w:rsidP="002E545B">
            <w:pPr>
              <w:jc w:val="both"/>
              <w:rPr>
                <w:sz w:val="20"/>
              </w:rPr>
            </w:pPr>
          </w:p>
        </w:tc>
      </w:tr>
      <w:tr w:rsidR="006C1EBE" w:rsidRPr="00AA6F74" w:rsidTr="002E545B">
        <w:tc>
          <w:tcPr>
            <w:tcW w:w="2427" w:type="pct"/>
          </w:tcPr>
          <w:p w:rsidR="006C1EBE" w:rsidRPr="00AA6F74" w:rsidRDefault="006C1EBE" w:rsidP="002E545B">
            <w:pPr>
              <w:jc w:val="both"/>
              <w:rPr>
                <w:sz w:val="20"/>
              </w:rPr>
            </w:pPr>
            <w:r w:rsidRPr="00AA6F74">
              <w:rPr>
                <w:sz w:val="20"/>
              </w:rPr>
              <w:t>September 30, 2019</w:t>
            </w:r>
          </w:p>
          <w:p w:rsidR="006C1EBE" w:rsidRPr="00AA6F74" w:rsidRDefault="006C1EBE" w:rsidP="002E545B">
            <w:pPr>
              <w:jc w:val="both"/>
              <w:rPr>
                <w:sz w:val="20"/>
              </w:rPr>
            </w:pPr>
            <w:r w:rsidRPr="00AA6F74">
              <w:rPr>
                <w:sz w:val="20"/>
              </w:rPr>
              <w:t>Court of Queen’s Bench of Alberta</w:t>
            </w:r>
          </w:p>
          <w:p w:rsidR="006C1EBE" w:rsidRPr="00AA6F74" w:rsidRDefault="006C1EBE" w:rsidP="002E545B">
            <w:pPr>
              <w:jc w:val="both"/>
              <w:rPr>
                <w:sz w:val="20"/>
              </w:rPr>
            </w:pPr>
            <w:r w:rsidRPr="00AA6F74">
              <w:rPr>
                <w:sz w:val="20"/>
              </w:rPr>
              <w:t>(Browne J.)</w:t>
            </w:r>
          </w:p>
          <w:p w:rsidR="006C1EBE" w:rsidRPr="00AA6F74" w:rsidRDefault="002A25F4" w:rsidP="002E545B">
            <w:pPr>
              <w:jc w:val="both"/>
              <w:rPr>
                <w:sz w:val="20"/>
              </w:rPr>
            </w:pPr>
            <w:hyperlink r:id="rId47" w:history="1">
              <w:r w:rsidR="006C1EBE" w:rsidRPr="00AA6F74">
                <w:rPr>
                  <w:rStyle w:val="Hyperlink"/>
                  <w:sz w:val="20"/>
                </w:rPr>
                <w:t>2019 ABQB 746</w:t>
              </w:r>
            </w:hyperlink>
            <w:r w:rsidR="006C1EBE" w:rsidRPr="00AA6F74">
              <w:rPr>
                <w:sz w:val="20"/>
              </w:rPr>
              <w:t xml:space="preserve">  </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advance costs order granted in part: Beaver Lake Cree Nation, Alberta and Canada each ordered to provide $300,000 per year for Beaver Lake’s legal fees until trial concluded or litigation resolved.</w:t>
            </w:r>
          </w:p>
          <w:p w:rsidR="006C1EBE" w:rsidRPr="00AA6F74" w:rsidRDefault="006C1EBE" w:rsidP="002E545B">
            <w:pPr>
              <w:jc w:val="both"/>
              <w:rPr>
                <w:sz w:val="20"/>
              </w:rPr>
            </w:pPr>
          </w:p>
        </w:tc>
      </w:tr>
      <w:tr w:rsidR="006C1EBE" w:rsidRPr="00AA6F74" w:rsidTr="002E545B">
        <w:tc>
          <w:tcPr>
            <w:tcW w:w="2427" w:type="pct"/>
          </w:tcPr>
          <w:p w:rsidR="006C1EBE" w:rsidRPr="00AA6F74" w:rsidRDefault="006C1EBE" w:rsidP="002E545B">
            <w:pPr>
              <w:jc w:val="both"/>
              <w:rPr>
                <w:sz w:val="20"/>
              </w:rPr>
            </w:pPr>
            <w:r w:rsidRPr="00AA6F74">
              <w:rPr>
                <w:sz w:val="20"/>
              </w:rPr>
              <w:t>June 15, 2020</w:t>
            </w:r>
          </w:p>
          <w:p w:rsidR="006C1EBE" w:rsidRPr="00AA6F74" w:rsidRDefault="006C1EBE" w:rsidP="002E545B">
            <w:pPr>
              <w:jc w:val="both"/>
              <w:rPr>
                <w:sz w:val="20"/>
              </w:rPr>
            </w:pPr>
            <w:r w:rsidRPr="00AA6F74">
              <w:rPr>
                <w:sz w:val="20"/>
              </w:rPr>
              <w:t>Court of Appeal of Alberta (Edmonton)</w:t>
            </w:r>
          </w:p>
          <w:p w:rsidR="006C1EBE" w:rsidRPr="00AA6F74" w:rsidRDefault="006C1EBE" w:rsidP="002E545B">
            <w:pPr>
              <w:jc w:val="both"/>
              <w:rPr>
                <w:sz w:val="20"/>
              </w:rPr>
            </w:pPr>
            <w:r w:rsidRPr="00AA6F74">
              <w:rPr>
                <w:sz w:val="20"/>
              </w:rPr>
              <w:t>(Slatter, Rowbotham and Pentelechuck JJ.A.)</w:t>
            </w:r>
          </w:p>
          <w:p w:rsidR="006C1EBE" w:rsidRPr="00AA6F74" w:rsidRDefault="002A25F4" w:rsidP="002E545B">
            <w:pPr>
              <w:jc w:val="both"/>
              <w:rPr>
                <w:sz w:val="20"/>
              </w:rPr>
            </w:pPr>
            <w:hyperlink r:id="rId48" w:history="1">
              <w:r w:rsidR="006C1EBE" w:rsidRPr="00AA6F74">
                <w:rPr>
                  <w:rStyle w:val="Hyperlink"/>
                  <w:sz w:val="20"/>
                </w:rPr>
                <w:t>2020 ABCA 238</w:t>
              </w:r>
            </w:hyperlink>
            <w:r w:rsidR="006C1EBE" w:rsidRPr="00AA6F74">
              <w:rPr>
                <w:sz w:val="20"/>
              </w:rPr>
              <w:t xml:space="preserve">  </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Applications for fresh evidence — allowed.</w:t>
            </w:r>
          </w:p>
          <w:p w:rsidR="006C1EBE" w:rsidRPr="00AA6F74" w:rsidRDefault="006C1EBE" w:rsidP="002E545B">
            <w:pPr>
              <w:jc w:val="both"/>
              <w:rPr>
                <w:sz w:val="20"/>
              </w:rPr>
            </w:pPr>
            <w:r w:rsidRPr="00AA6F74">
              <w:rPr>
                <w:sz w:val="20"/>
              </w:rPr>
              <w:t>Appeals by Alberta and Canada — allowed.</w:t>
            </w:r>
          </w:p>
          <w:p w:rsidR="006C1EBE" w:rsidRPr="00AA6F74" w:rsidRDefault="006C1EBE" w:rsidP="002E545B">
            <w:pPr>
              <w:jc w:val="both"/>
              <w:rPr>
                <w:sz w:val="20"/>
              </w:rPr>
            </w:pPr>
            <w:r w:rsidRPr="00AA6F74">
              <w:rPr>
                <w:sz w:val="20"/>
              </w:rPr>
              <w:t>Advance costs order set aside.</w:t>
            </w:r>
          </w:p>
          <w:p w:rsidR="006C1EBE" w:rsidRPr="00AA6F74" w:rsidRDefault="006C1EBE" w:rsidP="002E545B">
            <w:pPr>
              <w:jc w:val="both"/>
              <w:rPr>
                <w:sz w:val="20"/>
              </w:rPr>
            </w:pPr>
          </w:p>
        </w:tc>
      </w:tr>
      <w:tr w:rsidR="006C1EBE" w:rsidRPr="00AA6F74" w:rsidTr="002E545B">
        <w:tc>
          <w:tcPr>
            <w:tcW w:w="2427" w:type="pct"/>
          </w:tcPr>
          <w:p w:rsidR="006C1EBE" w:rsidRPr="00AA6F74" w:rsidRDefault="006C1EBE" w:rsidP="002E545B">
            <w:pPr>
              <w:jc w:val="both"/>
              <w:rPr>
                <w:sz w:val="20"/>
              </w:rPr>
            </w:pPr>
            <w:r w:rsidRPr="00AA6F74">
              <w:rPr>
                <w:sz w:val="20"/>
              </w:rPr>
              <w:t>September 14,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leave to appeal filed by Germaine Anderson and Beaver Lake.</w:t>
            </w: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51"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lang w:val="fr-CA"/>
              </w:rPr>
            </w:pPr>
            <w:r w:rsidRPr="00AA6F74">
              <w:rPr>
                <w:rStyle w:val="SCCFileNumberChar"/>
                <w:sz w:val="20"/>
                <w:szCs w:val="20"/>
                <w:lang w:val="fr-CA"/>
              </w:rPr>
              <w:t>39323</w:t>
            </w:r>
          </w:p>
        </w:tc>
        <w:tc>
          <w:tcPr>
            <w:tcW w:w="4457" w:type="pct"/>
            <w:gridSpan w:val="3"/>
          </w:tcPr>
          <w:p w:rsidR="006C1EBE" w:rsidRPr="00AA6F74" w:rsidRDefault="009504A9" w:rsidP="002E545B">
            <w:pPr>
              <w:pStyle w:val="SCCLsocParty"/>
              <w:jc w:val="both"/>
              <w:rPr>
                <w:b/>
                <w:sz w:val="20"/>
                <w:szCs w:val="20"/>
              </w:rPr>
            </w:pPr>
            <w:r w:rsidRPr="00AA6F74">
              <w:rPr>
                <w:b/>
                <w:sz w:val="20"/>
                <w:szCs w:val="20"/>
              </w:rPr>
              <w:t>Germaine Anderson en son propre nom et au nom de tous les autres bénéficiaires du Traité no 6 de la Beaver Lake Cree Nation et Beaver Lake Cree Nation</w:t>
            </w:r>
            <w:r w:rsidR="006C1EBE" w:rsidRPr="00AA6F74">
              <w:rPr>
                <w:b/>
                <w:sz w:val="20"/>
                <w:szCs w:val="20"/>
              </w:rPr>
              <w:t xml:space="preserve"> c. Sa Majesté la Reine du chef de la province de l’Alberta</w:t>
            </w:r>
            <w:r w:rsidRPr="00AA6F74">
              <w:rPr>
                <w:b/>
                <w:sz w:val="20"/>
                <w:szCs w:val="20"/>
              </w:rPr>
              <w:t xml:space="preserve"> et</w:t>
            </w:r>
            <w:r w:rsidR="006C1EBE" w:rsidRPr="00AA6F74">
              <w:rPr>
                <w:b/>
                <w:sz w:val="20"/>
                <w:szCs w:val="20"/>
              </w:rPr>
              <w:t xml:space="preserve"> </w:t>
            </w:r>
            <w:r w:rsidRPr="00AA6F74">
              <w:rPr>
                <w:b/>
                <w:sz w:val="20"/>
                <w:szCs w:val="20"/>
              </w:rPr>
              <w:t>p</w:t>
            </w:r>
            <w:r w:rsidR="006C1EBE" w:rsidRPr="00AA6F74">
              <w:rPr>
                <w:b/>
                <w:sz w:val="20"/>
                <w:szCs w:val="20"/>
              </w:rPr>
              <w:t>rocureur général du Canada</w:t>
            </w:r>
          </w:p>
          <w:p w:rsidR="006C1EBE" w:rsidRPr="00AA6F74" w:rsidRDefault="006C1EBE" w:rsidP="002E545B">
            <w:pPr>
              <w:jc w:val="both"/>
              <w:rPr>
                <w:sz w:val="20"/>
                <w:lang w:val="fr-CA"/>
              </w:rPr>
            </w:pPr>
            <w:r w:rsidRPr="00AA6F74">
              <w:rPr>
                <w:sz w:val="20"/>
                <w:lang w:val="fr-CA"/>
              </w:rPr>
              <w:t>(Alb.) (Civile) (Sur autorisation)</w:t>
            </w:r>
          </w:p>
        </w:tc>
      </w:tr>
      <w:tr w:rsidR="006C1EBE" w:rsidRPr="002A25F4" w:rsidTr="002E545B">
        <w:tc>
          <w:tcPr>
            <w:tcW w:w="5000" w:type="pct"/>
            <w:gridSpan w:val="4"/>
          </w:tcPr>
          <w:p w:rsidR="006C1EBE" w:rsidRPr="00AA6F74" w:rsidRDefault="009504A9" w:rsidP="002E545B">
            <w:pPr>
              <w:jc w:val="both"/>
              <w:rPr>
                <w:sz w:val="20"/>
                <w:szCs w:val="20"/>
                <w:lang w:val="fr-CA"/>
              </w:rPr>
            </w:pPr>
            <w:r w:rsidRPr="00AA6F74">
              <w:rPr>
                <w:sz w:val="20"/>
                <w:szCs w:val="20"/>
                <w:lang w:val="fr-CA"/>
              </w:rPr>
              <w:t>La requête pour permission d’intervenir du Tsilhqot’in National Government est rejetée, sans préjudice à son droit de présenter une demande pour permission d’intervenir dans l’appel. La demande d’autorisation d’appel de l’arrêt de la Cour d’appel de l’Alberta (Edmonton), numéros 1903-0274-AC et 1903-0279-AC, 2020 ABCA 238, daté du 15 juin 2020, est accueillie avec dépens suivant l’issue de la cause.</w:t>
            </w:r>
          </w:p>
          <w:p w:rsidR="009504A9" w:rsidRPr="00AA6F74" w:rsidRDefault="009504A9"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Procédure civile — Dépens — Provision pour frais — Première nation poursuivant une instance contre la Couronne provinciale et fédérale pour avoir porté atteinte à des droits issus de traités — La Première nation cherche à obtenir une provision pour frais afin de financer le litige — La juge chargée de la gestion de l’instance a conclu qu’il est satisfait au critère permettant d’accorder une provision pour frais partielle — La Cour d’appel infirme l’ordonnance la jugeant déraisonnable, et conclut qu'il n'est pas satisfait au volet du critère relatif à l’impécuniosité — Le contexte unique des gouvernements des Premières nations et des revendications fondées sur l’art. 35 devrait</w:t>
            </w:r>
            <w:r w:rsidRPr="00AA6F74">
              <w:rPr>
                <w:sz w:val="20"/>
                <w:lang w:val="fr-CA"/>
              </w:rPr>
              <w:noBreakHyphen/>
              <w:t>il être examiné dans le cadre de l’analyse du critère relatif aux moyens financiers, et dans l’affirmative, comment devrait</w:t>
            </w:r>
            <w:r w:rsidRPr="00AA6F74">
              <w:rPr>
                <w:sz w:val="20"/>
                <w:lang w:val="fr-CA"/>
              </w:rPr>
              <w:noBreakHyphen/>
              <w:t>on procéder à cet examen ? — Quel est le lien entre le critère relatif aux moyens financiers et les exigences par rapport au caractère exceptionnel ? — Une partie au litige peut</w:t>
            </w:r>
            <w:r w:rsidRPr="00AA6F74">
              <w:rPr>
                <w:sz w:val="20"/>
                <w:lang w:val="fr-CA"/>
              </w:rPr>
              <w:noBreakHyphen/>
              <w:t>elle être partiellement impécunieuse, donnant ainsi lieu à l’octroi d’une provision pour frais partielle ? — Le principe de l’honneur de la Couronne devrait</w:t>
            </w:r>
            <w:r w:rsidRPr="00AA6F74">
              <w:rPr>
                <w:sz w:val="20"/>
                <w:lang w:val="fr-CA"/>
              </w:rPr>
              <w:noBreakHyphen/>
              <w:t>il venir éclairer le critère relatif aux moyens financiers, et dans l’affirmative, comment devrait-il le faire ?</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La demanderesse, la Nation crie de Beaver Lake, a présenté une demande contre l’Alberta et le Canada en 2008, cherchant à obtenir diverses déclarations de droit, des injonctions et des dommages</w:t>
            </w:r>
            <w:r w:rsidRPr="00AA6F74">
              <w:rPr>
                <w:sz w:val="20"/>
                <w:lang w:val="fr-CA"/>
              </w:rPr>
              <w:noBreakHyphen/>
              <w:t>intérêts pour les effets cumulatifs de l’exploitation des ressources naturelles permise sur leurs terres ancestrales protégées par le Traité n</w:t>
            </w:r>
            <w:r w:rsidRPr="00AA6F74">
              <w:rPr>
                <w:sz w:val="20"/>
                <w:vertAlign w:val="superscript"/>
                <w:lang w:val="fr-CA"/>
              </w:rPr>
              <w:t>o</w:t>
            </w:r>
            <w:r w:rsidRPr="00AA6F74">
              <w:rPr>
                <w:sz w:val="20"/>
                <w:lang w:val="fr-CA"/>
              </w:rPr>
              <w:t> 6. Pour l’instant, le procès est prévu en 2024. Jusqu’à présent, Beaver Lake a dépensé environ 3 millions de dollars en fait d’honoraires d’avocat, dont approximativement la moitié a été puisée à même ses propres fonds; elle débourse actuellement 300 000 $ en fait d’honoraires d’avocat par année. Beaver Lake a présenté une demande de provision pour frais au montant de 5 millions de dollars pour lui permettre de continuer de faire avancer sa réclamation.</w:t>
            </w:r>
          </w:p>
          <w:p w:rsidR="006C1EBE" w:rsidRPr="00AA6F74" w:rsidRDefault="006C1EBE" w:rsidP="002E545B">
            <w:pPr>
              <w:jc w:val="both"/>
              <w:rPr>
                <w:sz w:val="20"/>
                <w:lang w:val="fr-CA"/>
              </w:rPr>
            </w:pPr>
          </w:p>
          <w:p w:rsidR="006C1EBE" w:rsidRPr="00AA6F74" w:rsidRDefault="006C1EBE" w:rsidP="002E545B">
            <w:pPr>
              <w:jc w:val="both"/>
              <w:rPr>
                <w:sz w:val="20"/>
                <w:lang w:val="fr-CA"/>
              </w:rPr>
            </w:pPr>
            <w:r w:rsidRPr="00AA6F74">
              <w:rPr>
                <w:sz w:val="20"/>
                <w:lang w:val="fr-CA"/>
              </w:rPr>
              <w:lastRenderedPageBreak/>
              <w:t>La juge de gestion de l’instance de la Cour du Banc de la Reine de l’Alberta a accordé une provision pour frais partielle à Beaver Lake, ordonnant à l’Alberta et au Canada de payer la somme de 300 000 $ chacun par année aux fins des honoraires d’avocat de Beaver Lake, jusqu’à ce que le procès prenne fin ou que le litige soit réglé. La Cour d’appel a infirmé cette décision et annulé l’ordonnance de provision pour frais partielle rendue par la juge de gestion de l’instance, l’estimant déraisonnable après avoir conclu que Beaver Lake n’avait pas satisfait au volet de l’« impécuniosité » du critère applicable à l’octroi d’une provision pour frais, et que Beaver Lake avait en fait accès ou potentiellement accès à plusieurs millions de dollars afin de continuer à financer le litige.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lastRenderedPageBreak/>
              <w:t>30 septembre 2019</w:t>
            </w:r>
          </w:p>
          <w:p w:rsidR="006C1EBE" w:rsidRPr="00AA6F74" w:rsidRDefault="006C1EBE" w:rsidP="002E545B">
            <w:pPr>
              <w:jc w:val="both"/>
              <w:rPr>
                <w:sz w:val="20"/>
                <w:lang w:val="fr-CA"/>
              </w:rPr>
            </w:pPr>
            <w:r w:rsidRPr="00AA6F74">
              <w:rPr>
                <w:sz w:val="20"/>
                <w:lang w:val="fr-CA"/>
              </w:rPr>
              <w:t>Cour du Banc de la Reine de l’Alberta</w:t>
            </w:r>
          </w:p>
          <w:p w:rsidR="006C1EBE" w:rsidRPr="00AA6F74" w:rsidRDefault="006C1EBE" w:rsidP="002E545B">
            <w:pPr>
              <w:jc w:val="both"/>
              <w:rPr>
                <w:sz w:val="20"/>
                <w:lang w:val="fr-CA"/>
              </w:rPr>
            </w:pPr>
            <w:r w:rsidRPr="00AA6F74">
              <w:rPr>
                <w:sz w:val="20"/>
                <w:lang w:val="fr-CA"/>
              </w:rPr>
              <w:t>(Juge Browne)</w:t>
            </w:r>
          </w:p>
          <w:p w:rsidR="006C1EBE" w:rsidRPr="00AA6F74" w:rsidRDefault="002A25F4" w:rsidP="002E545B">
            <w:pPr>
              <w:jc w:val="both"/>
              <w:rPr>
                <w:sz w:val="20"/>
                <w:lang w:val="fr-CA"/>
              </w:rPr>
            </w:pPr>
            <w:hyperlink r:id="rId49" w:history="1">
              <w:r w:rsidR="006C1EBE" w:rsidRPr="00AA6F74">
                <w:rPr>
                  <w:rStyle w:val="Hyperlink"/>
                  <w:sz w:val="20"/>
                  <w:lang w:val="fr-CA"/>
                </w:rPr>
                <w:t>2019 ABQB 746</w:t>
              </w:r>
            </w:hyperlink>
            <w:r w:rsidR="006C1EBE" w:rsidRPr="00AA6F74">
              <w:rPr>
                <w:sz w:val="20"/>
                <w:lang w:val="fr-CA"/>
              </w:rPr>
              <w:t xml:space="preserve">  </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 demande d’une provision pour frais est accueillie en partie : il a été ordonné à la Nation crie de Beaver Lake, à l’Alberta et au Canada de fournir 300 000 $ par année chacun aux fins de paiement des honoraires d’avocat de Beaver Lake jusqu’à l’issue du procès ou au règlement du litige.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15 juin 2020</w:t>
            </w:r>
          </w:p>
          <w:p w:rsidR="006C1EBE" w:rsidRPr="00AA6F74" w:rsidRDefault="006C1EBE" w:rsidP="002E545B">
            <w:pPr>
              <w:jc w:val="both"/>
              <w:rPr>
                <w:sz w:val="20"/>
                <w:lang w:val="fr-CA"/>
              </w:rPr>
            </w:pPr>
            <w:r w:rsidRPr="00AA6F74">
              <w:rPr>
                <w:sz w:val="20"/>
                <w:lang w:val="fr-CA"/>
              </w:rPr>
              <w:t>Cour d’appel de l’Alberta (Edmonton)</w:t>
            </w:r>
          </w:p>
          <w:p w:rsidR="006C1EBE" w:rsidRPr="00AA6F74" w:rsidRDefault="006C1EBE" w:rsidP="002E545B">
            <w:pPr>
              <w:jc w:val="both"/>
              <w:rPr>
                <w:sz w:val="20"/>
                <w:lang w:val="fr-CA"/>
              </w:rPr>
            </w:pPr>
            <w:r w:rsidRPr="00AA6F74">
              <w:rPr>
                <w:sz w:val="20"/>
                <w:lang w:val="fr-CA"/>
              </w:rPr>
              <w:t>(Juges Slatter, Rowbotham et Pentelechuck)</w:t>
            </w:r>
          </w:p>
          <w:p w:rsidR="006C1EBE" w:rsidRPr="00AA6F74" w:rsidRDefault="002A25F4" w:rsidP="002E545B">
            <w:pPr>
              <w:jc w:val="both"/>
              <w:rPr>
                <w:sz w:val="20"/>
                <w:lang w:val="fr-CA"/>
              </w:rPr>
            </w:pPr>
            <w:hyperlink r:id="rId50" w:history="1">
              <w:r w:rsidR="006C1EBE" w:rsidRPr="00AA6F74">
                <w:rPr>
                  <w:rStyle w:val="Hyperlink"/>
                  <w:sz w:val="20"/>
                  <w:lang w:val="fr-CA"/>
                </w:rPr>
                <w:t>2020 ABCA 238</w:t>
              </w:r>
            </w:hyperlink>
            <w:r w:rsidR="006C1EBE" w:rsidRPr="00AA6F74">
              <w:rPr>
                <w:sz w:val="20"/>
                <w:lang w:val="fr-CA"/>
              </w:rPr>
              <w:t xml:space="preserve">  </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Les demandes visant à présenter une nouvelle preuve sont accueillies.</w:t>
            </w:r>
          </w:p>
          <w:p w:rsidR="006C1EBE" w:rsidRPr="00AA6F74" w:rsidRDefault="006C1EBE" w:rsidP="002E545B">
            <w:pPr>
              <w:jc w:val="both"/>
              <w:rPr>
                <w:sz w:val="20"/>
                <w:lang w:val="fr-CA"/>
              </w:rPr>
            </w:pPr>
            <w:r w:rsidRPr="00AA6F74">
              <w:rPr>
                <w:sz w:val="20"/>
                <w:lang w:val="fr-CA"/>
              </w:rPr>
              <w:t>Les appels présentés par l’Alberta et le Canada sont accueillis.</w:t>
            </w:r>
          </w:p>
          <w:p w:rsidR="006C1EBE" w:rsidRPr="00AA6F74" w:rsidRDefault="006C1EBE" w:rsidP="002E545B">
            <w:pPr>
              <w:jc w:val="both"/>
              <w:rPr>
                <w:sz w:val="20"/>
                <w:lang w:val="fr-CA"/>
              </w:rPr>
            </w:pPr>
            <w:r w:rsidRPr="00AA6F74">
              <w:rPr>
                <w:sz w:val="20"/>
                <w:lang w:val="fr-CA"/>
              </w:rPr>
              <w:t>L’ordonnance visant la provision pour frais est annulée.</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14 septembre 2020</w:t>
            </w:r>
          </w:p>
          <w:p w:rsidR="006C1EBE" w:rsidRPr="00AA6F74" w:rsidRDefault="006C1EBE" w:rsidP="002E545B">
            <w:pPr>
              <w:jc w:val="both"/>
              <w:rPr>
                <w:sz w:val="20"/>
                <w:lang w:val="fr-CA"/>
              </w:rPr>
            </w:pPr>
            <w:r w:rsidRPr="00AA6F74">
              <w:rPr>
                <w:sz w:val="20"/>
                <w:lang w:val="fr-CA"/>
              </w:rPr>
              <w:t>Cour suprême du Canada</w:t>
            </w: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 demande d’autorisation d’appel est présentée par Germaine Anderson et Beaver Lake.</w:t>
            </w:r>
          </w:p>
          <w:p w:rsidR="006C1EBE" w:rsidRPr="00AA6F74" w:rsidRDefault="006C1EBE" w:rsidP="002E545B">
            <w:pPr>
              <w:jc w:val="both"/>
              <w:rPr>
                <w:sz w:val="20"/>
                <w:lang w:val="fr-CA"/>
              </w:rPr>
            </w:pPr>
          </w:p>
        </w:tc>
      </w:tr>
    </w:tbl>
    <w:p w:rsidR="006C1EBE" w:rsidRPr="00AA6F74" w:rsidRDefault="006C1EBE" w:rsidP="006C1EBE">
      <w:pPr>
        <w:jc w:val="both"/>
        <w:rPr>
          <w:sz w:val="20"/>
          <w:lang w:val="fr-CA"/>
        </w:rPr>
      </w:pPr>
    </w:p>
    <w:p w:rsidR="006C1EBE" w:rsidRPr="00AA6F74" w:rsidRDefault="002A25F4" w:rsidP="006C1EBE">
      <w:pPr>
        <w:widowControl w:val="0"/>
        <w:jc w:val="both"/>
        <w:rPr>
          <w:sz w:val="20"/>
          <w:lang w:val="fr-CA"/>
        </w:rPr>
      </w:pPr>
      <w:r>
        <w:rPr>
          <w:sz w:val="20"/>
        </w:rPr>
        <w:pict>
          <v:rect id="_x0000_i1052" style="width:2in;height:1pt" o:hrpct="0" o:hralign="center" o:hrstd="t" o:hrnoshade="t" o:hr="t" fillcolor="black [3213]" stroked="f"/>
        </w:pict>
      </w:r>
    </w:p>
    <w:p w:rsidR="006C1EBE" w:rsidRPr="00AA6F74" w:rsidRDefault="006C1EBE" w:rsidP="006C1E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C1EBE" w:rsidRPr="00AA6F74" w:rsidTr="002E545B">
        <w:tc>
          <w:tcPr>
            <w:tcW w:w="543" w:type="pct"/>
          </w:tcPr>
          <w:p w:rsidR="006C1EBE" w:rsidRPr="00AA6F74" w:rsidRDefault="006C1EBE" w:rsidP="002E545B">
            <w:pPr>
              <w:jc w:val="both"/>
              <w:rPr>
                <w:sz w:val="20"/>
              </w:rPr>
            </w:pPr>
            <w:r w:rsidRPr="00AA6F74">
              <w:rPr>
                <w:rStyle w:val="SCCFileNumberChar"/>
                <w:sz w:val="20"/>
                <w:szCs w:val="20"/>
              </w:rPr>
              <w:t>39347</w:t>
            </w:r>
          </w:p>
        </w:tc>
        <w:tc>
          <w:tcPr>
            <w:tcW w:w="4457" w:type="pct"/>
          </w:tcPr>
          <w:p w:rsidR="006C1EBE" w:rsidRPr="00AA6F74" w:rsidRDefault="006C1EBE" w:rsidP="002E545B">
            <w:pPr>
              <w:pStyle w:val="SCCLsocParty"/>
              <w:jc w:val="both"/>
              <w:rPr>
                <w:b/>
                <w:sz w:val="20"/>
                <w:szCs w:val="20"/>
                <w:lang w:val="en-US"/>
              </w:rPr>
            </w:pPr>
            <w:r w:rsidRPr="00AA6F74">
              <w:rPr>
                <w:b/>
                <w:sz w:val="20"/>
                <w:szCs w:val="20"/>
                <w:lang w:val="en-US"/>
              </w:rPr>
              <w:t>Hutchingame Growth Capital Corporation v. Independent Electricity System Operator</w:t>
            </w:r>
          </w:p>
          <w:p w:rsidR="006C1EBE" w:rsidRPr="00AA6F74" w:rsidRDefault="006C1EBE" w:rsidP="002E545B">
            <w:pPr>
              <w:jc w:val="both"/>
              <w:rPr>
                <w:sz w:val="20"/>
              </w:rPr>
            </w:pPr>
            <w:r w:rsidRPr="00AA6F74">
              <w:rPr>
                <w:sz w:val="20"/>
              </w:rPr>
              <w:t>(Ont.) (Civil) (By Leave)</w:t>
            </w:r>
          </w:p>
        </w:tc>
      </w:tr>
      <w:tr w:rsidR="006C1EBE" w:rsidRPr="00AA6F74" w:rsidTr="002E545B">
        <w:tc>
          <w:tcPr>
            <w:tcW w:w="5000" w:type="pct"/>
            <w:gridSpan w:val="2"/>
          </w:tcPr>
          <w:p w:rsidR="009504A9" w:rsidRPr="00AA6F74" w:rsidRDefault="009504A9" w:rsidP="009504A9">
            <w:pPr>
              <w:jc w:val="both"/>
              <w:rPr>
                <w:sz w:val="20"/>
                <w:szCs w:val="20"/>
              </w:rPr>
            </w:pPr>
            <w:r w:rsidRPr="00AA6F74">
              <w:rPr>
                <w:sz w:val="20"/>
                <w:szCs w:val="20"/>
              </w:rPr>
              <w:t>The application for leave to appeal from the judgment of the Court of Appeal for Ontario, Number C66553, 2020 ONCA 430, dated July 2, 2020, is dismissed with costs.</w:t>
            </w:r>
          </w:p>
          <w:p w:rsidR="006C1EBE" w:rsidRPr="00AA6F74" w:rsidRDefault="006C1EBE" w:rsidP="009504A9">
            <w:pPr>
              <w:tabs>
                <w:tab w:val="left" w:pos="1588"/>
              </w:tabs>
              <w:jc w:val="both"/>
              <w:rPr>
                <w:sz w:val="20"/>
              </w:rPr>
            </w:pPr>
          </w:p>
        </w:tc>
      </w:tr>
      <w:tr w:rsidR="006C1EBE" w:rsidRPr="00AA6F74" w:rsidTr="002E545B">
        <w:tc>
          <w:tcPr>
            <w:tcW w:w="5000" w:type="pct"/>
            <w:gridSpan w:val="2"/>
          </w:tcPr>
          <w:p w:rsidR="006C1EBE" w:rsidRPr="00AA6F74" w:rsidRDefault="006C1EBE" w:rsidP="002E545B">
            <w:pPr>
              <w:jc w:val="both"/>
              <w:rPr>
                <w:sz w:val="20"/>
              </w:rPr>
            </w:pPr>
            <w:r w:rsidRPr="00AA6F74">
              <w:rPr>
                <w:sz w:val="20"/>
              </w:rPr>
              <w:t>Contracts — Commercial contracts — Breach of contract — Automatic termination provisions — Bankruptcy and insolvency — C</w:t>
            </w:r>
            <w:r w:rsidRPr="00AA6F74">
              <w:rPr>
                <w:sz w:val="20"/>
                <w:lang w:val="en"/>
              </w:rPr>
              <w:t xml:space="preserve">ontract dispute over a failed renewable energy project — </w:t>
            </w:r>
            <w:r w:rsidRPr="00AA6F74">
              <w:rPr>
                <w:sz w:val="20"/>
              </w:rPr>
              <w:t>To what extent can contracting parties agree to non</w:t>
            </w:r>
            <w:r w:rsidRPr="00AA6F74">
              <w:rPr>
                <w:sz w:val="20"/>
              </w:rPr>
              <w:noBreakHyphen/>
              <w:t xml:space="preserve">application of automatic termination provisions contained in contract — Whether the automatic termination provisions of the contract violate </w:t>
            </w:r>
            <w:r w:rsidRPr="00AA6F74">
              <w:rPr>
                <w:i/>
                <w:sz w:val="20"/>
              </w:rPr>
              <w:t>Bankruptcy and Insolvency Act</w:t>
            </w:r>
            <w:r w:rsidRPr="00AA6F74">
              <w:rPr>
                <w:sz w:val="20"/>
              </w:rPr>
              <w:t>, R.S.C. 1985, c. B</w:t>
            </w:r>
            <w:r w:rsidRPr="00AA6F74">
              <w:rPr>
                <w:sz w:val="20"/>
              </w:rPr>
              <w:noBreakHyphen/>
              <w:t>3, ss. 69.3 and 84.1 and/or the “anti</w:t>
            </w:r>
            <w:r w:rsidRPr="00AA6F74">
              <w:rPr>
                <w:sz w:val="20"/>
              </w:rPr>
              <w:noBreakHyphen/>
              <w:t>deprivation rule”.</w:t>
            </w:r>
          </w:p>
        </w:tc>
      </w:tr>
      <w:tr w:rsidR="006C1EBE" w:rsidRPr="00AA6F74" w:rsidTr="002E545B">
        <w:tc>
          <w:tcPr>
            <w:tcW w:w="5000" w:type="pct"/>
            <w:gridSpan w:val="2"/>
          </w:tcPr>
          <w:p w:rsidR="006C1EBE" w:rsidRPr="00AA6F74" w:rsidRDefault="006C1EBE" w:rsidP="002E545B">
            <w:pPr>
              <w:jc w:val="both"/>
              <w:rPr>
                <w:sz w:val="20"/>
              </w:rPr>
            </w:pPr>
          </w:p>
        </w:tc>
      </w:tr>
      <w:tr w:rsidR="006C1EBE" w:rsidRPr="00AA6F74" w:rsidTr="002E545B">
        <w:tc>
          <w:tcPr>
            <w:tcW w:w="5000" w:type="pct"/>
            <w:gridSpan w:val="2"/>
          </w:tcPr>
          <w:p w:rsidR="006C1EBE" w:rsidRPr="00AA6F74" w:rsidRDefault="006C1EBE" w:rsidP="002E545B">
            <w:pPr>
              <w:jc w:val="both"/>
              <w:rPr>
                <w:sz w:val="20"/>
                <w:lang w:val="en"/>
              </w:rPr>
            </w:pPr>
            <w:r w:rsidRPr="00AA6F74">
              <w:rPr>
                <w:sz w:val="20"/>
                <w:lang w:val="en"/>
              </w:rPr>
              <w:t xml:space="preserve">The issues here arise from a contract dispute over a failed renewable energy project that was to be built and operated by Greenview Power. (The applicant, Hutchingame Growth Capital Corporation (“HGC”) later purchased some of Greenview Power’s secured debt and assumed its effective control.) The project was to generate and supply electricity to the Ontario Power Authority. The respondent, the Independent Electricity System Operator (“IESO”), is the Authority’s successor. IESO took the position that the Renewable Energy Standard Offer Program Contract (“RESOP Contract”) had terminated upon Greenview Power’s bankruptcy under the </w:t>
            </w:r>
            <w:r w:rsidRPr="00AA6F74">
              <w:rPr>
                <w:i/>
                <w:sz w:val="20"/>
                <w:lang w:val="en"/>
              </w:rPr>
              <w:t>Bankruptcy and Insolvency Act</w:t>
            </w:r>
            <w:r w:rsidRPr="00AA6F74">
              <w:rPr>
                <w:sz w:val="20"/>
                <w:lang w:val="en"/>
              </w:rPr>
              <w:t>, R.S.C. 1985, c. B</w:t>
            </w:r>
            <w:r w:rsidRPr="00AA6F74">
              <w:rPr>
                <w:sz w:val="20"/>
                <w:lang w:val="en"/>
              </w:rPr>
              <w:noBreakHyphen/>
              <w:t>3. HGC brought this action seeking damages of $4,796,479.41 from IESO, claiming breach of contract, negligent misrepresentation, and breach of the duty of good faith. The trial judge dismissed the action. The Court of Appeal dismissed the appeal.</w:t>
            </w:r>
          </w:p>
          <w:p w:rsidR="006C1EBE" w:rsidRPr="00AA6F74" w:rsidRDefault="006C1EBE" w:rsidP="002E545B">
            <w:pPr>
              <w:jc w:val="both"/>
              <w:rPr>
                <w:sz w:val="20"/>
              </w:rPr>
            </w:pPr>
          </w:p>
        </w:tc>
      </w:tr>
    </w:tbl>
    <w:p w:rsidR="009504A9" w:rsidRPr="00AA6F74" w:rsidRDefault="009504A9">
      <w:r w:rsidRPr="00AA6F7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C1EBE" w:rsidRPr="00AA6F74" w:rsidTr="002E545B">
        <w:tc>
          <w:tcPr>
            <w:tcW w:w="2427" w:type="pct"/>
          </w:tcPr>
          <w:p w:rsidR="006C1EBE" w:rsidRPr="00AA6F74" w:rsidRDefault="006C1EBE" w:rsidP="002E545B">
            <w:pPr>
              <w:jc w:val="both"/>
              <w:rPr>
                <w:sz w:val="20"/>
              </w:rPr>
            </w:pPr>
            <w:r w:rsidRPr="00AA6F74">
              <w:rPr>
                <w:sz w:val="20"/>
              </w:rPr>
              <w:lastRenderedPageBreak/>
              <w:t>January 10, 2019</w:t>
            </w:r>
          </w:p>
          <w:p w:rsidR="006C1EBE" w:rsidRPr="00AA6F74" w:rsidRDefault="006C1EBE" w:rsidP="002E545B">
            <w:pPr>
              <w:jc w:val="both"/>
              <w:rPr>
                <w:sz w:val="20"/>
              </w:rPr>
            </w:pPr>
            <w:r w:rsidRPr="00AA6F74">
              <w:rPr>
                <w:sz w:val="20"/>
              </w:rPr>
              <w:t>Ontario Superior Court of Justice</w:t>
            </w:r>
          </w:p>
          <w:p w:rsidR="006C1EBE" w:rsidRPr="00AA6F74" w:rsidRDefault="006C1EBE" w:rsidP="002E545B">
            <w:pPr>
              <w:jc w:val="both"/>
              <w:rPr>
                <w:sz w:val="20"/>
              </w:rPr>
            </w:pPr>
            <w:r w:rsidRPr="00AA6F74">
              <w:rPr>
                <w:sz w:val="20"/>
              </w:rPr>
              <w:t>(Roger J.)</w:t>
            </w:r>
          </w:p>
          <w:p w:rsidR="006C1EBE" w:rsidRPr="00AA6F74" w:rsidRDefault="002A25F4" w:rsidP="002E545B">
            <w:pPr>
              <w:jc w:val="both"/>
              <w:rPr>
                <w:sz w:val="20"/>
              </w:rPr>
            </w:pPr>
            <w:hyperlink r:id="rId51" w:history="1">
              <w:r w:rsidR="006C1EBE" w:rsidRPr="00AA6F74">
                <w:rPr>
                  <w:rStyle w:val="Hyperlink"/>
                  <w:sz w:val="20"/>
                </w:rPr>
                <w:t>2019 ONSC 259</w:t>
              </w:r>
            </w:hyperlink>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 xml:space="preserve">Action against Independent Electricity System Operator dismissed. </w:t>
            </w:r>
          </w:p>
          <w:p w:rsidR="006C1EBE" w:rsidRPr="00AA6F74" w:rsidRDefault="006C1EBE" w:rsidP="002E545B">
            <w:pPr>
              <w:jc w:val="both"/>
              <w:rPr>
                <w:sz w:val="20"/>
              </w:rPr>
            </w:pPr>
          </w:p>
        </w:tc>
      </w:tr>
      <w:tr w:rsidR="006C1EBE" w:rsidRPr="00AA6F74" w:rsidTr="002E545B">
        <w:tc>
          <w:tcPr>
            <w:tcW w:w="2427" w:type="pct"/>
          </w:tcPr>
          <w:p w:rsidR="006C1EBE" w:rsidRPr="00AA6F74" w:rsidRDefault="006C1EBE" w:rsidP="002E545B">
            <w:pPr>
              <w:jc w:val="both"/>
              <w:rPr>
                <w:sz w:val="20"/>
              </w:rPr>
            </w:pPr>
            <w:r w:rsidRPr="00AA6F74">
              <w:rPr>
                <w:sz w:val="20"/>
              </w:rPr>
              <w:t>July 2, 2020</w:t>
            </w:r>
          </w:p>
          <w:p w:rsidR="006C1EBE" w:rsidRPr="00AA6F74" w:rsidRDefault="006C1EBE" w:rsidP="002E545B">
            <w:pPr>
              <w:jc w:val="both"/>
              <w:rPr>
                <w:sz w:val="20"/>
              </w:rPr>
            </w:pPr>
            <w:r w:rsidRPr="00AA6F74">
              <w:rPr>
                <w:sz w:val="20"/>
              </w:rPr>
              <w:t>Court of Appeal for Ontario</w:t>
            </w:r>
          </w:p>
          <w:p w:rsidR="006C1EBE" w:rsidRPr="00AA6F74" w:rsidRDefault="006C1EBE" w:rsidP="002E545B">
            <w:pPr>
              <w:jc w:val="both"/>
              <w:rPr>
                <w:sz w:val="20"/>
              </w:rPr>
            </w:pPr>
            <w:r w:rsidRPr="00AA6F74">
              <w:rPr>
                <w:sz w:val="20"/>
              </w:rPr>
              <w:t>(Lauwers, Hourigan and Thorburn JJ.A.)</w:t>
            </w:r>
          </w:p>
          <w:p w:rsidR="006C1EBE" w:rsidRPr="00AA6F74" w:rsidRDefault="002A25F4" w:rsidP="002E545B">
            <w:pPr>
              <w:jc w:val="both"/>
              <w:rPr>
                <w:sz w:val="20"/>
              </w:rPr>
            </w:pPr>
            <w:hyperlink r:id="rId52" w:history="1">
              <w:r w:rsidR="006C1EBE" w:rsidRPr="00AA6F74">
                <w:rPr>
                  <w:rStyle w:val="Hyperlink"/>
                  <w:sz w:val="20"/>
                </w:rPr>
                <w:t>2020 ONCA 430</w:t>
              </w:r>
            </w:hyperlink>
          </w:p>
          <w:p w:rsidR="006C1EBE" w:rsidRPr="00AA6F74" w:rsidRDefault="006C1EBE" w:rsidP="002E545B">
            <w:pPr>
              <w:jc w:val="both"/>
              <w:rPr>
                <w:sz w:val="20"/>
              </w:rPr>
            </w:pPr>
            <w:r w:rsidRPr="00AA6F74">
              <w:rPr>
                <w:sz w:val="20"/>
              </w:rPr>
              <w:t>File No.: C66553</w:t>
            </w:r>
          </w:p>
          <w:p w:rsidR="006C1EBE" w:rsidRPr="00AA6F74" w:rsidRDefault="006C1EBE" w:rsidP="002E545B">
            <w:pPr>
              <w:jc w:val="both"/>
              <w:rPr>
                <w:sz w:val="20"/>
              </w:rPr>
            </w:pP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 xml:space="preserve">Appeal dismissed.  </w:t>
            </w:r>
          </w:p>
          <w:p w:rsidR="006C1EBE" w:rsidRPr="00AA6F74" w:rsidRDefault="006C1EBE" w:rsidP="002E545B">
            <w:pPr>
              <w:jc w:val="both"/>
              <w:rPr>
                <w:sz w:val="20"/>
              </w:rPr>
            </w:pPr>
          </w:p>
        </w:tc>
      </w:tr>
      <w:tr w:rsidR="006C1EBE" w:rsidRPr="00AA6F74" w:rsidTr="002E545B">
        <w:tc>
          <w:tcPr>
            <w:tcW w:w="2427" w:type="pct"/>
          </w:tcPr>
          <w:p w:rsidR="006C1EBE" w:rsidRPr="00AA6F74" w:rsidRDefault="006C1EBE" w:rsidP="002E545B">
            <w:pPr>
              <w:jc w:val="both"/>
              <w:rPr>
                <w:sz w:val="20"/>
              </w:rPr>
            </w:pPr>
            <w:r w:rsidRPr="00AA6F74">
              <w:rPr>
                <w:sz w:val="20"/>
              </w:rPr>
              <w:t>September 30, 2020</w:t>
            </w:r>
          </w:p>
          <w:p w:rsidR="006C1EBE" w:rsidRPr="00AA6F74" w:rsidRDefault="006C1EBE" w:rsidP="002E545B">
            <w:pPr>
              <w:jc w:val="both"/>
              <w:rPr>
                <w:sz w:val="20"/>
              </w:rPr>
            </w:pPr>
            <w:r w:rsidRPr="00AA6F74">
              <w:rPr>
                <w:sz w:val="20"/>
              </w:rPr>
              <w:t>Supreme Court of Canada</w:t>
            </w:r>
          </w:p>
        </w:tc>
        <w:tc>
          <w:tcPr>
            <w:tcW w:w="243" w:type="pct"/>
          </w:tcPr>
          <w:p w:rsidR="006C1EBE" w:rsidRPr="00AA6F74" w:rsidRDefault="006C1EBE" w:rsidP="002E545B">
            <w:pPr>
              <w:jc w:val="both"/>
              <w:rPr>
                <w:sz w:val="20"/>
              </w:rPr>
            </w:pPr>
          </w:p>
        </w:tc>
        <w:tc>
          <w:tcPr>
            <w:tcW w:w="2330" w:type="pct"/>
          </w:tcPr>
          <w:p w:rsidR="006C1EBE" w:rsidRPr="00AA6F74" w:rsidRDefault="006C1EBE" w:rsidP="002E545B">
            <w:pPr>
              <w:jc w:val="both"/>
              <w:rPr>
                <w:sz w:val="20"/>
              </w:rPr>
            </w:pPr>
            <w:r w:rsidRPr="00AA6F74">
              <w:rPr>
                <w:sz w:val="20"/>
              </w:rPr>
              <w:t>Application for leave to appeal filed.</w:t>
            </w:r>
          </w:p>
          <w:p w:rsidR="006C1EBE" w:rsidRPr="00AA6F74" w:rsidRDefault="006C1EBE" w:rsidP="002E545B">
            <w:pPr>
              <w:jc w:val="both"/>
              <w:rPr>
                <w:sz w:val="20"/>
              </w:rPr>
            </w:pPr>
          </w:p>
        </w:tc>
      </w:tr>
    </w:tbl>
    <w:p w:rsidR="006C1EBE" w:rsidRPr="00AA6F74" w:rsidRDefault="006C1EBE" w:rsidP="006C1EBE">
      <w:pPr>
        <w:jc w:val="both"/>
        <w:rPr>
          <w:sz w:val="20"/>
        </w:rPr>
      </w:pPr>
    </w:p>
    <w:p w:rsidR="006C1EBE" w:rsidRPr="00AA6F74" w:rsidRDefault="002A25F4" w:rsidP="006C1EBE">
      <w:pPr>
        <w:jc w:val="both"/>
        <w:rPr>
          <w:sz w:val="20"/>
        </w:rPr>
      </w:pPr>
      <w:r>
        <w:rPr>
          <w:sz w:val="20"/>
        </w:rPr>
        <w:pict>
          <v:rect id="_x0000_i1053" style="width:2in;height:1pt" o:hrpct="0" o:hralign="center" o:hrstd="t" o:hrnoshade="t" o:hr="t" fillcolor="black [3213]" stroked="f"/>
        </w:pict>
      </w:r>
    </w:p>
    <w:p w:rsidR="006C1EBE" w:rsidRPr="00AA6F74" w:rsidRDefault="006C1EBE" w:rsidP="006C1E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1EBE" w:rsidRPr="00AA6F74" w:rsidTr="002E545B">
        <w:tc>
          <w:tcPr>
            <w:tcW w:w="543" w:type="pct"/>
          </w:tcPr>
          <w:p w:rsidR="006C1EBE" w:rsidRPr="00AA6F74" w:rsidRDefault="006C1EBE" w:rsidP="002E545B">
            <w:pPr>
              <w:jc w:val="both"/>
              <w:rPr>
                <w:sz w:val="20"/>
                <w:lang w:val="fr-CA"/>
              </w:rPr>
            </w:pPr>
            <w:r w:rsidRPr="00AA6F74">
              <w:rPr>
                <w:rStyle w:val="SCCFileNumberChar"/>
                <w:sz w:val="20"/>
                <w:szCs w:val="20"/>
                <w:lang w:val="fr-CA"/>
              </w:rPr>
              <w:t>39347</w:t>
            </w:r>
          </w:p>
        </w:tc>
        <w:tc>
          <w:tcPr>
            <w:tcW w:w="4457" w:type="pct"/>
            <w:gridSpan w:val="3"/>
          </w:tcPr>
          <w:p w:rsidR="006C1EBE" w:rsidRPr="00AA6F74" w:rsidRDefault="006C1EBE" w:rsidP="002E545B">
            <w:pPr>
              <w:pStyle w:val="SCCLsocParty"/>
              <w:jc w:val="both"/>
              <w:rPr>
                <w:b/>
                <w:sz w:val="20"/>
                <w:szCs w:val="20"/>
              </w:rPr>
            </w:pPr>
            <w:r w:rsidRPr="00AA6F74">
              <w:rPr>
                <w:b/>
                <w:sz w:val="20"/>
                <w:szCs w:val="20"/>
              </w:rPr>
              <w:t xml:space="preserve">Hutchingame Growth Capital Corporation c. </w:t>
            </w:r>
            <w:r w:rsidRPr="00AA6F74">
              <w:rPr>
                <w:b/>
                <w:bCs/>
                <w:sz w:val="20"/>
                <w:szCs w:val="20"/>
              </w:rPr>
              <w:t>Société indépendante d’exploitation du réseau d’électricité</w:t>
            </w:r>
          </w:p>
          <w:p w:rsidR="006C1EBE" w:rsidRPr="00AA6F74" w:rsidRDefault="006C1EBE" w:rsidP="002E545B">
            <w:pPr>
              <w:jc w:val="both"/>
              <w:rPr>
                <w:sz w:val="20"/>
                <w:lang w:val="fr-CA"/>
              </w:rPr>
            </w:pPr>
            <w:r w:rsidRPr="00AA6F74">
              <w:rPr>
                <w:sz w:val="20"/>
                <w:lang w:val="fr-CA"/>
              </w:rPr>
              <w:t>(Ont.) (Civile) (Sur autorisation)</w:t>
            </w:r>
          </w:p>
        </w:tc>
      </w:tr>
      <w:tr w:rsidR="006C1EBE" w:rsidRPr="002A25F4" w:rsidTr="002E545B">
        <w:tc>
          <w:tcPr>
            <w:tcW w:w="5000" w:type="pct"/>
            <w:gridSpan w:val="4"/>
          </w:tcPr>
          <w:p w:rsidR="006C1EBE" w:rsidRPr="00AA6F74" w:rsidRDefault="009504A9" w:rsidP="002E545B">
            <w:pPr>
              <w:jc w:val="both"/>
              <w:rPr>
                <w:sz w:val="20"/>
                <w:szCs w:val="20"/>
                <w:lang w:val="fr-CA"/>
              </w:rPr>
            </w:pPr>
            <w:r w:rsidRPr="00AA6F74">
              <w:rPr>
                <w:sz w:val="20"/>
                <w:szCs w:val="20"/>
                <w:lang w:val="fr-CA"/>
              </w:rPr>
              <w:t>La demande d’autorisation d’appel de l’arrêt de la Cour d’appel de l’Ontario, numéro C66553, 2020 ONCA 430, daté du 2 juillet 2020, est rejetée avec dépens.</w:t>
            </w:r>
          </w:p>
          <w:p w:rsidR="009504A9" w:rsidRPr="00AA6F74" w:rsidRDefault="009504A9"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Contrats — Contrats commerciaux — Rupture de contrat — Clauses prévoyant la cessation automatique — Faillite et insolvabilité — Litige contractuel relatif à un projet d’énergie renouvelable qui a échoué — Dans quelle mesure les cocontractants peuvent</w:t>
            </w:r>
            <w:r w:rsidRPr="00AA6F74">
              <w:rPr>
                <w:sz w:val="20"/>
                <w:lang w:val="fr-CA"/>
              </w:rPr>
              <w:noBreakHyphen/>
              <w:t>ils s’entendre pour faire en sorte que les clauses du contrat prévoyant la cessation automatique ne s’appliquent pas ? — Les clauses du contrat prévoyant la cessation automatique portent</w:t>
            </w:r>
            <w:r w:rsidRPr="00AA6F74">
              <w:rPr>
                <w:sz w:val="20"/>
                <w:lang w:val="fr-CA"/>
              </w:rPr>
              <w:noBreakHyphen/>
              <w:t xml:space="preserve">elles atteinte à la </w:t>
            </w:r>
            <w:r w:rsidRPr="00AA6F74">
              <w:rPr>
                <w:i/>
                <w:sz w:val="20"/>
                <w:lang w:val="fr-CA"/>
              </w:rPr>
              <w:t>Loi sur la faillite et l’insolvabilité</w:t>
            </w:r>
            <w:r w:rsidRPr="00AA6F74">
              <w:rPr>
                <w:sz w:val="20"/>
                <w:lang w:val="fr-CA"/>
              </w:rPr>
              <w:t>, L.R.C. 1985, ch. B</w:t>
            </w:r>
            <w:r w:rsidRPr="00AA6F74">
              <w:rPr>
                <w:sz w:val="20"/>
                <w:lang w:val="fr-CA"/>
              </w:rPr>
              <w:noBreakHyphen/>
              <w:t>3, art. 69.3 et 84.1 ou à la règle « anti</w:t>
            </w:r>
            <w:r w:rsidRPr="00AA6F74">
              <w:rPr>
                <w:sz w:val="20"/>
                <w:lang w:val="fr-CA"/>
              </w:rPr>
              <w:noBreakHyphen/>
              <w:t>privation » ou aux deux ?</w:t>
            </w:r>
          </w:p>
        </w:tc>
      </w:tr>
      <w:tr w:rsidR="006C1EBE" w:rsidRPr="002A25F4" w:rsidTr="002E545B">
        <w:tc>
          <w:tcPr>
            <w:tcW w:w="5000" w:type="pct"/>
            <w:gridSpan w:val="4"/>
          </w:tcPr>
          <w:p w:rsidR="006C1EBE" w:rsidRPr="00AA6F74" w:rsidRDefault="006C1EBE" w:rsidP="002E545B">
            <w:pPr>
              <w:jc w:val="both"/>
              <w:rPr>
                <w:sz w:val="20"/>
                <w:lang w:val="fr-CA"/>
              </w:rPr>
            </w:pPr>
          </w:p>
        </w:tc>
      </w:tr>
      <w:tr w:rsidR="006C1EBE" w:rsidRPr="002A25F4" w:rsidTr="002E545B">
        <w:tc>
          <w:tcPr>
            <w:tcW w:w="5000" w:type="pct"/>
            <w:gridSpan w:val="4"/>
          </w:tcPr>
          <w:p w:rsidR="006C1EBE" w:rsidRPr="00AA6F74" w:rsidRDefault="006C1EBE" w:rsidP="002E545B">
            <w:pPr>
              <w:jc w:val="both"/>
              <w:rPr>
                <w:sz w:val="20"/>
                <w:lang w:val="fr-CA"/>
              </w:rPr>
            </w:pPr>
            <w:r w:rsidRPr="00AA6F74">
              <w:rPr>
                <w:sz w:val="20"/>
                <w:lang w:val="fr-CA"/>
              </w:rPr>
              <w:t>Les questions en l’espèce découlent d’un litige contractuel mettant en cause un projet d’énergie renouvelable qui a échoué dont Greenview Power allait s’occuper de la construction et de l’exploitation. (Le demandeur, Hutchingame Growth Capital Corporation (« HGC ») a plus tard acheter une partie de la créance garantie de Greenview Power et en a assumé le contrôle effectif.) Le projet visait la production et la distribution d’électricité à l’Office de l’électricité de l’Ontario. L’intimée, la</w:t>
            </w:r>
            <w:r w:rsidRPr="00AA6F74">
              <w:rPr>
                <w:bCs/>
                <w:sz w:val="20"/>
                <w:lang w:val="fr-CA"/>
              </w:rPr>
              <w:t xml:space="preserve"> Société indépendante d’exploitation du réseau d’électricité</w:t>
            </w:r>
            <w:r w:rsidRPr="00AA6F74">
              <w:rPr>
                <w:sz w:val="20"/>
                <w:lang w:val="fr-CA"/>
              </w:rPr>
              <w:t xml:space="preserve"> (« SIERE »), a succédé à l’Office de l’électricité de l’Ontario. La SIERE soutenait que le contrat relatif au programme d’offre normalisée d’énergie renouvelable (contrat « PONER ») avait pris fin au moment de la faillite de Greenview Power en vertu de la </w:t>
            </w:r>
            <w:r w:rsidRPr="00AA6F74">
              <w:rPr>
                <w:i/>
                <w:sz w:val="20"/>
                <w:lang w:val="fr-CA"/>
              </w:rPr>
              <w:t>Loi sur la faillite et l’insolvabilité</w:t>
            </w:r>
            <w:r w:rsidRPr="00AA6F74">
              <w:rPr>
                <w:sz w:val="20"/>
                <w:lang w:val="fr-CA"/>
              </w:rPr>
              <w:t>,</w:t>
            </w:r>
            <w:r w:rsidRPr="00AA6F74">
              <w:rPr>
                <w:i/>
                <w:sz w:val="20"/>
                <w:lang w:val="fr-CA"/>
              </w:rPr>
              <w:t xml:space="preserve"> </w:t>
            </w:r>
            <w:r w:rsidRPr="00AA6F74">
              <w:rPr>
                <w:sz w:val="20"/>
                <w:lang w:val="fr-CA"/>
              </w:rPr>
              <w:t>L.R.C. 1985, ch. B</w:t>
            </w:r>
            <w:r w:rsidRPr="00AA6F74">
              <w:rPr>
                <w:sz w:val="20"/>
                <w:lang w:val="fr-CA"/>
              </w:rPr>
              <w:noBreakHyphen/>
              <w:t xml:space="preserve">3. HGC a intenté la présente action en dommages-intérêts à l’encontre de la SIERE pour la somme de 4 796 479,41 $, alléguant qu’il y avait eu rupture de contrat, déclaration inexacte faite par négligence et manquement à l’obligation d’agir de bonne foi. Le juge de première instance a rejeté l’action. La Cour d’appel a rejeté l’appel.  </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t>10 janvier 2019</w:t>
            </w:r>
          </w:p>
          <w:p w:rsidR="006C1EBE" w:rsidRPr="00AA6F74" w:rsidRDefault="006C1EBE" w:rsidP="002E545B">
            <w:pPr>
              <w:jc w:val="both"/>
              <w:rPr>
                <w:sz w:val="20"/>
                <w:lang w:val="fr-CA"/>
              </w:rPr>
            </w:pPr>
            <w:r w:rsidRPr="00AA6F74">
              <w:rPr>
                <w:sz w:val="20"/>
                <w:lang w:val="fr-CA"/>
              </w:rPr>
              <w:t xml:space="preserve">Cour supérieure de justice de l’Ontario </w:t>
            </w:r>
          </w:p>
          <w:p w:rsidR="006C1EBE" w:rsidRPr="00AA6F74" w:rsidRDefault="006C1EBE" w:rsidP="002E545B">
            <w:pPr>
              <w:jc w:val="both"/>
              <w:rPr>
                <w:sz w:val="20"/>
                <w:lang w:val="fr-CA"/>
              </w:rPr>
            </w:pPr>
            <w:r w:rsidRPr="00AA6F74">
              <w:rPr>
                <w:sz w:val="20"/>
                <w:lang w:val="fr-CA"/>
              </w:rPr>
              <w:t>(Juge Roger)</w:t>
            </w:r>
          </w:p>
          <w:p w:rsidR="006C1EBE" w:rsidRPr="00AA6F74" w:rsidRDefault="002A25F4" w:rsidP="002E545B">
            <w:pPr>
              <w:jc w:val="both"/>
              <w:rPr>
                <w:sz w:val="20"/>
                <w:lang w:val="fr-CA"/>
              </w:rPr>
            </w:pPr>
            <w:hyperlink r:id="rId53" w:history="1">
              <w:r w:rsidR="006C1EBE" w:rsidRPr="00AA6F74">
                <w:rPr>
                  <w:rStyle w:val="Hyperlink"/>
                  <w:sz w:val="20"/>
                  <w:lang w:val="fr-CA"/>
                </w:rPr>
                <w:t>2019 ONSC 259</w:t>
              </w:r>
            </w:hyperlink>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L’action intentée contre la</w:t>
            </w:r>
            <w:r w:rsidRPr="00AA6F74">
              <w:rPr>
                <w:bCs/>
                <w:sz w:val="20"/>
                <w:lang w:val="fr-CA"/>
              </w:rPr>
              <w:t xml:space="preserve"> Société indépendante d’exploitation du réseau d’électricité est rejetée</w:t>
            </w:r>
            <w:r w:rsidRPr="00AA6F74">
              <w:rPr>
                <w:sz w:val="20"/>
                <w:lang w:val="fr-CA"/>
              </w:rPr>
              <w:t xml:space="preserve">. </w:t>
            </w:r>
          </w:p>
          <w:p w:rsidR="006C1EBE" w:rsidRPr="00AA6F74" w:rsidRDefault="006C1EBE" w:rsidP="002E545B">
            <w:pPr>
              <w:jc w:val="both"/>
              <w:rPr>
                <w:sz w:val="20"/>
                <w:lang w:val="fr-CA"/>
              </w:rPr>
            </w:pPr>
          </w:p>
        </w:tc>
      </w:tr>
      <w:tr w:rsidR="006C1EBE" w:rsidRPr="00AA6F74" w:rsidTr="002E545B">
        <w:tc>
          <w:tcPr>
            <w:tcW w:w="2427" w:type="pct"/>
            <w:gridSpan w:val="2"/>
          </w:tcPr>
          <w:p w:rsidR="006C1EBE" w:rsidRPr="00AA6F74" w:rsidRDefault="006C1EBE" w:rsidP="002E545B">
            <w:pPr>
              <w:jc w:val="both"/>
              <w:rPr>
                <w:sz w:val="20"/>
                <w:lang w:val="fr-CA"/>
              </w:rPr>
            </w:pPr>
            <w:r w:rsidRPr="00AA6F74">
              <w:rPr>
                <w:sz w:val="20"/>
                <w:lang w:val="fr-CA"/>
              </w:rPr>
              <w:t>2 juillet 2020</w:t>
            </w:r>
          </w:p>
          <w:p w:rsidR="006C1EBE" w:rsidRPr="00AA6F74" w:rsidRDefault="006C1EBE" w:rsidP="002E545B">
            <w:pPr>
              <w:jc w:val="both"/>
              <w:rPr>
                <w:sz w:val="20"/>
                <w:lang w:val="fr-CA"/>
              </w:rPr>
            </w:pPr>
            <w:r w:rsidRPr="00AA6F74">
              <w:rPr>
                <w:sz w:val="20"/>
                <w:lang w:val="fr-CA"/>
              </w:rPr>
              <w:t>Cour d’appel de l’Ontario</w:t>
            </w:r>
          </w:p>
          <w:p w:rsidR="006C1EBE" w:rsidRPr="00AA6F74" w:rsidRDefault="006C1EBE" w:rsidP="002E545B">
            <w:pPr>
              <w:jc w:val="both"/>
              <w:rPr>
                <w:sz w:val="20"/>
                <w:lang w:val="fr-CA"/>
              </w:rPr>
            </w:pPr>
            <w:r w:rsidRPr="00AA6F74">
              <w:rPr>
                <w:sz w:val="20"/>
                <w:lang w:val="fr-CA"/>
              </w:rPr>
              <w:t>(Juges Lauwers, Hourigan et Thorburn)</w:t>
            </w:r>
          </w:p>
          <w:p w:rsidR="006C1EBE" w:rsidRPr="00AA6F74" w:rsidRDefault="002A25F4" w:rsidP="002E545B">
            <w:pPr>
              <w:jc w:val="both"/>
              <w:rPr>
                <w:sz w:val="20"/>
                <w:lang w:val="fr-CA"/>
              </w:rPr>
            </w:pPr>
            <w:hyperlink r:id="rId54" w:history="1">
              <w:r w:rsidR="006C1EBE" w:rsidRPr="00AA6F74">
                <w:rPr>
                  <w:rStyle w:val="Hyperlink"/>
                  <w:sz w:val="20"/>
                  <w:lang w:val="fr-CA"/>
                </w:rPr>
                <w:t>2020 ONCA 430</w:t>
              </w:r>
            </w:hyperlink>
          </w:p>
          <w:p w:rsidR="006C1EBE" w:rsidRPr="00AA6F74" w:rsidRDefault="006C1EBE" w:rsidP="002E545B">
            <w:pPr>
              <w:jc w:val="both"/>
              <w:rPr>
                <w:sz w:val="20"/>
                <w:lang w:val="fr-CA"/>
              </w:rPr>
            </w:pPr>
            <w:r w:rsidRPr="00AA6F74">
              <w:rPr>
                <w:sz w:val="20"/>
                <w:lang w:val="fr-CA"/>
              </w:rPr>
              <w:t>N</w:t>
            </w:r>
            <w:r w:rsidRPr="00AA6F74">
              <w:rPr>
                <w:sz w:val="20"/>
                <w:vertAlign w:val="superscript"/>
                <w:lang w:val="fr-CA"/>
              </w:rPr>
              <w:t>o</w:t>
            </w:r>
            <w:r w:rsidRPr="00AA6F74">
              <w:rPr>
                <w:sz w:val="20"/>
                <w:lang w:val="fr-CA"/>
              </w:rPr>
              <w:t xml:space="preserve"> de dossier : C66553</w:t>
            </w:r>
          </w:p>
          <w:p w:rsidR="006C1EBE" w:rsidRPr="00AA6F74" w:rsidRDefault="006C1EBE" w:rsidP="002E545B">
            <w:pPr>
              <w:jc w:val="both"/>
              <w:rPr>
                <w:sz w:val="20"/>
                <w:lang w:val="fr-CA"/>
              </w:rPr>
            </w:pP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 xml:space="preserve">L’appel est rejeté.  </w:t>
            </w:r>
          </w:p>
          <w:p w:rsidR="006C1EBE" w:rsidRPr="00AA6F74" w:rsidRDefault="006C1EBE" w:rsidP="002E545B">
            <w:pPr>
              <w:jc w:val="both"/>
              <w:rPr>
                <w:sz w:val="20"/>
                <w:lang w:val="fr-CA"/>
              </w:rPr>
            </w:pPr>
          </w:p>
        </w:tc>
      </w:tr>
      <w:tr w:rsidR="006C1EBE" w:rsidRPr="002A25F4" w:rsidTr="002E545B">
        <w:tc>
          <w:tcPr>
            <w:tcW w:w="2427" w:type="pct"/>
            <w:gridSpan w:val="2"/>
          </w:tcPr>
          <w:p w:rsidR="006C1EBE" w:rsidRPr="00AA6F74" w:rsidRDefault="006C1EBE" w:rsidP="002E545B">
            <w:pPr>
              <w:jc w:val="both"/>
              <w:rPr>
                <w:sz w:val="20"/>
                <w:lang w:val="fr-CA"/>
              </w:rPr>
            </w:pPr>
            <w:r w:rsidRPr="00AA6F74">
              <w:rPr>
                <w:sz w:val="20"/>
                <w:lang w:val="fr-CA"/>
              </w:rPr>
              <w:lastRenderedPageBreak/>
              <w:t>30 septembre 2020</w:t>
            </w:r>
          </w:p>
          <w:p w:rsidR="006C1EBE" w:rsidRPr="00AA6F74" w:rsidRDefault="006C1EBE" w:rsidP="002E545B">
            <w:pPr>
              <w:jc w:val="both"/>
              <w:rPr>
                <w:sz w:val="20"/>
                <w:lang w:val="fr-CA"/>
              </w:rPr>
            </w:pPr>
            <w:r w:rsidRPr="00AA6F74">
              <w:rPr>
                <w:sz w:val="20"/>
                <w:lang w:val="fr-CA"/>
              </w:rPr>
              <w:t>Cour suprême du Canada</w:t>
            </w:r>
          </w:p>
        </w:tc>
        <w:tc>
          <w:tcPr>
            <w:tcW w:w="243" w:type="pct"/>
          </w:tcPr>
          <w:p w:rsidR="006C1EBE" w:rsidRPr="00AA6F74" w:rsidRDefault="006C1EBE" w:rsidP="002E545B">
            <w:pPr>
              <w:jc w:val="both"/>
              <w:rPr>
                <w:sz w:val="20"/>
                <w:lang w:val="fr-CA"/>
              </w:rPr>
            </w:pPr>
          </w:p>
        </w:tc>
        <w:tc>
          <w:tcPr>
            <w:tcW w:w="2330" w:type="pct"/>
          </w:tcPr>
          <w:p w:rsidR="006C1EBE" w:rsidRPr="00AA6F74" w:rsidRDefault="006C1EBE" w:rsidP="002E545B">
            <w:pPr>
              <w:jc w:val="both"/>
              <w:rPr>
                <w:sz w:val="20"/>
                <w:lang w:val="fr-CA"/>
              </w:rPr>
            </w:pPr>
            <w:r w:rsidRPr="00AA6F74">
              <w:rPr>
                <w:sz w:val="20"/>
                <w:lang w:val="fr-CA"/>
              </w:rPr>
              <w:t>La demande d’autorisation d’appel est présentée.</w:t>
            </w:r>
          </w:p>
          <w:p w:rsidR="006C1EBE" w:rsidRPr="00AA6F74" w:rsidRDefault="006C1EBE" w:rsidP="002E545B">
            <w:pPr>
              <w:jc w:val="both"/>
              <w:rPr>
                <w:sz w:val="20"/>
                <w:lang w:val="fr-CA"/>
              </w:rPr>
            </w:pPr>
          </w:p>
        </w:tc>
      </w:tr>
    </w:tbl>
    <w:p w:rsidR="006C1EBE" w:rsidRPr="00AA6F74" w:rsidRDefault="006C1EBE" w:rsidP="00102792">
      <w:pPr>
        <w:jc w:val="both"/>
        <w:rPr>
          <w:sz w:val="20"/>
          <w:szCs w:val="20"/>
          <w:lang w:val="fr-CA"/>
        </w:rPr>
      </w:pPr>
    </w:p>
    <w:p w:rsidR="00634F42" w:rsidRPr="00AA6F74" w:rsidRDefault="002A25F4" w:rsidP="00102792">
      <w:pPr>
        <w:jc w:val="both"/>
        <w:rPr>
          <w:sz w:val="20"/>
          <w:lang w:val="fr-CA"/>
        </w:rPr>
      </w:pPr>
      <w:r>
        <w:rPr>
          <w:sz w:val="20"/>
          <w:szCs w:val="20"/>
        </w:rPr>
        <w:pict>
          <v:rect id="_x0000_i1054" style="width:2in;height:1pt" o:hrpct="0" o:hralign="center" o:hrstd="t" o:hrnoshade="t" o:hr="t" fillcolor="black" stroked="f"/>
        </w:pict>
      </w:r>
    </w:p>
    <w:p w:rsidR="00E06F20" w:rsidRPr="00AA6F74" w:rsidRDefault="00E06F20">
      <w:pPr>
        <w:rPr>
          <w:sz w:val="20"/>
          <w:lang w:val="fr-CA"/>
        </w:rPr>
      </w:pPr>
    </w:p>
    <w:p w:rsidR="004B2E86" w:rsidRPr="00AA6F74" w:rsidRDefault="004B2E86" w:rsidP="004B2E86">
      <w:pPr>
        <w:jc w:val="both"/>
        <w:rPr>
          <w:sz w:val="20"/>
          <w:szCs w:val="20"/>
          <w:lang w:val="fr-CA"/>
        </w:rPr>
      </w:pPr>
    </w:p>
    <w:p w:rsidR="00890FEB" w:rsidRPr="00AA6F74" w:rsidRDefault="00890FEB" w:rsidP="008D292F">
      <w:pPr>
        <w:rPr>
          <w:sz w:val="20"/>
          <w:szCs w:val="20"/>
          <w:lang w:val="fr-CA"/>
        </w:rPr>
      </w:pPr>
    </w:p>
    <w:p w:rsidR="00890FEB" w:rsidRPr="00AA6F74" w:rsidRDefault="00890FEB" w:rsidP="008D292F">
      <w:pPr>
        <w:rPr>
          <w:b/>
          <w:sz w:val="20"/>
          <w:szCs w:val="20"/>
          <w:lang w:val="fr-CA"/>
        </w:rPr>
        <w:sectPr w:rsidR="00890FEB" w:rsidRPr="00AA6F74"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693C38" w:rsidRPr="00AA6F74" w:rsidRDefault="00DD0BDC" w:rsidP="00567602">
      <w:pPr>
        <w:pStyle w:val="Header1StyleE"/>
        <w:pBdr>
          <w:bottom w:val="single" w:sz="12" w:space="1" w:color="auto"/>
        </w:pBdr>
        <w:rPr>
          <w:lang w:val="fr-CA"/>
        </w:rPr>
      </w:pPr>
      <w:bookmarkStart w:id="5" w:name="_Toc62134393"/>
      <w:r w:rsidRPr="00AA6F74">
        <w:rPr>
          <w:lang w:val="fr-CA"/>
        </w:rPr>
        <w:lastRenderedPageBreak/>
        <w:t>Motions</w:t>
      </w:r>
      <w:r w:rsidR="00271E1E" w:rsidRPr="00AA6F74">
        <w:rPr>
          <w:lang w:val="fr-CA"/>
        </w:rPr>
        <w:t xml:space="preserve"> / </w:t>
      </w:r>
      <w:r w:rsidR="00693C38" w:rsidRPr="00AA6F74">
        <w:rPr>
          <w:lang w:val="fr-CA"/>
        </w:rPr>
        <w:br/>
      </w:r>
      <w:r w:rsidRPr="00AA6F74">
        <w:rPr>
          <w:lang w:val="fr-CA"/>
        </w:rPr>
        <w:t>Requêtes</w:t>
      </w:r>
      <w:bookmarkEnd w:id="5"/>
    </w:p>
    <w:p w:rsidR="00890FEB" w:rsidRPr="00AA6F74" w:rsidRDefault="00890FEB" w:rsidP="00890FEB">
      <w:pPr>
        <w:rPr>
          <w:sz w:val="20"/>
          <w:szCs w:val="20"/>
          <w:lang w:val="fr-CA"/>
        </w:rPr>
      </w:pPr>
    </w:p>
    <w:p w:rsidR="008859F1" w:rsidRPr="00AA6F74" w:rsidRDefault="009B36BA" w:rsidP="008859F1">
      <w:pPr>
        <w:rPr>
          <w:b/>
          <w:sz w:val="20"/>
          <w:szCs w:val="20"/>
          <w:lang w:val="fr-CA"/>
        </w:rPr>
      </w:pPr>
      <w:r w:rsidRPr="00AA6F74">
        <w:rPr>
          <w:b/>
          <w:sz w:val="20"/>
          <w:szCs w:val="20"/>
          <w:lang w:val="fr-CA"/>
        </w:rPr>
        <w:t>JANUARY</w:t>
      </w:r>
      <w:r w:rsidR="008859F1" w:rsidRPr="00AA6F74">
        <w:rPr>
          <w:b/>
          <w:sz w:val="20"/>
          <w:szCs w:val="20"/>
          <w:lang w:val="fr-CA"/>
        </w:rPr>
        <w:t xml:space="preserve"> </w:t>
      </w:r>
      <w:r w:rsidR="00691D1D" w:rsidRPr="00AA6F74">
        <w:rPr>
          <w:b/>
          <w:sz w:val="20"/>
          <w:szCs w:val="20"/>
          <w:lang w:val="fr-CA"/>
        </w:rPr>
        <w:t>1</w:t>
      </w:r>
      <w:r w:rsidRPr="00AA6F74">
        <w:rPr>
          <w:b/>
          <w:sz w:val="20"/>
          <w:szCs w:val="20"/>
          <w:lang w:val="fr-CA"/>
        </w:rPr>
        <w:t>4</w:t>
      </w:r>
      <w:r w:rsidR="008859F1" w:rsidRPr="00AA6F74">
        <w:rPr>
          <w:b/>
          <w:sz w:val="20"/>
          <w:szCs w:val="20"/>
          <w:lang w:val="fr-CA"/>
        </w:rPr>
        <w:t>, 20</w:t>
      </w:r>
      <w:r w:rsidR="005967EF" w:rsidRPr="00AA6F74">
        <w:rPr>
          <w:b/>
          <w:sz w:val="20"/>
          <w:szCs w:val="20"/>
          <w:lang w:val="fr-CA"/>
        </w:rPr>
        <w:t>2</w:t>
      </w:r>
      <w:r w:rsidRPr="00AA6F74">
        <w:rPr>
          <w:b/>
          <w:sz w:val="20"/>
          <w:szCs w:val="20"/>
          <w:lang w:val="fr-CA"/>
        </w:rPr>
        <w:t>1</w:t>
      </w:r>
      <w:r w:rsidR="008859F1" w:rsidRPr="00AA6F74">
        <w:rPr>
          <w:b/>
          <w:sz w:val="20"/>
          <w:szCs w:val="20"/>
          <w:lang w:val="fr-CA"/>
        </w:rPr>
        <w:t xml:space="preserve"> / LE </w:t>
      </w:r>
      <w:r w:rsidR="00691D1D" w:rsidRPr="00AA6F74">
        <w:rPr>
          <w:b/>
          <w:sz w:val="20"/>
          <w:szCs w:val="20"/>
          <w:lang w:val="fr-CA"/>
        </w:rPr>
        <w:t>1</w:t>
      </w:r>
      <w:r w:rsidRPr="00AA6F74">
        <w:rPr>
          <w:b/>
          <w:sz w:val="20"/>
          <w:szCs w:val="20"/>
          <w:lang w:val="fr-CA"/>
        </w:rPr>
        <w:t>4</w:t>
      </w:r>
      <w:r w:rsidR="008859F1" w:rsidRPr="00AA6F74">
        <w:rPr>
          <w:b/>
          <w:sz w:val="20"/>
          <w:szCs w:val="20"/>
          <w:lang w:val="fr-CA"/>
        </w:rPr>
        <w:t xml:space="preserve"> </w:t>
      </w:r>
      <w:r w:rsidRPr="00AA6F74">
        <w:rPr>
          <w:b/>
          <w:sz w:val="20"/>
          <w:szCs w:val="20"/>
          <w:lang w:val="fr-CA"/>
        </w:rPr>
        <w:t>JANVIER</w:t>
      </w:r>
      <w:r w:rsidR="008859F1" w:rsidRPr="00AA6F74">
        <w:rPr>
          <w:b/>
          <w:sz w:val="20"/>
          <w:szCs w:val="20"/>
          <w:lang w:val="fr-CA"/>
        </w:rPr>
        <w:t xml:space="preserve"> 20</w:t>
      </w:r>
      <w:r w:rsidR="005967EF" w:rsidRPr="00AA6F74">
        <w:rPr>
          <w:b/>
          <w:sz w:val="20"/>
          <w:szCs w:val="20"/>
          <w:lang w:val="fr-CA"/>
        </w:rPr>
        <w:t>2</w:t>
      </w:r>
      <w:r w:rsidRPr="00AA6F74">
        <w:rPr>
          <w:b/>
          <w:sz w:val="20"/>
          <w:szCs w:val="20"/>
          <w:lang w:val="fr-CA"/>
        </w:rPr>
        <w:t>1</w:t>
      </w:r>
    </w:p>
    <w:p w:rsidR="00102792" w:rsidRPr="00AA6F7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A25F4" w:rsidTr="00691D1D">
        <w:tc>
          <w:tcPr>
            <w:tcW w:w="4410" w:type="dxa"/>
            <w:tcBorders>
              <w:top w:val="nil"/>
              <w:left w:val="nil"/>
              <w:bottom w:val="nil"/>
              <w:right w:val="nil"/>
            </w:tcBorders>
          </w:tcPr>
          <w:p w:rsidR="00D93A6C" w:rsidRPr="00AA6F74" w:rsidRDefault="00D93A6C" w:rsidP="00F56F3A">
            <w:pPr>
              <w:jc w:val="both"/>
              <w:rPr>
                <w:rFonts w:cs="Times New Roman"/>
                <w:b/>
                <w:bCs/>
                <w:sz w:val="20"/>
                <w:szCs w:val="20"/>
                <w:lang w:val="en-US"/>
              </w:rPr>
            </w:pPr>
            <w:r w:rsidRPr="00AA6F74">
              <w:rPr>
                <w:rFonts w:eastAsia="Times New Roman" w:cs="Times New Roman"/>
                <w:b/>
                <w:sz w:val="20"/>
                <w:szCs w:val="20"/>
                <w:lang w:val="en-US" w:eastAsia="en-CA"/>
              </w:rPr>
              <w:t xml:space="preserve">Motion </w:t>
            </w:r>
            <w:r w:rsidR="00F56F3A" w:rsidRPr="00AA6F74">
              <w:rPr>
                <w:rFonts w:eastAsia="Times New Roman" w:cs="Times New Roman"/>
                <w:b/>
                <w:sz w:val="20"/>
                <w:szCs w:val="20"/>
                <w:lang w:val="en-US" w:eastAsia="en-CA"/>
              </w:rPr>
              <w:t>f</w:t>
            </w:r>
            <w:r w:rsidRPr="00AA6F74">
              <w:rPr>
                <w:rFonts w:eastAsia="Times New Roman" w:cs="Times New Roman"/>
                <w:b/>
                <w:sz w:val="20"/>
                <w:szCs w:val="20"/>
                <w:lang w:val="en-US" w:eastAsia="en-CA"/>
              </w:rPr>
              <w:t>o</w:t>
            </w:r>
            <w:r w:rsidR="00F56F3A" w:rsidRPr="00AA6F74">
              <w:rPr>
                <w:rFonts w:eastAsia="Times New Roman" w:cs="Times New Roman"/>
                <w:b/>
                <w:sz w:val="20"/>
                <w:szCs w:val="20"/>
                <w:lang w:val="en-US" w:eastAsia="en-CA"/>
              </w:rPr>
              <w:t>r</w:t>
            </w:r>
            <w:r w:rsidRPr="00AA6F74">
              <w:rPr>
                <w:rFonts w:eastAsia="Times New Roman" w:cs="Times New Roman"/>
                <w:b/>
                <w:sz w:val="20"/>
                <w:szCs w:val="20"/>
                <w:lang w:val="en-US" w:eastAsia="en-CA"/>
              </w:rPr>
              <w:t xml:space="preserve"> a</w:t>
            </w:r>
            <w:r w:rsidR="00F56F3A" w:rsidRPr="00AA6F74">
              <w:rPr>
                <w:rFonts w:eastAsia="Times New Roman" w:cs="Times New Roman"/>
                <w:b/>
                <w:sz w:val="20"/>
                <w:szCs w:val="20"/>
                <w:lang w:val="en-US" w:eastAsia="en-CA"/>
              </w:rPr>
              <w:t xml:space="preserve"> stay of execution and motion to expedite the motion for a stay of execution</w:t>
            </w:r>
          </w:p>
        </w:tc>
        <w:tc>
          <w:tcPr>
            <w:tcW w:w="810" w:type="dxa"/>
            <w:tcBorders>
              <w:top w:val="nil"/>
              <w:left w:val="nil"/>
              <w:bottom w:val="nil"/>
              <w:right w:val="nil"/>
            </w:tcBorders>
          </w:tcPr>
          <w:p w:rsidR="00D93A6C" w:rsidRPr="00AA6F7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A6F74" w:rsidRDefault="00D93A6C" w:rsidP="00F56F3A">
            <w:pPr>
              <w:jc w:val="both"/>
              <w:rPr>
                <w:rFonts w:cs="Times New Roman"/>
                <w:b/>
                <w:bCs/>
                <w:sz w:val="20"/>
                <w:szCs w:val="20"/>
                <w:lang w:val="fr-CA"/>
              </w:rPr>
            </w:pPr>
            <w:r w:rsidRPr="00AA6F74">
              <w:rPr>
                <w:rFonts w:eastAsia="Times New Roman" w:cs="Times New Roman"/>
                <w:b/>
                <w:sz w:val="20"/>
                <w:szCs w:val="20"/>
                <w:lang w:val="fr-CA" w:eastAsia="en-CA"/>
              </w:rPr>
              <w:t xml:space="preserve">Requête </w:t>
            </w:r>
            <w:r w:rsidR="00F56F3A" w:rsidRPr="00AA6F74">
              <w:rPr>
                <w:rFonts w:eastAsia="Times New Roman" w:cs="Times New Roman"/>
                <w:b/>
                <w:sz w:val="20"/>
                <w:szCs w:val="20"/>
                <w:lang w:val="fr-CA" w:eastAsia="en-CA"/>
              </w:rPr>
              <w:t>en sursis d'exécution et requête pour accélérer la requête en sursis d’exécution</w:t>
            </w:r>
          </w:p>
        </w:tc>
      </w:tr>
    </w:tbl>
    <w:p w:rsidR="00D93A6C" w:rsidRPr="00AA6F74" w:rsidRDefault="00D93A6C" w:rsidP="00102792">
      <w:pPr>
        <w:tabs>
          <w:tab w:val="left" w:pos="-1440"/>
          <w:tab w:val="left" w:pos="-720"/>
        </w:tabs>
        <w:jc w:val="both"/>
        <w:rPr>
          <w:rFonts w:eastAsia="Times New Roman" w:cs="Times New Roman"/>
          <w:sz w:val="20"/>
          <w:szCs w:val="20"/>
          <w:lang w:val="fr-CA" w:eastAsia="en-CA"/>
        </w:rPr>
      </w:pPr>
    </w:p>
    <w:p w:rsidR="00D93A6C" w:rsidRPr="00AA6F74" w:rsidRDefault="00D93A6C" w:rsidP="00102792">
      <w:pPr>
        <w:tabs>
          <w:tab w:val="left" w:pos="-1440"/>
          <w:tab w:val="left" w:pos="-720"/>
        </w:tabs>
        <w:jc w:val="both"/>
        <w:rPr>
          <w:rFonts w:eastAsia="Times New Roman" w:cs="Times New Roman"/>
          <w:sz w:val="20"/>
          <w:szCs w:val="20"/>
          <w:lang w:val="fr-CA" w:eastAsia="en-CA"/>
        </w:rPr>
      </w:pPr>
    </w:p>
    <w:p w:rsidR="00F56F3A" w:rsidRPr="00AA6F74" w:rsidRDefault="00F56F3A" w:rsidP="00F56F3A">
      <w:pPr>
        <w:rPr>
          <w:rFonts w:cs="Times New Roman"/>
          <w:b/>
          <w:bCs/>
          <w:sz w:val="20"/>
          <w:szCs w:val="20"/>
        </w:rPr>
      </w:pPr>
      <w:r w:rsidRPr="00AA6F74">
        <w:rPr>
          <w:rFonts w:cs="Times New Roman"/>
          <w:b/>
          <w:bCs/>
          <w:sz w:val="20"/>
          <w:szCs w:val="20"/>
        </w:rPr>
        <w:t>J.A. v. HER MAJESTY THE QUEEN</w:t>
      </w:r>
    </w:p>
    <w:p w:rsidR="00F56F3A" w:rsidRPr="00AA6F74" w:rsidRDefault="00F56F3A" w:rsidP="00F56F3A">
      <w:pPr>
        <w:rPr>
          <w:rFonts w:cs="Times New Roman"/>
          <w:bCs/>
          <w:sz w:val="20"/>
          <w:szCs w:val="20"/>
        </w:rPr>
      </w:pPr>
      <w:r w:rsidRPr="00AA6F74">
        <w:rPr>
          <w:rFonts w:cs="Times New Roman"/>
          <w:bCs/>
          <w:sz w:val="20"/>
          <w:szCs w:val="20"/>
        </w:rPr>
        <w:t>(Ont.) (39364)</w:t>
      </w:r>
    </w:p>
    <w:p w:rsidR="00F56F3A" w:rsidRPr="00AA6F74" w:rsidRDefault="00F56F3A" w:rsidP="00F56F3A">
      <w:pPr>
        <w:rPr>
          <w:rFonts w:cs="Times New Roman"/>
          <w:sz w:val="20"/>
          <w:szCs w:val="20"/>
        </w:rPr>
      </w:pPr>
    </w:p>
    <w:p w:rsidR="00F56F3A" w:rsidRPr="00AA6F74" w:rsidRDefault="00F56F3A" w:rsidP="00F56F3A">
      <w:pPr>
        <w:rPr>
          <w:rFonts w:cs="Times New Roman"/>
          <w:sz w:val="20"/>
          <w:szCs w:val="20"/>
        </w:rPr>
      </w:pPr>
      <w:r w:rsidRPr="00AA6F74">
        <w:rPr>
          <w:rFonts w:cs="Times New Roman"/>
          <w:b/>
          <w:bCs/>
          <w:sz w:val="20"/>
          <w:szCs w:val="20"/>
          <w:u w:val="single"/>
        </w:rPr>
        <w:t>THE COURT</w:t>
      </w:r>
      <w:r w:rsidRPr="00AA6F74">
        <w:rPr>
          <w:rFonts w:cs="Times New Roman"/>
          <w:b/>
          <w:bCs/>
          <w:sz w:val="20"/>
          <w:szCs w:val="20"/>
        </w:rPr>
        <w:t>:</w:t>
      </w:r>
    </w:p>
    <w:p w:rsidR="00F56F3A" w:rsidRPr="00AA6F74" w:rsidRDefault="00F56F3A" w:rsidP="00F56F3A">
      <w:pPr>
        <w:rPr>
          <w:rFonts w:cs="Times New Roman"/>
          <w:sz w:val="20"/>
          <w:szCs w:val="20"/>
        </w:rPr>
      </w:pPr>
    </w:p>
    <w:p w:rsidR="00F56F3A" w:rsidRPr="00AA6F74" w:rsidRDefault="00F56F3A" w:rsidP="00F56F3A">
      <w:pPr>
        <w:rPr>
          <w:rFonts w:cs="Times New Roman"/>
          <w:sz w:val="20"/>
          <w:szCs w:val="20"/>
        </w:rPr>
      </w:pPr>
      <w:r w:rsidRPr="00AA6F74">
        <w:rPr>
          <w:rFonts w:cs="Times New Roman"/>
          <w:b/>
          <w:bCs/>
          <w:sz w:val="20"/>
          <w:szCs w:val="20"/>
        </w:rPr>
        <w:t xml:space="preserve">UPON APPLICATION </w:t>
      </w:r>
      <w:r w:rsidRPr="00AA6F74">
        <w:rPr>
          <w:rFonts w:cs="Times New Roman"/>
          <w:sz w:val="20"/>
          <w:szCs w:val="20"/>
        </w:rPr>
        <w:t xml:space="preserve">by the applicant pursuant to section 65.1 (1) of the </w:t>
      </w:r>
      <w:r w:rsidRPr="00AA6F74">
        <w:rPr>
          <w:rFonts w:cs="Times New Roman"/>
          <w:i/>
          <w:sz w:val="20"/>
          <w:szCs w:val="20"/>
        </w:rPr>
        <w:t>Supreme Court Act</w:t>
      </w:r>
      <w:r w:rsidRPr="00AA6F74">
        <w:rPr>
          <w:rFonts w:cs="Times New Roman"/>
          <w:sz w:val="20"/>
          <w:szCs w:val="20"/>
        </w:rPr>
        <w:t xml:space="preserve"> for a stay of execution of the judgment of the Court of Appeal for Ontario, Number M51556, 2020 ONCA 660, dated October 21, 2020, and for an order to expedite the motion for a stay of execution;</w:t>
      </w:r>
    </w:p>
    <w:p w:rsidR="00F56F3A" w:rsidRPr="00AA6F74" w:rsidRDefault="00F56F3A" w:rsidP="00F56F3A">
      <w:pPr>
        <w:spacing w:line="233" w:lineRule="auto"/>
        <w:rPr>
          <w:rFonts w:cs="Times New Roman"/>
          <w:sz w:val="20"/>
          <w:szCs w:val="20"/>
        </w:rPr>
      </w:pPr>
    </w:p>
    <w:p w:rsidR="00F56F3A" w:rsidRPr="00AA6F74" w:rsidRDefault="00F56F3A" w:rsidP="00F56F3A">
      <w:pPr>
        <w:spacing w:line="233" w:lineRule="auto"/>
        <w:rPr>
          <w:rFonts w:cs="Times New Roman"/>
          <w:sz w:val="20"/>
          <w:szCs w:val="20"/>
        </w:rPr>
      </w:pPr>
      <w:r w:rsidRPr="00AA6F74">
        <w:rPr>
          <w:rFonts w:cs="Times New Roman"/>
          <w:b/>
          <w:bCs/>
          <w:sz w:val="20"/>
          <w:szCs w:val="20"/>
        </w:rPr>
        <w:t>AND THE MATERIAL FILED</w:t>
      </w:r>
      <w:r w:rsidRPr="00AA6F74">
        <w:rPr>
          <w:rFonts w:cs="Times New Roman"/>
          <w:sz w:val="20"/>
          <w:szCs w:val="20"/>
        </w:rPr>
        <w:t xml:space="preserve"> having been read;</w:t>
      </w:r>
    </w:p>
    <w:p w:rsidR="00F56F3A" w:rsidRPr="00AA6F74" w:rsidRDefault="00F56F3A" w:rsidP="00F56F3A">
      <w:pPr>
        <w:spacing w:line="233" w:lineRule="auto"/>
        <w:rPr>
          <w:rFonts w:cs="Times New Roman"/>
          <w:sz w:val="20"/>
          <w:szCs w:val="20"/>
        </w:rPr>
      </w:pPr>
    </w:p>
    <w:p w:rsidR="00F56F3A" w:rsidRPr="00AA6F74" w:rsidRDefault="00F56F3A" w:rsidP="00F56F3A">
      <w:pPr>
        <w:spacing w:line="233" w:lineRule="auto"/>
        <w:rPr>
          <w:rFonts w:cs="Times New Roman"/>
          <w:b/>
          <w:bCs/>
          <w:sz w:val="20"/>
          <w:szCs w:val="20"/>
        </w:rPr>
      </w:pPr>
      <w:r w:rsidRPr="00AA6F74">
        <w:rPr>
          <w:rFonts w:cs="Times New Roman"/>
          <w:b/>
          <w:bCs/>
          <w:sz w:val="20"/>
          <w:szCs w:val="20"/>
        </w:rPr>
        <w:t>IT IS HEREBY ORDERED THAT:</w:t>
      </w:r>
    </w:p>
    <w:p w:rsidR="00F56F3A" w:rsidRPr="00AA6F74" w:rsidRDefault="00F56F3A" w:rsidP="00F56F3A">
      <w:pPr>
        <w:spacing w:line="233" w:lineRule="auto"/>
        <w:rPr>
          <w:rFonts w:cs="Times New Roman"/>
          <w:sz w:val="20"/>
          <w:szCs w:val="20"/>
        </w:rPr>
      </w:pPr>
    </w:p>
    <w:p w:rsidR="00F56F3A" w:rsidRPr="00AA6F74" w:rsidRDefault="00F56F3A" w:rsidP="00F56F3A">
      <w:pPr>
        <w:rPr>
          <w:rFonts w:cs="Times New Roman"/>
          <w:sz w:val="20"/>
          <w:szCs w:val="20"/>
        </w:rPr>
      </w:pPr>
      <w:r w:rsidRPr="00AA6F74">
        <w:rPr>
          <w:rFonts w:cs="Times New Roman"/>
          <w:sz w:val="20"/>
          <w:szCs w:val="20"/>
        </w:rPr>
        <w:t xml:space="preserve">The motion to expedite the motion for a stay of execution is granted. </w:t>
      </w:r>
    </w:p>
    <w:p w:rsidR="00F56F3A" w:rsidRPr="00AA6F74" w:rsidRDefault="00F56F3A" w:rsidP="00F56F3A">
      <w:pPr>
        <w:rPr>
          <w:rFonts w:cs="Times New Roman"/>
          <w:sz w:val="20"/>
          <w:szCs w:val="20"/>
        </w:rPr>
      </w:pPr>
    </w:p>
    <w:p w:rsidR="00F56F3A" w:rsidRPr="00AA6F74" w:rsidRDefault="00F56F3A" w:rsidP="00F56F3A">
      <w:pPr>
        <w:rPr>
          <w:sz w:val="20"/>
          <w:szCs w:val="20"/>
        </w:rPr>
      </w:pPr>
      <w:r w:rsidRPr="00AA6F74">
        <w:rPr>
          <w:rFonts w:cs="Times New Roman"/>
          <w:sz w:val="20"/>
          <w:szCs w:val="20"/>
        </w:rPr>
        <w:t xml:space="preserve">The motion for a stay of execution is dismissed on the basis that the parties may have recourse, under s. 7(5) of the </w:t>
      </w:r>
      <w:r w:rsidRPr="00AA6F74">
        <w:rPr>
          <w:rFonts w:cs="Times New Roman"/>
          <w:i/>
          <w:sz w:val="20"/>
          <w:szCs w:val="20"/>
        </w:rPr>
        <w:t>Courts of Justice Act</w:t>
      </w:r>
      <w:r w:rsidRPr="00AA6F74">
        <w:rPr>
          <w:rFonts w:cs="Times New Roman"/>
          <w:sz w:val="20"/>
          <w:szCs w:val="20"/>
        </w:rPr>
        <w:t xml:space="preserve">, RSO 1990, c C.43, and s. 683(3) of the </w:t>
      </w:r>
      <w:r w:rsidRPr="00AA6F74">
        <w:rPr>
          <w:rFonts w:cs="Times New Roman"/>
          <w:i/>
          <w:sz w:val="20"/>
          <w:szCs w:val="20"/>
        </w:rPr>
        <w:t>Criminal Code</w:t>
      </w:r>
      <w:r w:rsidRPr="00AA6F74">
        <w:rPr>
          <w:rFonts w:cs="Times New Roman"/>
          <w:sz w:val="20"/>
          <w:szCs w:val="20"/>
        </w:rPr>
        <w:t>, RSC 1985, c C-46, that they have not exhausted at the Court of Appeal.</w:t>
      </w:r>
    </w:p>
    <w:p w:rsidR="00102792" w:rsidRPr="00AA6F74" w:rsidRDefault="00102792" w:rsidP="00102792">
      <w:pPr>
        <w:spacing w:line="228" w:lineRule="auto"/>
        <w:rPr>
          <w:sz w:val="20"/>
        </w:rPr>
      </w:pPr>
    </w:p>
    <w:p w:rsidR="005967EF" w:rsidRPr="00AA6F74" w:rsidRDefault="005967EF" w:rsidP="00102792">
      <w:pPr>
        <w:spacing w:line="228" w:lineRule="auto"/>
        <w:rPr>
          <w:sz w:val="20"/>
        </w:rPr>
      </w:pPr>
    </w:p>
    <w:p w:rsidR="00B95084" w:rsidRPr="00AA6F74" w:rsidRDefault="00B95084" w:rsidP="00B95084">
      <w:pPr>
        <w:rPr>
          <w:rFonts w:cs="Times New Roman"/>
          <w:sz w:val="20"/>
          <w:szCs w:val="20"/>
          <w:lang w:val="fr-CA"/>
        </w:rPr>
      </w:pPr>
      <w:r w:rsidRPr="00AA6F74">
        <w:rPr>
          <w:rFonts w:cs="Times New Roman"/>
          <w:b/>
          <w:sz w:val="20"/>
          <w:szCs w:val="20"/>
          <w:lang w:val="fr-CA"/>
        </w:rPr>
        <w:t>À LA SUITE DE LA DEMANDE</w:t>
      </w:r>
      <w:r w:rsidRPr="00AA6F74">
        <w:rPr>
          <w:rFonts w:cs="Times New Roman"/>
          <w:sz w:val="20"/>
          <w:szCs w:val="20"/>
          <w:lang w:val="fr-CA"/>
        </w:rPr>
        <w:t xml:space="preserve"> du demandeur présentée en application du par. 65.1 (1) de la </w:t>
      </w:r>
      <w:r w:rsidRPr="00AA6F74">
        <w:rPr>
          <w:rFonts w:cs="Times New Roman"/>
          <w:i/>
          <w:sz w:val="20"/>
          <w:szCs w:val="20"/>
          <w:lang w:val="fr-CA"/>
        </w:rPr>
        <w:t>Loi sur la Cour suprême</w:t>
      </w:r>
      <w:r w:rsidRPr="00AA6F74">
        <w:rPr>
          <w:rFonts w:cs="Times New Roman"/>
          <w:sz w:val="20"/>
          <w:szCs w:val="20"/>
          <w:lang w:val="fr-CA"/>
        </w:rPr>
        <w:t xml:space="preserve"> en sursis d’exécution du jugement de la Cour d’appel de l’Ontario, n</w:t>
      </w:r>
      <w:r w:rsidRPr="00AA6F74">
        <w:rPr>
          <w:rFonts w:cs="Times New Roman"/>
          <w:sz w:val="20"/>
          <w:szCs w:val="20"/>
          <w:vertAlign w:val="superscript"/>
          <w:lang w:val="fr-CA"/>
        </w:rPr>
        <w:t>o </w:t>
      </w:r>
      <w:r w:rsidRPr="00AA6F74">
        <w:rPr>
          <w:rFonts w:cs="Times New Roman"/>
          <w:sz w:val="20"/>
          <w:szCs w:val="20"/>
          <w:lang w:val="fr-CA"/>
        </w:rPr>
        <w:t>M51556, 2020 ONCA 660, daté du 21 octobre 2020, et pour accélérer le traitement de la requête en sursis d’exécution;</w:t>
      </w:r>
    </w:p>
    <w:p w:rsidR="00B95084" w:rsidRPr="00AA6F74" w:rsidRDefault="00B95084" w:rsidP="00B95084">
      <w:pPr>
        <w:rPr>
          <w:rFonts w:cs="Times New Roman"/>
          <w:sz w:val="20"/>
          <w:szCs w:val="20"/>
          <w:lang w:val="fr-CA"/>
        </w:rPr>
      </w:pPr>
    </w:p>
    <w:p w:rsidR="00B95084" w:rsidRPr="00AA6F74" w:rsidRDefault="00B95084" w:rsidP="00B95084">
      <w:pPr>
        <w:rPr>
          <w:rFonts w:cs="Times New Roman"/>
          <w:sz w:val="20"/>
          <w:szCs w:val="20"/>
          <w:lang w:val="fr-CA"/>
        </w:rPr>
      </w:pPr>
      <w:r w:rsidRPr="00AA6F74">
        <w:rPr>
          <w:rFonts w:cs="Times New Roman"/>
          <w:b/>
          <w:sz w:val="20"/>
          <w:szCs w:val="20"/>
          <w:lang w:val="fr-CA"/>
        </w:rPr>
        <w:t>ET APRÈS EXAMEN</w:t>
      </w:r>
      <w:r w:rsidRPr="00AA6F74">
        <w:rPr>
          <w:rFonts w:cs="Times New Roman"/>
          <w:sz w:val="20"/>
          <w:szCs w:val="20"/>
          <w:lang w:val="fr-CA"/>
        </w:rPr>
        <w:t xml:space="preserve"> des documents déposés;</w:t>
      </w:r>
    </w:p>
    <w:p w:rsidR="00B95084" w:rsidRPr="00AA6F74" w:rsidRDefault="00B95084" w:rsidP="00B95084">
      <w:pPr>
        <w:rPr>
          <w:rFonts w:cs="Times New Roman"/>
          <w:sz w:val="20"/>
          <w:szCs w:val="20"/>
          <w:lang w:val="fr-CA"/>
        </w:rPr>
      </w:pPr>
    </w:p>
    <w:p w:rsidR="00B95084" w:rsidRPr="00AA6F74" w:rsidRDefault="00B95084" w:rsidP="00B95084">
      <w:pPr>
        <w:rPr>
          <w:rFonts w:cs="Times New Roman"/>
          <w:b/>
          <w:sz w:val="20"/>
          <w:szCs w:val="20"/>
          <w:lang w:val="fr-CA"/>
        </w:rPr>
      </w:pPr>
      <w:r w:rsidRPr="00AA6F74">
        <w:rPr>
          <w:rFonts w:cs="Times New Roman"/>
          <w:b/>
          <w:sz w:val="20"/>
          <w:szCs w:val="20"/>
          <w:lang w:val="fr-CA"/>
        </w:rPr>
        <w:t>IL EST PAR LA PRÉSENTE ORDONNÉ QUE :</w:t>
      </w:r>
    </w:p>
    <w:p w:rsidR="00B95084" w:rsidRPr="00AA6F74" w:rsidRDefault="00B95084" w:rsidP="00B95084">
      <w:pPr>
        <w:rPr>
          <w:rFonts w:cs="Times New Roman"/>
          <w:sz w:val="20"/>
          <w:szCs w:val="20"/>
          <w:lang w:val="fr-CA"/>
        </w:rPr>
      </w:pPr>
    </w:p>
    <w:p w:rsidR="00B95084" w:rsidRPr="00AA6F74" w:rsidRDefault="00B95084" w:rsidP="00B95084">
      <w:pPr>
        <w:rPr>
          <w:rFonts w:cs="Times New Roman"/>
          <w:sz w:val="20"/>
          <w:szCs w:val="20"/>
          <w:lang w:val="fr-CA"/>
        </w:rPr>
      </w:pPr>
      <w:r w:rsidRPr="00AA6F74">
        <w:rPr>
          <w:rFonts w:cs="Times New Roman"/>
          <w:sz w:val="20"/>
          <w:szCs w:val="20"/>
          <w:lang w:val="fr-CA"/>
        </w:rPr>
        <w:t>La requête pour accélérer le traitement de la requête en sursis d’exécution est accueillie.</w:t>
      </w:r>
    </w:p>
    <w:p w:rsidR="00B95084" w:rsidRPr="00AA6F74" w:rsidRDefault="00B95084" w:rsidP="00B95084">
      <w:pPr>
        <w:rPr>
          <w:rFonts w:cs="Times New Roman"/>
          <w:sz w:val="20"/>
          <w:szCs w:val="20"/>
          <w:lang w:val="fr-CA"/>
        </w:rPr>
      </w:pPr>
    </w:p>
    <w:p w:rsidR="00B95084" w:rsidRPr="00AA6F74" w:rsidRDefault="00B95084" w:rsidP="00B95084">
      <w:pPr>
        <w:rPr>
          <w:rFonts w:cs="Times New Roman"/>
          <w:sz w:val="20"/>
          <w:szCs w:val="20"/>
          <w:lang w:val="fr-CA"/>
        </w:rPr>
      </w:pPr>
      <w:r w:rsidRPr="00AA6F74">
        <w:rPr>
          <w:rFonts w:cs="Times New Roman"/>
          <w:sz w:val="20"/>
          <w:szCs w:val="20"/>
          <w:lang w:val="fr-CA"/>
        </w:rPr>
        <w:t xml:space="preserve">La requête en sursis d’exécution est rejetée puisque les parties peuvent avoir un recours, en vertu de l'art. 7(5) de la </w:t>
      </w:r>
      <w:r w:rsidRPr="00AA6F74">
        <w:rPr>
          <w:rFonts w:cs="Times New Roman"/>
          <w:i/>
          <w:sz w:val="20"/>
          <w:szCs w:val="20"/>
          <w:lang w:val="fr-CA"/>
        </w:rPr>
        <w:t>Loi sur les tribunaux judiciaires</w:t>
      </w:r>
      <w:r w:rsidRPr="00AA6F74">
        <w:rPr>
          <w:rFonts w:cs="Times New Roman"/>
          <w:sz w:val="20"/>
          <w:szCs w:val="20"/>
          <w:lang w:val="fr-CA"/>
        </w:rPr>
        <w:t xml:space="preserve">, RSO 1990, c. C.43, et de l'art. 683(3) du </w:t>
      </w:r>
      <w:r w:rsidRPr="00AA6F74">
        <w:rPr>
          <w:rFonts w:cs="Times New Roman"/>
          <w:i/>
          <w:sz w:val="20"/>
          <w:szCs w:val="20"/>
          <w:lang w:val="fr-CA"/>
        </w:rPr>
        <w:t>Code criminel</w:t>
      </w:r>
      <w:r w:rsidRPr="00AA6F74">
        <w:rPr>
          <w:rFonts w:cs="Times New Roman"/>
          <w:sz w:val="20"/>
          <w:szCs w:val="20"/>
          <w:lang w:val="fr-CA"/>
        </w:rPr>
        <w:t>, RSC 1985, c. C-46, qu'elles n'ont pas épuisé devant la Cour d'appel.</w:t>
      </w:r>
    </w:p>
    <w:p w:rsidR="00F56F3A" w:rsidRPr="00AA6F74" w:rsidRDefault="00F56F3A" w:rsidP="00102792">
      <w:pPr>
        <w:spacing w:line="232" w:lineRule="auto"/>
        <w:rPr>
          <w:rFonts w:cs="Times New Roman"/>
          <w:sz w:val="20"/>
          <w:lang w:val="fr-CA"/>
        </w:rPr>
      </w:pPr>
    </w:p>
    <w:p w:rsidR="00102792" w:rsidRPr="00AA6F74" w:rsidRDefault="002A25F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5967EF" w:rsidRPr="00AA6F74" w:rsidRDefault="005967EF" w:rsidP="00102792">
      <w:pPr>
        <w:rPr>
          <w:rFonts w:eastAsia="Times New Roman" w:cs="Times New Roman"/>
          <w:sz w:val="20"/>
          <w:szCs w:val="20"/>
          <w:lang w:val="fr-CA" w:eastAsia="en-CA"/>
        </w:rPr>
      </w:pPr>
    </w:p>
    <w:p w:rsidR="00545AA1" w:rsidRPr="00AA6F74" w:rsidRDefault="00545AA1" w:rsidP="00102792">
      <w:pPr>
        <w:rPr>
          <w:rFonts w:eastAsia="Times New Roman" w:cs="Times New Roman"/>
          <w:sz w:val="20"/>
          <w:szCs w:val="20"/>
          <w:lang w:val="fr-CA" w:eastAsia="en-CA"/>
        </w:rPr>
      </w:pPr>
    </w:p>
    <w:p w:rsidR="00545AA1" w:rsidRPr="00AA6F74" w:rsidRDefault="00545AA1">
      <w:pPr>
        <w:rPr>
          <w:sz w:val="20"/>
          <w:szCs w:val="20"/>
          <w:lang w:val="fr-CA"/>
        </w:rPr>
      </w:pPr>
      <w:r w:rsidRPr="00AA6F74">
        <w:rPr>
          <w:sz w:val="20"/>
          <w:szCs w:val="20"/>
          <w:lang w:val="fr-CA"/>
        </w:rPr>
        <w:br w:type="page"/>
      </w:r>
    </w:p>
    <w:p w:rsidR="00545AA1" w:rsidRPr="00AA6F74" w:rsidRDefault="00545AA1" w:rsidP="00545AA1">
      <w:pPr>
        <w:rPr>
          <w:b/>
          <w:sz w:val="20"/>
          <w:szCs w:val="20"/>
          <w:lang w:val="fr-CA"/>
        </w:rPr>
      </w:pPr>
      <w:r w:rsidRPr="00AA6F74">
        <w:rPr>
          <w:b/>
          <w:sz w:val="20"/>
          <w:szCs w:val="20"/>
          <w:lang w:val="fr-CA"/>
        </w:rPr>
        <w:lastRenderedPageBreak/>
        <w:t>JANUARY 20, 2021 / LE 20 JANVIER 2021</w:t>
      </w:r>
    </w:p>
    <w:p w:rsidR="00545AA1" w:rsidRPr="00AA6F74" w:rsidRDefault="00545AA1" w:rsidP="00545AA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45AA1" w:rsidRPr="002A25F4" w:rsidTr="00545AA1">
        <w:tc>
          <w:tcPr>
            <w:tcW w:w="4410" w:type="dxa"/>
            <w:tcBorders>
              <w:top w:val="nil"/>
              <w:left w:val="nil"/>
              <w:bottom w:val="nil"/>
              <w:right w:val="nil"/>
            </w:tcBorders>
          </w:tcPr>
          <w:p w:rsidR="00545AA1" w:rsidRPr="00AA6F74" w:rsidRDefault="00545AA1" w:rsidP="00990D50">
            <w:pPr>
              <w:jc w:val="both"/>
              <w:rPr>
                <w:rFonts w:cs="Times New Roman"/>
                <w:b/>
                <w:bCs/>
                <w:sz w:val="20"/>
                <w:szCs w:val="20"/>
                <w:lang w:val="en-US"/>
              </w:rPr>
            </w:pPr>
            <w:r w:rsidRPr="00AA6F74">
              <w:rPr>
                <w:rFonts w:eastAsia="Times New Roman" w:cs="Times New Roman"/>
                <w:b/>
                <w:sz w:val="20"/>
                <w:szCs w:val="20"/>
                <w:lang w:val="en-US" w:eastAsia="en-CA"/>
              </w:rPr>
              <w:t xml:space="preserve">Motion </w:t>
            </w:r>
            <w:r w:rsidR="00990D50" w:rsidRPr="00AA6F74">
              <w:rPr>
                <w:rFonts w:eastAsia="Times New Roman" w:cs="Times New Roman"/>
                <w:b/>
                <w:sz w:val="20"/>
                <w:szCs w:val="20"/>
                <w:lang w:val="en-US" w:eastAsia="en-CA"/>
              </w:rPr>
              <w:t>to extent time</w:t>
            </w:r>
          </w:p>
        </w:tc>
        <w:tc>
          <w:tcPr>
            <w:tcW w:w="810" w:type="dxa"/>
            <w:tcBorders>
              <w:top w:val="nil"/>
              <w:left w:val="nil"/>
              <w:bottom w:val="nil"/>
              <w:right w:val="nil"/>
            </w:tcBorders>
          </w:tcPr>
          <w:p w:rsidR="00545AA1" w:rsidRPr="00AA6F74" w:rsidRDefault="00545AA1" w:rsidP="00545AA1">
            <w:pPr>
              <w:jc w:val="both"/>
              <w:rPr>
                <w:rFonts w:cs="Times New Roman"/>
                <w:b/>
                <w:bCs/>
                <w:sz w:val="20"/>
                <w:szCs w:val="20"/>
                <w:lang w:val="en-US"/>
              </w:rPr>
            </w:pPr>
          </w:p>
        </w:tc>
        <w:tc>
          <w:tcPr>
            <w:tcW w:w="4399" w:type="dxa"/>
            <w:tcBorders>
              <w:top w:val="nil"/>
              <w:left w:val="nil"/>
              <w:bottom w:val="nil"/>
              <w:right w:val="nil"/>
            </w:tcBorders>
          </w:tcPr>
          <w:p w:rsidR="00545AA1" w:rsidRPr="00AA6F74" w:rsidRDefault="00545AA1" w:rsidP="00545AA1">
            <w:pPr>
              <w:jc w:val="both"/>
              <w:rPr>
                <w:rFonts w:cs="Times New Roman"/>
                <w:b/>
                <w:bCs/>
                <w:sz w:val="20"/>
                <w:szCs w:val="20"/>
                <w:lang w:val="fr-CA"/>
              </w:rPr>
            </w:pPr>
            <w:r w:rsidRPr="00AA6F74">
              <w:rPr>
                <w:rFonts w:eastAsia="Times New Roman" w:cs="Times New Roman"/>
                <w:b/>
                <w:sz w:val="20"/>
                <w:szCs w:val="20"/>
                <w:lang w:val="fr-CA" w:eastAsia="en-CA"/>
              </w:rPr>
              <w:t xml:space="preserve">Requête </w:t>
            </w:r>
            <w:r w:rsidR="00990D50" w:rsidRPr="00AA6F74">
              <w:rPr>
                <w:rFonts w:eastAsia="Times New Roman" w:cs="Times New Roman"/>
                <w:b/>
                <w:sz w:val="20"/>
                <w:szCs w:val="20"/>
                <w:lang w:val="fr-CA" w:eastAsia="en-CA"/>
              </w:rPr>
              <w:t>en prorogation de délai</w:t>
            </w:r>
          </w:p>
        </w:tc>
      </w:tr>
    </w:tbl>
    <w:p w:rsidR="00545AA1" w:rsidRPr="00AA6F74" w:rsidRDefault="00545AA1" w:rsidP="00545AA1">
      <w:pPr>
        <w:tabs>
          <w:tab w:val="left" w:pos="-1440"/>
          <w:tab w:val="left" w:pos="-720"/>
        </w:tabs>
        <w:jc w:val="both"/>
        <w:rPr>
          <w:rFonts w:eastAsia="Times New Roman" w:cs="Times New Roman"/>
          <w:sz w:val="20"/>
          <w:szCs w:val="20"/>
          <w:lang w:val="fr-CA" w:eastAsia="en-CA"/>
        </w:rPr>
      </w:pPr>
    </w:p>
    <w:p w:rsidR="00545AA1" w:rsidRPr="00AA6F74" w:rsidRDefault="00545AA1" w:rsidP="00545AA1">
      <w:pPr>
        <w:tabs>
          <w:tab w:val="left" w:pos="-1440"/>
          <w:tab w:val="left" w:pos="-720"/>
        </w:tabs>
        <w:jc w:val="both"/>
        <w:rPr>
          <w:rFonts w:eastAsia="Times New Roman" w:cs="Times New Roman"/>
          <w:sz w:val="20"/>
          <w:szCs w:val="20"/>
          <w:lang w:val="fr-CA" w:eastAsia="en-CA"/>
        </w:rPr>
      </w:pPr>
    </w:p>
    <w:p w:rsidR="00990D50" w:rsidRPr="00AA6F74" w:rsidRDefault="00990D50" w:rsidP="00990D50">
      <w:pPr>
        <w:rPr>
          <w:rFonts w:cs="Times New Roman"/>
          <w:b/>
          <w:bCs/>
          <w:sz w:val="20"/>
          <w:szCs w:val="20"/>
        </w:rPr>
      </w:pPr>
      <w:r w:rsidRPr="00AA6F74">
        <w:rPr>
          <w:rFonts w:cs="Times New Roman"/>
          <w:b/>
          <w:bCs/>
          <w:sz w:val="20"/>
          <w:szCs w:val="20"/>
        </w:rPr>
        <w:t>TAMIM ALBASHIR v. HER MAJESTY THE QUEEN</w:t>
      </w:r>
    </w:p>
    <w:p w:rsidR="00990D50" w:rsidRPr="00AA6F74" w:rsidRDefault="00990D50" w:rsidP="00990D50">
      <w:pPr>
        <w:rPr>
          <w:rFonts w:cs="Times New Roman"/>
          <w:sz w:val="20"/>
          <w:szCs w:val="20"/>
        </w:rPr>
      </w:pPr>
      <w:r w:rsidRPr="00AA6F74">
        <w:rPr>
          <w:rFonts w:cs="Times New Roman"/>
          <w:sz w:val="20"/>
          <w:szCs w:val="20"/>
        </w:rPr>
        <w:t>(B.C.) (39277)</w:t>
      </w:r>
    </w:p>
    <w:p w:rsidR="00990D50" w:rsidRPr="00AA6F74" w:rsidRDefault="00990D50" w:rsidP="00990D50">
      <w:pPr>
        <w:rPr>
          <w:rFonts w:cs="Times New Roman"/>
          <w:sz w:val="20"/>
          <w:szCs w:val="20"/>
        </w:rPr>
      </w:pPr>
    </w:p>
    <w:p w:rsidR="00990D50" w:rsidRPr="00AA6F74" w:rsidRDefault="00990D50" w:rsidP="00990D50">
      <w:pPr>
        <w:rPr>
          <w:rFonts w:cs="Times New Roman"/>
          <w:sz w:val="20"/>
          <w:szCs w:val="20"/>
        </w:rPr>
      </w:pPr>
      <w:r w:rsidRPr="00AA6F74">
        <w:rPr>
          <w:rFonts w:cs="Times New Roman"/>
          <w:sz w:val="20"/>
          <w:szCs w:val="20"/>
        </w:rPr>
        <w:t>and</w:t>
      </w:r>
    </w:p>
    <w:p w:rsidR="00990D50" w:rsidRPr="00AA6F74" w:rsidRDefault="00990D50" w:rsidP="00990D50">
      <w:pPr>
        <w:rPr>
          <w:rFonts w:cs="Times New Roman"/>
          <w:sz w:val="20"/>
          <w:szCs w:val="20"/>
        </w:rPr>
      </w:pPr>
    </w:p>
    <w:p w:rsidR="00990D50" w:rsidRPr="00AA6F74" w:rsidRDefault="00990D50" w:rsidP="00990D50">
      <w:pPr>
        <w:rPr>
          <w:rFonts w:cs="Times New Roman"/>
          <w:b/>
          <w:bCs/>
          <w:sz w:val="20"/>
          <w:szCs w:val="20"/>
        </w:rPr>
      </w:pPr>
      <w:r w:rsidRPr="00AA6F74">
        <w:rPr>
          <w:rFonts w:cs="Times New Roman"/>
          <w:b/>
          <w:bCs/>
          <w:sz w:val="20"/>
          <w:szCs w:val="20"/>
        </w:rPr>
        <w:t>KASRA MOHSENIPOUR v. HER MAJESTY THE QUEEN</w:t>
      </w:r>
    </w:p>
    <w:p w:rsidR="00990D50" w:rsidRPr="00AA6F74" w:rsidRDefault="00990D50" w:rsidP="00990D50">
      <w:pPr>
        <w:rPr>
          <w:rFonts w:cs="Times New Roman"/>
          <w:sz w:val="20"/>
          <w:szCs w:val="20"/>
        </w:rPr>
      </w:pPr>
      <w:r w:rsidRPr="00AA6F74">
        <w:rPr>
          <w:rFonts w:cs="Times New Roman"/>
          <w:sz w:val="20"/>
          <w:szCs w:val="20"/>
        </w:rPr>
        <w:t>(B.C.) (39278)</w:t>
      </w:r>
    </w:p>
    <w:p w:rsidR="00990D50" w:rsidRPr="00AA6F74" w:rsidRDefault="00990D50" w:rsidP="00990D50">
      <w:pPr>
        <w:rPr>
          <w:rFonts w:cs="Times New Roman"/>
          <w:bCs/>
          <w:sz w:val="20"/>
          <w:szCs w:val="20"/>
        </w:rPr>
      </w:pPr>
    </w:p>
    <w:p w:rsidR="00990D50" w:rsidRPr="00AA6F74" w:rsidRDefault="00990D50" w:rsidP="00990D50">
      <w:pPr>
        <w:rPr>
          <w:rFonts w:cs="Times New Roman"/>
          <w:sz w:val="20"/>
          <w:szCs w:val="20"/>
        </w:rPr>
      </w:pPr>
      <w:r w:rsidRPr="00AA6F74">
        <w:rPr>
          <w:rFonts w:cs="Times New Roman"/>
          <w:b/>
          <w:bCs/>
          <w:sz w:val="20"/>
          <w:szCs w:val="20"/>
          <w:u w:val="single"/>
        </w:rPr>
        <w:t>KARAKATSANIS J.</w:t>
      </w:r>
      <w:r w:rsidRPr="00AA6F74">
        <w:rPr>
          <w:rFonts w:cs="Times New Roman"/>
          <w:b/>
          <w:bCs/>
          <w:sz w:val="20"/>
          <w:szCs w:val="20"/>
        </w:rPr>
        <w:t>:</w:t>
      </w:r>
    </w:p>
    <w:p w:rsidR="00990D50" w:rsidRPr="00AA6F74" w:rsidRDefault="00990D50" w:rsidP="00990D50">
      <w:pPr>
        <w:rPr>
          <w:rFonts w:cs="Times New Roman"/>
          <w:sz w:val="20"/>
          <w:szCs w:val="20"/>
        </w:rPr>
      </w:pPr>
    </w:p>
    <w:p w:rsidR="00990D50" w:rsidRPr="00AA6F74" w:rsidRDefault="00990D50" w:rsidP="00990D50">
      <w:pPr>
        <w:rPr>
          <w:rFonts w:eastAsia="Times New Roman" w:cs="Times New Roman"/>
          <w:i/>
          <w:sz w:val="20"/>
          <w:szCs w:val="20"/>
          <w:lang w:eastAsia="en-CA"/>
        </w:rPr>
      </w:pPr>
      <w:r w:rsidRPr="00AA6F74">
        <w:rPr>
          <w:rFonts w:eastAsia="Times New Roman" w:cs="Times New Roman"/>
          <w:b/>
          <w:bCs/>
          <w:sz w:val="20"/>
          <w:szCs w:val="20"/>
          <w:lang w:eastAsia="en-CA"/>
        </w:rPr>
        <w:t>UPON APPLICATION</w:t>
      </w:r>
      <w:r w:rsidRPr="00AA6F74">
        <w:rPr>
          <w:rFonts w:eastAsia="Times New Roman" w:cs="Times New Roman"/>
          <w:sz w:val="20"/>
          <w:szCs w:val="20"/>
          <w:lang w:eastAsia="en-CA"/>
        </w:rPr>
        <w:t xml:space="preserve"> by the respondent for an order extending the time to serve and file its notice of constitutional question to December 11, 2020;</w:t>
      </w:r>
    </w:p>
    <w:p w:rsidR="00990D50" w:rsidRPr="00AA6F74" w:rsidRDefault="00990D50" w:rsidP="00990D50">
      <w:pPr>
        <w:rPr>
          <w:rFonts w:eastAsia="Times New Roman" w:cs="Times New Roman"/>
          <w:i/>
          <w:sz w:val="20"/>
          <w:szCs w:val="20"/>
          <w:lang w:eastAsia="en-CA"/>
        </w:rPr>
      </w:pPr>
    </w:p>
    <w:p w:rsidR="00990D50" w:rsidRPr="00AA6F74" w:rsidRDefault="00990D50" w:rsidP="00990D50">
      <w:pPr>
        <w:spacing w:line="233" w:lineRule="auto"/>
        <w:rPr>
          <w:rFonts w:cs="Times New Roman"/>
          <w:sz w:val="20"/>
          <w:szCs w:val="20"/>
        </w:rPr>
      </w:pPr>
      <w:r w:rsidRPr="00AA6F74">
        <w:rPr>
          <w:rFonts w:cs="Times New Roman"/>
          <w:b/>
          <w:bCs/>
          <w:sz w:val="20"/>
          <w:szCs w:val="20"/>
        </w:rPr>
        <w:t>AND THE MATERIAL FILED</w:t>
      </w:r>
      <w:r w:rsidRPr="00AA6F74">
        <w:rPr>
          <w:rFonts w:cs="Times New Roman"/>
          <w:sz w:val="20"/>
          <w:szCs w:val="20"/>
        </w:rPr>
        <w:t xml:space="preserve"> having been read;</w:t>
      </w:r>
    </w:p>
    <w:p w:rsidR="00990D50" w:rsidRPr="00AA6F74" w:rsidRDefault="00990D50" w:rsidP="00990D50">
      <w:pPr>
        <w:spacing w:line="233" w:lineRule="auto"/>
        <w:rPr>
          <w:rFonts w:cs="Times New Roman"/>
          <w:sz w:val="20"/>
          <w:szCs w:val="20"/>
        </w:rPr>
      </w:pPr>
    </w:p>
    <w:p w:rsidR="00990D50" w:rsidRPr="00AA6F74" w:rsidRDefault="00990D50" w:rsidP="00990D50">
      <w:pPr>
        <w:spacing w:line="233" w:lineRule="auto"/>
        <w:rPr>
          <w:rFonts w:cs="Times New Roman"/>
          <w:b/>
          <w:bCs/>
          <w:sz w:val="20"/>
          <w:szCs w:val="20"/>
        </w:rPr>
      </w:pPr>
      <w:r w:rsidRPr="00AA6F74">
        <w:rPr>
          <w:rFonts w:eastAsia="Times New Roman" w:cs="Times New Roman"/>
          <w:b/>
          <w:bCs/>
          <w:sz w:val="20"/>
          <w:szCs w:val="20"/>
          <w:lang w:eastAsia="en-CA"/>
        </w:rPr>
        <w:t>IT IS HEREBY ORDERED THAT:</w:t>
      </w:r>
    </w:p>
    <w:p w:rsidR="00990D50" w:rsidRPr="00AA6F74" w:rsidRDefault="00990D50" w:rsidP="00990D50">
      <w:pPr>
        <w:spacing w:line="233" w:lineRule="auto"/>
        <w:rPr>
          <w:rFonts w:cs="Times New Roman"/>
          <w:sz w:val="20"/>
          <w:szCs w:val="20"/>
        </w:rPr>
      </w:pPr>
    </w:p>
    <w:p w:rsidR="00990D50" w:rsidRPr="00AA6F74" w:rsidRDefault="00990D50" w:rsidP="00990D50">
      <w:pPr>
        <w:spacing w:line="233" w:lineRule="auto"/>
        <w:rPr>
          <w:rFonts w:cs="Times New Roman"/>
          <w:sz w:val="20"/>
          <w:szCs w:val="20"/>
        </w:rPr>
      </w:pPr>
      <w:r w:rsidRPr="00AA6F74">
        <w:rPr>
          <w:rFonts w:cs="Times New Roman"/>
          <w:sz w:val="20"/>
          <w:szCs w:val="20"/>
        </w:rPr>
        <w:t>The motion is granted.</w:t>
      </w:r>
    </w:p>
    <w:p w:rsidR="00990D50" w:rsidRPr="00AA6F74" w:rsidRDefault="00990D50" w:rsidP="00990D50">
      <w:pPr>
        <w:rPr>
          <w:rFonts w:cs="Times New Roman"/>
          <w:sz w:val="20"/>
          <w:szCs w:val="20"/>
        </w:rPr>
      </w:pPr>
    </w:p>
    <w:p w:rsidR="00990D50" w:rsidRPr="00AA6F74" w:rsidRDefault="00990D50" w:rsidP="00990D50">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cs="Times New Roman"/>
          <w:sz w:val="20"/>
          <w:szCs w:val="20"/>
        </w:rPr>
      </w:pPr>
      <w:r w:rsidRPr="00AA6F74">
        <w:rPr>
          <w:rFonts w:cs="Times New Roman"/>
          <w:sz w:val="20"/>
          <w:szCs w:val="20"/>
        </w:rPr>
        <w:t xml:space="preserve">Any intervener referred to in subparagraph 22(3)(c)(iii) of the </w:t>
      </w:r>
      <w:r w:rsidRPr="00AA6F74">
        <w:rPr>
          <w:rFonts w:cs="Times New Roman"/>
          <w:i/>
          <w:sz w:val="20"/>
          <w:szCs w:val="20"/>
        </w:rPr>
        <w:t>Rules of the Supreme Court of Canada</w:t>
      </w:r>
      <w:r w:rsidRPr="00AA6F74">
        <w:rPr>
          <w:rFonts w:cs="Times New Roman"/>
          <w:sz w:val="20"/>
          <w:szCs w:val="20"/>
        </w:rPr>
        <w:t xml:space="preserve"> shall serve and file its respective factum, if any, and book of authorities, if any, on or before April 23, 2021.</w:t>
      </w:r>
    </w:p>
    <w:p w:rsidR="00990D50" w:rsidRPr="00AA6F74" w:rsidRDefault="00990D50" w:rsidP="00990D50">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cs="Times New Roman"/>
          <w:sz w:val="20"/>
          <w:szCs w:val="20"/>
        </w:rPr>
      </w:pPr>
    </w:p>
    <w:p w:rsidR="00990D50" w:rsidRPr="00AA6F74" w:rsidRDefault="00990D50" w:rsidP="00990D50">
      <w:pPr>
        <w:rPr>
          <w:rFonts w:cs="Times New Roman"/>
          <w:sz w:val="20"/>
          <w:szCs w:val="20"/>
        </w:rPr>
      </w:pPr>
      <w:r w:rsidRPr="00AA6F74">
        <w:rPr>
          <w:rFonts w:cs="Times New Roman"/>
          <w:sz w:val="20"/>
          <w:szCs w:val="20"/>
        </w:rPr>
        <w:t>The requests by the appellants for permission to serve and file reply factums are dismissed.</w:t>
      </w:r>
    </w:p>
    <w:p w:rsidR="00990D50" w:rsidRPr="00AA6F74" w:rsidRDefault="00990D50" w:rsidP="00990D50">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cs="Times New Roman"/>
          <w:sz w:val="20"/>
          <w:szCs w:val="20"/>
        </w:rPr>
      </w:pPr>
    </w:p>
    <w:p w:rsidR="00990D50" w:rsidRPr="00AA6F74" w:rsidRDefault="00990D50" w:rsidP="00990D50">
      <w:pPr>
        <w:rPr>
          <w:rFonts w:cs="Times New Roman"/>
          <w:sz w:val="20"/>
          <w:szCs w:val="20"/>
        </w:rPr>
      </w:pPr>
    </w:p>
    <w:p w:rsidR="00990D50" w:rsidRPr="00AA6F74" w:rsidRDefault="00990D50" w:rsidP="00990D50">
      <w:pPr>
        <w:rPr>
          <w:rFonts w:cs="Times New Roman"/>
          <w:sz w:val="20"/>
          <w:szCs w:val="20"/>
          <w:lang w:val="fr-CA"/>
        </w:rPr>
      </w:pPr>
      <w:r w:rsidRPr="00AA6F74">
        <w:rPr>
          <w:rFonts w:cs="Times New Roman"/>
          <w:b/>
          <w:sz w:val="20"/>
          <w:szCs w:val="20"/>
          <w:lang w:val="fr-CA"/>
        </w:rPr>
        <w:t>À LA SUITE DE LA DEMANDE</w:t>
      </w:r>
      <w:r w:rsidRPr="00AA6F74">
        <w:rPr>
          <w:rFonts w:cs="Times New Roman"/>
          <w:sz w:val="20"/>
          <w:szCs w:val="20"/>
          <w:lang w:val="fr-CA"/>
        </w:rPr>
        <w:t xml:space="preserve"> de l’intimée en prorogation du délai pour signifier et déposer son avis de question constitutionnelle au 11 décembre 2020;</w:t>
      </w:r>
    </w:p>
    <w:p w:rsidR="00990D50" w:rsidRPr="00AA6F74" w:rsidRDefault="00990D50" w:rsidP="00990D50">
      <w:pPr>
        <w:rPr>
          <w:rFonts w:cs="Times New Roman"/>
          <w:sz w:val="20"/>
          <w:szCs w:val="20"/>
          <w:lang w:val="fr-CA"/>
        </w:rPr>
      </w:pPr>
    </w:p>
    <w:p w:rsidR="00990D50" w:rsidRPr="00AA6F74" w:rsidRDefault="00990D50" w:rsidP="00990D50">
      <w:pPr>
        <w:rPr>
          <w:rFonts w:cs="Times New Roman"/>
          <w:sz w:val="20"/>
          <w:szCs w:val="20"/>
          <w:lang w:val="fr-CA"/>
        </w:rPr>
      </w:pPr>
      <w:r w:rsidRPr="00AA6F74">
        <w:rPr>
          <w:rFonts w:cs="Times New Roman"/>
          <w:b/>
          <w:sz w:val="20"/>
          <w:szCs w:val="20"/>
          <w:lang w:val="fr-CA"/>
        </w:rPr>
        <w:t>ET APRÈS EXAMEN</w:t>
      </w:r>
      <w:r w:rsidRPr="00AA6F74">
        <w:rPr>
          <w:rFonts w:cs="Times New Roman"/>
          <w:sz w:val="20"/>
          <w:szCs w:val="20"/>
          <w:lang w:val="fr-CA"/>
        </w:rPr>
        <w:t xml:space="preserve"> des documents déposés;</w:t>
      </w:r>
    </w:p>
    <w:p w:rsidR="00990D50" w:rsidRPr="00AA6F74" w:rsidRDefault="00990D50" w:rsidP="00990D50">
      <w:pPr>
        <w:rPr>
          <w:rFonts w:cs="Times New Roman"/>
          <w:sz w:val="20"/>
          <w:szCs w:val="20"/>
          <w:lang w:val="fr-CA"/>
        </w:rPr>
      </w:pPr>
    </w:p>
    <w:p w:rsidR="00990D50" w:rsidRPr="00AA6F74" w:rsidRDefault="00990D50" w:rsidP="00990D50">
      <w:pPr>
        <w:rPr>
          <w:rFonts w:cs="Times New Roman"/>
          <w:b/>
          <w:sz w:val="20"/>
          <w:szCs w:val="20"/>
          <w:lang w:val="fr-CA"/>
        </w:rPr>
      </w:pPr>
      <w:r w:rsidRPr="00AA6F74">
        <w:rPr>
          <w:rFonts w:cs="Times New Roman"/>
          <w:b/>
          <w:sz w:val="20"/>
          <w:szCs w:val="20"/>
          <w:lang w:val="fr-CA"/>
        </w:rPr>
        <w:t>IL EST ORDONNÉ CE QUI SUIT :</w:t>
      </w:r>
    </w:p>
    <w:p w:rsidR="00990D50" w:rsidRPr="00AA6F74" w:rsidRDefault="00990D50" w:rsidP="00990D50">
      <w:pPr>
        <w:rPr>
          <w:rFonts w:cs="Times New Roman"/>
          <w:sz w:val="20"/>
          <w:szCs w:val="20"/>
          <w:lang w:val="fr-CA"/>
        </w:rPr>
      </w:pPr>
    </w:p>
    <w:p w:rsidR="00990D50" w:rsidRPr="00AA6F74" w:rsidRDefault="00990D50" w:rsidP="00990D50">
      <w:pPr>
        <w:rPr>
          <w:rFonts w:cs="Times New Roman"/>
          <w:sz w:val="20"/>
          <w:szCs w:val="20"/>
          <w:lang w:val="fr-CA"/>
        </w:rPr>
      </w:pPr>
      <w:r w:rsidRPr="00AA6F74">
        <w:rPr>
          <w:rFonts w:cs="Times New Roman"/>
          <w:sz w:val="20"/>
          <w:szCs w:val="20"/>
          <w:lang w:val="fr-CA"/>
        </w:rPr>
        <w:t>La requête est accueillie.</w:t>
      </w:r>
    </w:p>
    <w:p w:rsidR="00990D50" w:rsidRPr="00AA6F74" w:rsidRDefault="00990D50" w:rsidP="00990D50">
      <w:pPr>
        <w:rPr>
          <w:rFonts w:cs="Times New Roman"/>
          <w:sz w:val="20"/>
          <w:szCs w:val="20"/>
          <w:lang w:val="fr-CA"/>
        </w:rPr>
      </w:pPr>
    </w:p>
    <w:p w:rsidR="00990D50" w:rsidRPr="00AA6F74" w:rsidRDefault="00990D50" w:rsidP="00990D50">
      <w:pPr>
        <w:rPr>
          <w:rFonts w:cs="Times New Roman"/>
          <w:sz w:val="20"/>
          <w:szCs w:val="20"/>
          <w:lang w:val="fr-CA"/>
        </w:rPr>
      </w:pPr>
      <w:r w:rsidRPr="00AA6F74">
        <w:rPr>
          <w:rFonts w:cs="Times New Roman"/>
          <w:sz w:val="20"/>
          <w:szCs w:val="20"/>
          <w:lang w:val="fr-CA"/>
        </w:rPr>
        <w:t>Chaque intervenant auquel renvoie le sous-al. 22(3)</w:t>
      </w:r>
      <w:r w:rsidRPr="00AA6F74">
        <w:rPr>
          <w:rFonts w:cs="Times New Roman"/>
          <w:i/>
          <w:sz w:val="20"/>
          <w:szCs w:val="20"/>
          <w:lang w:val="fr-CA"/>
        </w:rPr>
        <w:t>c</w:t>
      </w:r>
      <w:r w:rsidRPr="00AA6F74">
        <w:rPr>
          <w:rFonts w:cs="Times New Roman"/>
          <w:sz w:val="20"/>
          <w:szCs w:val="20"/>
          <w:lang w:val="fr-CA"/>
        </w:rPr>
        <w:t xml:space="preserve">)(iii) des </w:t>
      </w:r>
      <w:r w:rsidRPr="00AA6F74">
        <w:rPr>
          <w:rFonts w:cs="Times New Roman"/>
          <w:i/>
          <w:sz w:val="20"/>
          <w:szCs w:val="20"/>
          <w:lang w:val="fr-CA"/>
        </w:rPr>
        <w:t>Règles de la Cour suprême du Canada</w:t>
      </w:r>
      <w:r w:rsidRPr="00AA6F74">
        <w:rPr>
          <w:rFonts w:cs="Times New Roman"/>
          <w:sz w:val="20"/>
          <w:szCs w:val="20"/>
          <w:lang w:val="fr-CA"/>
        </w:rPr>
        <w:t xml:space="preserve"> signifiera et déposera son mémoire, le cas échéant, ainsi que son recueil de sources, le cas échéant, au plus tard le 23 avril 2021.</w:t>
      </w:r>
    </w:p>
    <w:p w:rsidR="00990D50" w:rsidRPr="00AA6F74" w:rsidRDefault="00990D50" w:rsidP="00990D50">
      <w:pPr>
        <w:rPr>
          <w:rFonts w:cs="Times New Roman"/>
          <w:sz w:val="20"/>
          <w:szCs w:val="20"/>
          <w:lang w:val="fr-CA"/>
        </w:rPr>
      </w:pPr>
    </w:p>
    <w:p w:rsidR="00990D50" w:rsidRPr="00AA6F74" w:rsidRDefault="00990D50" w:rsidP="00990D50">
      <w:pPr>
        <w:rPr>
          <w:rFonts w:cs="Times New Roman"/>
          <w:sz w:val="20"/>
          <w:szCs w:val="20"/>
          <w:lang w:val="fr-CA"/>
        </w:rPr>
      </w:pPr>
      <w:r w:rsidRPr="00AA6F74">
        <w:rPr>
          <w:rFonts w:cs="Times New Roman"/>
          <w:sz w:val="20"/>
          <w:szCs w:val="20"/>
          <w:lang w:val="fr-CA"/>
        </w:rPr>
        <w:t>Les demandes des appelants en autorisation de signifier et de déposer des mémoires en réponse sont rejetées.</w:t>
      </w:r>
    </w:p>
    <w:p w:rsidR="00545AA1" w:rsidRPr="00AA6F74" w:rsidRDefault="00545AA1" w:rsidP="00545AA1">
      <w:pPr>
        <w:spacing w:line="232" w:lineRule="auto"/>
        <w:rPr>
          <w:rFonts w:cs="Times New Roman"/>
          <w:sz w:val="20"/>
          <w:lang w:val="fr-CA"/>
        </w:rPr>
      </w:pPr>
    </w:p>
    <w:p w:rsidR="00545AA1" w:rsidRPr="00AA6F74" w:rsidRDefault="002A25F4" w:rsidP="00545AA1">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545AA1" w:rsidRPr="00AA6F74" w:rsidRDefault="00545AA1" w:rsidP="0010587F">
      <w:pPr>
        <w:tabs>
          <w:tab w:val="left" w:pos="-1440"/>
          <w:tab w:val="left" w:pos="-720"/>
        </w:tabs>
        <w:jc w:val="both"/>
        <w:rPr>
          <w:sz w:val="20"/>
          <w:szCs w:val="20"/>
          <w:lang w:val="fr-CA"/>
        </w:rPr>
      </w:pPr>
    </w:p>
    <w:p w:rsidR="00545AA1" w:rsidRPr="00AA6F74" w:rsidRDefault="00545AA1" w:rsidP="0010587F">
      <w:pPr>
        <w:tabs>
          <w:tab w:val="left" w:pos="-1440"/>
          <w:tab w:val="left" w:pos="-720"/>
        </w:tabs>
        <w:jc w:val="both"/>
        <w:rPr>
          <w:sz w:val="20"/>
          <w:szCs w:val="20"/>
          <w:lang w:val="fr-CA"/>
        </w:rPr>
      </w:pPr>
    </w:p>
    <w:p w:rsidR="00890FEB" w:rsidRPr="00AA6F74" w:rsidRDefault="00890FEB" w:rsidP="00831CA9">
      <w:pPr>
        <w:jc w:val="both"/>
        <w:rPr>
          <w:sz w:val="20"/>
          <w:szCs w:val="20"/>
          <w:lang w:val="fr-CA"/>
        </w:rPr>
      </w:pPr>
    </w:p>
    <w:p w:rsidR="00831CA9" w:rsidRPr="00AA6F74" w:rsidRDefault="00831CA9" w:rsidP="00831CA9">
      <w:pPr>
        <w:jc w:val="both"/>
        <w:rPr>
          <w:sz w:val="20"/>
          <w:szCs w:val="20"/>
          <w:lang w:val="fr-CA"/>
        </w:rPr>
        <w:sectPr w:rsidR="00831CA9" w:rsidRPr="00AA6F74"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567602" w:rsidRPr="00AA6F74" w:rsidRDefault="001434B9" w:rsidP="00567602">
      <w:pPr>
        <w:pStyle w:val="Header1StyleE"/>
        <w:pBdr>
          <w:bottom w:val="single" w:sz="12" w:space="1" w:color="auto"/>
        </w:pBdr>
        <w:rPr>
          <w:lang w:val="fr-CA"/>
        </w:rPr>
      </w:pPr>
      <w:bookmarkStart w:id="6" w:name="_Toc62134394"/>
      <w:r w:rsidRPr="00AA6F74">
        <w:rPr>
          <w:lang w:val="fr-CA"/>
        </w:rPr>
        <w:lastRenderedPageBreak/>
        <w:t>Appeals heard since the last issue and disposition</w:t>
      </w:r>
      <w:r w:rsidR="00271E1E" w:rsidRPr="00AA6F74">
        <w:rPr>
          <w:lang w:val="fr-CA"/>
        </w:rPr>
        <w:t xml:space="preserve"> / </w:t>
      </w:r>
      <w:r w:rsidR="00567602" w:rsidRPr="00AA6F74">
        <w:rPr>
          <w:lang w:val="fr-CA"/>
        </w:rPr>
        <w:br/>
      </w:r>
      <w:r w:rsidRPr="00AA6F74">
        <w:rPr>
          <w:lang w:val="fr-CA"/>
        </w:rPr>
        <w:t>Appels entendus depuis la dernière parution et résultat</w:t>
      </w:r>
      <w:bookmarkEnd w:id="6"/>
    </w:p>
    <w:p w:rsidR="00567602" w:rsidRPr="00AA6F74" w:rsidRDefault="00567602" w:rsidP="009B36BA">
      <w:pPr>
        <w:widowControl w:val="0"/>
        <w:jc w:val="both"/>
        <w:rPr>
          <w:sz w:val="20"/>
          <w:szCs w:val="20"/>
          <w:lang w:val="fr-CA"/>
        </w:rPr>
      </w:pPr>
    </w:p>
    <w:p w:rsidR="00717608" w:rsidRPr="00AA6F74" w:rsidRDefault="009B36BA" w:rsidP="00717608">
      <w:pPr>
        <w:rPr>
          <w:b/>
          <w:sz w:val="20"/>
          <w:szCs w:val="20"/>
        </w:rPr>
      </w:pPr>
      <w:r w:rsidRPr="00AA6F74">
        <w:rPr>
          <w:b/>
          <w:sz w:val="20"/>
          <w:szCs w:val="20"/>
        </w:rPr>
        <w:t>JANUARY</w:t>
      </w:r>
      <w:r w:rsidR="00717608" w:rsidRPr="00AA6F74">
        <w:rPr>
          <w:b/>
          <w:sz w:val="20"/>
          <w:szCs w:val="20"/>
        </w:rPr>
        <w:t xml:space="preserve"> </w:t>
      </w:r>
      <w:r w:rsidRPr="00AA6F74">
        <w:rPr>
          <w:b/>
          <w:sz w:val="20"/>
          <w:szCs w:val="20"/>
        </w:rPr>
        <w:t>18</w:t>
      </w:r>
      <w:r w:rsidR="00717608" w:rsidRPr="00AA6F74">
        <w:rPr>
          <w:b/>
          <w:sz w:val="20"/>
          <w:szCs w:val="20"/>
        </w:rPr>
        <w:t>, 20</w:t>
      </w:r>
      <w:r w:rsidR="00172473" w:rsidRPr="00AA6F74">
        <w:rPr>
          <w:b/>
          <w:sz w:val="20"/>
          <w:szCs w:val="20"/>
        </w:rPr>
        <w:t>2</w:t>
      </w:r>
      <w:r w:rsidRPr="00AA6F74">
        <w:rPr>
          <w:b/>
          <w:sz w:val="20"/>
          <w:szCs w:val="20"/>
        </w:rPr>
        <w:t>1</w:t>
      </w:r>
      <w:r w:rsidR="00717608" w:rsidRPr="00AA6F74">
        <w:rPr>
          <w:b/>
          <w:sz w:val="20"/>
          <w:szCs w:val="20"/>
        </w:rPr>
        <w:t xml:space="preserve"> / LE </w:t>
      </w:r>
      <w:r w:rsidRPr="00AA6F74">
        <w:rPr>
          <w:b/>
          <w:sz w:val="20"/>
          <w:szCs w:val="20"/>
        </w:rPr>
        <w:t>18</w:t>
      </w:r>
      <w:r w:rsidR="00717608" w:rsidRPr="00AA6F74">
        <w:rPr>
          <w:b/>
          <w:sz w:val="20"/>
          <w:szCs w:val="20"/>
        </w:rPr>
        <w:t xml:space="preserve"> </w:t>
      </w:r>
      <w:r w:rsidRPr="00AA6F74">
        <w:rPr>
          <w:b/>
          <w:sz w:val="20"/>
          <w:szCs w:val="20"/>
        </w:rPr>
        <w:t>JANVIER</w:t>
      </w:r>
      <w:r w:rsidR="00717608" w:rsidRPr="00AA6F74">
        <w:rPr>
          <w:b/>
          <w:sz w:val="20"/>
          <w:szCs w:val="20"/>
        </w:rPr>
        <w:t xml:space="preserve"> 20</w:t>
      </w:r>
      <w:r w:rsidR="00172473" w:rsidRPr="00AA6F74">
        <w:rPr>
          <w:b/>
          <w:sz w:val="20"/>
          <w:szCs w:val="20"/>
        </w:rPr>
        <w:t>2</w:t>
      </w:r>
      <w:r w:rsidRPr="00AA6F74">
        <w:rPr>
          <w:b/>
          <w:sz w:val="20"/>
          <w:szCs w:val="20"/>
        </w:rPr>
        <w:t>1</w:t>
      </w:r>
    </w:p>
    <w:p w:rsidR="00172473" w:rsidRPr="00AA6F74" w:rsidRDefault="00172473" w:rsidP="00717608">
      <w:pPr>
        <w:rPr>
          <w:sz w:val="20"/>
          <w:szCs w:val="20"/>
        </w:rPr>
      </w:pPr>
    </w:p>
    <w:p w:rsidR="004472C3" w:rsidRPr="00AA6F74" w:rsidRDefault="004472C3" w:rsidP="004472C3">
      <w:pPr>
        <w:widowControl w:val="0"/>
        <w:rPr>
          <w:sz w:val="20"/>
          <w:szCs w:val="20"/>
        </w:rPr>
      </w:pPr>
      <w:r w:rsidRPr="00AA6F74">
        <w:rPr>
          <w:b/>
          <w:iCs/>
          <w:sz w:val="20"/>
          <w:szCs w:val="20"/>
        </w:rPr>
        <w:t xml:space="preserve">Karen Armstrong v. Colin Ward </w:t>
      </w:r>
      <w:r w:rsidR="005D4B77" w:rsidRPr="00AA6F74">
        <w:rPr>
          <w:b/>
          <w:iCs/>
          <w:sz w:val="20"/>
          <w:szCs w:val="20"/>
        </w:rPr>
        <w:t xml:space="preserve">- and - Healthcare Insurance Reciprocal of Canada and Ontario Trial Lawyers Association </w:t>
      </w:r>
      <w:r w:rsidRPr="00AA6F74">
        <w:rPr>
          <w:iCs/>
          <w:sz w:val="20"/>
          <w:szCs w:val="20"/>
        </w:rPr>
        <w:t>(Ont.) (Civil) (By Leave)</w:t>
      </w:r>
      <w:r w:rsidRPr="00AA6F74">
        <w:rPr>
          <w:color w:val="333333"/>
          <w:sz w:val="20"/>
          <w:szCs w:val="20"/>
        </w:rPr>
        <w:t xml:space="preserve"> (</w:t>
      </w:r>
      <w:hyperlink r:id="rId67" w:history="1">
        <w:r w:rsidRPr="00AA6F74">
          <w:rPr>
            <w:rStyle w:val="Hyperlink"/>
            <w:sz w:val="20"/>
            <w:szCs w:val="20"/>
          </w:rPr>
          <w:t>39049</w:t>
        </w:r>
      </w:hyperlink>
      <w:r w:rsidRPr="00AA6F74">
        <w:rPr>
          <w:color w:val="333333"/>
          <w:sz w:val="20"/>
          <w:szCs w:val="20"/>
        </w:rPr>
        <w:t>)</w:t>
      </w:r>
    </w:p>
    <w:p w:rsidR="004472C3" w:rsidRPr="00AA6F74" w:rsidRDefault="004472C3" w:rsidP="004472C3">
      <w:pPr>
        <w:widowControl w:val="0"/>
        <w:ind w:left="1109" w:hanging="1109"/>
        <w:rPr>
          <w:sz w:val="20"/>
          <w:szCs w:val="20"/>
        </w:rPr>
      </w:pPr>
      <w:r w:rsidRPr="00AA6F74">
        <w:rPr>
          <w:b/>
          <w:sz w:val="20"/>
          <w:szCs w:val="20"/>
        </w:rPr>
        <w:t>202</w:t>
      </w:r>
      <w:r w:rsidR="00B05D01" w:rsidRPr="00AA6F74">
        <w:rPr>
          <w:b/>
          <w:sz w:val="20"/>
          <w:szCs w:val="20"/>
        </w:rPr>
        <w:t>1</w:t>
      </w:r>
      <w:r w:rsidRPr="00AA6F74">
        <w:rPr>
          <w:b/>
          <w:sz w:val="20"/>
          <w:szCs w:val="20"/>
        </w:rPr>
        <w:t xml:space="preserve"> SCC 1 / 202</w:t>
      </w:r>
      <w:r w:rsidR="00B05D01" w:rsidRPr="00AA6F74">
        <w:rPr>
          <w:b/>
          <w:sz w:val="20"/>
          <w:szCs w:val="20"/>
        </w:rPr>
        <w:t>1</w:t>
      </w:r>
      <w:r w:rsidRPr="00AA6F74">
        <w:rPr>
          <w:b/>
          <w:sz w:val="20"/>
          <w:szCs w:val="20"/>
        </w:rPr>
        <w:t xml:space="preserve"> CSC 1</w:t>
      </w:r>
    </w:p>
    <w:p w:rsidR="004472C3" w:rsidRPr="00AA6F74" w:rsidRDefault="004472C3" w:rsidP="004472C3">
      <w:pPr>
        <w:widowControl w:val="0"/>
        <w:ind w:left="1109" w:hanging="1109"/>
        <w:rPr>
          <w:sz w:val="20"/>
          <w:szCs w:val="20"/>
        </w:rPr>
      </w:pPr>
    </w:p>
    <w:p w:rsidR="004472C3" w:rsidRPr="00AA6F74" w:rsidRDefault="004472C3" w:rsidP="004472C3">
      <w:pPr>
        <w:widowControl w:val="0"/>
        <w:ind w:left="1109" w:hanging="1109"/>
        <w:rPr>
          <w:sz w:val="20"/>
          <w:szCs w:val="20"/>
        </w:rPr>
      </w:pPr>
      <w:r w:rsidRPr="00AA6F74">
        <w:rPr>
          <w:sz w:val="20"/>
          <w:szCs w:val="20"/>
        </w:rPr>
        <w:t xml:space="preserve">Coram: </w:t>
      </w:r>
      <w:r w:rsidRPr="00AA6F74">
        <w:rPr>
          <w:sz w:val="20"/>
          <w:szCs w:val="20"/>
        </w:rPr>
        <w:tab/>
        <w:t>Wagner C.J. and Abella, Moldaver, Karakatsanis, Côté, Brown and Rowe JJ.</w:t>
      </w:r>
    </w:p>
    <w:p w:rsidR="004472C3" w:rsidRPr="00AA6F74" w:rsidRDefault="004472C3" w:rsidP="004472C3">
      <w:pPr>
        <w:widowControl w:val="0"/>
        <w:ind w:left="1109" w:hanging="1109"/>
        <w:rPr>
          <w:sz w:val="20"/>
          <w:szCs w:val="20"/>
        </w:rPr>
      </w:pPr>
    </w:p>
    <w:p w:rsidR="005D4B77" w:rsidRPr="00AA6F74" w:rsidRDefault="005D4B77" w:rsidP="005D4B77">
      <w:pPr>
        <w:jc w:val="both"/>
        <w:rPr>
          <w:sz w:val="20"/>
          <w:szCs w:val="20"/>
        </w:rPr>
      </w:pPr>
      <w:r w:rsidRPr="00AA6F74">
        <w:rPr>
          <w:sz w:val="20"/>
          <w:szCs w:val="20"/>
        </w:rPr>
        <w:t xml:space="preserve">The appeal from the judgment of the Court of Appeal for Ontario, Number C65404, 2019 ONCA 963, dated December 6, 2019, was heard on January 18, 2021, and the Court on that day delivered the following judgment orally: </w:t>
      </w:r>
    </w:p>
    <w:p w:rsidR="005D4B77" w:rsidRPr="00AA6F74" w:rsidRDefault="005D4B77" w:rsidP="005D4B77">
      <w:pPr>
        <w:jc w:val="both"/>
        <w:rPr>
          <w:sz w:val="20"/>
          <w:szCs w:val="20"/>
        </w:rPr>
      </w:pPr>
    </w:p>
    <w:p w:rsidR="005D4B77" w:rsidRPr="00AA6F74" w:rsidRDefault="005D4B77" w:rsidP="005D4B77">
      <w:pPr>
        <w:jc w:val="both"/>
        <w:rPr>
          <w:sz w:val="20"/>
          <w:szCs w:val="20"/>
        </w:rPr>
      </w:pPr>
      <w:r w:rsidRPr="00AA6F74">
        <w:rPr>
          <w:smallCaps/>
          <w:sz w:val="20"/>
          <w:szCs w:val="20"/>
        </w:rPr>
        <w:t>The Chief Justice</w:t>
      </w:r>
      <w:r w:rsidRPr="00AA6F74">
        <w:rPr>
          <w:sz w:val="20"/>
          <w:szCs w:val="20"/>
        </w:rPr>
        <w:t xml:space="preserve"> </w:t>
      </w:r>
      <w:r w:rsidRPr="00AA6F74">
        <w:rPr>
          <w:rFonts w:cs="Times New Roman"/>
          <w:sz w:val="20"/>
          <w:szCs w:val="20"/>
        </w:rPr>
        <w:t>—</w:t>
      </w:r>
      <w:r w:rsidRPr="00AA6F74">
        <w:rPr>
          <w:sz w:val="20"/>
          <w:szCs w:val="20"/>
        </w:rPr>
        <w:t xml:space="preserve"> The appeal is allowed for the reasons of Justice van Rensburg, with costs throughout.</w:t>
      </w:r>
    </w:p>
    <w:p w:rsidR="005D4B77" w:rsidRPr="00AA6F74" w:rsidRDefault="005D4B77" w:rsidP="005D4B77">
      <w:pPr>
        <w:jc w:val="both"/>
        <w:rPr>
          <w:sz w:val="20"/>
          <w:szCs w:val="20"/>
        </w:rPr>
      </w:pPr>
    </w:p>
    <w:p w:rsidR="005D4B77" w:rsidRPr="00AA6F74" w:rsidRDefault="005D4B77" w:rsidP="005D4B77">
      <w:pPr>
        <w:rPr>
          <w:sz w:val="20"/>
          <w:szCs w:val="20"/>
        </w:rPr>
      </w:pPr>
      <w:r w:rsidRPr="00AA6F74">
        <w:rPr>
          <w:sz w:val="20"/>
          <w:szCs w:val="20"/>
        </w:rPr>
        <w:t>The judgment of the Court of Appeal is set aside and the trial judgment is restored.</w:t>
      </w:r>
    </w:p>
    <w:p w:rsidR="004472C3" w:rsidRPr="00AA6F74" w:rsidRDefault="004472C3" w:rsidP="004472C3">
      <w:pPr>
        <w:widowControl w:val="0"/>
        <w:ind w:left="1109" w:hanging="1109"/>
        <w:rPr>
          <w:sz w:val="20"/>
          <w:szCs w:val="20"/>
        </w:rPr>
      </w:pPr>
    </w:p>
    <w:p w:rsidR="005D4B77" w:rsidRPr="00AA6F74" w:rsidRDefault="005D4B77" w:rsidP="005D4B77">
      <w:pPr>
        <w:jc w:val="both"/>
        <w:rPr>
          <w:sz w:val="20"/>
          <w:szCs w:val="20"/>
          <w:lang w:val="fr-CA"/>
        </w:rPr>
      </w:pPr>
      <w:r w:rsidRPr="00AA6F74">
        <w:rPr>
          <w:sz w:val="20"/>
          <w:szCs w:val="20"/>
          <w:lang w:val="fr-CA"/>
        </w:rPr>
        <w:t>L’appel interjeté contre l’arrêt de la Cour d’appel de l’Ontario, numéro C65404, 2019 ONCA 963, daté du 6 décembre 2019, a été entendu le 18 janvier 2021 et la Cour a prononcé oralement le même jour le jugement suivant :</w:t>
      </w:r>
    </w:p>
    <w:p w:rsidR="005D4B77" w:rsidRPr="00AA6F74" w:rsidRDefault="005D4B77" w:rsidP="005D4B77">
      <w:pPr>
        <w:jc w:val="both"/>
        <w:rPr>
          <w:sz w:val="20"/>
          <w:szCs w:val="20"/>
          <w:lang w:val="fr-CA"/>
        </w:rPr>
      </w:pPr>
    </w:p>
    <w:p w:rsidR="005D4B77" w:rsidRPr="00AA6F74" w:rsidRDefault="005D4B77" w:rsidP="005D4B77">
      <w:pPr>
        <w:jc w:val="both"/>
        <w:rPr>
          <w:smallCaps/>
          <w:sz w:val="20"/>
          <w:szCs w:val="20"/>
          <w:lang w:val="fr-CA"/>
        </w:rPr>
      </w:pPr>
      <w:r w:rsidRPr="00AA6F74">
        <w:rPr>
          <w:smallCaps/>
          <w:sz w:val="20"/>
          <w:szCs w:val="20"/>
          <w:lang w:val="fr-CA"/>
        </w:rPr>
        <w:t>[traduction]</w:t>
      </w:r>
    </w:p>
    <w:p w:rsidR="005D4B77" w:rsidRPr="00AA6F74" w:rsidRDefault="005D4B77" w:rsidP="005D4B77">
      <w:pPr>
        <w:jc w:val="both"/>
        <w:rPr>
          <w:sz w:val="20"/>
          <w:szCs w:val="20"/>
          <w:lang w:val="fr-CA"/>
        </w:rPr>
      </w:pPr>
      <w:r w:rsidRPr="00AA6F74">
        <w:rPr>
          <w:smallCaps/>
          <w:sz w:val="20"/>
          <w:szCs w:val="20"/>
          <w:lang w:val="fr-CA"/>
        </w:rPr>
        <w:t>Le juge en chef</w:t>
      </w:r>
      <w:r w:rsidRPr="00AA6F74">
        <w:rPr>
          <w:sz w:val="20"/>
          <w:szCs w:val="20"/>
          <w:lang w:val="fr-CA"/>
        </w:rPr>
        <w:t xml:space="preserve"> </w:t>
      </w:r>
      <w:r w:rsidRPr="00AA6F74">
        <w:rPr>
          <w:rFonts w:cs="Times New Roman"/>
          <w:sz w:val="20"/>
          <w:szCs w:val="20"/>
          <w:lang w:val="fr-CA"/>
        </w:rPr>
        <w:t>—</w:t>
      </w:r>
      <w:r w:rsidRPr="00AA6F74">
        <w:rPr>
          <w:sz w:val="20"/>
          <w:szCs w:val="20"/>
          <w:lang w:val="fr-CA"/>
        </w:rPr>
        <w:t xml:space="preserve"> L’appel est accueilli pour les motifs exposés par la juge van Rensburg, avec dépens devant toutes les cours.</w:t>
      </w:r>
    </w:p>
    <w:p w:rsidR="005D4B77" w:rsidRPr="00AA6F74" w:rsidRDefault="005D4B77" w:rsidP="005D4B77">
      <w:pPr>
        <w:jc w:val="both"/>
        <w:rPr>
          <w:sz w:val="20"/>
          <w:szCs w:val="20"/>
          <w:lang w:val="fr-CA"/>
        </w:rPr>
      </w:pPr>
    </w:p>
    <w:p w:rsidR="005D4B77" w:rsidRPr="00AA6F74" w:rsidRDefault="005D4B77" w:rsidP="005D4B77">
      <w:pPr>
        <w:widowControl w:val="0"/>
        <w:ind w:left="1109" w:hanging="1109"/>
        <w:rPr>
          <w:sz w:val="20"/>
          <w:szCs w:val="20"/>
          <w:lang w:val="fr-CA"/>
        </w:rPr>
      </w:pPr>
      <w:r w:rsidRPr="00AA6F74">
        <w:rPr>
          <w:sz w:val="20"/>
          <w:szCs w:val="20"/>
          <w:lang w:val="fr-CA"/>
        </w:rPr>
        <w:t>L’arrêt de la Cour d’appel est annulé et le jugement de première instance est rétabli.</w:t>
      </w:r>
    </w:p>
    <w:p w:rsidR="00E06F20" w:rsidRPr="00AA6F74" w:rsidRDefault="00E06F20" w:rsidP="00102792">
      <w:pPr>
        <w:ind w:left="1109" w:hanging="1109"/>
        <w:rPr>
          <w:bCs/>
          <w:color w:val="000000"/>
          <w:sz w:val="20"/>
          <w:szCs w:val="27"/>
          <w:lang w:val="fr-CA"/>
        </w:rPr>
      </w:pPr>
    </w:p>
    <w:p w:rsidR="00E06F20" w:rsidRPr="00AA6F74" w:rsidRDefault="002A25F4" w:rsidP="00281DA2">
      <w:pPr>
        <w:jc w:val="center"/>
        <w:rPr>
          <w:color w:val="000000"/>
          <w:sz w:val="20"/>
          <w:szCs w:val="27"/>
        </w:rPr>
      </w:pPr>
      <w:r>
        <w:rPr>
          <w:sz w:val="20"/>
          <w:szCs w:val="20"/>
        </w:rPr>
        <w:pict>
          <v:rect id="_x0000_i1061" style="width:2in;height:1pt" o:hrpct="0" o:hralign="center" o:hrstd="t" o:hrnoshade="t" o:hr="t" fillcolor="black [3213]" stroked="f"/>
        </w:pict>
      </w:r>
    </w:p>
    <w:p w:rsidR="00102792" w:rsidRPr="00AA6F74" w:rsidRDefault="00102792" w:rsidP="00102792">
      <w:pPr>
        <w:widowControl w:val="0"/>
        <w:rPr>
          <w:sz w:val="20"/>
          <w:szCs w:val="20"/>
        </w:rPr>
      </w:pPr>
    </w:p>
    <w:p w:rsidR="00172473" w:rsidRPr="00AA6F74" w:rsidRDefault="009B36BA" w:rsidP="00172473">
      <w:pPr>
        <w:rPr>
          <w:b/>
          <w:sz w:val="20"/>
          <w:szCs w:val="20"/>
        </w:rPr>
      </w:pPr>
      <w:r w:rsidRPr="00AA6F74">
        <w:rPr>
          <w:b/>
          <w:sz w:val="20"/>
          <w:szCs w:val="20"/>
        </w:rPr>
        <w:t>JANUARY</w:t>
      </w:r>
      <w:r w:rsidR="00172473" w:rsidRPr="00AA6F74">
        <w:rPr>
          <w:b/>
          <w:sz w:val="20"/>
          <w:szCs w:val="20"/>
        </w:rPr>
        <w:t xml:space="preserve"> </w:t>
      </w:r>
      <w:r w:rsidRPr="00AA6F74">
        <w:rPr>
          <w:b/>
          <w:sz w:val="20"/>
          <w:szCs w:val="20"/>
        </w:rPr>
        <w:t>19</w:t>
      </w:r>
      <w:r w:rsidR="00172473" w:rsidRPr="00AA6F74">
        <w:rPr>
          <w:b/>
          <w:sz w:val="20"/>
          <w:szCs w:val="20"/>
        </w:rPr>
        <w:t>, 202</w:t>
      </w:r>
      <w:r w:rsidRPr="00AA6F74">
        <w:rPr>
          <w:b/>
          <w:sz w:val="20"/>
          <w:szCs w:val="20"/>
        </w:rPr>
        <w:t>1</w:t>
      </w:r>
      <w:r w:rsidR="00172473" w:rsidRPr="00AA6F74">
        <w:rPr>
          <w:b/>
          <w:sz w:val="20"/>
          <w:szCs w:val="20"/>
        </w:rPr>
        <w:t xml:space="preserve"> / LE </w:t>
      </w:r>
      <w:r w:rsidRPr="00AA6F74">
        <w:rPr>
          <w:b/>
          <w:sz w:val="20"/>
          <w:szCs w:val="20"/>
        </w:rPr>
        <w:t>19</w:t>
      </w:r>
      <w:r w:rsidR="00172473" w:rsidRPr="00AA6F74">
        <w:rPr>
          <w:b/>
          <w:sz w:val="20"/>
          <w:szCs w:val="20"/>
        </w:rPr>
        <w:t xml:space="preserve"> </w:t>
      </w:r>
      <w:r w:rsidRPr="00AA6F74">
        <w:rPr>
          <w:b/>
          <w:sz w:val="20"/>
          <w:szCs w:val="20"/>
        </w:rPr>
        <w:t>JANVIER</w:t>
      </w:r>
      <w:r w:rsidR="00172473" w:rsidRPr="00AA6F74">
        <w:rPr>
          <w:b/>
          <w:sz w:val="20"/>
          <w:szCs w:val="20"/>
        </w:rPr>
        <w:t xml:space="preserve"> 202</w:t>
      </w:r>
      <w:r w:rsidRPr="00AA6F74">
        <w:rPr>
          <w:b/>
          <w:sz w:val="20"/>
          <w:szCs w:val="20"/>
        </w:rPr>
        <w:t>1</w:t>
      </w:r>
    </w:p>
    <w:p w:rsidR="00A234E1" w:rsidRPr="00AA6F74" w:rsidRDefault="00A234E1" w:rsidP="00A234E1">
      <w:pPr>
        <w:widowControl w:val="0"/>
        <w:rPr>
          <w:sz w:val="20"/>
          <w:szCs w:val="20"/>
        </w:rPr>
      </w:pPr>
    </w:p>
    <w:p w:rsidR="004472C3" w:rsidRPr="00AA6F74" w:rsidRDefault="004472C3" w:rsidP="004472C3">
      <w:pPr>
        <w:widowControl w:val="0"/>
        <w:rPr>
          <w:sz w:val="20"/>
          <w:szCs w:val="20"/>
        </w:rPr>
      </w:pPr>
      <w:r w:rsidRPr="00AA6F74">
        <w:rPr>
          <w:b/>
          <w:iCs/>
          <w:sz w:val="20"/>
          <w:szCs w:val="20"/>
        </w:rPr>
        <w:t xml:space="preserve">Jamis Yusuf </w:t>
      </w:r>
      <w:r w:rsidR="007244D5">
        <w:rPr>
          <w:b/>
          <w:iCs/>
          <w:sz w:val="20"/>
          <w:szCs w:val="20"/>
        </w:rPr>
        <w:t xml:space="preserve">v. Her Majesty </w:t>
      </w:r>
      <w:proofErr w:type="gramStart"/>
      <w:r w:rsidR="007244D5">
        <w:rPr>
          <w:b/>
          <w:iCs/>
          <w:sz w:val="20"/>
          <w:szCs w:val="20"/>
        </w:rPr>
        <w:t>The</w:t>
      </w:r>
      <w:proofErr w:type="gramEnd"/>
      <w:r w:rsidR="007244D5">
        <w:rPr>
          <w:b/>
          <w:iCs/>
          <w:sz w:val="20"/>
          <w:szCs w:val="20"/>
        </w:rPr>
        <w:t xml:space="preserve"> Queen - AND BETWEEN - Aziz Pauls</w:t>
      </w:r>
      <w:r w:rsidRPr="00AA6F74">
        <w:rPr>
          <w:b/>
          <w:iCs/>
          <w:sz w:val="20"/>
          <w:szCs w:val="20"/>
        </w:rPr>
        <w:t xml:space="preserve"> v. Her Majesty </w:t>
      </w:r>
      <w:proofErr w:type="gramStart"/>
      <w:r w:rsidR="002A25F4">
        <w:rPr>
          <w:b/>
          <w:iCs/>
          <w:sz w:val="20"/>
          <w:szCs w:val="20"/>
        </w:rPr>
        <w:t>T</w:t>
      </w:r>
      <w:r w:rsidRPr="00AA6F74">
        <w:rPr>
          <w:b/>
          <w:iCs/>
          <w:sz w:val="20"/>
          <w:szCs w:val="20"/>
        </w:rPr>
        <w:t>he</w:t>
      </w:r>
      <w:proofErr w:type="gramEnd"/>
      <w:r w:rsidRPr="00AA6F74">
        <w:rPr>
          <w:b/>
          <w:iCs/>
          <w:sz w:val="20"/>
          <w:szCs w:val="20"/>
        </w:rPr>
        <w:t xml:space="preserve"> Queen</w:t>
      </w:r>
      <w:r w:rsidR="007244D5">
        <w:rPr>
          <w:b/>
          <w:iCs/>
          <w:sz w:val="20"/>
          <w:szCs w:val="20"/>
        </w:rPr>
        <w:t xml:space="preserve"> - AND BETWEEN - Jamal Yusuf v. Her Majesty The Queen</w:t>
      </w:r>
      <w:r w:rsidRPr="00AA6F74">
        <w:rPr>
          <w:b/>
          <w:iCs/>
          <w:sz w:val="20"/>
          <w:szCs w:val="20"/>
        </w:rPr>
        <w:t xml:space="preserve"> </w:t>
      </w:r>
      <w:r w:rsidRPr="00AA6F74">
        <w:rPr>
          <w:iCs/>
          <w:sz w:val="20"/>
          <w:szCs w:val="20"/>
        </w:rPr>
        <w:t>(Ont.) (Criminal) (As of Right)</w:t>
      </w:r>
      <w:r w:rsidRPr="00AA6F74">
        <w:rPr>
          <w:color w:val="333333"/>
          <w:sz w:val="20"/>
          <w:szCs w:val="20"/>
        </w:rPr>
        <w:t xml:space="preserve"> (</w:t>
      </w:r>
      <w:hyperlink r:id="rId68" w:history="1">
        <w:r w:rsidRPr="00AA6F74">
          <w:rPr>
            <w:rStyle w:val="Hyperlink"/>
            <w:sz w:val="20"/>
            <w:szCs w:val="20"/>
          </w:rPr>
          <w:t>39110</w:t>
        </w:r>
      </w:hyperlink>
      <w:r w:rsidRPr="00AA6F74">
        <w:rPr>
          <w:color w:val="333333"/>
          <w:sz w:val="20"/>
          <w:szCs w:val="20"/>
        </w:rPr>
        <w:t>)</w:t>
      </w:r>
    </w:p>
    <w:p w:rsidR="004472C3" w:rsidRPr="00AA6F74" w:rsidRDefault="004472C3" w:rsidP="004472C3">
      <w:pPr>
        <w:widowControl w:val="0"/>
        <w:ind w:left="1109" w:hanging="1109"/>
        <w:rPr>
          <w:sz w:val="20"/>
          <w:szCs w:val="20"/>
        </w:rPr>
      </w:pPr>
      <w:r w:rsidRPr="00AA6F74">
        <w:rPr>
          <w:b/>
          <w:sz w:val="20"/>
          <w:szCs w:val="20"/>
        </w:rPr>
        <w:t>202</w:t>
      </w:r>
      <w:r w:rsidR="00B05D01" w:rsidRPr="00AA6F74">
        <w:rPr>
          <w:b/>
          <w:sz w:val="20"/>
          <w:szCs w:val="20"/>
        </w:rPr>
        <w:t>1</w:t>
      </w:r>
      <w:r w:rsidRPr="00AA6F74">
        <w:rPr>
          <w:b/>
          <w:sz w:val="20"/>
          <w:szCs w:val="20"/>
        </w:rPr>
        <w:t xml:space="preserve"> SCC </w:t>
      </w:r>
      <w:r w:rsidR="0009055A" w:rsidRPr="00AA6F74">
        <w:rPr>
          <w:b/>
          <w:sz w:val="20"/>
          <w:szCs w:val="20"/>
        </w:rPr>
        <w:t>2</w:t>
      </w:r>
      <w:r w:rsidRPr="00AA6F74">
        <w:rPr>
          <w:b/>
          <w:sz w:val="20"/>
          <w:szCs w:val="20"/>
        </w:rPr>
        <w:t xml:space="preserve"> / 202</w:t>
      </w:r>
      <w:r w:rsidR="00B05D01" w:rsidRPr="00AA6F74">
        <w:rPr>
          <w:b/>
          <w:sz w:val="20"/>
          <w:szCs w:val="20"/>
        </w:rPr>
        <w:t>1</w:t>
      </w:r>
      <w:r w:rsidRPr="00AA6F74">
        <w:rPr>
          <w:b/>
          <w:sz w:val="20"/>
          <w:szCs w:val="20"/>
        </w:rPr>
        <w:t xml:space="preserve"> CSC </w:t>
      </w:r>
      <w:r w:rsidR="0009055A" w:rsidRPr="00AA6F74">
        <w:rPr>
          <w:b/>
          <w:sz w:val="20"/>
          <w:szCs w:val="20"/>
        </w:rPr>
        <w:t>2</w:t>
      </w:r>
    </w:p>
    <w:p w:rsidR="004472C3" w:rsidRPr="00AA6F74" w:rsidRDefault="004472C3" w:rsidP="004472C3">
      <w:pPr>
        <w:widowControl w:val="0"/>
        <w:ind w:left="1109" w:hanging="1109"/>
        <w:rPr>
          <w:sz w:val="20"/>
          <w:szCs w:val="20"/>
        </w:rPr>
      </w:pPr>
    </w:p>
    <w:p w:rsidR="004472C3" w:rsidRPr="00AA6F74" w:rsidRDefault="004472C3" w:rsidP="004472C3">
      <w:pPr>
        <w:widowControl w:val="0"/>
        <w:ind w:left="1109" w:hanging="1109"/>
        <w:rPr>
          <w:sz w:val="20"/>
          <w:szCs w:val="20"/>
        </w:rPr>
      </w:pPr>
      <w:r w:rsidRPr="00AA6F74">
        <w:rPr>
          <w:sz w:val="20"/>
          <w:szCs w:val="20"/>
        </w:rPr>
        <w:t xml:space="preserve">Coram: </w:t>
      </w:r>
      <w:r w:rsidRPr="00AA6F74">
        <w:rPr>
          <w:sz w:val="20"/>
          <w:szCs w:val="20"/>
        </w:rPr>
        <w:tab/>
        <w:t>Wagner C.J. and Abella, Moldaver, Karakatsanis, Côté, Brown, Rowe, Martin and Kasirer JJ.</w:t>
      </w:r>
    </w:p>
    <w:p w:rsidR="004472C3" w:rsidRPr="00AA6F74" w:rsidRDefault="004472C3" w:rsidP="004472C3">
      <w:pPr>
        <w:widowControl w:val="0"/>
        <w:ind w:left="1109" w:hanging="1109"/>
        <w:rPr>
          <w:sz w:val="20"/>
          <w:szCs w:val="20"/>
        </w:rPr>
      </w:pPr>
    </w:p>
    <w:p w:rsidR="007244D5" w:rsidRPr="007244D5" w:rsidRDefault="007244D5" w:rsidP="007244D5">
      <w:pPr>
        <w:jc w:val="both"/>
        <w:rPr>
          <w:sz w:val="20"/>
          <w:szCs w:val="20"/>
        </w:rPr>
      </w:pPr>
      <w:r w:rsidRPr="007244D5">
        <w:rPr>
          <w:sz w:val="20"/>
          <w:szCs w:val="20"/>
        </w:rPr>
        <w:t xml:space="preserve">The appeal from the judgment of the Court of Appeal for Ontario, Number C64551, 2020 ONCA 220, dated March 18, 2020, was heard on January 19, 2021, and the Court on that day delivered the following judgment orally: </w:t>
      </w:r>
    </w:p>
    <w:p w:rsidR="007244D5" w:rsidRPr="007244D5" w:rsidRDefault="007244D5" w:rsidP="007244D5">
      <w:pPr>
        <w:jc w:val="both"/>
        <w:rPr>
          <w:sz w:val="20"/>
          <w:szCs w:val="20"/>
        </w:rPr>
      </w:pPr>
    </w:p>
    <w:p w:rsidR="007244D5" w:rsidRPr="007244D5" w:rsidRDefault="007244D5" w:rsidP="007244D5">
      <w:pPr>
        <w:jc w:val="both"/>
        <w:rPr>
          <w:sz w:val="20"/>
          <w:szCs w:val="20"/>
        </w:rPr>
      </w:pPr>
      <w:r w:rsidRPr="007244D5">
        <w:rPr>
          <w:smallCaps/>
          <w:sz w:val="20"/>
          <w:szCs w:val="20"/>
        </w:rPr>
        <w:t>Moldaver J.</w:t>
      </w:r>
      <w:r w:rsidRPr="007244D5">
        <w:rPr>
          <w:sz w:val="20"/>
          <w:szCs w:val="20"/>
        </w:rPr>
        <w:t xml:space="preserve"> — </w:t>
      </w:r>
      <w:proofErr w:type="gramStart"/>
      <w:r w:rsidRPr="007244D5">
        <w:rPr>
          <w:sz w:val="20"/>
          <w:szCs w:val="20"/>
        </w:rPr>
        <w:t>This</w:t>
      </w:r>
      <w:proofErr w:type="gramEnd"/>
      <w:r w:rsidRPr="007244D5">
        <w:rPr>
          <w:sz w:val="20"/>
          <w:szCs w:val="20"/>
        </w:rPr>
        <w:t xml:space="preserve"> appeal comes to us as of right. The three appellants were convicted at trial on charges of assault causing bodily harm. Two of the appellants, Messrs. Jamis Yusuf and Jamal Yusuf, were also convicted of unlawful confinement. </w:t>
      </w:r>
    </w:p>
    <w:p w:rsidR="007244D5" w:rsidRPr="007244D5" w:rsidRDefault="007244D5" w:rsidP="007244D5">
      <w:pPr>
        <w:jc w:val="both"/>
        <w:rPr>
          <w:sz w:val="20"/>
          <w:szCs w:val="20"/>
        </w:rPr>
      </w:pPr>
    </w:p>
    <w:p w:rsidR="007244D5" w:rsidRPr="007244D5" w:rsidRDefault="007244D5" w:rsidP="007244D5">
      <w:pPr>
        <w:jc w:val="both"/>
        <w:rPr>
          <w:sz w:val="20"/>
          <w:szCs w:val="20"/>
        </w:rPr>
      </w:pPr>
      <w:r w:rsidRPr="007244D5">
        <w:rPr>
          <w:sz w:val="20"/>
          <w:szCs w:val="20"/>
        </w:rPr>
        <w:t>Following the release of the trial judge’s reasons for judgment, the appellants moved for a stay of proceedings on the basis that their right to be tried within a reasonable time under s. 11(</w:t>
      </w:r>
      <w:r w:rsidRPr="007244D5">
        <w:rPr>
          <w:i/>
          <w:sz w:val="20"/>
          <w:szCs w:val="20"/>
        </w:rPr>
        <w:t>b</w:t>
      </w:r>
      <w:r w:rsidRPr="007244D5">
        <w:rPr>
          <w:sz w:val="20"/>
          <w:szCs w:val="20"/>
        </w:rPr>
        <w:t xml:space="preserve">) of the </w:t>
      </w:r>
      <w:r w:rsidRPr="007244D5">
        <w:rPr>
          <w:i/>
          <w:sz w:val="20"/>
          <w:szCs w:val="20"/>
        </w:rPr>
        <w:t xml:space="preserve">Canadian Charter of Rights and Freedoms </w:t>
      </w:r>
      <w:r w:rsidRPr="007244D5">
        <w:rPr>
          <w:sz w:val="20"/>
          <w:szCs w:val="20"/>
        </w:rPr>
        <w:t>was infringed. The trial judge agreed and stayed the proceedings against them. The Crown appealed from that order and in a unanimous decision, the Court of Appeal for Ontario, applying the appropriate standard of review, allowed the appeal and restored the convictions.</w:t>
      </w:r>
    </w:p>
    <w:p w:rsidR="007244D5" w:rsidRPr="007244D5" w:rsidRDefault="007244D5" w:rsidP="007244D5">
      <w:pPr>
        <w:jc w:val="both"/>
        <w:rPr>
          <w:sz w:val="20"/>
          <w:szCs w:val="20"/>
        </w:rPr>
      </w:pPr>
    </w:p>
    <w:p w:rsidR="007244D5" w:rsidRPr="007244D5" w:rsidRDefault="007244D5" w:rsidP="007244D5">
      <w:pPr>
        <w:jc w:val="both"/>
        <w:rPr>
          <w:sz w:val="20"/>
          <w:szCs w:val="20"/>
        </w:rPr>
      </w:pPr>
      <w:r w:rsidRPr="007244D5">
        <w:rPr>
          <w:sz w:val="20"/>
          <w:szCs w:val="20"/>
        </w:rPr>
        <w:t xml:space="preserve">We agree with the Court of Appeal in the result and would accordingly dismiss the appeal. </w:t>
      </w:r>
    </w:p>
    <w:p w:rsidR="007244D5" w:rsidRPr="007244D5" w:rsidRDefault="007244D5" w:rsidP="007244D5">
      <w:pPr>
        <w:jc w:val="both"/>
        <w:rPr>
          <w:sz w:val="20"/>
          <w:szCs w:val="20"/>
        </w:rPr>
      </w:pPr>
    </w:p>
    <w:p w:rsidR="007244D5" w:rsidRDefault="007244D5">
      <w:pPr>
        <w:rPr>
          <w:sz w:val="20"/>
          <w:szCs w:val="20"/>
        </w:rPr>
      </w:pPr>
      <w:r>
        <w:rPr>
          <w:sz w:val="20"/>
          <w:szCs w:val="20"/>
        </w:rPr>
        <w:br w:type="page"/>
      </w:r>
    </w:p>
    <w:p w:rsidR="007244D5" w:rsidRPr="007244D5" w:rsidRDefault="007244D5" w:rsidP="007244D5">
      <w:pPr>
        <w:jc w:val="both"/>
        <w:rPr>
          <w:sz w:val="20"/>
          <w:szCs w:val="20"/>
        </w:rPr>
      </w:pPr>
      <w:r w:rsidRPr="007244D5">
        <w:rPr>
          <w:sz w:val="20"/>
          <w:szCs w:val="20"/>
        </w:rPr>
        <w:lastRenderedPageBreak/>
        <w:t xml:space="preserve">In doing so, we have chosen to leave for another day various legal issues that arise from this Court’s decisions in </w:t>
      </w:r>
      <w:r w:rsidRPr="007244D5">
        <w:rPr>
          <w:i/>
          <w:sz w:val="20"/>
          <w:szCs w:val="20"/>
        </w:rPr>
        <w:t>R. v. Jordan</w:t>
      </w:r>
      <w:r w:rsidRPr="007244D5">
        <w:rPr>
          <w:sz w:val="20"/>
          <w:szCs w:val="20"/>
        </w:rPr>
        <w:t xml:space="preserve">, 2016 SCC 27, [2016] 1 S.C.R. 631, and </w:t>
      </w:r>
      <w:r w:rsidRPr="007244D5">
        <w:rPr>
          <w:i/>
          <w:sz w:val="20"/>
          <w:szCs w:val="20"/>
        </w:rPr>
        <w:t>R. v. Cody</w:t>
      </w:r>
      <w:r w:rsidRPr="007244D5">
        <w:rPr>
          <w:sz w:val="20"/>
          <w:szCs w:val="20"/>
        </w:rPr>
        <w:t>, 2017 SCC 31, [2017] 1 S.C.R. 659, including whether and in what circumstances multiple accused should be treated communally as opposed to individually when assessing defence delay under s. 11(</w:t>
      </w:r>
      <w:r w:rsidRPr="007244D5">
        <w:rPr>
          <w:i/>
          <w:sz w:val="20"/>
          <w:szCs w:val="20"/>
        </w:rPr>
        <w:t>b</w:t>
      </w:r>
      <w:r w:rsidRPr="007244D5">
        <w:rPr>
          <w:sz w:val="20"/>
          <w:szCs w:val="20"/>
        </w:rPr>
        <w:t xml:space="preserve">); whether discrete events as defined in </w:t>
      </w:r>
      <w:r w:rsidRPr="007244D5">
        <w:rPr>
          <w:i/>
          <w:sz w:val="20"/>
          <w:szCs w:val="20"/>
        </w:rPr>
        <w:t>Jordan</w:t>
      </w:r>
      <w:r w:rsidRPr="007244D5">
        <w:rPr>
          <w:sz w:val="20"/>
          <w:szCs w:val="20"/>
        </w:rPr>
        <w:t xml:space="preserve"> attributable to a particular accused should be deducted only from the accused responsible for those events or be deducted communally from the co-accused as well; and whether a s. 11(</w:t>
      </w:r>
      <w:r w:rsidRPr="007244D5">
        <w:rPr>
          <w:i/>
          <w:sz w:val="20"/>
          <w:szCs w:val="20"/>
        </w:rPr>
        <w:t>b</w:t>
      </w:r>
      <w:r w:rsidRPr="007244D5">
        <w:rPr>
          <w:sz w:val="20"/>
          <w:szCs w:val="20"/>
        </w:rPr>
        <w:t>) application can be brought post</w:t>
      </w:r>
      <w:r w:rsidRPr="007244D5">
        <w:rPr>
          <w:sz w:val="20"/>
          <w:szCs w:val="20"/>
        </w:rPr>
        <w:noBreakHyphen/>
        <w:t>conviction and if so, whether a remedy other than a stay of proceedings is available.</w:t>
      </w:r>
    </w:p>
    <w:p w:rsidR="007244D5" w:rsidRPr="007244D5" w:rsidRDefault="007244D5" w:rsidP="007244D5">
      <w:pPr>
        <w:jc w:val="both"/>
        <w:rPr>
          <w:sz w:val="20"/>
          <w:szCs w:val="20"/>
        </w:rPr>
      </w:pPr>
    </w:p>
    <w:p w:rsidR="004472C3" w:rsidRPr="007244D5" w:rsidRDefault="007244D5" w:rsidP="007244D5">
      <w:pPr>
        <w:widowControl w:val="0"/>
        <w:tabs>
          <w:tab w:val="left" w:pos="720"/>
          <w:tab w:val="left" w:pos="1440"/>
          <w:tab w:val="left" w:pos="2851"/>
          <w:tab w:val="left" w:pos="4320"/>
          <w:tab w:val="left" w:pos="10224"/>
          <w:tab w:val="left" w:pos="11376"/>
        </w:tabs>
        <w:rPr>
          <w:sz w:val="20"/>
          <w:szCs w:val="20"/>
        </w:rPr>
      </w:pPr>
      <w:r w:rsidRPr="007244D5">
        <w:rPr>
          <w:sz w:val="20"/>
          <w:szCs w:val="20"/>
        </w:rPr>
        <w:t xml:space="preserve">In this case, we are of the view that none of these legal issues, taken alone or together, would have affected the resolution of this appeal. Our decision to leave these legal issues to another day is influenced by several matters, including the absence of interveners who could shed light on them; the fact that this is a transitional case in which 70% of the trial was completed before the release of </w:t>
      </w:r>
      <w:r w:rsidRPr="007244D5">
        <w:rPr>
          <w:i/>
          <w:sz w:val="20"/>
          <w:szCs w:val="20"/>
        </w:rPr>
        <w:t>Jordan</w:t>
      </w:r>
      <w:r w:rsidRPr="007244D5">
        <w:rPr>
          <w:sz w:val="20"/>
          <w:szCs w:val="20"/>
        </w:rPr>
        <w:t xml:space="preserve">; and the lack of meaningful efforts on the part of the three accused to move the trial process ahead in cooperation with the Crown and the trial court. As the Court of Appeal observed, correctly in our view, this trial was by any measure uncomplicated. Based on the foregoing, no proper application of </w:t>
      </w:r>
      <w:r w:rsidRPr="007244D5">
        <w:rPr>
          <w:i/>
          <w:sz w:val="20"/>
          <w:szCs w:val="20"/>
        </w:rPr>
        <w:t>Jordan</w:t>
      </w:r>
      <w:r w:rsidRPr="007244D5">
        <w:rPr>
          <w:sz w:val="20"/>
          <w:szCs w:val="20"/>
        </w:rPr>
        <w:t xml:space="preserve"> would have resulted in a stay here.</w:t>
      </w:r>
    </w:p>
    <w:p w:rsidR="00E06F20" w:rsidRDefault="00E06F20" w:rsidP="00A234E1">
      <w:pPr>
        <w:jc w:val="both"/>
        <w:rPr>
          <w:sz w:val="20"/>
          <w:szCs w:val="20"/>
          <w:lang w:val="en-US"/>
        </w:rPr>
      </w:pPr>
    </w:p>
    <w:p w:rsidR="007244D5" w:rsidRPr="007244D5" w:rsidRDefault="007244D5" w:rsidP="00A234E1">
      <w:pPr>
        <w:jc w:val="both"/>
        <w:rPr>
          <w:sz w:val="20"/>
          <w:szCs w:val="20"/>
          <w:lang w:val="en-US"/>
        </w:rPr>
      </w:pPr>
    </w:p>
    <w:p w:rsidR="007244D5" w:rsidRPr="007244D5" w:rsidRDefault="007244D5" w:rsidP="007244D5">
      <w:pPr>
        <w:jc w:val="both"/>
        <w:rPr>
          <w:sz w:val="20"/>
          <w:szCs w:val="20"/>
          <w:lang w:val="fr-CA"/>
        </w:rPr>
      </w:pPr>
      <w:r w:rsidRPr="007244D5">
        <w:rPr>
          <w:sz w:val="20"/>
          <w:szCs w:val="20"/>
          <w:lang w:val="fr-CA"/>
        </w:rPr>
        <w:t>L’appel interjeté contre l’arrêt de la Cour d’appel de l’Ontario, numéro C64551, 2020 ONCA 220, daté du 18 mars 2020, a été entendu le 19 janvier 2021 et la Cour a prononcé oralement le même jour le jugement suivant :</w:t>
      </w:r>
    </w:p>
    <w:p w:rsidR="007244D5" w:rsidRPr="007244D5" w:rsidRDefault="007244D5" w:rsidP="007244D5">
      <w:pPr>
        <w:jc w:val="both"/>
        <w:rPr>
          <w:sz w:val="20"/>
          <w:szCs w:val="20"/>
          <w:lang w:val="fr-CA"/>
        </w:rPr>
      </w:pPr>
    </w:p>
    <w:p w:rsidR="007244D5" w:rsidRPr="007244D5" w:rsidRDefault="007244D5" w:rsidP="007244D5">
      <w:pPr>
        <w:jc w:val="both"/>
        <w:rPr>
          <w:smallCaps/>
          <w:sz w:val="20"/>
          <w:szCs w:val="20"/>
          <w:lang w:val="fr-CA"/>
        </w:rPr>
      </w:pPr>
      <w:r w:rsidRPr="007244D5">
        <w:rPr>
          <w:smallCaps/>
          <w:sz w:val="20"/>
          <w:szCs w:val="20"/>
          <w:lang w:val="fr-CA"/>
        </w:rPr>
        <w:t>[traduction]</w:t>
      </w:r>
    </w:p>
    <w:p w:rsidR="007244D5" w:rsidRPr="007244D5" w:rsidRDefault="007244D5" w:rsidP="007244D5">
      <w:pPr>
        <w:jc w:val="both"/>
        <w:rPr>
          <w:sz w:val="20"/>
          <w:szCs w:val="20"/>
          <w:lang w:val="fr-CA"/>
        </w:rPr>
      </w:pPr>
      <w:r w:rsidRPr="007244D5">
        <w:rPr>
          <w:smallCaps/>
          <w:sz w:val="20"/>
          <w:szCs w:val="20"/>
          <w:lang w:val="fr-CA"/>
        </w:rPr>
        <w:t>Le juge Moldaver</w:t>
      </w:r>
      <w:r w:rsidRPr="007244D5">
        <w:rPr>
          <w:sz w:val="20"/>
          <w:szCs w:val="20"/>
          <w:lang w:val="fr-CA"/>
        </w:rPr>
        <w:t xml:space="preserve"> — Le présent pourvoi a été interjeté de plein droit. Les trois appelants ont, au terme de leur procès, été déclarés coupables de voies de fait causant des lésions corporelles. Deux d’entre eux, MM. Jamis Yusuf et Jamal Yusuf, ont en outre été déclarés coupables de séquestration.</w:t>
      </w:r>
    </w:p>
    <w:p w:rsidR="007244D5" w:rsidRPr="007244D5" w:rsidRDefault="007244D5" w:rsidP="007244D5">
      <w:pPr>
        <w:jc w:val="both"/>
        <w:rPr>
          <w:sz w:val="20"/>
          <w:szCs w:val="20"/>
          <w:lang w:val="fr-CA"/>
        </w:rPr>
      </w:pPr>
    </w:p>
    <w:p w:rsidR="007244D5" w:rsidRPr="007244D5" w:rsidRDefault="007244D5" w:rsidP="007244D5">
      <w:pPr>
        <w:jc w:val="both"/>
        <w:rPr>
          <w:sz w:val="20"/>
          <w:szCs w:val="20"/>
          <w:lang w:val="fr-CA"/>
        </w:rPr>
      </w:pPr>
      <w:r w:rsidRPr="007244D5">
        <w:rPr>
          <w:sz w:val="20"/>
          <w:szCs w:val="20"/>
          <w:lang w:val="fr-CA"/>
        </w:rPr>
        <w:t>Après le dépôt des motifs de jugement du juge du procès, les appelants ont demandé un arrêt des procédures pour cause de violation du droit d’être jugé dans un délai raisonnable que leur garantit l’al. 11</w:t>
      </w:r>
      <w:r w:rsidRPr="007244D5">
        <w:rPr>
          <w:i/>
          <w:sz w:val="20"/>
          <w:szCs w:val="20"/>
          <w:lang w:val="fr-CA"/>
        </w:rPr>
        <w:t>b</w:t>
      </w:r>
      <w:r w:rsidRPr="007244D5">
        <w:rPr>
          <w:sz w:val="20"/>
          <w:szCs w:val="20"/>
          <w:lang w:val="fr-CA"/>
        </w:rPr>
        <w:t xml:space="preserve">) de la </w:t>
      </w:r>
      <w:r w:rsidRPr="007244D5">
        <w:rPr>
          <w:i/>
          <w:sz w:val="20"/>
          <w:szCs w:val="20"/>
          <w:lang w:val="fr-CA"/>
        </w:rPr>
        <w:t>Charte canadienne des droits et libertés</w:t>
      </w:r>
      <w:r w:rsidRPr="007244D5">
        <w:rPr>
          <w:sz w:val="20"/>
          <w:szCs w:val="20"/>
          <w:lang w:val="fr-CA"/>
        </w:rPr>
        <w:t>. Le juge de première instance leur a donné raison et a ordonné l’arrêt des procédures les visant. Le ministère public a fait appel de cette ordonnance et, dans un arrêt unanime, la Cour d’appel de l’Ontario, appliquant la norme de contrôle appropriée, a accueilli l’appel et rétabli les déclarations de culpabilité.</w:t>
      </w:r>
    </w:p>
    <w:p w:rsidR="007244D5" w:rsidRPr="007244D5" w:rsidRDefault="007244D5" w:rsidP="007244D5">
      <w:pPr>
        <w:jc w:val="both"/>
        <w:rPr>
          <w:sz w:val="20"/>
          <w:szCs w:val="20"/>
          <w:lang w:val="fr-CA"/>
        </w:rPr>
      </w:pPr>
    </w:p>
    <w:p w:rsidR="007244D5" w:rsidRPr="007244D5" w:rsidRDefault="007244D5" w:rsidP="007244D5">
      <w:pPr>
        <w:jc w:val="both"/>
        <w:rPr>
          <w:sz w:val="20"/>
          <w:szCs w:val="20"/>
          <w:lang w:val="fr-CA"/>
        </w:rPr>
      </w:pPr>
      <w:r w:rsidRPr="007244D5">
        <w:rPr>
          <w:sz w:val="20"/>
          <w:szCs w:val="20"/>
          <w:lang w:val="fr-CA"/>
        </w:rPr>
        <w:t>Nous souscrivons à la décision de la Cour d’appel quant au résultat, et nous sommes en conséquence d’avis de rejeter le pourvoi.</w:t>
      </w:r>
    </w:p>
    <w:p w:rsidR="007244D5" w:rsidRPr="007244D5" w:rsidRDefault="007244D5" w:rsidP="007244D5">
      <w:pPr>
        <w:jc w:val="both"/>
        <w:rPr>
          <w:sz w:val="20"/>
          <w:szCs w:val="20"/>
          <w:lang w:val="fr-CA"/>
        </w:rPr>
      </w:pPr>
    </w:p>
    <w:p w:rsidR="007244D5" w:rsidRPr="007244D5" w:rsidRDefault="007244D5" w:rsidP="007244D5">
      <w:pPr>
        <w:jc w:val="both"/>
        <w:rPr>
          <w:sz w:val="20"/>
          <w:szCs w:val="20"/>
          <w:lang w:val="fr-CA"/>
        </w:rPr>
      </w:pPr>
      <w:r w:rsidRPr="007244D5">
        <w:rPr>
          <w:sz w:val="20"/>
          <w:szCs w:val="20"/>
          <w:lang w:val="fr-CA"/>
        </w:rPr>
        <w:t xml:space="preserve">Ce faisant, nous avons choisi de reporter à une autre occasion l’examen de diverses questions de droit qui découlent des arrêts </w:t>
      </w:r>
      <w:r w:rsidRPr="007244D5">
        <w:rPr>
          <w:i/>
          <w:sz w:val="20"/>
          <w:szCs w:val="20"/>
          <w:lang w:val="fr-CA"/>
        </w:rPr>
        <w:t>R. c. Jordan</w:t>
      </w:r>
      <w:r w:rsidRPr="007244D5">
        <w:rPr>
          <w:sz w:val="20"/>
          <w:szCs w:val="20"/>
          <w:lang w:val="fr-CA"/>
        </w:rPr>
        <w:t xml:space="preserve">, 2016 CSC 27, [2016] 1 R.C.S. 631, et </w:t>
      </w:r>
      <w:r w:rsidRPr="007244D5">
        <w:rPr>
          <w:i/>
          <w:sz w:val="20"/>
          <w:szCs w:val="20"/>
          <w:lang w:val="fr-CA"/>
        </w:rPr>
        <w:t>R. c. Cody</w:t>
      </w:r>
      <w:r w:rsidRPr="007244D5">
        <w:rPr>
          <w:sz w:val="20"/>
          <w:szCs w:val="20"/>
          <w:lang w:val="fr-CA"/>
        </w:rPr>
        <w:t>, 2017 CSC 31, [2017] 1 R.C.S. 659, de notre Cour, notamment les questions suivantes : Est-ce qu’il faut — et dans l’affirmative, dans quelles circonstances — traiter de multiples accusés collectivement, plutôt qu’individuellement, dans l’appréciation des délais imputables à la défense au regard de l’al. 11</w:t>
      </w:r>
      <w:r w:rsidRPr="007244D5">
        <w:rPr>
          <w:i/>
          <w:sz w:val="20"/>
          <w:szCs w:val="20"/>
          <w:lang w:val="fr-CA"/>
        </w:rPr>
        <w:t>b</w:t>
      </w:r>
      <w:r w:rsidRPr="007244D5">
        <w:rPr>
          <w:sz w:val="20"/>
          <w:szCs w:val="20"/>
          <w:lang w:val="fr-CA"/>
        </w:rPr>
        <w:t xml:space="preserve">)? Est-ce que des événements distincts au sens de l’arrêt </w:t>
      </w:r>
      <w:r w:rsidRPr="007244D5">
        <w:rPr>
          <w:i/>
          <w:sz w:val="20"/>
          <w:szCs w:val="20"/>
          <w:lang w:val="fr-CA"/>
        </w:rPr>
        <w:t>Jordan</w:t>
      </w:r>
      <w:r w:rsidRPr="007244D5">
        <w:rPr>
          <w:sz w:val="20"/>
          <w:szCs w:val="20"/>
          <w:lang w:val="fr-CA"/>
        </w:rPr>
        <w:t>, qui sont attribuables à un accusé en particulier, doivent entraîner des déductions uniquement à l’égard de l’accusé responsable de ces événements ou également à l’égard des autres coaccusés collectivement? Est-ce qu’une demande fondée sur l’al. 11</w:t>
      </w:r>
      <w:r w:rsidRPr="007244D5">
        <w:rPr>
          <w:i/>
          <w:sz w:val="20"/>
          <w:szCs w:val="20"/>
          <w:lang w:val="fr-CA"/>
        </w:rPr>
        <w:t>b</w:t>
      </w:r>
      <w:r w:rsidRPr="007244D5">
        <w:rPr>
          <w:sz w:val="20"/>
          <w:szCs w:val="20"/>
          <w:lang w:val="fr-CA"/>
        </w:rPr>
        <w:t>) peut être présentée après la déclaration de culpabilité et, dans l’affirmative, est-ce qu’une réparation autre que l’arrêt des procédures peut être accordée?</w:t>
      </w:r>
    </w:p>
    <w:p w:rsidR="007244D5" w:rsidRPr="007244D5" w:rsidRDefault="007244D5" w:rsidP="007244D5">
      <w:pPr>
        <w:jc w:val="both"/>
        <w:rPr>
          <w:sz w:val="20"/>
          <w:szCs w:val="20"/>
          <w:lang w:val="fr-CA"/>
        </w:rPr>
      </w:pPr>
    </w:p>
    <w:p w:rsidR="007244D5" w:rsidRPr="007244D5" w:rsidRDefault="007244D5" w:rsidP="007244D5">
      <w:pPr>
        <w:jc w:val="both"/>
        <w:rPr>
          <w:sz w:val="20"/>
          <w:szCs w:val="20"/>
          <w:lang w:val="fr-CA"/>
        </w:rPr>
      </w:pPr>
      <w:r w:rsidRPr="007244D5">
        <w:rPr>
          <w:sz w:val="20"/>
          <w:szCs w:val="20"/>
          <w:lang w:val="fr-CA"/>
        </w:rPr>
        <w:t xml:space="preserve">En l’espèce, nous sommes d’avis qu’aucune de ces questions de droit, considérées seules ou globalement, n’aurait eu d’incidence sur l’issue du présent pourvoi. Plusieurs considérations nous amènent à reporter à une autre occasion l’examen de ces questions de droit, notamment l’absence d’intervenants susceptibles d’apporter un éclairage à leur égard; le fait qu’il s’agit d’une affaire visée par la période transitoire et dans laquelle 70 % du procès avait eu lieu avant le prononcé de l’arrêt </w:t>
      </w:r>
      <w:r w:rsidRPr="007244D5">
        <w:rPr>
          <w:i/>
          <w:sz w:val="20"/>
          <w:szCs w:val="20"/>
          <w:lang w:val="fr-CA"/>
        </w:rPr>
        <w:t>Jordan</w:t>
      </w:r>
      <w:r w:rsidRPr="007244D5">
        <w:rPr>
          <w:sz w:val="20"/>
          <w:szCs w:val="20"/>
          <w:lang w:val="fr-CA"/>
        </w:rPr>
        <w:t xml:space="preserve">; et l’absence d’efforts utiles de la part des trois accusés pour faire avancer le procès de concert avec le ministère public et le tribunal de première instance. Comme l’a souligné la Cour d’appel, et ce, à juste titre selon nous, le procès qui s’est tenu en l’espèce n’avait absolument rien de compliqué. À la lumière de ce qui précède, appliqué adéquatement, l’arrêt </w:t>
      </w:r>
      <w:r w:rsidRPr="007244D5">
        <w:rPr>
          <w:i/>
          <w:sz w:val="20"/>
          <w:szCs w:val="20"/>
          <w:lang w:val="fr-CA"/>
        </w:rPr>
        <w:t>Jordan</w:t>
      </w:r>
      <w:r w:rsidRPr="007244D5">
        <w:rPr>
          <w:sz w:val="20"/>
          <w:szCs w:val="20"/>
          <w:lang w:val="fr-CA"/>
        </w:rPr>
        <w:t xml:space="preserve"> ne justifiait d’aucune façon l’octroi d’un arrêt des procédures en l’espèce.</w:t>
      </w:r>
    </w:p>
    <w:p w:rsidR="007244D5" w:rsidRPr="007244D5" w:rsidRDefault="007244D5" w:rsidP="00A234E1">
      <w:pPr>
        <w:jc w:val="both"/>
        <w:rPr>
          <w:sz w:val="20"/>
          <w:szCs w:val="20"/>
          <w:lang w:val="fr-CA"/>
        </w:rPr>
      </w:pPr>
    </w:p>
    <w:p w:rsidR="00D004FC" w:rsidRPr="00AA6F74" w:rsidRDefault="002A25F4" w:rsidP="00102792">
      <w:pPr>
        <w:rPr>
          <w:sz w:val="20"/>
          <w:szCs w:val="20"/>
          <w:lang w:val="fr-CA"/>
        </w:rPr>
      </w:pPr>
      <w:r>
        <w:rPr>
          <w:sz w:val="20"/>
          <w:szCs w:val="20"/>
        </w:rPr>
        <w:pict>
          <v:rect id="_x0000_i1062" style="width:2in;height:1pt" o:hrpct="0" o:hralign="center" o:hrstd="t" o:hrnoshade="t" o:hr="t" fillcolor="black [3213]" stroked="f"/>
        </w:pict>
      </w:r>
    </w:p>
    <w:p w:rsidR="007244D5" w:rsidRPr="007244D5" w:rsidRDefault="007244D5">
      <w:pPr>
        <w:rPr>
          <w:sz w:val="20"/>
          <w:szCs w:val="20"/>
          <w:lang w:val="fr-CA"/>
        </w:rPr>
      </w:pPr>
    </w:p>
    <w:p w:rsidR="007A13B6" w:rsidRPr="00AA6F74" w:rsidRDefault="007A13B6" w:rsidP="007A13B6">
      <w:pPr>
        <w:rPr>
          <w:b/>
          <w:sz w:val="20"/>
          <w:szCs w:val="20"/>
          <w:lang w:val="fr-CA"/>
        </w:rPr>
      </w:pPr>
      <w:r w:rsidRPr="00AA6F74">
        <w:rPr>
          <w:b/>
          <w:sz w:val="20"/>
          <w:szCs w:val="20"/>
          <w:lang w:val="fr-CA"/>
        </w:rPr>
        <w:t>JANUARY 20, 2021 / LE 20 JANVIER 2021</w:t>
      </w:r>
    </w:p>
    <w:p w:rsidR="007A13B6" w:rsidRPr="00AA6F74" w:rsidRDefault="007A13B6" w:rsidP="007A13B6">
      <w:pPr>
        <w:widowControl w:val="0"/>
        <w:rPr>
          <w:sz w:val="20"/>
          <w:szCs w:val="20"/>
          <w:lang w:val="fr-CA"/>
        </w:rPr>
      </w:pPr>
    </w:p>
    <w:p w:rsidR="004472C3" w:rsidRPr="00AA6F74" w:rsidRDefault="004472C3" w:rsidP="004472C3">
      <w:pPr>
        <w:widowControl w:val="0"/>
        <w:rPr>
          <w:sz w:val="20"/>
          <w:szCs w:val="20"/>
          <w:lang w:val="fr-CA"/>
        </w:rPr>
      </w:pPr>
      <w:r w:rsidRPr="00AA6F74">
        <w:rPr>
          <w:b/>
          <w:iCs/>
          <w:sz w:val="20"/>
          <w:szCs w:val="20"/>
          <w:lang w:val="fr-CA"/>
        </w:rPr>
        <w:t xml:space="preserve">Sa Majesté la Reine c. Éric Deslauriers </w:t>
      </w:r>
      <w:r w:rsidRPr="00AA6F74">
        <w:rPr>
          <w:iCs/>
          <w:sz w:val="20"/>
          <w:szCs w:val="20"/>
          <w:lang w:val="fr-CA"/>
        </w:rPr>
        <w:t>(Qc) (Criminelle) (De plein droit)</w:t>
      </w:r>
      <w:r w:rsidRPr="00AA6F74">
        <w:rPr>
          <w:color w:val="333333"/>
          <w:sz w:val="20"/>
          <w:szCs w:val="20"/>
          <w:lang w:val="fr-CA"/>
        </w:rPr>
        <w:t xml:space="preserve"> (</w:t>
      </w:r>
      <w:hyperlink r:id="rId69" w:history="1">
        <w:r w:rsidRPr="00AA6F74">
          <w:rPr>
            <w:rStyle w:val="Hyperlink"/>
            <w:sz w:val="20"/>
            <w:szCs w:val="20"/>
            <w:lang w:val="fr-CA"/>
          </w:rPr>
          <w:t>39131</w:t>
        </w:r>
      </w:hyperlink>
      <w:r w:rsidRPr="00AA6F74">
        <w:rPr>
          <w:color w:val="333333"/>
          <w:sz w:val="20"/>
          <w:szCs w:val="20"/>
          <w:lang w:val="fr-CA"/>
        </w:rPr>
        <w:t>)</w:t>
      </w:r>
    </w:p>
    <w:p w:rsidR="004472C3" w:rsidRPr="00AA6F74" w:rsidRDefault="004472C3" w:rsidP="004472C3">
      <w:pPr>
        <w:widowControl w:val="0"/>
        <w:ind w:left="1109" w:hanging="1109"/>
        <w:rPr>
          <w:sz w:val="20"/>
          <w:szCs w:val="20"/>
          <w:lang w:val="fr-CA"/>
        </w:rPr>
      </w:pPr>
      <w:r w:rsidRPr="00AA6F74">
        <w:rPr>
          <w:b/>
          <w:sz w:val="20"/>
          <w:szCs w:val="20"/>
          <w:lang w:val="fr-CA"/>
        </w:rPr>
        <w:t>202</w:t>
      </w:r>
      <w:r w:rsidR="00B05D01" w:rsidRPr="00AA6F74">
        <w:rPr>
          <w:b/>
          <w:sz w:val="20"/>
          <w:szCs w:val="20"/>
          <w:lang w:val="fr-CA"/>
        </w:rPr>
        <w:t>1</w:t>
      </w:r>
      <w:r w:rsidRPr="00AA6F74">
        <w:rPr>
          <w:b/>
          <w:sz w:val="20"/>
          <w:szCs w:val="20"/>
          <w:lang w:val="fr-CA"/>
        </w:rPr>
        <w:t xml:space="preserve"> SCC </w:t>
      </w:r>
      <w:r w:rsidR="00B95084" w:rsidRPr="00AA6F74">
        <w:rPr>
          <w:b/>
          <w:sz w:val="20"/>
          <w:szCs w:val="20"/>
          <w:lang w:val="fr-CA"/>
        </w:rPr>
        <w:t>3</w:t>
      </w:r>
      <w:r w:rsidRPr="00AA6F74">
        <w:rPr>
          <w:b/>
          <w:sz w:val="20"/>
          <w:szCs w:val="20"/>
          <w:lang w:val="fr-CA"/>
        </w:rPr>
        <w:t xml:space="preserve"> / 202</w:t>
      </w:r>
      <w:r w:rsidR="00B05D01" w:rsidRPr="00AA6F74">
        <w:rPr>
          <w:b/>
          <w:sz w:val="20"/>
          <w:szCs w:val="20"/>
          <w:lang w:val="fr-CA"/>
        </w:rPr>
        <w:t>1</w:t>
      </w:r>
      <w:r w:rsidRPr="00AA6F74">
        <w:rPr>
          <w:b/>
          <w:sz w:val="20"/>
          <w:szCs w:val="20"/>
          <w:lang w:val="fr-CA"/>
        </w:rPr>
        <w:t xml:space="preserve"> CSC </w:t>
      </w:r>
      <w:r w:rsidR="00B95084" w:rsidRPr="00AA6F74">
        <w:rPr>
          <w:b/>
          <w:sz w:val="20"/>
          <w:szCs w:val="20"/>
          <w:lang w:val="fr-CA"/>
        </w:rPr>
        <w:t>3</w:t>
      </w:r>
    </w:p>
    <w:p w:rsidR="004472C3" w:rsidRPr="00AA6F74" w:rsidRDefault="004472C3" w:rsidP="004472C3">
      <w:pPr>
        <w:widowControl w:val="0"/>
        <w:ind w:left="1109" w:hanging="1109"/>
        <w:rPr>
          <w:sz w:val="20"/>
          <w:szCs w:val="20"/>
          <w:lang w:val="fr-CA"/>
        </w:rPr>
      </w:pPr>
    </w:p>
    <w:p w:rsidR="004472C3" w:rsidRPr="00AA6F74" w:rsidRDefault="004472C3" w:rsidP="004472C3">
      <w:pPr>
        <w:widowControl w:val="0"/>
        <w:ind w:left="1109" w:hanging="1109"/>
        <w:rPr>
          <w:sz w:val="20"/>
          <w:szCs w:val="20"/>
          <w:lang w:val="fr-CA"/>
        </w:rPr>
      </w:pPr>
      <w:r w:rsidRPr="00AA6F74">
        <w:rPr>
          <w:sz w:val="20"/>
          <w:szCs w:val="20"/>
          <w:lang w:val="fr-CA"/>
        </w:rPr>
        <w:t xml:space="preserve">Coram: </w:t>
      </w:r>
      <w:r w:rsidRPr="00AA6F74">
        <w:rPr>
          <w:sz w:val="20"/>
          <w:szCs w:val="20"/>
          <w:lang w:val="fr-CA"/>
        </w:rPr>
        <w:tab/>
        <w:t>Le juge en chef Wagner et les juges Abella, Moldaver, Côté, Brown Rowe et Kasirer</w:t>
      </w:r>
    </w:p>
    <w:p w:rsidR="004472C3" w:rsidRPr="00F23E23" w:rsidRDefault="004472C3" w:rsidP="004472C3">
      <w:pPr>
        <w:widowControl w:val="0"/>
        <w:ind w:left="1109" w:hanging="1109"/>
        <w:rPr>
          <w:sz w:val="20"/>
          <w:szCs w:val="20"/>
          <w:lang w:val="fr-CA"/>
        </w:rPr>
      </w:pPr>
    </w:p>
    <w:p w:rsidR="00F23E23" w:rsidRPr="00F23E23" w:rsidRDefault="00F23E23" w:rsidP="00F23E23">
      <w:pPr>
        <w:jc w:val="both"/>
        <w:rPr>
          <w:sz w:val="20"/>
          <w:szCs w:val="20"/>
          <w:lang w:val="fr-CA"/>
        </w:rPr>
      </w:pPr>
      <w:r w:rsidRPr="00F23E23">
        <w:rPr>
          <w:sz w:val="20"/>
          <w:szCs w:val="20"/>
          <w:lang w:val="fr-CA"/>
        </w:rPr>
        <w:t>L’appel interjeté contre l’arrêt de la Cour d’appel du Québec (Montréal), numéro 500-10-006539-173, 2020 QCCA 484, daté du 26 mars 2020, a été entendu le 20 janvier 2021 et la Cour a prononcé oralement le même jour le jugement suivant:</w:t>
      </w:r>
    </w:p>
    <w:p w:rsidR="00F23E23" w:rsidRPr="00F23E23" w:rsidRDefault="00F23E23" w:rsidP="00F23E23">
      <w:pPr>
        <w:jc w:val="both"/>
        <w:rPr>
          <w:sz w:val="20"/>
          <w:szCs w:val="20"/>
          <w:lang w:val="fr-CA"/>
        </w:rPr>
      </w:pPr>
    </w:p>
    <w:p w:rsidR="00F23E23" w:rsidRPr="00F23E23" w:rsidRDefault="00F23E23" w:rsidP="00F23E23">
      <w:pPr>
        <w:jc w:val="both"/>
        <w:rPr>
          <w:sz w:val="20"/>
          <w:szCs w:val="20"/>
          <w:lang w:val="fr-CA"/>
        </w:rPr>
      </w:pPr>
      <w:r w:rsidRPr="00F23E23">
        <w:rPr>
          <w:smallCaps/>
          <w:sz w:val="20"/>
          <w:szCs w:val="20"/>
          <w:lang w:val="fr-CA"/>
        </w:rPr>
        <w:t xml:space="preserve">Le juge en chef </w:t>
      </w:r>
      <w:r w:rsidRPr="00F23E23">
        <w:rPr>
          <w:sz w:val="20"/>
          <w:szCs w:val="20"/>
          <w:lang w:val="fr-CA"/>
        </w:rPr>
        <w:t>— Le ministère public se pourvoit de plein droit sur des questions de droit suite au jugement majoritaire de la Cour d’appel du Québec qui a cassé le verdict de culpabilité prononcé par la juge Joëlle Roy de la Cour du Québec et a ordonné la tenue d’un nouveau procès. Une majorité des juges de notre Cour est d’avis de rejeter le pourvoi pour les motifs du juge Chamberland.</w:t>
      </w:r>
    </w:p>
    <w:p w:rsidR="00F23E23" w:rsidRPr="00F23E23" w:rsidRDefault="00F23E23" w:rsidP="00F23E23">
      <w:pPr>
        <w:jc w:val="both"/>
        <w:rPr>
          <w:sz w:val="20"/>
          <w:szCs w:val="20"/>
          <w:lang w:val="fr-CA"/>
        </w:rPr>
      </w:pPr>
    </w:p>
    <w:p w:rsidR="00F23E23" w:rsidRPr="00F23E23" w:rsidRDefault="00F23E23" w:rsidP="00F23E23">
      <w:pPr>
        <w:jc w:val="both"/>
        <w:rPr>
          <w:sz w:val="20"/>
          <w:szCs w:val="20"/>
          <w:lang w:val="fr-CA"/>
        </w:rPr>
      </w:pPr>
      <w:r w:rsidRPr="00F23E23">
        <w:rPr>
          <w:sz w:val="20"/>
          <w:szCs w:val="20"/>
          <w:lang w:val="fr-CA"/>
        </w:rPr>
        <w:t>La juge Roy a erré en droit en refusant à M. Deslauriers le droit d’obtenir et de déposer, le cas échéant, des documents portant sur l’existence de trois enquêtes criminelles et un rapport du Centre jeunesse des Laurentides impliquant la victime, information vraisemblablement et raisonnablement susceptible d’aider M. Deslauriers dans l’exercice de son droit à une défense pleine et entière.</w:t>
      </w:r>
    </w:p>
    <w:p w:rsidR="00F23E23" w:rsidRPr="00F23E23" w:rsidRDefault="00F23E23" w:rsidP="00F23E23">
      <w:pPr>
        <w:jc w:val="both"/>
        <w:rPr>
          <w:sz w:val="20"/>
          <w:szCs w:val="20"/>
          <w:lang w:val="fr-CA"/>
        </w:rPr>
      </w:pPr>
    </w:p>
    <w:p w:rsidR="00F23E23" w:rsidRPr="00F23E23" w:rsidRDefault="00F23E23" w:rsidP="00F23E23">
      <w:pPr>
        <w:jc w:val="both"/>
        <w:rPr>
          <w:sz w:val="20"/>
          <w:szCs w:val="20"/>
          <w:lang w:val="fr-CA"/>
        </w:rPr>
      </w:pPr>
      <w:r w:rsidRPr="00F23E23">
        <w:rPr>
          <w:sz w:val="20"/>
          <w:szCs w:val="20"/>
          <w:lang w:val="fr-CA"/>
        </w:rPr>
        <w:t>La juge Roy a également erré dans l’interprétation et le traitement de la preuve capitale pour l’accusé de nature à entraîner une erreur judiciaire. En raison de nos motifs, cependant, il n’est pas nécessaire de disposer de cette question déjà décidée par la Cour d’appel du Québec. La juge Roy a également erré dans le traitement du témoignage de l’expert M. Poulin qui portait sur le comportement de M. Deslauriers en tant que policier, ce qui était au cœur de ses moyens de défense.</w:t>
      </w:r>
    </w:p>
    <w:p w:rsidR="00F23E23" w:rsidRPr="00F23E23" w:rsidRDefault="00F23E23" w:rsidP="00F23E23">
      <w:pPr>
        <w:jc w:val="both"/>
        <w:rPr>
          <w:sz w:val="20"/>
          <w:szCs w:val="20"/>
          <w:lang w:val="fr-CA"/>
        </w:rPr>
      </w:pPr>
    </w:p>
    <w:p w:rsidR="00F23E23" w:rsidRPr="00F23E23" w:rsidRDefault="00F23E23" w:rsidP="00F23E23">
      <w:pPr>
        <w:jc w:val="both"/>
        <w:rPr>
          <w:sz w:val="20"/>
          <w:szCs w:val="20"/>
          <w:lang w:val="fr-CA"/>
        </w:rPr>
      </w:pPr>
      <w:r w:rsidRPr="00F23E23">
        <w:rPr>
          <w:sz w:val="20"/>
          <w:szCs w:val="20"/>
          <w:lang w:val="fr-CA"/>
        </w:rPr>
        <w:t>Finalement, bien qu’il ne soit pas nécessaire de se prononcer sur l’aspect récusation du jugement entrepris, et dans la mesure où le ministère public désire poursuivre les procédures menant à un deuxième procès, ce dernier devra procéder devant un autre juge d’instance. Pour ces motifs, le pourvoi est rejeté.</w:t>
      </w:r>
    </w:p>
    <w:p w:rsidR="00F23E23" w:rsidRPr="00F23E23" w:rsidRDefault="00F23E23" w:rsidP="00F23E23">
      <w:pPr>
        <w:jc w:val="both"/>
        <w:rPr>
          <w:sz w:val="20"/>
          <w:szCs w:val="20"/>
          <w:lang w:val="fr-CA"/>
        </w:rPr>
      </w:pPr>
    </w:p>
    <w:p w:rsidR="00F23E23" w:rsidRPr="00F23E23" w:rsidRDefault="00F23E23" w:rsidP="00F23E23">
      <w:pPr>
        <w:jc w:val="both"/>
        <w:rPr>
          <w:sz w:val="20"/>
          <w:szCs w:val="20"/>
          <w:lang w:val="fr-CA"/>
        </w:rPr>
      </w:pPr>
      <w:r w:rsidRPr="00F23E23">
        <w:rPr>
          <w:sz w:val="20"/>
          <w:szCs w:val="20"/>
          <w:lang w:val="fr-CA"/>
        </w:rPr>
        <w:t xml:space="preserve">Les juges Abella et Brown sont d’avis que les documents recherchés par la défense ne satisfont pas au critère de « pertinence probable » au sens des arrêts </w:t>
      </w:r>
      <w:r w:rsidRPr="00F23E23">
        <w:rPr>
          <w:i/>
          <w:sz w:val="20"/>
          <w:szCs w:val="20"/>
          <w:lang w:val="fr-CA"/>
        </w:rPr>
        <w:t>R. c.</w:t>
      </w:r>
      <w:r w:rsidRPr="00F23E23">
        <w:rPr>
          <w:sz w:val="20"/>
          <w:szCs w:val="20"/>
          <w:lang w:val="fr-CA"/>
        </w:rPr>
        <w:t xml:space="preserve"> </w:t>
      </w:r>
      <w:r w:rsidRPr="00F23E23">
        <w:rPr>
          <w:i/>
          <w:sz w:val="20"/>
          <w:szCs w:val="20"/>
          <w:lang w:val="fr-CA"/>
        </w:rPr>
        <w:t>O’Connor</w:t>
      </w:r>
      <w:r w:rsidRPr="00F23E23">
        <w:rPr>
          <w:sz w:val="20"/>
          <w:szCs w:val="20"/>
          <w:lang w:val="fr-CA"/>
        </w:rPr>
        <w:t xml:space="preserve">, [1995] 4 R.C.S. 411, et </w:t>
      </w:r>
      <w:r w:rsidRPr="00F23E23">
        <w:rPr>
          <w:i/>
          <w:sz w:val="20"/>
          <w:szCs w:val="20"/>
          <w:lang w:val="fr-CA"/>
        </w:rPr>
        <w:t>R. c.</w:t>
      </w:r>
      <w:r w:rsidRPr="00F23E23">
        <w:rPr>
          <w:sz w:val="20"/>
          <w:szCs w:val="20"/>
          <w:lang w:val="fr-CA"/>
        </w:rPr>
        <w:t xml:space="preserve"> </w:t>
      </w:r>
      <w:r w:rsidRPr="00F23E23">
        <w:rPr>
          <w:i/>
          <w:sz w:val="20"/>
          <w:szCs w:val="20"/>
          <w:lang w:val="fr-CA"/>
        </w:rPr>
        <w:t>McNeil</w:t>
      </w:r>
      <w:r w:rsidRPr="00F23E23">
        <w:rPr>
          <w:sz w:val="20"/>
          <w:szCs w:val="20"/>
          <w:lang w:val="fr-CA"/>
        </w:rPr>
        <w:t xml:space="preserve">, 2009 CSC 3, [2009] 1 R.C.S. 66. De plus, à leur avis, l’expert Bruno Poulin a dépassé les limites de son expertise, et son témoignage n’était ni pertinent ni nécessaire au sens de l’arrêt </w:t>
      </w:r>
      <w:r w:rsidRPr="00F23E23">
        <w:rPr>
          <w:i/>
          <w:sz w:val="20"/>
          <w:szCs w:val="20"/>
          <w:lang w:val="fr-CA"/>
        </w:rPr>
        <w:t>R. c.</w:t>
      </w:r>
      <w:r w:rsidRPr="00F23E23">
        <w:rPr>
          <w:sz w:val="20"/>
          <w:szCs w:val="20"/>
          <w:lang w:val="fr-CA"/>
        </w:rPr>
        <w:t xml:space="preserve"> </w:t>
      </w:r>
      <w:r w:rsidRPr="00F23E23">
        <w:rPr>
          <w:i/>
          <w:sz w:val="20"/>
          <w:szCs w:val="20"/>
          <w:lang w:val="fr-CA"/>
        </w:rPr>
        <w:t>Sekhon</w:t>
      </w:r>
      <w:r w:rsidRPr="00F23E23">
        <w:rPr>
          <w:sz w:val="20"/>
          <w:szCs w:val="20"/>
          <w:lang w:val="fr-CA"/>
        </w:rPr>
        <w:t>, 2014 CSC 15, [2014] 1 R.C.S. 272. Pour ces motifs, ils auraient accueilli l’appel, infirmé l’arrêt de la Cour d’appel et rétabli le verdict de culpabilité.</w:t>
      </w:r>
    </w:p>
    <w:p w:rsidR="004472C3" w:rsidRDefault="004472C3" w:rsidP="004472C3">
      <w:pPr>
        <w:widowControl w:val="0"/>
        <w:tabs>
          <w:tab w:val="left" w:pos="720"/>
          <w:tab w:val="left" w:pos="1440"/>
          <w:tab w:val="left" w:pos="2851"/>
          <w:tab w:val="left" w:pos="4320"/>
          <w:tab w:val="left" w:pos="10224"/>
          <w:tab w:val="left" w:pos="11376"/>
        </w:tabs>
        <w:rPr>
          <w:sz w:val="20"/>
          <w:szCs w:val="20"/>
          <w:lang w:val="fr-CA"/>
        </w:rPr>
      </w:pPr>
    </w:p>
    <w:p w:rsidR="00F23E23" w:rsidRPr="00F23E23" w:rsidRDefault="00F23E23" w:rsidP="004472C3">
      <w:pPr>
        <w:widowControl w:val="0"/>
        <w:tabs>
          <w:tab w:val="left" w:pos="720"/>
          <w:tab w:val="left" w:pos="1440"/>
          <w:tab w:val="left" w:pos="2851"/>
          <w:tab w:val="left" w:pos="4320"/>
          <w:tab w:val="left" w:pos="10224"/>
          <w:tab w:val="left" w:pos="11376"/>
        </w:tabs>
        <w:rPr>
          <w:sz w:val="20"/>
          <w:szCs w:val="20"/>
          <w:lang w:val="fr-CA"/>
        </w:rPr>
      </w:pPr>
    </w:p>
    <w:p w:rsidR="00F23E23" w:rsidRPr="00F23E23" w:rsidRDefault="00F23E23" w:rsidP="00F23E23">
      <w:pPr>
        <w:jc w:val="both"/>
        <w:rPr>
          <w:sz w:val="20"/>
          <w:szCs w:val="20"/>
        </w:rPr>
      </w:pPr>
      <w:r w:rsidRPr="00F23E23">
        <w:rPr>
          <w:sz w:val="20"/>
          <w:szCs w:val="20"/>
        </w:rPr>
        <w:t xml:space="preserve">The appeal from the judgment of the Court of Appeal of Quebec (Montréal), Number 500-10-006539-173, 2020 QCCA 484, dated March 26, 2020, was heard on January 20, 2021, and the Court on that day delivered the following judgment orally: </w:t>
      </w:r>
    </w:p>
    <w:p w:rsidR="00F23E23" w:rsidRPr="00F23E23" w:rsidRDefault="00F23E23" w:rsidP="00F23E23">
      <w:pPr>
        <w:jc w:val="both"/>
        <w:rPr>
          <w:sz w:val="20"/>
          <w:szCs w:val="20"/>
        </w:rPr>
      </w:pPr>
    </w:p>
    <w:p w:rsidR="00F23E23" w:rsidRPr="00F23E23" w:rsidRDefault="00F23E23" w:rsidP="00F23E23">
      <w:pPr>
        <w:jc w:val="both"/>
        <w:rPr>
          <w:smallCaps/>
          <w:sz w:val="20"/>
          <w:szCs w:val="20"/>
        </w:rPr>
      </w:pPr>
      <w:r w:rsidRPr="00F23E23">
        <w:rPr>
          <w:smallCaps/>
          <w:sz w:val="20"/>
          <w:szCs w:val="20"/>
        </w:rPr>
        <w:t>[translation]</w:t>
      </w:r>
    </w:p>
    <w:p w:rsidR="00F23E23" w:rsidRPr="00F23E23" w:rsidRDefault="00F23E23" w:rsidP="00F23E23">
      <w:pPr>
        <w:jc w:val="both"/>
        <w:rPr>
          <w:sz w:val="20"/>
          <w:szCs w:val="20"/>
        </w:rPr>
      </w:pPr>
      <w:r w:rsidRPr="00F23E23">
        <w:rPr>
          <w:smallCaps/>
          <w:sz w:val="20"/>
          <w:szCs w:val="20"/>
        </w:rPr>
        <w:t>The Chief Justice</w:t>
      </w:r>
      <w:r w:rsidRPr="00F23E23">
        <w:rPr>
          <w:sz w:val="20"/>
          <w:szCs w:val="20"/>
        </w:rPr>
        <w:t xml:space="preserve"> — The Crown appeals as of right on questions of law further to the majority judgment of the Quebec Court of Appeal setting aside the guilty verdict entered by Judge Joëlle Roy of the Court of Québec and ordering a new trial. A majority of this Court would dismiss the appeal for the reasons given by Chamberland J.A.</w:t>
      </w:r>
    </w:p>
    <w:p w:rsidR="00F23E23" w:rsidRPr="00F23E23" w:rsidRDefault="00F23E23" w:rsidP="00F23E23">
      <w:pPr>
        <w:jc w:val="both"/>
        <w:rPr>
          <w:sz w:val="20"/>
          <w:szCs w:val="20"/>
        </w:rPr>
      </w:pPr>
    </w:p>
    <w:p w:rsidR="00F23E23" w:rsidRPr="00F23E23" w:rsidRDefault="00F23E23" w:rsidP="00F23E23">
      <w:pPr>
        <w:jc w:val="both"/>
        <w:rPr>
          <w:sz w:val="20"/>
          <w:szCs w:val="20"/>
        </w:rPr>
      </w:pPr>
      <w:r w:rsidRPr="00F23E23">
        <w:rPr>
          <w:sz w:val="20"/>
          <w:szCs w:val="20"/>
        </w:rPr>
        <w:t>Judge Roy erred in law in denying Mr. Deslauriers the right to obtain and, if need be, file documents relating to the existence of three criminal investigations and a report from the Centre jeunesse des Laurentides involving the victim. There was a likely and reasonable possibility that the information in question could assist Mr. Deslauriers in exercising his right to make full answer and defence.</w:t>
      </w:r>
    </w:p>
    <w:p w:rsidR="00F23E23" w:rsidRPr="00F23E23" w:rsidRDefault="00F23E23" w:rsidP="00F23E23">
      <w:pPr>
        <w:jc w:val="both"/>
        <w:rPr>
          <w:sz w:val="20"/>
          <w:szCs w:val="20"/>
        </w:rPr>
      </w:pPr>
    </w:p>
    <w:p w:rsidR="00F23E23" w:rsidRDefault="00F23E23">
      <w:pPr>
        <w:rPr>
          <w:sz w:val="20"/>
          <w:szCs w:val="20"/>
        </w:rPr>
      </w:pPr>
      <w:r>
        <w:rPr>
          <w:sz w:val="20"/>
          <w:szCs w:val="20"/>
        </w:rPr>
        <w:br w:type="page"/>
      </w:r>
    </w:p>
    <w:p w:rsidR="00F23E23" w:rsidRPr="00F23E23" w:rsidRDefault="00F23E23" w:rsidP="00F23E23">
      <w:pPr>
        <w:jc w:val="both"/>
        <w:rPr>
          <w:sz w:val="20"/>
          <w:szCs w:val="20"/>
        </w:rPr>
      </w:pPr>
      <w:r w:rsidRPr="00F23E23">
        <w:rPr>
          <w:sz w:val="20"/>
          <w:szCs w:val="20"/>
        </w:rPr>
        <w:lastRenderedPageBreak/>
        <w:t>Moreover, Judge Roy erred in her interpretation and treatment of the evidence crucial to the accused, such as to cause a miscarriage of justice. Because of our reasons, however, it is not necessary to dispose of this question already decided by the Quebec Court of Appeal. Judge Roy also erred in her treatment of the testimony given by an expert, Mr. Poulin, concerning Mr. Deslauriers’s conduct as a police officer, which was central to his defences.</w:t>
      </w:r>
    </w:p>
    <w:p w:rsidR="00F23E23" w:rsidRPr="00F23E23" w:rsidRDefault="00F23E23" w:rsidP="00F23E23">
      <w:pPr>
        <w:jc w:val="both"/>
        <w:rPr>
          <w:sz w:val="20"/>
          <w:szCs w:val="20"/>
        </w:rPr>
      </w:pPr>
    </w:p>
    <w:p w:rsidR="00F23E23" w:rsidRPr="00F23E23" w:rsidRDefault="00F23E23" w:rsidP="00F23E23">
      <w:pPr>
        <w:jc w:val="both"/>
        <w:rPr>
          <w:sz w:val="20"/>
          <w:szCs w:val="20"/>
        </w:rPr>
      </w:pPr>
      <w:r w:rsidRPr="00F23E23">
        <w:rPr>
          <w:sz w:val="20"/>
          <w:szCs w:val="20"/>
        </w:rPr>
        <w:t>Finally, although it is not necessary to deal with the recusation aspect of the judgment under appeal, and insofar as the Crown wishes to continue the proceedings leading to a second trial, it will have to proceed before another trial judge. For these reasons, the appeal is dismissed.</w:t>
      </w:r>
    </w:p>
    <w:p w:rsidR="00F23E23" w:rsidRPr="00F23E23" w:rsidRDefault="00F23E23" w:rsidP="00F23E23">
      <w:pPr>
        <w:jc w:val="both"/>
        <w:rPr>
          <w:sz w:val="20"/>
          <w:szCs w:val="20"/>
        </w:rPr>
      </w:pPr>
    </w:p>
    <w:p w:rsidR="00F23E23" w:rsidRPr="00F23E23" w:rsidRDefault="00F23E23" w:rsidP="00F23E23">
      <w:pPr>
        <w:widowControl w:val="0"/>
        <w:tabs>
          <w:tab w:val="left" w:pos="720"/>
          <w:tab w:val="left" w:pos="1440"/>
          <w:tab w:val="left" w:pos="2851"/>
          <w:tab w:val="left" w:pos="4320"/>
          <w:tab w:val="left" w:pos="10224"/>
          <w:tab w:val="left" w:pos="11376"/>
        </w:tabs>
        <w:rPr>
          <w:sz w:val="20"/>
          <w:szCs w:val="20"/>
          <w:lang w:val="en-US"/>
        </w:rPr>
      </w:pPr>
      <w:r w:rsidRPr="00F23E23">
        <w:rPr>
          <w:sz w:val="20"/>
          <w:szCs w:val="20"/>
        </w:rPr>
        <w:t xml:space="preserve">Abella and Brown JJ. </w:t>
      </w:r>
      <w:proofErr w:type="gramStart"/>
      <w:r w:rsidRPr="00F23E23">
        <w:rPr>
          <w:sz w:val="20"/>
          <w:szCs w:val="20"/>
        </w:rPr>
        <w:t>are</w:t>
      </w:r>
      <w:proofErr w:type="gramEnd"/>
      <w:r w:rsidRPr="00F23E23">
        <w:rPr>
          <w:sz w:val="20"/>
          <w:szCs w:val="20"/>
        </w:rPr>
        <w:t xml:space="preserve"> of the view that the documents sought by the defence do not meet the threshold of “likely relevance” within the meaning of </w:t>
      </w:r>
      <w:r w:rsidRPr="00F23E23">
        <w:rPr>
          <w:i/>
          <w:sz w:val="20"/>
          <w:szCs w:val="20"/>
        </w:rPr>
        <w:t>R. v.</w:t>
      </w:r>
      <w:r w:rsidRPr="00F23E23">
        <w:rPr>
          <w:sz w:val="20"/>
          <w:szCs w:val="20"/>
        </w:rPr>
        <w:t xml:space="preserve"> </w:t>
      </w:r>
      <w:r w:rsidRPr="00F23E23">
        <w:rPr>
          <w:i/>
          <w:sz w:val="20"/>
          <w:szCs w:val="20"/>
        </w:rPr>
        <w:t>O’Connor</w:t>
      </w:r>
      <w:r w:rsidRPr="00F23E23">
        <w:rPr>
          <w:sz w:val="20"/>
          <w:szCs w:val="20"/>
        </w:rPr>
        <w:t xml:space="preserve">, [1995] 4 S.C.R. 411, and </w:t>
      </w:r>
      <w:r w:rsidRPr="00F23E23">
        <w:rPr>
          <w:i/>
          <w:sz w:val="20"/>
          <w:szCs w:val="20"/>
        </w:rPr>
        <w:t>R. v.</w:t>
      </w:r>
      <w:r w:rsidRPr="00F23E23">
        <w:rPr>
          <w:sz w:val="20"/>
          <w:szCs w:val="20"/>
        </w:rPr>
        <w:t xml:space="preserve"> </w:t>
      </w:r>
      <w:r w:rsidRPr="00F23E23">
        <w:rPr>
          <w:i/>
          <w:sz w:val="20"/>
          <w:szCs w:val="20"/>
        </w:rPr>
        <w:t>McNeil</w:t>
      </w:r>
      <w:r w:rsidRPr="00F23E23">
        <w:rPr>
          <w:sz w:val="20"/>
          <w:szCs w:val="20"/>
        </w:rPr>
        <w:t xml:space="preserve">, 2009 SCC 3, [2009] 1 S.C.R. 66. They are also of the view that the expert, Bruno Poulin, strayed beyond the proper scope of his expert evidence and that his testimony was neither relevant nor necessary within the meaning of </w:t>
      </w:r>
      <w:r w:rsidRPr="00F23E23">
        <w:rPr>
          <w:i/>
          <w:sz w:val="20"/>
          <w:szCs w:val="20"/>
        </w:rPr>
        <w:t>R. v.</w:t>
      </w:r>
      <w:r w:rsidRPr="00F23E23">
        <w:rPr>
          <w:sz w:val="20"/>
          <w:szCs w:val="20"/>
        </w:rPr>
        <w:t xml:space="preserve"> </w:t>
      </w:r>
      <w:r w:rsidRPr="00F23E23">
        <w:rPr>
          <w:i/>
          <w:sz w:val="20"/>
          <w:szCs w:val="20"/>
        </w:rPr>
        <w:t>Sekhon</w:t>
      </w:r>
      <w:r w:rsidRPr="00F23E23">
        <w:rPr>
          <w:sz w:val="20"/>
          <w:szCs w:val="20"/>
        </w:rPr>
        <w:t>, 2014 SCC 15, [2014] 1 S.C.R. 272. For these reasons, they would have allowed the appeal, set aside the Court of Appeal’s judgment and restored the guilty verdict.</w:t>
      </w:r>
    </w:p>
    <w:p w:rsidR="007A13B6" w:rsidRPr="00F23E23" w:rsidRDefault="007A13B6" w:rsidP="00732DB7">
      <w:pPr>
        <w:widowControl w:val="0"/>
        <w:rPr>
          <w:sz w:val="20"/>
          <w:szCs w:val="20"/>
          <w:lang w:val="en-US"/>
        </w:rPr>
      </w:pPr>
    </w:p>
    <w:p w:rsidR="007A13B6" w:rsidRPr="00AA6F74" w:rsidRDefault="002A25F4" w:rsidP="00732DB7">
      <w:pPr>
        <w:widowControl w:val="0"/>
        <w:rPr>
          <w:sz w:val="20"/>
          <w:szCs w:val="20"/>
          <w:lang w:val="en-US"/>
        </w:rPr>
      </w:pPr>
      <w:r>
        <w:rPr>
          <w:sz w:val="20"/>
          <w:szCs w:val="20"/>
        </w:rPr>
        <w:pict>
          <v:rect id="_x0000_i1063" style="width:2in;height:1pt" o:hrpct="0" o:hralign="center" o:hrstd="t" o:hrnoshade="t" o:hr="t" fillcolor="black [3213]" stroked="f"/>
        </w:pict>
      </w:r>
    </w:p>
    <w:p w:rsidR="007A13B6" w:rsidRPr="00AA6F74" w:rsidRDefault="007A13B6" w:rsidP="00732DB7">
      <w:pPr>
        <w:widowControl w:val="0"/>
        <w:rPr>
          <w:sz w:val="20"/>
          <w:szCs w:val="20"/>
          <w:lang w:val="en-US"/>
        </w:rPr>
      </w:pPr>
    </w:p>
    <w:p w:rsidR="007A13B6" w:rsidRPr="00AA6F74" w:rsidRDefault="007A13B6" w:rsidP="007A13B6">
      <w:pPr>
        <w:rPr>
          <w:b/>
          <w:sz w:val="20"/>
          <w:szCs w:val="20"/>
        </w:rPr>
      </w:pPr>
      <w:r w:rsidRPr="00AA6F74">
        <w:rPr>
          <w:b/>
          <w:sz w:val="20"/>
          <w:szCs w:val="20"/>
        </w:rPr>
        <w:t>JANUARY 21, 2021 / LE 21 JANVIER 2021</w:t>
      </w:r>
    </w:p>
    <w:p w:rsidR="007A13B6" w:rsidRPr="00AA6F74" w:rsidRDefault="007A13B6" w:rsidP="007A13B6">
      <w:pPr>
        <w:widowControl w:val="0"/>
        <w:rPr>
          <w:sz w:val="20"/>
          <w:szCs w:val="20"/>
        </w:rPr>
      </w:pPr>
    </w:p>
    <w:p w:rsidR="004472C3" w:rsidRPr="00AA6F74" w:rsidRDefault="004472C3" w:rsidP="004472C3">
      <w:pPr>
        <w:widowControl w:val="0"/>
        <w:rPr>
          <w:sz w:val="20"/>
          <w:szCs w:val="20"/>
        </w:rPr>
      </w:pPr>
      <w:r w:rsidRPr="00AA6F74">
        <w:rPr>
          <w:b/>
          <w:iCs/>
          <w:sz w:val="20"/>
          <w:szCs w:val="20"/>
        </w:rPr>
        <w:t xml:space="preserve">Muneeb Murtaza v. Her Majesty the Queen </w:t>
      </w:r>
      <w:r w:rsidRPr="00AA6F74">
        <w:rPr>
          <w:iCs/>
          <w:sz w:val="20"/>
          <w:szCs w:val="20"/>
        </w:rPr>
        <w:t>(Alta.) (Criminal) (As of Right)</w:t>
      </w:r>
      <w:r w:rsidRPr="00AA6F74">
        <w:rPr>
          <w:color w:val="333333"/>
          <w:sz w:val="20"/>
          <w:szCs w:val="20"/>
        </w:rPr>
        <w:t xml:space="preserve"> </w:t>
      </w:r>
      <w:r w:rsidRPr="00AA6F74">
        <w:rPr>
          <w:color w:val="333333"/>
          <w:sz w:val="20"/>
          <w:szCs w:val="20"/>
          <w:lang w:val="en-US"/>
        </w:rPr>
        <w:t>(</w:t>
      </w:r>
      <w:hyperlink r:id="rId70" w:history="1">
        <w:r w:rsidRPr="00AA6F74">
          <w:rPr>
            <w:rStyle w:val="Hyperlink"/>
            <w:sz w:val="20"/>
            <w:szCs w:val="20"/>
            <w:lang w:val="en-US"/>
          </w:rPr>
          <w:t>39134</w:t>
        </w:r>
      </w:hyperlink>
      <w:r w:rsidRPr="00AA6F74">
        <w:rPr>
          <w:color w:val="333333"/>
          <w:sz w:val="20"/>
          <w:szCs w:val="20"/>
          <w:lang w:val="en-US"/>
        </w:rPr>
        <w:t>)</w:t>
      </w:r>
    </w:p>
    <w:p w:rsidR="004472C3" w:rsidRPr="00AA6F74" w:rsidRDefault="004472C3" w:rsidP="004472C3">
      <w:pPr>
        <w:widowControl w:val="0"/>
        <w:ind w:left="1109" w:hanging="1109"/>
        <w:rPr>
          <w:sz w:val="20"/>
          <w:szCs w:val="20"/>
        </w:rPr>
      </w:pPr>
      <w:r w:rsidRPr="00AA6F74">
        <w:rPr>
          <w:b/>
          <w:sz w:val="20"/>
          <w:szCs w:val="20"/>
        </w:rPr>
        <w:t>202</w:t>
      </w:r>
      <w:r w:rsidR="00B05D01" w:rsidRPr="00AA6F74">
        <w:rPr>
          <w:b/>
          <w:sz w:val="20"/>
          <w:szCs w:val="20"/>
        </w:rPr>
        <w:t>1</w:t>
      </w:r>
      <w:r w:rsidRPr="00AA6F74">
        <w:rPr>
          <w:b/>
          <w:sz w:val="20"/>
          <w:szCs w:val="20"/>
        </w:rPr>
        <w:t xml:space="preserve"> SCC </w:t>
      </w:r>
      <w:r w:rsidR="0075220B" w:rsidRPr="00AA6F74">
        <w:rPr>
          <w:b/>
          <w:sz w:val="20"/>
          <w:szCs w:val="20"/>
        </w:rPr>
        <w:t>4</w:t>
      </w:r>
      <w:r w:rsidRPr="00AA6F74">
        <w:rPr>
          <w:b/>
          <w:sz w:val="20"/>
          <w:szCs w:val="20"/>
        </w:rPr>
        <w:t xml:space="preserve"> / 202</w:t>
      </w:r>
      <w:r w:rsidR="00B05D01" w:rsidRPr="00AA6F74">
        <w:rPr>
          <w:b/>
          <w:sz w:val="20"/>
          <w:szCs w:val="20"/>
        </w:rPr>
        <w:t>1</w:t>
      </w:r>
      <w:r w:rsidRPr="00AA6F74">
        <w:rPr>
          <w:b/>
          <w:sz w:val="20"/>
          <w:szCs w:val="20"/>
        </w:rPr>
        <w:t xml:space="preserve"> CSC </w:t>
      </w:r>
      <w:r w:rsidR="0075220B" w:rsidRPr="00AA6F74">
        <w:rPr>
          <w:b/>
          <w:sz w:val="20"/>
          <w:szCs w:val="20"/>
        </w:rPr>
        <w:t>4</w:t>
      </w:r>
    </w:p>
    <w:p w:rsidR="004472C3" w:rsidRPr="00AA6F74" w:rsidRDefault="004472C3" w:rsidP="004472C3">
      <w:pPr>
        <w:widowControl w:val="0"/>
        <w:ind w:left="1109" w:hanging="1109"/>
        <w:rPr>
          <w:sz w:val="20"/>
          <w:szCs w:val="20"/>
        </w:rPr>
      </w:pPr>
    </w:p>
    <w:p w:rsidR="004472C3" w:rsidRPr="00AA6F74" w:rsidRDefault="004472C3" w:rsidP="004472C3">
      <w:pPr>
        <w:widowControl w:val="0"/>
        <w:ind w:left="1109" w:hanging="1109"/>
        <w:rPr>
          <w:sz w:val="20"/>
          <w:szCs w:val="20"/>
        </w:rPr>
      </w:pPr>
      <w:r w:rsidRPr="00AA6F74">
        <w:rPr>
          <w:sz w:val="20"/>
          <w:szCs w:val="20"/>
        </w:rPr>
        <w:t xml:space="preserve">Coram: </w:t>
      </w:r>
      <w:r w:rsidRPr="00AA6F74">
        <w:rPr>
          <w:sz w:val="20"/>
          <w:szCs w:val="20"/>
        </w:rPr>
        <w:tab/>
        <w:t>Wagner C.J. and Abella, Moldaver, Karakatsanis, Côté, Brown and Kasirer JJ.</w:t>
      </w:r>
    </w:p>
    <w:p w:rsidR="004472C3" w:rsidRPr="00C32B75" w:rsidRDefault="004472C3" w:rsidP="004472C3">
      <w:pPr>
        <w:widowControl w:val="0"/>
        <w:ind w:left="1109" w:hanging="1109"/>
        <w:rPr>
          <w:sz w:val="20"/>
          <w:szCs w:val="20"/>
        </w:rPr>
      </w:pPr>
    </w:p>
    <w:p w:rsidR="00C32B75" w:rsidRPr="00C32B75" w:rsidRDefault="00C32B75" w:rsidP="00C32B75">
      <w:pPr>
        <w:jc w:val="both"/>
        <w:rPr>
          <w:sz w:val="20"/>
          <w:szCs w:val="20"/>
        </w:rPr>
      </w:pPr>
      <w:r w:rsidRPr="00C32B75">
        <w:rPr>
          <w:sz w:val="20"/>
          <w:szCs w:val="20"/>
        </w:rPr>
        <w:t xml:space="preserve">The appeal from the judgment of the Court of Appeal of Alberta (Calgary), Number 1901-0130-A, 2020 ABCA 158, dated April 24, 2020, was heard on January 21, 2021, and the Court on that day delivered the following judgment orally: </w:t>
      </w:r>
    </w:p>
    <w:p w:rsidR="00C32B75" w:rsidRPr="00C32B75" w:rsidRDefault="00C32B75" w:rsidP="00C32B75">
      <w:pPr>
        <w:jc w:val="both"/>
        <w:rPr>
          <w:sz w:val="20"/>
          <w:szCs w:val="20"/>
        </w:rPr>
      </w:pPr>
    </w:p>
    <w:p w:rsidR="00C32B75" w:rsidRPr="00C32B75" w:rsidRDefault="00C32B75" w:rsidP="00C32B75">
      <w:pPr>
        <w:jc w:val="both"/>
        <w:rPr>
          <w:sz w:val="20"/>
          <w:szCs w:val="20"/>
        </w:rPr>
      </w:pPr>
      <w:r w:rsidRPr="00C32B75">
        <w:rPr>
          <w:smallCaps/>
          <w:sz w:val="20"/>
          <w:szCs w:val="20"/>
        </w:rPr>
        <w:t xml:space="preserve">The Chief Justice </w:t>
      </w:r>
      <w:r w:rsidRPr="00C32B75">
        <w:rPr>
          <w:sz w:val="20"/>
          <w:szCs w:val="20"/>
        </w:rPr>
        <w:t xml:space="preserve">— </w:t>
      </w:r>
      <w:proofErr w:type="gramStart"/>
      <w:r w:rsidRPr="00C32B75">
        <w:rPr>
          <w:sz w:val="20"/>
          <w:szCs w:val="20"/>
        </w:rPr>
        <w:t>A</w:t>
      </w:r>
      <w:proofErr w:type="gramEnd"/>
      <w:r w:rsidRPr="00C32B75">
        <w:rPr>
          <w:sz w:val="20"/>
          <w:szCs w:val="20"/>
        </w:rPr>
        <w:t xml:space="preserve"> majority of the Court would dismiss the appeal substantially for the reasons of Rowbotham J.A. They would simply add that when the evidence of the buy officer and the surveillance officer is considered in conjunction with the concession of defence counsel that the person arrested on July 27, 2015, was the appellant, there was sufficient admissible evidence supporting the trial judge’s conclusion that the appellant and the suspect were one and the same.</w:t>
      </w:r>
    </w:p>
    <w:p w:rsidR="00C32B75" w:rsidRPr="00C32B75" w:rsidRDefault="00C32B75" w:rsidP="00C32B75">
      <w:pPr>
        <w:jc w:val="both"/>
        <w:rPr>
          <w:sz w:val="20"/>
          <w:szCs w:val="20"/>
        </w:rPr>
      </w:pPr>
    </w:p>
    <w:p w:rsidR="00C32B75" w:rsidRPr="00C32B75" w:rsidRDefault="00C32B75" w:rsidP="00C32B75">
      <w:pPr>
        <w:jc w:val="both"/>
        <w:rPr>
          <w:sz w:val="20"/>
          <w:szCs w:val="20"/>
        </w:rPr>
      </w:pPr>
      <w:r w:rsidRPr="00C32B75">
        <w:rPr>
          <w:sz w:val="20"/>
          <w:szCs w:val="20"/>
        </w:rPr>
        <w:t>Justice Brown would have allowed the appeal substantially for the reasons of Veldhuis J.A. and would have ordered a new trial.</w:t>
      </w:r>
    </w:p>
    <w:p w:rsidR="004472C3" w:rsidRPr="00C32B75" w:rsidRDefault="004472C3" w:rsidP="004472C3">
      <w:pPr>
        <w:widowControl w:val="0"/>
        <w:tabs>
          <w:tab w:val="left" w:pos="720"/>
          <w:tab w:val="left" w:pos="1440"/>
          <w:tab w:val="left" w:pos="2851"/>
          <w:tab w:val="left" w:pos="4320"/>
          <w:tab w:val="left" w:pos="10224"/>
          <w:tab w:val="left" w:pos="11376"/>
        </w:tabs>
        <w:rPr>
          <w:sz w:val="20"/>
          <w:szCs w:val="20"/>
        </w:rPr>
      </w:pPr>
    </w:p>
    <w:p w:rsidR="00C32B75" w:rsidRPr="00C32B75" w:rsidRDefault="00C32B75" w:rsidP="00C32B75">
      <w:pPr>
        <w:jc w:val="both"/>
        <w:rPr>
          <w:sz w:val="20"/>
          <w:szCs w:val="20"/>
          <w:lang w:val="fr-CA"/>
        </w:rPr>
      </w:pPr>
      <w:r w:rsidRPr="00C32B75">
        <w:rPr>
          <w:sz w:val="20"/>
          <w:szCs w:val="20"/>
          <w:lang w:val="fr-CA"/>
        </w:rPr>
        <w:t>L’appel interjeté contre l’arrêt de la Cour d'appel de l’Alberta (Calgary), numéro 1901-0130-A, 2020 ABCA 158, daté du 24 avril 2020, a été entendu le 21 janvier 2021 et la Cour a prononcé oralement le même jour le jugement suivant :</w:t>
      </w:r>
    </w:p>
    <w:p w:rsidR="00C32B75" w:rsidRPr="00C32B75" w:rsidRDefault="00C32B75" w:rsidP="00C32B75">
      <w:pPr>
        <w:jc w:val="both"/>
        <w:rPr>
          <w:sz w:val="20"/>
          <w:szCs w:val="20"/>
          <w:lang w:val="fr-CA"/>
        </w:rPr>
      </w:pPr>
    </w:p>
    <w:p w:rsidR="00C32B75" w:rsidRPr="00C32B75" w:rsidRDefault="00C32B75" w:rsidP="00C32B75">
      <w:pPr>
        <w:jc w:val="both"/>
        <w:rPr>
          <w:smallCaps/>
          <w:sz w:val="20"/>
          <w:szCs w:val="20"/>
          <w:lang w:val="fr-CA"/>
        </w:rPr>
      </w:pPr>
      <w:r w:rsidRPr="00C32B75">
        <w:rPr>
          <w:smallCaps/>
          <w:sz w:val="20"/>
          <w:szCs w:val="20"/>
          <w:lang w:val="fr-CA"/>
        </w:rPr>
        <w:t>[traduction]</w:t>
      </w:r>
    </w:p>
    <w:p w:rsidR="00C32B75" w:rsidRPr="00C32B75" w:rsidRDefault="00C32B75" w:rsidP="00C32B75">
      <w:pPr>
        <w:jc w:val="both"/>
        <w:rPr>
          <w:smallCaps/>
          <w:sz w:val="20"/>
          <w:szCs w:val="20"/>
          <w:lang w:val="fr-CA"/>
        </w:rPr>
      </w:pPr>
      <w:r w:rsidRPr="00C32B75">
        <w:rPr>
          <w:smallCaps/>
          <w:sz w:val="20"/>
          <w:szCs w:val="20"/>
          <w:lang w:val="fr-CA"/>
        </w:rPr>
        <w:t xml:space="preserve">Le juge en chef </w:t>
      </w:r>
      <w:r w:rsidRPr="00C32B75">
        <w:rPr>
          <w:sz w:val="20"/>
          <w:szCs w:val="20"/>
          <w:lang w:val="fr-CA"/>
        </w:rPr>
        <w:t>—— La Cour, à la majorité, est d’avis de rejeter l’appel, essentiellement pour les motifs exposés par la juge d’appel Rowbotham. Les juges de la majorité ajouteraient simplement que, si l’on considère la preuve fournie par le policier acheteur et le policier surveillant conjointement avec la concession de la défense suivant laquelle la personne qui a été arrêtée le 27 juillet 2015 était l’appelant, il existait suffisamment d’éléments de preuve admissibles étayant la conclusion de la juge du procès portant que l’appelant et le suspect étaient une seule et même personne.</w:t>
      </w:r>
    </w:p>
    <w:p w:rsidR="00C32B75" w:rsidRPr="00C32B75" w:rsidRDefault="00C32B75" w:rsidP="00C32B75">
      <w:pPr>
        <w:jc w:val="both"/>
        <w:rPr>
          <w:sz w:val="20"/>
          <w:szCs w:val="20"/>
          <w:lang w:val="fr-CA"/>
        </w:rPr>
      </w:pPr>
    </w:p>
    <w:p w:rsidR="00C32B75" w:rsidRPr="00C32B75" w:rsidRDefault="00C32B75" w:rsidP="00C32B75">
      <w:pPr>
        <w:jc w:val="both"/>
        <w:rPr>
          <w:smallCaps/>
          <w:sz w:val="20"/>
          <w:szCs w:val="20"/>
          <w:lang w:val="fr-CA"/>
        </w:rPr>
      </w:pPr>
      <w:r w:rsidRPr="00C32B75">
        <w:rPr>
          <w:sz w:val="20"/>
          <w:szCs w:val="20"/>
          <w:lang w:val="fr-CA"/>
        </w:rPr>
        <w:t>Le juge Brown aurait accueilli l’appel, principalement pour les motifs de la juge d’appel Veldhuis, et il aurait ordonné un nouveau procès.</w:t>
      </w:r>
    </w:p>
    <w:p w:rsidR="00C32B75" w:rsidRPr="00C32B75" w:rsidRDefault="00C32B75" w:rsidP="007A13B6">
      <w:pPr>
        <w:widowControl w:val="0"/>
        <w:rPr>
          <w:sz w:val="20"/>
          <w:szCs w:val="20"/>
          <w:lang w:val="fr-CA"/>
        </w:rPr>
      </w:pPr>
    </w:p>
    <w:p w:rsidR="007A13B6" w:rsidRPr="00AA6F74" w:rsidRDefault="002A25F4" w:rsidP="007A13B6">
      <w:pPr>
        <w:widowControl w:val="0"/>
        <w:rPr>
          <w:sz w:val="20"/>
          <w:szCs w:val="20"/>
          <w:lang w:val="en-US"/>
        </w:rPr>
      </w:pPr>
      <w:r>
        <w:rPr>
          <w:sz w:val="20"/>
          <w:szCs w:val="20"/>
        </w:rPr>
        <w:pict>
          <v:rect id="_x0000_i1064" style="width:2in;height:1pt" o:hrpct="0" o:hralign="center" o:hrstd="t" o:hrnoshade="t" o:hr="t" fillcolor="black [3213]" stroked="f"/>
        </w:pict>
      </w:r>
    </w:p>
    <w:p w:rsidR="007A13B6" w:rsidRPr="00AA6F74" w:rsidRDefault="007A13B6" w:rsidP="00732DB7">
      <w:pPr>
        <w:widowControl w:val="0"/>
        <w:rPr>
          <w:sz w:val="20"/>
          <w:szCs w:val="20"/>
          <w:lang w:val="en-US"/>
        </w:rPr>
      </w:pPr>
    </w:p>
    <w:p w:rsidR="00C32B75" w:rsidRDefault="00C32B75">
      <w:pPr>
        <w:rPr>
          <w:b/>
          <w:sz w:val="20"/>
          <w:szCs w:val="20"/>
        </w:rPr>
      </w:pPr>
      <w:r>
        <w:rPr>
          <w:b/>
          <w:sz w:val="20"/>
          <w:szCs w:val="20"/>
        </w:rPr>
        <w:br w:type="page"/>
      </w:r>
    </w:p>
    <w:p w:rsidR="007A13B6" w:rsidRPr="00AA6F74" w:rsidRDefault="007A13B6" w:rsidP="007A13B6">
      <w:pPr>
        <w:rPr>
          <w:b/>
          <w:sz w:val="20"/>
          <w:szCs w:val="20"/>
        </w:rPr>
      </w:pPr>
      <w:r w:rsidRPr="00AA6F74">
        <w:rPr>
          <w:b/>
          <w:sz w:val="20"/>
          <w:szCs w:val="20"/>
        </w:rPr>
        <w:lastRenderedPageBreak/>
        <w:t>JANUARY 22, 2021 / LE 22 JANVIER 2021</w:t>
      </w:r>
    </w:p>
    <w:p w:rsidR="007A13B6" w:rsidRPr="00AA6F74" w:rsidRDefault="007A13B6" w:rsidP="007A13B6">
      <w:pPr>
        <w:widowControl w:val="0"/>
        <w:rPr>
          <w:sz w:val="20"/>
          <w:szCs w:val="24"/>
        </w:rPr>
      </w:pPr>
    </w:p>
    <w:p w:rsidR="004472C3" w:rsidRPr="00AA6F74" w:rsidRDefault="004472C3" w:rsidP="004472C3">
      <w:pPr>
        <w:widowControl w:val="0"/>
        <w:rPr>
          <w:sz w:val="20"/>
          <w:szCs w:val="20"/>
        </w:rPr>
      </w:pPr>
      <w:r w:rsidRPr="00AA6F74">
        <w:rPr>
          <w:b/>
          <w:iCs/>
          <w:sz w:val="20"/>
          <w:szCs w:val="20"/>
        </w:rPr>
        <w:t>Her Majesty the Queen v. Angus Frederick Waterman</w:t>
      </w:r>
      <w:r w:rsidR="002A25F4">
        <w:rPr>
          <w:b/>
          <w:iCs/>
          <w:sz w:val="20"/>
          <w:szCs w:val="20"/>
        </w:rPr>
        <w:t xml:space="preserve"> - and - </w:t>
      </w:r>
      <w:r w:rsidR="002A25F4" w:rsidRPr="002A25F4">
        <w:rPr>
          <w:b/>
          <w:iCs/>
          <w:sz w:val="20"/>
          <w:szCs w:val="20"/>
        </w:rPr>
        <w:t>Attorney General of Ontario and Criminal Lawyers’ Association (Ontario)</w:t>
      </w:r>
      <w:r w:rsidRPr="00AA6F74">
        <w:rPr>
          <w:b/>
          <w:iCs/>
          <w:sz w:val="20"/>
          <w:szCs w:val="20"/>
        </w:rPr>
        <w:t xml:space="preserve"> </w:t>
      </w:r>
      <w:r w:rsidRPr="00AA6F74">
        <w:rPr>
          <w:iCs/>
          <w:sz w:val="20"/>
          <w:szCs w:val="20"/>
        </w:rPr>
        <w:t>(N.L.) (Criminal) (As of Right)</w:t>
      </w:r>
      <w:r w:rsidRPr="00AA6F74">
        <w:rPr>
          <w:color w:val="333333"/>
          <w:sz w:val="20"/>
          <w:szCs w:val="20"/>
        </w:rPr>
        <w:t xml:space="preserve"> (</w:t>
      </w:r>
      <w:hyperlink r:id="rId71" w:history="1">
        <w:r w:rsidRPr="00AA6F74">
          <w:rPr>
            <w:rStyle w:val="Hyperlink"/>
            <w:sz w:val="20"/>
            <w:szCs w:val="20"/>
          </w:rPr>
          <w:t>39214</w:t>
        </w:r>
      </w:hyperlink>
      <w:r w:rsidRPr="00AA6F74">
        <w:rPr>
          <w:color w:val="333333"/>
          <w:sz w:val="20"/>
          <w:szCs w:val="20"/>
        </w:rPr>
        <w:t>)</w:t>
      </w:r>
    </w:p>
    <w:p w:rsidR="004472C3" w:rsidRPr="00AA6F74" w:rsidRDefault="004472C3" w:rsidP="004472C3">
      <w:pPr>
        <w:widowControl w:val="0"/>
        <w:ind w:left="1109" w:hanging="1109"/>
        <w:rPr>
          <w:sz w:val="20"/>
          <w:szCs w:val="20"/>
        </w:rPr>
      </w:pPr>
      <w:r w:rsidRPr="00AA6F74">
        <w:rPr>
          <w:b/>
          <w:sz w:val="20"/>
          <w:szCs w:val="20"/>
        </w:rPr>
        <w:t>202</w:t>
      </w:r>
      <w:r w:rsidR="00B05D01" w:rsidRPr="00AA6F74">
        <w:rPr>
          <w:b/>
          <w:sz w:val="20"/>
          <w:szCs w:val="20"/>
        </w:rPr>
        <w:t>1</w:t>
      </w:r>
      <w:r w:rsidRPr="00AA6F74">
        <w:rPr>
          <w:b/>
          <w:sz w:val="20"/>
          <w:szCs w:val="20"/>
        </w:rPr>
        <w:t xml:space="preserve"> SCC </w:t>
      </w:r>
      <w:r w:rsidR="0075220B" w:rsidRPr="00AA6F74">
        <w:rPr>
          <w:b/>
          <w:sz w:val="20"/>
          <w:szCs w:val="20"/>
        </w:rPr>
        <w:t>5</w:t>
      </w:r>
      <w:r w:rsidRPr="00AA6F74">
        <w:rPr>
          <w:b/>
          <w:sz w:val="20"/>
          <w:szCs w:val="20"/>
        </w:rPr>
        <w:t xml:space="preserve"> / 202</w:t>
      </w:r>
      <w:r w:rsidR="00B05D01" w:rsidRPr="00AA6F74">
        <w:rPr>
          <w:b/>
          <w:sz w:val="20"/>
          <w:szCs w:val="20"/>
        </w:rPr>
        <w:t>1</w:t>
      </w:r>
      <w:r w:rsidRPr="00AA6F74">
        <w:rPr>
          <w:b/>
          <w:sz w:val="20"/>
          <w:szCs w:val="20"/>
        </w:rPr>
        <w:t xml:space="preserve"> CSC </w:t>
      </w:r>
      <w:r w:rsidR="0075220B" w:rsidRPr="00AA6F74">
        <w:rPr>
          <w:b/>
          <w:sz w:val="20"/>
          <w:szCs w:val="20"/>
        </w:rPr>
        <w:t>5</w:t>
      </w:r>
    </w:p>
    <w:p w:rsidR="004472C3" w:rsidRPr="00AA6F74" w:rsidRDefault="004472C3" w:rsidP="004472C3">
      <w:pPr>
        <w:widowControl w:val="0"/>
        <w:ind w:left="1109" w:hanging="1109"/>
        <w:rPr>
          <w:sz w:val="20"/>
          <w:szCs w:val="20"/>
        </w:rPr>
      </w:pPr>
    </w:p>
    <w:p w:rsidR="004472C3" w:rsidRPr="00AA6F74" w:rsidRDefault="004472C3" w:rsidP="004472C3">
      <w:pPr>
        <w:widowControl w:val="0"/>
        <w:ind w:left="1109" w:hanging="1109"/>
        <w:rPr>
          <w:sz w:val="20"/>
          <w:szCs w:val="20"/>
        </w:rPr>
      </w:pPr>
      <w:r w:rsidRPr="00AA6F74">
        <w:rPr>
          <w:sz w:val="20"/>
          <w:szCs w:val="20"/>
        </w:rPr>
        <w:t xml:space="preserve">Coram: </w:t>
      </w:r>
      <w:r w:rsidRPr="00AA6F74">
        <w:rPr>
          <w:sz w:val="20"/>
          <w:szCs w:val="20"/>
        </w:rPr>
        <w:tab/>
        <w:t>Wagner C.J. and Abella, Moldaver, Karakatsanis, Brown, Rowe and Martin JJ.</w:t>
      </w:r>
    </w:p>
    <w:p w:rsidR="004472C3" w:rsidRPr="00AA6F74" w:rsidRDefault="004472C3" w:rsidP="004472C3">
      <w:pPr>
        <w:widowControl w:val="0"/>
        <w:ind w:left="1109" w:hanging="1109"/>
        <w:rPr>
          <w:sz w:val="20"/>
          <w:szCs w:val="20"/>
        </w:rPr>
      </w:pPr>
    </w:p>
    <w:p w:rsidR="002A25F4" w:rsidRPr="002A25F4" w:rsidRDefault="002A25F4" w:rsidP="002A25F4">
      <w:pPr>
        <w:jc w:val="both"/>
        <w:rPr>
          <w:sz w:val="20"/>
          <w:szCs w:val="20"/>
        </w:rPr>
      </w:pPr>
      <w:r w:rsidRPr="002A25F4">
        <w:rPr>
          <w:sz w:val="20"/>
          <w:szCs w:val="20"/>
        </w:rPr>
        <w:t xml:space="preserve">The appeal from the judgment of the Court of Appeal of Newfoundland and Labrador, Number 201801H0036, 2020 NLCA 18, dated May 27, 2020, was heard on January 22, 2021, and the Court on that day delivered the following judgment orally: </w:t>
      </w:r>
    </w:p>
    <w:p w:rsidR="002A25F4" w:rsidRPr="002A25F4" w:rsidRDefault="002A25F4" w:rsidP="002A25F4">
      <w:pPr>
        <w:jc w:val="both"/>
        <w:rPr>
          <w:sz w:val="20"/>
          <w:szCs w:val="20"/>
        </w:rPr>
      </w:pPr>
    </w:p>
    <w:p w:rsidR="002A25F4" w:rsidRPr="002A25F4" w:rsidRDefault="002A25F4" w:rsidP="002A25F4">
      <w:pPr>
        <w:jc w:val="both"/>
        <w:rPr>
          <w:sz w:val="20"/>
          <w:szCs w:val="20"/>
        </w:rPr>
      </w:pPr>
      <w:r w:rsidRPr="002A25F4">
        <w:rPr>
          <w:smallCaps/>
          <w:sz w:val="20"/>
          <w:szCs w:val="20"/>
        </w:rPr>
        <w:t xml:space="preserve">Moldaver </w:t>
      </w:r>
      <w:r w:rsidRPr="002A25F4">
        <w:rPr>
          <w:sz w:val="20"/>
          <w:szCs w:val="20"/>
        </w:rPr>
        <w:t xml:space="preserve">J. — </w:t>
      </w:r>
      <w:proofErr w:type="gramStart"/>
      <w:r w:rsidRPr="002A25F4">
        <w:rPr>
          <w:sz w:val="20"/>
          <w:szCs w:val="20"/>
        </w:rPr>
        <w:t>The</w:t>
      </w:r>
      <w:proofErr w:type="gramEnd"/>
      <w:r w:rsidRPr="002A25F4">
        <w:rPr>
          <w:sz w:val="20"/>
          <w:szCs w:val="20"/>
        </w:rPr>
        <w:t xml:space="preserve"> only issue on this unreasonable verdict appeal is whether the inconsistencies in the complainant’s testimony are so significant that a conviction registered on the basis of his evidence is unreasonable as a matter of law. Although some of the inconsistencies are troubling, a majority of the Court is satisfied that the jury acted reasonably in believing the complainant.</w:t>
      </w:r>
    </w:p>
    <w:p w:rsidR="002A25F4" w:rsidRPr="002A25F4" w:rsidRDefault="002A25F4" w:rsidP="002A25F4">
      <w:pPr>
        <w:jc w:val="both"/>
        <w:rPr>
          <w:sz w:val="20"/>
          <w:szCs w:val="20"/>
        </w:rPr>
      </w:pPr>
    </w:p>
    <w:p w:rsidR="002A25F4" w:rsidRPr="002A25F4" w:rsidRDefault="002A25F4" w:rsidP="002A25F4">
      <w:pPr>
        <w:jc w:val="both"/>
        <w:rPr>
          <w:sz w:val="20"/>
          <w:szCs w:val="20"/>
        </w:rPr>
      </w:pPr>
      <w:r w:rsidRPr="002A25F4">
        <w:rPr>
          <w:sz w:val="20"/>
          <w:szCs w:val="20"/>
        </w:rPr>
        <w:t xml:space="preserve">The complainant accepted that his testimony was inconsistent with his prior statements. These inconsistencies were the focus of vigorous cross-examination, forceful closing submissions and a comprehensive jury charge, which the parties agree was free of errors. For his part, the complainant explained that counselling had helped improve his memory since his initial police statement. In the majority’s view, it was for the jury to decide   whether this explanation neutralized any reasonable doubt caused by the inconsistencies. In these circumstances, the lens of judicial experience causes us to yield to the wisdom of the jurors who had the advantage of hearing the complainant testify. We decline to second guess this determination. </w:t>
      </w:r>
    </w:p>
    <w:p w:rsidR="002A25F4" w:rsidRPr="002A25F4" w:rsidRDefault="002A25F4" w:rsidP="002A25F4">
      <w:pPr>
        <w:jc w:val="both"/>
        <w:rPr>
          <w:sz w:val="20"/>
          <w:szCs w:val="20"/>
        </w:rPr>
      </w:pPr>
    </w:p>
    <w:p w:rsidR="002A25F4" w:rsidRPr="002A25F4" w:rsidRDefault="002A25F4" w:rsidP="002A25F4">
      <w:pPr>
        <w:jc w:val="both"/>
        <w:rPr>
          <w:sz w:val="20"/>
          <w:szCs w:val="20"/>
        </w:rPr>
      </w:pPr>
      <w:r w:rsidRPr="002A25F4">
        <w:rPr>
          <w:sz w:val="20"/>
          <w:szCs w:val="20"/>
        </w:rPr>
        <w:t>With respect, the majority disagrees that the Crown had to either lead further evidence on the complainant’s counselling sessions or adduce expert evidence on the role that counselling can play in refining memory.</w:t>
      </w:r>
    </w:p>
    <w:p w:rsidR="002A25F4" w:rsidRPr="002A25F4" w:rsidRDefault="002A25F4" w:rsidP="002A25F4">
      <w:pPr>
        <w:jc w:val="both"/>
        <w:rPr>
          <w:sz w:val="20"/>
          <w:szCs w:val="20"/>
        </w:rPr>
      </w:pPr>
    </w:p>
    <w:p w:rsidR="002A25F4" w:rsidRPr="002A25F4" w:rsidRDefault="002A25F4" w:rsidP="002A25F4">
      <w:pPr>
        <w:jc w:val="both"/>
        <w:rPr>
          <w:sz w:val="20"/>
          <w:szCs w:val="20"/>
        </w:rPr>
      </w:pPr>
      <w:r w:rsidRPr="002A25F4">
        <w:rPr>
          <w:sz w:val="20"/>
          <w:szCs w:val="20"/>
        </w:rPr>
        <w:t>For these reasons, the majority would allow the appeal, set aside the acquittals and restore the convictions.</w:t>
      </w:r>
    </w:p>
    <w:p w:rsidR="002A25F4" w:rsidRPr="002A25F4" w:rsidRDefault="002A25F4" w:rsidP="002A25F4">
      <w:pPr>
        <w:jc w:val="both"/>
        <w:rPr>
          <w:sz w:val="20"/>
          <w:szCs w:val="20"/>
        </w:rPr>
      </w:pPr>
    </w:p>
    <w:p w:rsidR="002A25F4" w:rsidRPr="002A25F4" w:rsidRDefault="002A25F4" w:rsidP="002A25F4">
      <w:pPr>
        <w:jc w:val="both"/>
        <w:rPr>
          <w:sz w:val="20"/>
          <w:szCs w:val="20"/>
        </w:rPr>
      </w:pPr>
      <w:r w:rsidRPr="002A25F4">
        <w:rPr>
          <w:sz w:val="20"/>
          <w:szCs w:val="20"/>
        </w:rPr>
        <w:t>Justices Brown and Rowe, dissenting, would dismiss the appeal, substantially for the reasons of Justice White.</w:t>
      </w:r>
    </w:p>
    <w:p w:rsidR="002A25F4" w:rsidRPr="002A25F4" w:rsidRDefault="002A25F4" w:rsidP="00AA6F74">
      <w:pPr>
        <w:rPr>
          <w:sz w:val="20"/>
          <w:szCs w:val="20"/>
        </w:rPr>
      </w:pPr>
    </w:p>
    <w:p w:rsidR="002A25F4" w:rsidRPr="002A25F4" w:rsidRDefault="002A25F4" w:rsidP="002A25F4">
      <w:pPr>
        <w:jc w:val="both"/>
        <w:rPr>
          <w:sz w:val="20"/>
          <w:szCs w:val="20"/>
          <w:lang w:val="fr-CA"/>
        </w:rPr>
      </w:pPr>
      <w:r w:rsidRPr="002A25F4">
        <w:rPr>
          <w:sz w:val="20"/>
          <w:szCs w:val="20"/>
          <w:lang w:val="fr-CA"/>
        </w:rPr>
        <w:t>L’appel interjeté contre l’arrêt de la Cour d’appel de Terre-Neuve-et-Labrador, numéro 201801H0036, 2020 NLCA 18, daté du 27 mai 2020, a été entendu le 22 janvier 2021 et la Cour a prononcé oralement le même jour le jugement suivant:</w:t>
      </w:r>
    </w:p>
    <w:p w:rsidR="002A25F4" w:rsidRPr="002A25F4" w:rsidRDefault="002A25F4" w:rsidP="002A25F4">
      <w:pPr>
        <w:jc w:val="both"/>
        <w:rPr>
          <w:sz w:val="20"/>
          <w:szCs w:val="20"/>
          <w:lang w:val="fr-CA"/>
        </w:rPr>
      </w:pPr>
    </w:p>
    <w:p w:rsidR="002A25F4" w:rsidRPr="002A25F4" w:rsidRDefault="002A25F4" w:rsidP="002A25F4">
      <w:pPr>
        <w:jc w:val="both"/>
        <w:rPr>
          <w:smallCaps/>
          <w:sz w:val="20"/>
          <w:szCs w:val="20"/>
          <w:lang w:val="fr-CA"/>
        </w:rPr>
      </w:pPr>
      <w:r w:rsidRPr="002A25F4">
        <w:rPr>
          <w:smallCaps/>
          <w:sz w:val="20"/>
          <w:szCs w:val="20"/>
          <w:lang w:val="fr-CA"/>
        </w:rPr>
        <w:t>[traduction]</w:t>
      </w:r>
    </w:p>
    <w:p w:rsidR="002A25F4" w:rsidRPr="002A25F4" w:rsidRDefault="002A25F4" w:rsidP="002A25F4">
      <w:pPr>
        <w:jc w:val="both"/>
        <w:rPr>
          <w:sz w:val="20"/>
          <w:szCs w:val="20"/>
          <w:lang w:val="fr-CA"/>
        </w:rPr>
      </w:pPr>
      <w:r w:rsidRPr="002A25F4">
        <w:rPr>
          <w:smallCaps/>
          <w:sz w:val="20"/>
          <w:szCs w:val="20"/>
          <w:lang w:val="fr-CA"/>
        </w:rPr>
        <w:t>Le juge Moldaver</w:t>
      </w:r>
      <w:r w:rsidRPr="002A25F4">
        <w:rPr>
          <w:sz w:val="20"/>
          <w:szCs w:val="20"/>
          <w:lang w:val="fr-CA"/>
        </w:rPr>
        <w:t xml:space="preserve"> — Dans le présent appel portant sur un verdict déraisonnable, la seule question en litige consiste à décider si les incohérences dans le témoignage du plaignant sont à </w:t>
      </w:r>
      <w:proofErr w:type="gramStart"/>
      <w:r w:rsidRPr="002A25F4">
        <w:rPr>
          <w:sz w:val="20"/>
          <w:szCs w:val="20"/>
          <w:lang w:val="fr-CA"/>
        </w:rPr>
        <w:t>ce point importantes</w:t>
      </w:r>
      <w:proofErr w:type="gramEnd"/>
      <w:r w:rsidRPr="002A25F4">
        <w:rPr>
          <w:sz w:val="20"/>
          <w:szCs w:val="20"/>
          <w:lang w:val="fr-CA"/>
        </w:rPr>
        <w:t xml:space="preserve"> qu’une déclaration de culpabilité inscrite sur le fondement de son témoignage est déraisonnable en droit. Bien que certaines de ces incohérences soient troublantes, notre Cour, à la majorité, est convaincue que le jury a agi raisonnablement en croyant le plaignant.</w:t>
      </w:r>
    </w:p>
    <w:p w:rsidR="002A25F4" w:rsidRPr="002A25F4" w:rsidRDefault="002A25F4" w:rsidP="002A25F4">
      <w:pPr>
        <w:jc w:val="both"/>
        <w:rPr>
          <w:sz w:val="20"/>
          <w:szCs w:val="20"/>
          <w:lang w:val="fr-CA"/>
        </w:rPr>
      </w:pPr>
    </w:p>
    <w:p w:rsidR="002A25F4" w:rsidRPr="002A25F4" w:rsidRDefault="002A25F4" w:rsidP="002A25F4">
      <w:pPr>
        <w:jc w:val="both"/>
        <w:rPr>
          <w:sz w:val="20"/>
          <w:szCs w:val="20"/>
          <w:lang w:val="fr-CA"/>
        </w:rPr>
      </w:pPr>
      <w:r w:rsidRPr="002A25F4">
        <w:rPr>
          <w:sz w:val="20"/>
          <w:szCs w:val="20"/>
          <w:lang w:val="fr-CA"/>
        </w:rPr>
        <w:t>Le plaignant a reconnu que son témoignage était incompatible avec ses déclarations antérieures. Ces incohérences ont fait l’objet d’un contre-interrogatoire vigoureux, d’observations finales énergiques et d’un exposé au jury exhaustif, lequel, les parties en conviennent, était exempt d’erreur. Pour sa part, le plaignant a expliqué que le counseling qu’il a suivi avait aidé à améliorer sa mémoire depuis sa déclaration initiale à la police. De l’avis de la majorité, il revenait au jury de décider si cette explication neutralisait tout doute raisonnable suscité par les incohérences. Dans les circonstances, l’expérience judiciaire nous incite à nous en remettre à la sagesse des jurés, qui ont eu l’avantage d’entendre le plaignant témoigner. Nous refusons de remettre en question leur décision.</w:t>
      </w:r>
    </w:p>
    <w:p w:rsidR="002A25F4" w:rsidRPr="002A25F4" w:rsidRDefault="002A25F4" w:rsidP="002A25F4">
      <w:pPr>
        <w:jc w:val="both"/>
        <w:rPr>
          <w:sz w:val="20"/>
          <w:szCs w:val="20"/>
          <w:lang w:val="fr-CA"/>
        </w:rPr>
      </w:pPr>
    </w:p>
    <w:p w:rsidR="002A25F4" w:rsidRPr="002A25F4" w:rsidRDefault="002A25F4" w:rsidP="002A25F4">
      <w:pPr>
        <w:jc w:val="both"/>
        <w:rPr>
          <w:sz w:val="20"/>
          <w:szCs w:val="20"/>
          <w:lang w:val="fr-CA"/>
        </w:rPr>
      </w:pPr>
      <w:r w:rsidRPr="002A25F4">
        <w:rPr>
          <w:sz w:val="20"/>
          <w:szCs w:val="20"/>
          <w:lang w:val="fr-CA"/>
        </w:rPr>
        <w:t xml:space="preserve">Avec égards, les juges de la majorité ne sont pas d’accord pour dire que la Couronne devait soit produire des éléments de preuve additionnels à l’égard des séances de counseling suivies par le plaignant, soit présenter de la preuve d’expert quant au rôle que le counseling peut jouer afin d’affiner la mémoire. </w:t>
      </w:r>
    </w:p>
    <w:p w:rsidR="002A25F4" w:rsidRPr="002A25F4" w:rsidRDefault="002A25F4" w:rsidP="002A25F4">
      <w:pPr>
        <w:jc w:val="both"/>
        <w:rPr>
          <w:sz w:val="20"/>
          <w:szCs w:val="20"/>
          <w:lang w:val="fr-CA"/>
        </w:rPr>
      </w:pPr>
    </w:p>
    <w:p w:rsidR="002A25F4" w:rsidRPr="002A25F4" w:rsidRDefault="002A25F4" w:rsidP="002A25F4">
      <w:pPr>
        <w:jc w:val="both"/>
        <w:rPr>
          <w:sz w:val="20"/>
          <w:szCs w:val="20"/>
          <w:lang w:val="fr-CA"/>
        </w:rPr>
      </w:pPr>
      <w:r w:rsidRPr="002A25F4">
        <w:rPr>
          <w:sz w:val="20"/>
          <w:szCs w:val="20"/>
          <w:lang w:val="fr-CA"/>
        </w:rPr>
        <w:lastRenderedPageBreak/>
        <w:t>Pour ces raisons, les juges majoritaires sont d’avis d’accueillir l’appel, d’annuler les acquittements et de rétablir les déclarations de culpabilité.</w:t>
      </w:r>
    </w:p>
    <w:p w:rsidR="002A25F4" w:rsidRPr="002A25F4" w:rsidRDefault="002A25F4" w:rsidP="002A25F4">
      <w:pPr>
        <w:jc w:val="both"/>
        <w:rPr>
          <w:sz w:val="20"/>
          <w:szCs w:val="20"/>
          <w:lang w:val="fr-CA"/>
        </w:rPr>
      </w:pPr>
    </w:p>
    <w:p w:rsidR="002A25F4" w:rsidRPr="002A25F4" w:rsidRDefault="002A25F4" w:rsidP="002A25F4">
      <w:pPr>
        <w:jc w:val="both"/>
        <w:rPr>
          <w:sz w:val="20"/>
          <w:szCs w:val="20"/>
          <w:lang w:val="fr-CA"/>
        </w:rPr>
      </w:pPr>
      <w:r w:rsidRPr="002A25F4">
        <w:rPr>
          <w:sz w:val="20"/>
          <w:szCs w:val="20"/>
          <w:lang w:val="fr-CA"/>
        </w:rPr>
        <w:t>Les juges Brown et Rowe, dissidents, rejetteraient l’appel, essentiellement pour les motifs exposés par le juge White.</w:t>
      </w:r>
    </w:p>
    <w:p w:rsidR="007A13B6" w:rsidRPr="002A25F4" w:rsidRDefault="007A13B6" w:rsidP="007A13B6">
      <w:pPr>
        <w:widowControl w:val="0"/>
        <w:rPr>
          <w:sz w:val="20"/>
          <w:szCs w:val="20"/>
          <w:lang w:val="fr-CA"/>
        </w:rPr>
      </w:pPr>
    </w:p>
    <w:p w:rsidR="007A13B6" w:rsidRPr="00AA6F74" w:rsidRDefault="002A25F4" w:rsidP="007A13B6">
      <w:pPr>
        <w:widowControl w:val="0"/>
        <w:rPr>
          <w:sz w:val="20"/>
          <w:szCs w:val="20"/>
          <w:lang w:val="en-US"/>
        </w:rPr>
      </w:pPr>
      <w:r>
        <w:rPr>
          <w:sz w:val="20"/>
          <w:szCs w:val="20"/>
        </w:rPr>
        <w:pict>
          <v:rect id="_x0000_i1065" style="width:2in;height:1pt" o:hrpct="0" o:hralign="center" o:hrstd="t" o:hrnoshade="t" o:hr="t" fillcolor="black [3213]" stroked="f"/>
        </w:pict>
      </w:r>
    </w:p>
    <w:p w:rsidR="00172473" w:rsidRPr="00AA6F74" w:rsidRDefault="00172473" w:rsidP="00732DB7">
      <w:pPr>
        <w:widowControl w:val="0"/>
        <w:rPr>
          <w:sz w:val="20"/>
          <w:szCs w:val="20"/>
          <w:lang w:val="en-US"/>
        </w:rPr>
      </w:pPr>
    </w:p>
    <w:p w:rsidR="00732DB7" w:rsidRPr="00AA6F74" w:rsidRDefault="00732DB7" w:rsidP="00732DB7">
      <w:pPr>
        <w:widowControl w:val="0"/>
        <w:rPr>
          <w:sz w:val="20"/>
          <w:szCs w:val="20"/>
          <w:lang w:val="en-US"/>
        </w:rPr>
      </w:pPr>
    </w:p>
    <w:p w:rsidR="00732DB7" w:rsidRPr="00AA6F74" w:rsidRDefault="00732DB7" w:rsidP="00732DB7">
      <w:pPr>
        <w:widowControl w:val="0"/>
        <w:rPr>
          <w:sz w:val="20"/>
          <w:szCs w:val="20"/>
          <w:lang w:val="en-US"/>
        </w:rPr>
        <w:sectPr w:rsidR="00732DB7" w:rsidRPr="00AA6F74" w:rsidSect="00732DB7">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0" w:gutter="0"/>
          <w:cols w:space="720"/>
          <w:titlePg/>
          <w:docGrid w:linePitch="326"/>
        </w:sectPr>
      </w:pPr>
    </w:p>
    <w:p w:rsidR="00113336" w:rsidRPr="00AA6F74"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AA6F74">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AA6F74"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DECEMBER – DÉCEMBRE</w:t>
            </w:r>
          </w:p>
        </w:tc>
      </w:tr>
      <w:tr w:rsidR="00113336" w:rsidRPr="00AA6F74"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4"/>
                <w:szCs w:val="14"/>
                <w:lang w:val="fr-FR"/>
              </w:rPr>
            </w:pPr>
            <w:r w:rsidRPr="00AA6F74">
              <w:rPr>
                <w:rFonts w:ascii="Arial" w:hAnsi="Arial" w:cs="Arial"/>
                <w:b/>
                <w:sz w:val="14"/>
                <w:szCs w:val="14"/>
                <w:lang w:val="fr-FR"/>
              </w:rPr>
              <w:t>S</w:t>
            </w:r>
          </w:p>
          <w:p w:rsidR="00113336" w:rsidRPr="00AA6F74" w:rsidRDefault="00113336" w:rsidP="009B36BA">
            <w:pPr>
              <w:tabs>
                <w:tab w:val="center" w:pos="5220"/>
                <w:tab w:val="right" w:pos="10440"/>
              </w:tabs>
              <w:jc w:val="center"/>
              <w:rPr>
                <w:rFonts w:ascii="Arial" w:hAnsi="Arial" w:cs="Arial"/>
                <w:b/>
                <w:sz w:val="14"/>
                <w:szCs w:val="14"/>
                <w:lang w:val="fr-FR"/>
              </w:rPr>
            </w:pPr>
            <w:r w:rsidRPr="00AA6F7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T</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W</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T</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F</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T</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W</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T</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F</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S</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M</w:t>
            </w:r>
          </w:p>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lang w:val="fr-FR"/>
              </w:rPr>
            </w:pPr>
            <w:r w:rsidRPr="00AA6F74">
              <w:rPr>
                <w:rFonts w:ascii="Arial" w:hAnsi="Arial" w:cs="Arial"/>
                <w:b/>
                <w:sz w:val="13"/>
                <w:szCs w:val="13"/>
                <w:lang w:val="fr-FR"/>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r>
      <w:tr w:rsidR="00113336" w:rsidRPr="00AA6F74"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b/>
                <w:sz w:val="13"/>
                <w:szCs w:val="13"/>
              </w:rPr>
              <w:t>CC</w:t>
            </w:r>
            <w:r w:rsidRPr="00AA6F74">
              <w:rPr>
                <w:rFonts w:ascii="Arial" w:hAnsi="Arial" w:cs="Arial"/>
                <w:sz w:val="13"/>
                <w:szCs w:val="13"/>
              </w:rPr>
              <w:t xml:space="preserve"> </w:t>
            </w:r>
          </w:p>
          <w:p w:rsidR="00113336" w:rsidRPr="00AA6F74" w:rsidRDefault="00113336" w:rsidP="009B36BA">
            <w:pPr>
              <w:jc w:val="center"/>
              <w:rPr>
                <w:rFonts w:ascii="Arial" w:hAnsi="Arial" w:cs="Arial"/>
                <w:sz w:val="13"/>
                <w:szCs w:val="13"/>
              </w:rPr>
            </w:pPr>
            <w:r w:rsidRPr="00AA6F7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5</w:t>
            </w:r>
          </w:p>
        </w:tc>
      </w:tr>
      <w:tr w:rsidR="00113336" w:rsidRPr="00AA6F74"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AA6F74" w:rsidRDefault="00113336"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113336" w:rsidP="00113336">
            <w:pPr>
              <w:jc w:val="center"/>
              <w:rPr>
                <w:rFonts w:ascii="Arial" w:hAnsi="Arial" w:cs="Arial"/>
                <w:sz w:val="13"/>
                <w:szCs w:val="13"/>
              </w:rPr>
            </w:pPr>
            <w:r w:rsidRPr="00AA6F74">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H</w:t>
            </w:r>
          </w:p>
          <w:p w:rsidR="00113336" w:rsidRPr="00AA6F74" w:rsidRDefault="00113336" w:rsidP="009B36BA">
            <w:pPr>
              <w:jc w:val="center"/>
              <w:rPr>
                <w:rFonts w:ascii="Arial" w:hAnsi="Arial" w:cs="Arial"/>
                <w:sz w:val="13"/>
                <w:szCs w:val="13"/>
              </w:rPr>
            </w:pPr>
            <w:r w:rsidRPr="00AA6F74">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113336">
            <w:pPr>
              <w:jc w:val="center"/>
              <w:rPr>
                <w:rFonts w:ascii="Arial" w:hAnsi="Arial" w:cs="Arial"/>
                <w:sz w:val="13"/>
                <w:szCs w:val="13"/>
              </w:rPr>
            </w:pPr>
            <w:r w:rsidRPr="00AA6F7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12</w:t>
            </w:r>
          </w:p>
        </w:tc>
      </w:tr>
      <w:tr w:rsidR="00B4618C" w:rsidRPr="00AA6F74"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AA6F74" w:rsidRDefault="00113336" w:rsidP="009B36BA">
            <w:pPr>
              <w:jc w:val="center"/>
              <w:rPr>
                <w:rFonts w:ascii="Arial" w:hAnsi="Arial" w:cs="Arial"/>
                <w:b/>
                <w:sz w:val="13"/>
                <w:szCs w:val="13"/>
              </w:rPr>
            </w:pPr>
            <w:r w:rsidRPr="00AA6F74">
              <w:rPr>
                <w:rFonts w:ascii="Arial" w:hAnsi="Arial" w:cs="Arial"/>
                <w:b/>
                <w:sz w:val="13"/>
                <w:szCs w:val="13"/>
              </w:rPr>
              <w:t>H</w:t>
            </w:r>
          </w:p>
          <w:p w:rsidR="00113336" w:rsidRPr="00AA6F74" w:rsidRDefault="00113336" w:rsidP="00113336">
            <w:pPr>
              <w:jc w:val="center"/>
              <w:rPr>
                <w:rFonts w:ascii="Arial" w:hAnsi="Arial" w:cs="Arial"/>
                <w:sz w:val="13"/>
                <w:szCs w:val="13"/>
              </w:rPr>
            </w:pPr>
            <w:r w:rsidRPr="00AA6F74">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19</w:t>
            </w:r>
          </w:p>
        </w:tc>
      </w:tr>
      <w:tr w:rsidR="00113336" w:rsidRPr="00AA6F74"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9B36BA">
            <w:pPr>
              <w:jc w:val="center"/>
              <w:rPr>
                <w:rFonts w:ascii="Arial" w:hAnsi="Arial" w:cs="Arial"/>
                <w:sz w:val="13"/>
                <w:szCs w:val="13"/>
              </w:rPr>
            </w:pPr>
            <w:r w:rsidRPr="00AA6F7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H</w:t>
            </w:r>
          </w:p>
          <w:p w:rsidR="00113336" w:rsidRPr="00AA6F74" w:rsidRDefault="005B2EA9" w:rsidP="009B36BA">
            <w:pPr>
              <w:jc w:val="center"/>
              <w:rPr>
                <w:rFonts w:ascii="Arial" w:hAnsi="Arial" w:cs="Arial"/>
                <w:sz w:val="13"/>
                <w:szCs w:val="13"/>
              </w:rPr>
            </w:pPr>
            <w:r w:rsidRPr="00AA6F74">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26</w:t>
            </w:r>
          </w:p>
        </w:tc>
      </w:tr>
      <w:tr w:rsidR="00113336" w:rsidRPr="00AA6F74"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A6F74" w:rsidRDefault="00113336" w:rsidP="00113336">
            <w:pPr>
              <w:jc w:val="center"/>
              <w:rPr>
                <w:rFonts w:ascii="Arial" w:hAnsi="Arial" w:cs="Arial"/>
                <w:sz w:val="13"/>
                <w:szCs w:val="13"/>
              </w:rPr>
            </w:pPr>
            <w:r w:rsidRPr="00AA6F7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r w:rsidRPr="00AA6F7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A6F74" w:rsidRDefault="005B2EA9" w:rsidP="009B36BA">
            <w:pPr>
              <w:jc w:val="center"/>
              <w:rPr>
                <w:rFonts w:ascii="Arial" w:hAnsi="Arial" w:cs="Arial"/>
                <w:sz w:val="13"/>
                <w:szCs w:val="13"/>
              </w:rPr>
            </w:pPr>
            <w:r w:rsidRPr="00AA6F74">
              <w:rPr>
                <w:rFonts w:ascii="Arial" w:hAnsi="Arial" w:cs="Arial"/>
                <w:b/>
                <w:sz w:val="13"/>
                <w:szCs w:val="13"/>
              </w:rPr>
              <w:t>CC</w:t>
            </w:r>
          </w:p>
          <w:p w:rsidR="00113336" w:rsidRPr="00AA6F74" w:rsidRDefault="00113336" w:rsidP="009B36BA">
            <w:pPr>
              <w:jc w:val="center"/>
              <w:rPr>
                <w:rFonts w:ascii="Arial" w:hAnsi="Arial" w:cs="Arial"/>
                <w:sz w:val="13"/>
                <w:szCs w:val="13"/>
              </w:rPr>
            </w:pPr>
            <w:r w:rsidRPr="00AA6F74">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H</w:t>
            </w:r>
          </w:p>
          <w:p w:rsidR="00113336" w:rsidRPr="00AA6F74" w:rsidRDefault="005B2EA9" w:rsidP="009B36BA">
            <w:pPr>
              <w:jc w:val="center"/>
              <w:rPr>
                <w:rFonts w:ascii="Arial" w:hAnsi="Arial" w:cs="Arial"/>
                <w:sz w:val="13"/>
                <w:szCs w:val="13"/>
              </w:rPr>
            </w:pPr>
            <w:r w:rsidRPr="00AA6F74">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r>
    </w:tbl>
    <w:p w:rsidR="00113336" w:rsidRPr="00AA6F74" w:rsidRDefault="00113336" w:rsidP="00113336">
      <w:pPr>
        <w:tabs>
          <w:tab w:val="center" w:pos="5220"/>
          <w:tab w:val="right" w:pos="10440"/>
        </w:tabs>
        <w:jc w:val="center"/>
        <w:rPr>
          <w:rFonts w:ascii="Arial" w:hAnsi="Arial" w:cs="Arial"/>
          <w:sz w:val="22"/>
        </w:rPr>
      </w:pPr>
      <w:r w:rsidRPr="00AA6F74">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AA6F7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MARCH – MARS</w:t>
            </w:r>
          </w:p>
        </w:tc>
      </w:tr>
      <w:tr w:rsidR="00113336" w:rsidRPr="00AA6F74"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r>
      <w:tr w:rsidR="00113336" w:rsidRPr="00AA6F74"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H</w:t>
            </w:r>
          </w:p>
          <w:p w:rsidR="00113336" w:rsidRPr="00AA6F74" w:rsidRDefault="005B2EA9" w:rsidP="009B36BA">
            <w:pPr>
              <w:jc w:val="center"/>
              <w:rPr>
                <w:rFonts w:ascii="Arial" w:hAnsi="Arial" w:cs="Arial"/>
                <w:sz w:val="13"/>
                <w:szCs w:val="13"/>
              </w:rPr>
            </w:pPr>
            <w:r w:rsidRPr="00AA6F74">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6</w:t>
            </w:r>
          </w:p>
        </w:tc>
      </w:tr>
      <w:tr w:rsidR="00113336" w:rsidRPr="00AA6F7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5B2EA9" w:rsidP="009B36BA">
            <w:pPr>
              <w:jc w:val="center"/>
              <w:rPr>
                <w:rFonts w:ascii="Arial" w:hAnsi="Arial" w:cs="Arial"/>
                <w:sz w:val="13"/>
                <w:szCs w:val="13"/>
              </w:rPr>
            </w:pPr>
            <w:r w:rsidRPr="00AA6F7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13</w:t>
            </w:r>
          </w:p>
        </w:tc>
      </w:tr>
      <w:tr w:rsidR="00113336" w:rsidRPr="00AA6F7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A6F74" w:rsidRDefault="005B2EA9"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5B2EA9" w:rsidP="009B36BA">
            <w:pPr>
              <w:jc w:val="center"/>
              <w:rPr>
                <w:rFonts w:ascii="Arial" w:hAnsi="Arial" w:cs="Arial"/>
                <w:sz w:val="13"/>
                <w:szCs w:val="13"/>
              </w:rPr>
            </w:pPr>
            <w:r w:rsidRPr="00AA6F7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D04577" w:rsidP="009B36BA">
            <w:pPr>
              <w:jc w:val="center"/>
              <w:rPr>
                <w:rFonts w:ascii="Arial" w:hAnsi="Arial" w:cs="Arial"/>
                <w:sz w:val="13"/>
                <w:szCs w:val="13"/>
              </w:rPr>
            </w:pPr>
            <w:r w:rsidRPr="00AA6F7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20</w:t>
            </w:r>
          </w:p>
        </w:tc>
      </w:tr>
      <w:tr w:rsidR="00113336" w:rsidRPr="00AA6F7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27</w:t>
            </w:r>
          </w:p>
        </w:tc>
      </w:tr>
      <w:tr w:rsidR="00113336" w:rsidRPr="00AA6F74"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AA6F74" w:rsidRDefault="005B2EA9" w:rsidP="005B2EA9">
            <w:pPr>
              <w:rPr>
                <w:rFonts w:ascii="Arial" w:hAnsi="Arial" w:cs="Arial"/>
                <w:sz w:val="13"/>
                <w:szCs w:val="13"/>
              </w:rPr>
            </w:pPr>
            <w:r w:rsidRPr="00AA6F74">
              <w:rPr>
                <w:rFonts w:ascii="Arial" w:hAnsi="Arial" w:cs="Arial"/>
                <w:sz w:val="13"/>
                <w:szCs w:val="13"/>
              </w:rPr>
              <w:t xml:space="preserve">24 </w:t>
            </w:r>
            <w:r w:rsidRPr="00AA6F74">
              <w:rPr>
                <w:rFonts w:ascii="Arial" w:hAnsi="Arial" w:cs="Arial"/>
                <w:sz w:val="13"/>
                <w:szCs w:val="13"/>
                <w:lang w:val="en-US"/>
              </w:rPr>
              <w:t>/</w:t>
            </w:r>
          </w:p>
          <w:p w:rsidR="00113336" w:rsidRPr="00AA6F74" w:rsidRDefault="005B2EA9" w:rsidP="005B2EA9">
            <w:pPr>
              <w:jc w:val="center"/>
              <w:rPr>
                <w:rFonts w:ascii="Arial" w:hAnsi="Arial" w:cs="Arial"/>
                <w:sz w:val="13"/>
                <w:szCs w:val="13"/>
              </w:rPr>
            </w:pPr>
            <w:r w:rsidRPr="00AA6F74">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A6F74" w:rsidRDefault="005B2EA9" w:rsidP="009B36BA">
            <w:pPr>
              <w:jc w:val="center"/>
              <w:rPr>
                <w:rFonts w:ascii="Arial" w:hAnsi="Arial" w:cs="Arial"/>
                <w:sz w:val="13"/>
                <w:szCs w:val="13"/>
              </w:rPr>
            </w:pPr>
            <w:r w:rsidRPr="00AA6F7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r>
      <w:tr w:rsidR="00113336" w:rsidRPr="00AA6F7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JUNE – JUIN</w:t>
            </w:r>
          </w:p>
        </w:tc>
      </w:tr>
      <w:tr w:rsidR="00113336" w:rsidRPr="00AA6F74"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r>
      <w:tr w:rsidR="00113336" w:rsidRPr="00AA6F7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H</w:t>
            </w:r>
          </w:p>
          <w:p w:rsidR="00113336" w:rsidRPr="00AA6F74" w:rsidRDefault="00D04577" w:rsidP="009B36BA">
            <w:pPr>
              <w:jc w:val="center"/>
              <w:rPr>
                <w:rFonts w:ascii="Arial" w:hAnsi="Arial" w:cs="Arial"/>
                <w:sz w:val="13"/>
                <w:szCs w:val="13"/>
              </w:rPr>
            </w:pPr>
            <w:r w:rsidRPr="00AA6F74">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5</w:t>
            </w:r>
          </w:p>
        </w:tc>
      </w:tr>
      <w:tr w:rsidR="00113336" w:rsidRPr="00AA6F74"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H</w:t>
            </w:r>
          </w:p>
          <w:p w:rsidR="00113336" w:rsidRPr="00AA6F74" w:rsidRDefault="00D04577" w:rsidP="009B36BA">
            <w:pPr>
              <w:jc w:val="center"/>
              <w:rPr>
                <w:rFonts w:ascii="Arial" w:hAnsi="Arial" w:cs="Arial"/>
                <w:sz w:val="13"/>
                <w:szCs w:val="13"/>
              </w:rPr>
            </w:pPr>
            <w:r w:rsidRPr="00AA6F74">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D04577" w:rsidP="009B36BA">
            <w:pPr>
              <w:jc w:val="center"/>
              <w:rPr>
                <w:rFonts w:ascii="Arial" w:hAnsi="Arial" w:cs="Arial"/>
                <w:sz w:val="13"/>
                <w:szCs w:val="13"/>
              </w:rPr>
            </w:pPr>
            <w:r w:rsidRPr="00AA6F7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12</w:t>
            </w:r>
          </w:p>
        </w:tc>
      </w:tr>
      <w:tr w:rsidR="00113336" w:rsidRPr="00AA6F7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D04577" w:rsidP="009B36BA">
            <w:pPr>
              <w:jc w:val="center"/>
              <w:rPr>
                <w:rFonts w:ascii="Arial" w:hAnsi="Arial" w:cs="Arial"/>
                <w:sz w:val="13"/>
                <w:szCs w:val="13"/>
              </w:rPr>
            </w:pPr>
            <w:r w:rsidRPr="00AA6F74">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AA6F74" w:rsidRDefault="00D04577" w:rsidP="009B36BA">
            <w:pPr>
              <w:jc w:val="center"/>
              <w:rPr>
                <w:rFonts w:ascii="Arial" w:hAnsi="Arial" w:cs="Arial"/>
                <w:b/>
                <w:sz w:val="13"/>
                <w:szCs w:val="13"/>
              </w:rPr>
            </w:pPr>
            <w:r w:rsidRPr="00AA6F74">
              <w:rPr>
                <w:rFonts w:ascii="Arial" w:hAnsi="Arial" w:cs="Arial"/>
                <w:b/>
                <w:sz w:val="13"/>
                <w:szCs w:val="13"/>
              </w:rPr>
              <w:t>CC</w:t>
            </w:r>
          </w:p>
          <w:p w:rsidR="00113336" w:rsidRPr="00AA6F74" w:rsidRDefault="00D04577" w:rsidP="009B36BA">
            <w:pPr>
              <w:jc w:val="center"/>
              <w:rPr>
                <w:rFonts w:ascii="Arial" w:hAnsi="Arial" w:cs="Arial"/>
                <w:sz w:val="13"/>
                <w:szCs w:val="13"/>
              </w:rPr>
            </w:pPr>
            <w:r w:rsidRPr="00AA6F7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19</w:t>
            </w:r>
          </w:p>
        </w:tc>
      </w:tr>
      <w:tr w:rsidR="00113336" w:rsidRPr="00AA6F74"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26</w:t>
            </w:r>
          </w:p>
        </w:tc>
      </w:tr>
      <w:tr w:rsidR="00113336" w:rsidRPr="00AA6F74"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b/>
                <w:sz w:val="13"/>
                <w:szCs w:val="13"/>
              </w:rPr>
            </w:pPr>
            <w:r w:rsidRPr="00AA6F74">
              <w:rPr>
                <w:rFonts w:ascii="Arial" w:hAnsi="Arial" w:cs="Arial"/>
                <w:b/>
                <w:sz w:val="13"/>
                <w:szCs w:val="13"/>
              </w:rPr>
              <w:t>H</w:t>
            </w:r>
          </w:p>
          <w:p w:rsidR="00113336" w:rsidRPr="00AA6F74" w:rsidRDefault="00D04577" w:rsidP="00D04577">
            <w:pPr>
              <w:jc w:val="center"/>
              <w:rPr>
                <w:rFonts w:ascii="Arial" w:hAnsi="Arial" w:cs="Arial"/>
                <w:sz w:val="13"/>
                <w:szCs w:val="13"/>
              </w:rPr>
            </w:pPr>
            <w:r w:rsidRPr="00AA6F74">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A6F74" w:rsidRDefault="00D04577" w:rsidP="00D04577">
            <w:pPr>
              <w:jc w:val="center"/>
              <w:rPr>
                <w:rFonts w:ascii="Arial" w:hAnsi="Arial" w:cs="Arial"/>
                <w:sz w:val="13"/>
                <w:szCs w:val="13"/>
              </w:rPr>
            </w:pPr>
            <w:r w:rsidRPr="00AA6F7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D04577" w:rsidP="009B36BA">
            <w:pPr>
              <w:jc w:val="center"/>
              <w:rPr>
                <w:rFonts w:ascii="Arial" w:hAnsi="Arial" w:cs="Arial"/>
                <w:sz w:val="13"/>
                <w:szCs w:val="13"/>
              </w:rPr>
            </w:pPr>
            <w:r w:rsidRPr="00AA6F74">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r>
      <w:tr w:rsidR="00D04577" w:rsidRPr="00AA6F74"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A6F74"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r w:rsidRPr="00AA6F74">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r w:rsidRPr="00AA6F74">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A6F74"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A6F74"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A6F74" w:rsidRDefault="00D04577" w:rsidP="009B36BA">
            <w:pPr>
              <w:jc w:val="center"/>
              <w:rPr>
                <w:rFonts w:ascii="Arial" w:hAnsi="Arial" w:cs="Arial"/>
                <w:sz w:val="13"/>
                <w:szCs w:val="13"/>
              </w:rPr>
            </w:pPr>
          </w:p>
        </w:tc>
      </w:tr>
      <w:tr w:rsidR="00113336" w:rsidRPr="00AA6F7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SEPTEMBER – SEPTEMBRE</w:t>
            </w:r>
          </w:p>
        </w:tc>
      </w:tr>
      <w:tr w:rsidR="00113336" w:rsidRPr="00AA6F74"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6"/>
                <w:szCs w:val="16"/>
              </w:rPr>
            </w:pPr>
            <w:r w:rsidRPr="00AA6F7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A6F7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W</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T</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F</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p w:rsidR="00113336" w:rsidRPr="00AA6F74" w:rsidRDefault="00113336" w:rsidP="009B36BA">
            <w:pPr>
              <w:tabs>
                <w:tab w:val="center" w:pos="5220"/>
                <w:tab w:val="right" w:pos="10440"/>
              </w:tabs>
              <w:jc w:val="center"/>
              <w:rPr>
                <w:rFonts w:ascii="Arial" w:hAnsi="Arial" w:cs="Arial"/>
                <w:b/>
                <w:sz w:val="13"/>
                <w:szCs w:val="13"/>
              </w:rPr>
            </w:pPr>
            <w:r w:rsidRPr="00AA6F74">
              <w:rPr>
                <w:rFonts w:ascii="Arial" w:hAnsi="Arial" w:cs="Arial"/>
                <w:b/>
                <w:sz w:val="13"/>
                <w:szCs w:val="13"/>
              </w:rPr>
              <w:t>S</w:t>
            </w:r>
          </w:p>
        </w:tc>
      </w:tr>
      <w:tr w:rsidR="00113336" w:rsidRPr="00AA6F7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H</w:t>
            </w:r>
          </w:p>
          <w:p w:rsidR="00113336" w:rsidRPr="00AA6F74" w:rsidRDefault="00A067B5" w:rsidP="009B36BA">
            <w:pPr>
              <w:jc w:val="center"/>
              <w:rPr>
                <w:rFonts w:ascii="Arial" w:hAnsi="Arial" w:cs="Arial"/>
                <w:sz w:val="13"/>
                <w:szCs w:val="13"/>
              </w:rPr>
            </w:pPr>
            <w:r w:rsidRPr="00AA6F7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H</w:t>
            </w:r>
          </w:p>
          <w:p w:rsidR="00113336" w:rsidRPr="00AA6F74" w:rsidRDefault="00A067B5" w:rsidP="009B36BA">
            <w:pPr>
              <w:jc w:val="center"/>
              <w:rPr>
                <w:rFonts w:ascii="Arial" w:hAnsi="Arial" w:cs="Arial"/>
                <w:sz w:val="13"/>
                <w:szCs w:val="13"/>
              </w:rPr>
            </w:pPr>
            <w:r w:rsidRPr="00AA6F74">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4</w:t>
            </w:r>
          </w:p>
        </w:tc>
      </w:tr>
      <w:tr w:rsidR="00113336" w:rsidRPr="00AA6F7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H</w:t>
            </w:r>
          </w:p>
          <w:p w:rsidR="00113336" w:rsidRPr="00AA6F74" w:rsidRDefault="00A067B5" w:rsidP="009B36BA">
            <w:pPr>
              <w:jc w:val="center"/>
              <w:rPr>
                <w:rFonts w:ascii="Arial" w:hAnsi="Arial" w:cs="Arial"/>
                <w:sz w:val="13"/>
                <w:szCs w:val="13"/>
              </w:rPr>
            </w:pPr>
            <w:r w:rsidRPr="00AA6F74">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RH</w:t>
            </w:r>
          </w:p>
          <w:p w:rsidR="00113336" w:rsidRPr="00AA6F74" w:rsidRDefault="00A067B5" w:rsidP="009B36BA">
            <w:pPr>
              <w:jc w:val="center"/>
              <w:rPr>
                <w:rFonts w:ascii="Arial" w:hAnsi="Arial" w:cs="Arial"/>
                <w:sz w:val="13"/>
                <w:szCs w:val="13"/>
              </w:rPr>
            </w:pPr>
            <w:r w:rsidRPr="00AA6F74">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RH</w:t>
            </w:r>
          </w:p>
          <w:p w:rsidR="00113336" w:rsidRPr="00AA6F74" w:rsidRDefault="00A067B5" w:rsidP="009B36BA">
            <w:pPr>
              <w:jc w:val="center"/>
              <w:rPr>
                <w:rFonts w:ascii="Arial" w:hAnsi="Arial" w:cs="Arial"/>
                <w:sz w:val="13"/>
                <w:szCs w:val="13"/>
              </w:rPr>
            </w:pPr>
            <w:r w:rsidRPr="00AA6F74">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11</w:t>
            </w:r>
          </w:p>
        </w:tc>
      </w:tr>
      <w:tr w:rsidR="00113336" w:rsidRPr="00AA6F7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A6F74" w:rsidRDefault="00A067B5" w:rsidP="009B36BA">
            <w:pPr>
              <w:jc w:val="center"/>
              <w:rPr>
                <w:rFonts w:ascii="Arial" w:hAnsi="Arial" w:cs="Arial"/>
                <w:b/>
                <w:sz w:val="13"/>
                <w:szCs w:val="13"/>
              </w:rPr>
            </w:pPr>
            <w:r w:rsidRPr="00AA6F74">
              <w:rPr>
                <w:rFonts w:ascii="Arial" w:hAnsi="Arial" w:cs="Arial"/>
                <w:b/>
                <w:sz w:val="13"/>
                <w:szCs w:val="13"/>
              </w:rPr>
              <w:t>YK</w:t>
            </w:r>
          </w:p>
          <w:p w:rsidR="00113336" w:rsidRPr="00AA6F74" w:rsidRDefault="00A067B5" w:rsidP="009B36BA">
            <w:pPr>
              <w:jc w:val="center"/>
              <w:rPr>
                <w:rFonts w:ascii="Arial" w:hAnsi="Arial" w:cs="Arial"/>
                <w:sz w:val="13"/>
                <w:szCs w:val="13"/>
              </w:rPr>
            </w:pPr>
            <w:r w:rsidRPr="00AA6F74">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18</w:t>
            </w:r>
          </w:p>
        </w:tc>
      </w:tr>
      <w:tr w:rsidR="00113336" w:rsidRPr="00AA6F7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25</w:t>
            </w:r>
          </w:p>
        </w:tc>
      </w:tr>
      <w:tr w:rsidR="00113336" w:rsidRPr="00AA6F74"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A6F74" w:rsidRDefault="00A067B5" w:rsidP="00A067B5">
            <w:pPr>
              <w:jc w:val="center"/>
              <w:rPr>
                <w:rFonts w:ascii="Arial" w:hAnsi="Arial" w:cs="Arial"/>
                <w:sz w:val="13"/>
                <w:szCs w:val="13"/>
              </w:rPr>
            </w:pPr>
            <w:r w:rsidRPr="00AA6F7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A067B5">
            <w:pPr>
              <w:jc w:val="center"/>
              <w:rPr>
                <w:rFonts w:ascii="Arial" w:hAnsi="Arial" w:cs="Arial"/>
                <w:sz w:val="13"/>
                <w:szCs w:val="13"/>
              </w:rPr>
            </w:pPr>
            <w:r w:rsidRPr="00AA6F7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A067B5">
            <w:pPr>
              <w:jc w:val="center"/>
              <w:rPr>
                <w:rFonts w:ascii="Arial" w:hAnsi="Arial" w:cs="Arial"/>
                <w:sz w:val="13"/>
                <w:szCs w:val="13"/>
              </w:rPr>
            </w:pPr>
            <w:r w:rsidRPr="00AA6F7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A6F74"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A6F7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A067B5" w:rsidP="009B36BA">
            <w:pPr>
              <w:jc w:val="center"/>
              <w:rPr>
                <w:rFonts w:ascii="Arial" w:hAnsi="Arial" w:cs="Arial"/>
                <w:sz w:val="13"/>
                <w:szCs w:val="13"/>
              </w:rPr>
            </w:pPr>
            <w:r w:rsidRPr="00AA6F7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A6F74" w:rsidRDefault="00113336" w:rsidP="009B36BA">
            <w:pPr>
              <w:jc w:val="center"/>
              <w:rPr>
                <w:rFonts w:ascii="Arial" w:hAnsi="Arial" w:cs="Arial"/>
                <w:sz w:val="13"/>
                <w:szCs w:val="13"/>
              </w:rPr>
            </w:pPr>
          </w:p>
        </w:tc>
      </w:tr>
    </w:tbl>
    <w:p w:rsidR="00113336" w:rsidRPr="00AA6F74"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AA6F74" w:rsidTr="00B4618C">
        <w:trPr>
          <w:trHeight w:val="445"/>
        </w:trPr>
        <w:tc>
          <w:tcPr>
            <w:tcW w:w="1890" w:type="dxa"/>
            <w:tcBorders>
              <w:top w:val="nil"/>
              <w:left w:val="nil"/>
              <w:bottom w:val="nil"/>
              <w:right w:val="single" w:sz="4" w:space="0" w:color="000000" w:themeColor="text1"/>
            </w:tcBorders>
            <w:vAlign w:val="center"/>
            <w:hideMark/>
          </w:tcPr>
          <w:p w:rsidR="00113336" w:rsidRPr="00AA6F74" w:rsidRDefault="00113336" w:rsidP="009B36BA">
            <w:pPr>
              <w:rPr>
                <w:rFonts w:ascii="Arial" w:hAnsi="Arial" w:cs="Arial"/>
                <w:b/>
                <w:sz w:val="13"/>
                <w:szCs w:val="13"/>
              </w:rPr>
            </w:pPr>
            <w:r w:rsidRPr="00AA6F74">
              <w:rPr>
                <w:rFonts w:ascii="Arial" w:hAnsi="Arial" w:cs="Arial"/>
                <w:b/>
                <w:sz w:val="13"/>
                <w:szCs w:val="13"/>
              </w:rPr>
              <w:t>Sitting of the Court /</w:t>
            </w:r>
          </w:p>
          <w:p w:rsidR="00113336" w:rsidRPr="00AA6F74" w:rsidRDefault="00113336" w:rsidP="009B36BA">
            <w:pPr>
              <w:rPr>
                <w:rFonts w:ascii="Arial" w:hAnsi="Arial" w:cs="Arial"/>
                <w:b/>
                <w:sz w:val="13"/>
                <w:szCs w:val="13"/>
              </w:rPr>
            </w:pPr>
            <w:r w:rsidRPr="00AA6F74">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AA6F74"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AA6F74" w:rsidRDefault="00113336" w:rsidP="009B36BA">
            <w:pPr>
              <w:tabs>
                <w:tab w:val="left" w:pos="203"/>
              </w:tabs>
              <w:spacing w:after="120"/>
              <w:rPr>
                <w:rFonts w:ascii="Arial" w:hAnsi="Arial" w:cs="Arial"/>
                <w:b/>
                <w:sz w:val="13"/>
                <w:szCs w:val="13"/>
                <w:lang w:val="fr-CA"/>
              </w:rPr>
            </w:pPr>
            <w:r w:rsidRPr="00AA6F74">
              <w:rPr>
                <w:rFonts w:ascii="Arial" w:hAnsi="Arial" w:cs="Arial"/>
                <w:b/>
                <w:sz w:val="13"/>
                <w:szCs w:val="13"/>
                <w:lang w:val="fr-CA"/>
              </w:rPr>
              <w:t>18</w:t>
            </w:r>
            <w:r w:rsidRPr="00AA6F74">
              <w:rPr>
                <w:rFonts w:ascii="Arial" w:hAnsi="Arial" w:cs="Arial"/>
                <w:b/>
                <w:sz w:val="13"/>
                <w:szCs w:val="13"/>
                <w:lang w:val="fr-CA"/>
              </w:rPr>
              <w:tab/>
              <w:t xml:space="preserve"> sitting weeks / semaines séances de la Cour</w:t>
            </w:r>
          </w:p>
          <w:p w:rsidR="00113336" w:rsidRPr="00AA6F74" w:rsidRDefault="00113336" w:rsidP="00B4618C">
            <w:pPr>
              <w:tabs>
                <w:tab w:val="left" w:pos="203"/>
              </w:tabs>
              <w:rPr>
                <w:rFonts w:ascii="Arial" w:hAnsi="Arial" w:cs="Arial"/>
                <w:b/>
                <w:sz w:val="13"/>
                <w:szCs w:val="13"/>
                <w:lang w:val="fr-CA"/>
              </w:rPr>
            </w:pPr>
            <w:r w:rsidRPr="00AA6F74">
              <w:rPr>
                <w:rFonts w:ascii="Arial" w:hAnsi="Arial" w:cs="Arial"/>
                <w:b/>
                <w:sz w:val="13"/>
                <w:szCs w:val="13"/>
                <w:lang w:val="fr-CA"/>
              </w:rPr>
              <w:t>8</w:t>
            </w:r>
            <w:r w:rsidR="00B4618C" w:rsidRPr="00AA6F74">
              <w:rPr>
                <w:rFonts w:ascii="Arial" w:hAnsi="Arial" w:cs="Arial"/>
                <w:b/>
                <w:sz w:val="13"/>
                <w:szCs w:val="13"/>
                <w:lang w:val="fr-CA"/>
              </w:rPr>
              <w:t>8</w:t>
            </w:r>
            <w:r w:rsidRPr="00AA6F74">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AA6F74" w:rsidRDefault="00113336" w:rsidP="009B36BA">
            <w:pPr>
              <w:spacing w:after="120"/>
              <w:rPr>
                <w:rFonts w:ascii="Arial" w:hAnsi="Arial" w:cs="Arial"/>
                <w:b/>
                <w:sz w:val="13"/>
                <w:szCs w:val="13"/>
                <w:lang w:val="fr-FR"/>
              </w:rPr>
            </w:pPr>
            <w:r w:rsidRPr="00AA6F74">
              <w:rPr>
                <w:rFonts w:ascii="Arial" w:hAnsi="Arial" w:cs="Arial"/>
                <w:b/>
                <w:sz w:val="13"/>
                <w:szCs w:val="13"/>
                <w:lang w:val="fr-FR"/>
              </w:rPr>
              <w:t>Rosh Hashanah / Nouvel An juif</w:t>
            </w:r>
          </w:p>
          <w:p w:rsidR="00113336" w:rsidRPr="00AA6F74" w:rsidRDefault="00113336" w:rsidP="00B4618C">
            <w:pPr>
              <w:rPr>
                <w:rFonts w:ascii="Arial" w:hAnsi="Arial" w:cs="Arial"/>
                <w:b/>
                <w:sz w:val="13"/>
                <w:szCs w:val="13"/>
                <w:lang w:val="fr-CA"/>
              </w:rPr>
            </w:pPr>
            <w:r w:rsidRPr="00AA6F74">
              <w:rPr>
                <w:rFonts w:ascii="Arial" w:hAnsi="Arial" w:cs="Arial"/>
                <w:b/>
                <w:sz w:val="13"/>
                <w:szCs w:val="13"/>
                <w:lang w:val="fr-FR"/>
              </w:rPr>
              <w:t>Yom Kippur / Yom Kippour</w:t>
            </w:r>
          </w:p>
        </w:tc>
        <w:tc>
          <w:tcPr>
            <w:tcW w:w="567" w:type="dxa"/>
            <w:hideMark/>
          </w:tcPr>
          <w:p w:rsidR="00113336" w:rsidRPr="00AA6F74" w:rsidRDefault="00113336" w:rsidP="009B36BA">
            <w:pPr>
              <w:spacing w:after="120"/>
              <w:jc w:val="center"/>
              <w:rPr>
                <w:rFonts w:ascii="Arial" w:hAnsi="Arial" w:cs="Arial"/>
                <w:b/>
                <w:sz w:val="13"/>
                <w:szCs w:val="13"/>
                <w:lang w:val="fr-CA"/>
              </w:rPr>
            </w:pPr>
            <w:r w:rsidRPr="00AA6F74">
              <w:rPr>
                <w:rFonts w:ascii="Arial" w:hAnsi="Arial" w:cs="Arial"/>
                <w:b/>
                <w:sz w:val="13"/>
                <w:szCs w:val="13"/>
                <w:lang w:val="fr-CA"/>
              </w:rPr>
              <w:t>RH</w:t>
            </w:r>
          </w:p>
          <w:p w:rsidR="00113336" w:rsidRPr="00AA6F74" w:rsidRDefault="00113336" w:rsidP="009B36BA">
            <w:pPr>
              <w:jc w:val="center"/>
              <w:rPr>
                <w:rFonts w:ascii="Arial" w:hAnsi="Arial" w:cs="Arial"/>
                <w:b/>
                <w:sz w:val="13"/>
                <w:szCs w:val="13"/>
                <w:lang w:val="fr-CA"/>
              </w:rPr>
            </w:pPr>
            <w:r w:rsidRPr="00AA6F74">
              <w:rPr>
                <w:rFonts w:ascii="Arial" w:hAnsi="Arial" w:cs="Arial"/>
                <w:b/>
                <w:sz w:val="13"/>
                <w:szCs w:val="13"/>
                <w:lang w:val="fr-CA"/>
              </w:rPr>
              <w:t>YK</w:t>
            </w:r>
          </w:p>
        </w:tc>
      </w:tr>
      <w:tr w:rsidR="00113336" w:rsidRPr="002A25F4" w:rsidTr="00B4618C">
        <w:trPr>
          <w:trHeight w:val="390"/>
        </w:trPr>
        <w:tc>
          <w:tcPr>
            <w:tcW w:w="1890" w:type="dxa"/>
            <w:tcBorders>
              <w:top w:val="nil"/>
              <w:left w:val="nil"/>
              <w:bottom w:val="nil"/>
              <w:right w:val="double" w:sz="4" w:space="0" w:color="auto"/>
            </w:tcBorders>
            <w:vAlign w:val="center"/>
            <w:hideMark/>
          </w:tcPr>
          <w:p w:rsidR="00113336" w:rsidRPr="00AA6F74" w:rsidRDefault="00113336" w:rsidP="009B36BA">
            <w:pPr>
              <w:spacing w:before="60"/>
              <w:rPr>
                <w:rFonts w:ascii="Arial" w:hAnsi="Arial" w:cs="Arial"/>
                <w:b/>
                <w:sz w:val="13"/>
                <w:szCs w:val="13"/>
                <w:lang w:val="fr-CA"/>
              </w:rPr>
            </w:pPr>
            <w:r w:rsidRPr="00AA6F74">
              <w:rPr>
                <w:rFonts w:ascii="Arial" w:hAnsi="Arial" w:cs="Arial"/>
                <w:b/>
                <w:sz w:val="13"/>
                <w:szCs w:val="13"/>
                <w:lang w:val="fr-CA"/>
              </w:rPr>
              <w:t>Court conference /</w:t>
            </w:r>
          </w:p>
          <w:p w:rsidR="00113336" w:rsidRPr="00AA6F74" w:rsidRDefault="00113336" w:rsidP="009B36BA">
            <w:pPr>
              <w:rPr>
                <w:rFonts w:ascii="Arial" w:hAnsi="Arial" w:cs="Arial"/>
                <w:b/>
                <w:sz w:val="13"/>
                <w:szCs w:val="13"/>
                <w:lang w:val="fr-CA"/>
              </w:rPr>
            </w:pPr>
            <w:r w:rsidRPr="00AA6F74">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AA6F74" w:rsidRDefault="00113336" w:rsidP="009B36BA">
            <w:pPr>
              <w:jc w:val="center"/>
              <w:rPr>
                <w:rFonts w:ascii="Arial" w:hAnsi="Arial" w:cs="Arial"/>
                <w:b/>
                <w:sz w:val="13"/>
                <w:szCs w:val="13"/>
                <w:lang w:val="fr-FR"/>
              </w:rPr>
            </w:pPr>
            <w:r w:rsidRPr="00AA6F74">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AA6F74" w:rsidRDefault="00113336" w:rsidP="009B36BA">
            <w:pPr>
              <w:tabs>
                <w:tab w:val="left" w:pos="203"/>
              </w:tabs>
              <w:spacing w:before="120"/>
              <w:rPr>
                <w:rFonts w:ascii="Arial" w:hAnsi="Arial" w:cs="Arial"/>
                <w:b/>
                <w:sz w:val="13"/>
                <w:szCs w:val="13"/>
                <w:lang w:val="fr-CA"/>
              </w:rPr>
            </w:pPr>
            <w:r w:rsidRPr="00AA6F74">
              <w:rPr>
                <w:rFonts w:ascii="Arial" w:hAnsi="Arial" w:cs="Arial"/>
                <w:b/>
                <w:sz w:val="13"/>
                <w:szCs w:val="13"/>
                <w:lang w:val="fr-CA"/>
              </w:rPr>
              <w:t>9</w:t>
            </w:r>
            <w:r w:rsidRPr="00AA6F74">
              <w:rPr>
                <w:rFonts w:ascii="Arial" w:hAnsi="Arial" w:cs="Arial"/>
                <w:b/>
                <w:sz w:val="13"/>
                <w:szCs w:val="13"/>
                <w:lang w:val="fr-CA"/>
              </w:rPr>
              <w:tab/>
              <w:t>Court conference days /</w:t>
            </w:r>
          </w:p>
          <w:p w:rsidR="00113336" w:rsidRPr="00AA6F74" w:rsidRDefault="00113336" w:rsidP="00B4618C">
            <w:pPr>
              <w:tabs>
                <w:tab w:val="left" w:pos="203"/>
              </w:tabs>
              <w:rPr>
                <w:rFonts w:ascii="Arial" w:hAnsi="Arial" w:cs="Arial"/>
                <w:b/>
                <w:sz w:val="13"/>
                <w:szCs w:val="13"/>
                <w:lang w:val="fr-CA"/>
              </w:rPr>
            </w:pPr>
            <w:r w:rsidRPr="00AA6F74">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AA6F74" w:rsidRDefault="00113336" w:rsidP="009B36BA">
            <w:pPr>
              <w:rPr>
                <w:rFonts w:ascii="Arial" w:hAnsi="Arial" w:cs="Arial"/>
                <w:b/>
                <w:sz w:val="13"/>
                <w:szCs w:val="13"/>
                <w:lang w:val="fr-CA"/>
              </w:rPr>
            </w:pPr>
          </w:p>
        </w:tc>
        <w:tc>
          <w:tcPr>
            <w:tcW w:w="567" w:type="dxa"/>
          </w:tcPr>
          <w:p w:rsidR="00113336" w:rsidRPr="00AA6F74"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AA6F74" w:rsidRDefault="00113336" w:rsidP="009B36BA">
            <w:pPr>
              <w:rPr>
                <w:rFonts w:ascii="Arial" w:hAnsi="Arial" w:cs="Arial"/>
                <w:b/>
                <w:sz w:val="13"/>
                <w:szCs w:val="13"/>
              </w:rPr>
            </w:pPr>
            <w:r w:rsidRPr="00AA6F74">
              <w:rPr>
                <w:rFonts w:ascii="Arial" w:hAnsi="Arial" w:cs="Arial"/>
                <w:b/>
                <w:sz w:val="13"/>
                <w:szCs w:val="13"/>
              </w:rPr>
              <w:t xml:space="preserve">Holiday / </w:t>
            </w:r>
            <w:r w:rsidRPr="00AA6F74">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AA6F74" w:rsidRDefault="00113336" w:rsidP="009B36BA">
            <w:pPr>
              <w:jc w:val="center"/>
              <w:rPr>
                <w:rFonts w:ascii="Arial" w:hAnsi="Arial" w:cs="Arial"/>
                <w:b/>
                <w:sz w:val="13"/>
                <w:szCs w:val="13"/>
              </w:rPr>
            </w:pPr>
            <w:r w:rsidRPr="00AA6F74">
              <w:rPr>
                <w:rFonts w:ascii="Arial" w:hAnsi="Arial" w:cs="Arial"/>
                <w:b/>
                <w:sz w:val="13"/>
                <w:szCs w:val="13"/>
              </w:rPr>
              <w:t>H</w:t>
            </w:r>
          </w:p>
        </w:tc>
        <w:tc>
          <w:tcPr>
            <w:tcW w:w="3524" w:type="dxa"/>
            <w:tcBorders>
              <w:top w:val="nil"/>
              <w:left w:val="double" w:sz="4" w:space="0" w:color="auto"/>
              <w:bottom w:val="nil"/>
              <w:right w:val="nil"/>
            </w:tcBorders>
            <w:hideMark/>
          </w:tcPr>
          <w:p w:rsidR="00113336" w:rsidRPr="00AA6F74" w:rsidRDefault="00B4618C" w:rsidP="009B36BA">
            <w:pPr>
              <w:tabs>
                <w:tab w:val="left" w:pos="203"/>
              </w:tabs>
              <w:spacing w:before="120"/>
              <w:rPr>
                <w:rFonts w:ascii="Arial" w:hAnsi="Arial" w:cs="Arial"/>
                <w:b/>
                <w:sz w:val="13"/>
                <w:szCs w:val="13"/>
              </w:rPr>
            </w:pPr>
            <w:r w:rsidRPr="00AA6F74">
              <w:rPr>
                <w:rFonts w:ascii="Arial" w:hAnsi="Arial" w:cs="Arial"/>
                <w:b/>
                <w:sz w:val="13"/>
                <w:szCs w:val="13"/>
              </w:rPr>
              <w:t>2</w:t>
            </w:r>
            <w:r w:rsidR="00113336" w:rsidRPr="00AA6F74">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AA6F74">
              <w:rPr>
                <w:rFonts w:ascii="Arial" w:hAnsi="Arial" w:cs="Arial"/>
                <w:b/>
                <w:sz w:val="13"/>
                <w:szCs w:val="13"/>
              </w:rPr>
              <w:tab/>
            </w:r>
            <w:r w:rsidRPr="00AA6F74">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8"/>
      <w:footerReference w:type="default" r:id="rId7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A1" w:rsidRDefault="00545AA1" w:rsidP="00A87207">
      <w:r>
        <w:separator/>
      </w:r>
    </w:p>
  </w:endnote>
  <w:endnote w:type="continuationSeparator" w:id="0">
    <w:p w:rsidR="00545AA1" w:rsidRDefault="00545AA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rsidP="00A87207">
    <w:pPr>
      <w:pStyle w:val="Footer"/>
    </w:pPr>
    <w:r>
      <w:pict>
        <v:rect id="_x0000_i1037" style="width:480.95pt;height:1pt" o:hralign="center" o:hrstd="t" o:hrnoshade="t" o:hr="t" fillcolor="black [3213]" stroked="f"/>
      </w:pict>
    </w:r>
  </w:p>
  <w:p w:rsidR="00545AA1" w:rsidRPr="00B7374B" w:rsidRDefault="00545AA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A25F4">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rsidP="00732DB7">
    <w:r>
      <w:pict>
        <v:rect id="_x0000_i1066" style="width:480.95pt;height:1pt" o:hralign="center" o:hrstd="t" o:hrnoshade="t" o:hr="t" fillcolor="black" stroked="f"/>
      </w:pict>
    </w:r>
  </w:p>
  <w:p w:rsidR="00545AA1" w:rsidRDefault="00545AA1">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pPr>
      <w:pStyle w:val="Footer"/>
    </w:pPr>
    <w:r>
      <w:pict>
        <v:rect id="_x0000_i1067" style="width:480.95pt;height:1pt" o:hralign="center" o:hrstd="t" o:hrnoshade="t" o:hr="t" fillcolor="black" stroked="f"/>
      </w:pict>
    </w:r>
  </w:p>
  <w:p w:rsidR="00545AA1" w:rsidRPr="00283C52" w:rsidRDefault="00545AA1">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Pr="00924065" w:rsidRDefault="00545AA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rsidP="00755F22">
    <w:pPr>
      <w:tabs>
        <w:tab w:val="left" w:pos="-1440"/>
        <w:tab w:val="left" w:pos="-720"/>
      </w:tabs>
    </w:pPr>
    <w:r>
      <w:pict>
        <v:rect id="_x0000_i1038" style="width:480.95pt;height:1pt" o:hralign="center" o:hrstd="t" o:hrnoshade="t" o:hr="t" fillcolor="black [3213]" stroked="f"/>
      </w:pict>
    </w:r>
  </w:p>
  <w:p w:rsidR="00545AA1" w:rsidRPr="00954D22" w:rsidRDefault="00545AA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A25F4">
      <w:rPr>
        <w:noProof/>
        <w:szCs w:val="24"/>
      </w:rPr>
      <w:t>1</w:t>
    </w:r>
    <w:r>
      <w:rPr>
        <w:szCs w:val="24"/>
      </w:rPr>
      <w:fldChar w:fldCharType="end"/>
    </w:r>
    <w:r w:rsidRPr="00954D22">
      <w:rPr>
        <w:szCs w:val="24"/>
      </w:rPr>
      <w:t xml:space="preserve"> -</w:t>
    </w:r>
  </w:p>
  <w:p w:rsidR="00545AA1" w:rsidRDefault="0054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45AA1" w:rsidRDefault="00545AA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545AA1" w:rsidRPr="0009648D" w:rsidRDefault="00545AA1" w:rsidP="00ED7E83">
    <w:pPr>
      <w:tabs>
        <w:tab w:val="center" w:pos="4680"/>
      </w:tabs>
    </w:pPr>
    <w:r>
      <w:tab/>
    </w:r>
    <w:r w:rsidRPr="0009648D">
      <w:t xml:space="preserve">- </w:t>
    </w:r>
    <w:r>
      <w:fldChar w:fldCharType="begin"/>
    </w:r>
    <w:r>
      <w:instrText xml:space="preserve"> PAGE   \* MERGEFORMAT </w:instrText>
    </w:r>
    <w:r>
      <w:fldChar w:fldCharType="separate"/>
    </w:r>
    <w:r w:rsidR="002A25F4">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pPr>
      <w:pStyle w:val="Footer"/>
      <w:rPr>
        <w:lang w:val="fr-CA"/>
      </w:rPr>
    </w:pPr>
    <w:r>
      <w:rPr>
        <w:lang w:val="fr-CA"/>
      </w:rPr>
      <w:pict>
        <v:rect id="_x0000_i1056" style="width:480.95pt;height:1pt" o:hralign="center" o:hrstd="t" o:hrnoshade="t" o:hr="t" fillcolor="black [3213]" stroked="f"/>
      </w:pict>
    </w:r>
  </w:p>
  <w:p w:rsidR="00545AA1" w:rsidRDefault="00545AA1" w:rsidP="00245129">
    <w:pPr>
      <w:tabs>
        <w:tab w:val="center" w:pos="4680"/>
      </w:tabs>
    </w:pPr>
    <w:r>
      <w:tab/>
    </w:r>
    <w:r w:rsidRPr="0009648D">
      <w:t xml:space="preserve">- </w:t>
    </w:r>
    <w:r>
      <w:fldChar w:fldCharType="begin"/>
    </w:r>
    <w:r>
      <w:instrText xml:space="preserve"> PAGE   \* MERGEFORMAT </w:instrText>
    </w:r>
    <w:r>
      <w:fldChar w:fldCharType="separate"/>
    </w:r>
    <w:r w:rsidR="002A25F4">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45AA1" w:rsidRDefault="00545AA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rsidP="00755F22">
    <w:pPr>
      <w:tabs>
        <w:tab w:val="left" w:pos="-1440"/>
        <w:tab w:val="left" w:pos="-720"/>
      </w:tabs>
    </w:pPr>
    <w:r>
      <w:pict>
        <v:rect id="_x0000_i1059" style="width:480.95pt;height:1pt" o:hralign="center" o:hrstd="t" o:hrnoshade="t" o:hr="t" fillcolor="black [3213]" stroked="f"/>
      </w:pict>
    </w:r>
  </w:p>
  <w:p w:rsidR="00545AA1" w:rsidRDefault="00545AA1" w:rsidP="00EB2B90">
    <w:pPr>
      <w:tabs>
        <w:tab w:val="center" w:pos="4680"/>
      </w:tabs>
    </w:pPr>
    <w:r>
      <w:tab/>
      <w:t xml:space="preserve">- </w:t>
    </w:r>
    <w:r>
      <w:fldChar w:fldCharType="begin"/>
    </w:r>
    <w:r>
      <w:instrText xml:space="preserve"> PAGE   \* MERGEFORMAT </w:instrText>
    </w:r>
    <w:r>
      <w:fldChar w:fldCharType="separate"/>
    </w:r>
    <w:r w:rsidR="002A25F4">
      <w:rPr>
        <w:noProof/>
      </w:rPr>
      <w:t>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2A25F4" w:rsidP="00EB2B90">
    <w:pPr>
      <w:tabs>
        <w:tab w:val="center" w:pos="4680"/>
      </w:tabs>
    </w:pPr>
    <w:r>
      <w:pict>
        <v:rect id="_x0000_i1060" style="width:480.95pt;height:1pt" o:hralign="center" o:hrstd="t" o:hrnoshade="t" o:hr="t" fillcolor="black [3213]" stroked="f"/>
      </w:pict>
    </w:r>
  </w:p>
  <w:p w:rsidR="00545AA1" w:rsidRPr="0031432F" w:rsidRDefault="00545AA1" w:rsidP="00EB2B90">
    <w:pPr>
      <w:tabs>
        <w:tab w:val="center" w:pos="4680"/>
      </w:tabs>
    </w:pPr>
    <w:r>
      <w:tab/>
      <w:t xml:space="preserve">- </w:t>
    </w:r>
    <w:r>
      <w:fldChar w:fldCharType="begin"/>
    </w:r>
    <w:r>
      <w:instrText xml:space="preserve"> PAGE   \* MERGEFORMAT </w:instrText>
    </w:r>
    <w:r>
      <w:fldChar w:fldCharType="separate"/>
    </w:r>
    <w:r w:rsidR="002A25F4">
      <w:rPr>
        <w:noProof/>
      </w:rPr>
      <w:t>20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45AA1" w:rsidRDefault="00545AA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A1" w:rsidRDefault="00545AA1" w:rsidP="00A87207">
      <w:r>
        <w:separator/>
      </w:r>
    </w:p>
  </w:footnote>
  <w:footnote w:type="continuationSeparator" w:id="0">
    <w:p w:rsidR="00545AA1" w:rsidRDefault="00545AA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45AA1" w:rsidRPr="0044776A" w:rsidTr="00245129">
      <w:tc>
        <w:tcPr>
          <w:tcW w:w="4290" w:type="dxa"/>
          <w:tcMar>
            <w:left w:w="0" w:type="dxa"/>
            <w:right w:w="0" w:type="dxa"/>
          </w:tcMar>
        </w:tcPr>
        <w:p w:rsidR="00545AA1" w:rsidRPr="00D31809" w:rsidRDefault="00545AA1" w:rsidP="00D31809">
          <w:pPr>
            <w:keepNext/>
            <w:keepLines/>
            <w:rPr>
              <w:sz w:val="20"/>
              <w:szCs w:val="20"/>
              <w:lang w:val="en-US"/>
            </w:rPr>
          </w:pPr>
          <w:r w:rsidRPr="00D31809">
            <w:rPr>
              <w:sz w:val="20"/>
              <w:szCs w:val="20"/>
              <w:lang w:val="en-US"/>
            </w:rPr>
            <w:t>Applications for leave to appeal filed</w:t>
          </w:r>
        </w:p>
        <w:p w:rsidR="00545AA1" w:rsidRPr="00D31809" w:rsidRDefault="00545AA1" w:rsidP="00D31809">
          <w:pPr>
            <w:keepNext/>
            <w:keepLines/>
            <w:rPr>
              <w:sz w:val="20"/>
              <w:szCs w:val="20"/>
            </w:rPr>
          </w:pPr>
        </w:p>
      </w:tc>
      <w:tc>
        <w:tcPr>
          <w:tcW w:w="1200" w:type="dxa"/>
          <w:tcMar>
            <w:left w:w="0" w:type="dxa"/>
            <w:right w:w="0" w:type="dxa"/>
          </w:tcMar>
        </w:tcPr>
        <w:p w:rsidR="00545AA1" w:rsidRPr="00D31809" w:rsidRDefault="00545AA1" w:rsidP="002E2327">
          <w:pPr>
            <w:keepNext/>
            <w:keepLines/>
            <w:tabs>
              <w:tab w:val="left" w:pos="-1440"/>
              <w:tab w:val="left" w:pos="-720"/>
            </w:tabs>
            <w:jc w:val="center"/>
            <w:rPr>
              <w:sz w:val="20"/>
              <w:szCs w:val="20"/>
            </w:rPr>
          </w:pPr>
        </w:p>
      </w:tc>
      <w:tc>
        <w:tcPr>
          <w:tcW w:w="4320" w:type="dxa"/>
          <w:tcMar>
            <w:left w:w="0" w:type="dxa"/>
            <w:right w:w="0" w:type="dxa"/>
          </w:tcMar>
        </w:tcPr>
        <w:p w:rsidR="00545AA1" w:rsidRPr="00D31809" w:rsidRDefault="00545AA1" w:rsidP="002E2327">
          <w:pPr>
            <w:keepLines/>
            <w:rPr>
              <w:sz w:val="20"/>
              <w:szCs w:val="20"/>
              <w:lang w:val="fr-CA"/>
            </w:rPr>
          </w:pPr>
          <w:r w:rsidRPr="00D31809">
            <w:rPr>
              <w:sz w:val="20"/>
              <w:szCs w:val="20"/>
              <w:lang w:val="fr-CA"/>
            </w:rPr>
            <w:t>Demandes d’autorisation d’appel déposées</w:t>
          </w:r>
        </w:p>
      </w:tc>
    </w:tr>
  </w:tbl>
  <w:p w:rsidR="00545AA1" w:rsidRDefault="00545A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45AA1" w:rsidRPr="002A25F4" w:rsidTr="00245129">
      <w:tc>
        <w:tcPr>
          <w:tcW w:w="4200" w:type="dxa"/>
          <w:tcMar>
            <w:left w:w="0" w:type="dxa"/>
            <w:right w:w="0" w:type="dxa"/>
          </w:tcMar>
        </w:tcPr>
        <w:p w:rsidR="00545AA1" w:rsidRPr="00732DB7" w:rsidRDefault="00545AA1"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45AA1" w:rsidRPr="00732DB7" w:rsidRDefault="00545AA1" w:rsidP="00732DB7">
          <w:pPr>
            <w:keepNext/>
            <w:keepLines/>
            <w:tabs>
              <w:tab w:val="left" w:pos="-1440"/>
              <w:tab w:val="left" w:pos="-720"/>
            </w:tabs>
            <w:jc w:val="center"/>
            <w:rPr>
              <w:sz w:val="20"/>
              <w:szCs w:val="20"/>
            </w:rPr>
          </w:pPr>
        </w:p>
        <w:p w:rsidR="00545AA1" w:rsidRPr="00732DB7" w:rsidRDefault="00545AA1" w:rsidP="00732DB7">
          <w:pPr>
            <w:keepNext/>
            <w:keepLines/>
            <w:tabs>
              <w:tab w:val="left" w:pos="-1440"/>
              <w:tab w:val="left" w:pos="-720"/>
            </w:tabs>
            <w:jc w:val="center"/>
            <w:rPr>
              <w:sz w:val="20"/>
              <w:szCs w:val="20"/>
            </w:rPr>
          </w:pPr>
        </w:p>
        <w:p w:rsidR="00545AA1" w:rsidRPr="00732DB7" w:rsidRDefault="00545AA1" w:rsidP="00732DB7">
          <w:pPr>
            <w:keepNext/>
            <w:keepLines/>
            <w:tabs>
              <w:tab w:val="left" w:pos="-1440"/>
              <w:tab w:val="left" w:pos="-720"/>
            </w:tabs>
            <w:jc w:val="center"/>
            <w:rPr>
              <w:sz w:val="20"/>
              <w:szCs w:val="20"/>
            </w:rPr>
          </w:pPr>
        </w:p>
      </w:tc>
      <w:tc>
        <w:tcPr>
          <w:tcW w:w="4080" w:type="dxa"/>
          <w:tcMar>
            <w:left w:w="0" w:type="dxa"/>
            <w:right w:w="0" w:type="dxa"/>
          </w:tcMar>
        </w:tcPr>
        <w:p w:rsidR="00545AA1" w:rsidRPr="00732DB7" w:rsidRDefault="00545AA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45AA1" w:rsidRPr="00283C52" w:rsidRDefault="00545AA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45AA1" w:rsidRPr="002A25F4">
      <w:tc>
        <w:tcPr>
          <w:tcW w:w="4200" w:type="dxa"/>
          <w:tcMar>
            <w:left w:w="0" w:type="dxa"/>
            <w:right w:w="0" w:type="dxa"/>
          </w:tcMar>
        </w:tcPr>
        <w:p w:rsidR="00545AA1" w:rsidRDefault="00545A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45AA1" w:rsidRDefault="00545A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45AA1"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45AA1" w:rsidRPr="00FF6BA5"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45AA1" w:rsidRPr="00FF6BA5"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45AA1" w:rsidRPr="00FF6BA5"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45AA1" w:rsidRPr="00FF6BA5"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45AA1" w:rsidRPr="002A25F4" w:rsidTr="00245129">
      <w:tc>
        <w:tcPr>
          <w:tcW w:w="4200" w:type="dxa"/>
          <w:tcMar>
            <w:left w:w="0" w:type="dxa"/>
            <w:right w:w="0" w:type="dxa"/>
          </w:tcMar>
        </w:tcPr>
        <w:p w:rsidR="00545AA1" w:rsidRPr="00634F42" w:rsidRDefault="00545AA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45AA1" w:rsidRPr="00755F22" w:rsidRDefault="00545A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45AA1" w:rsidRPr="00755F22" w:rsidRDefault="00545A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45AA1" w:rsidRPr="00755F22"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45AA1" w:rsidRPr="00FF6BA5" w:rsidRDefault="00545AA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45AA1">
      <w:tc>
        <w:tcPr>
          <w:tcW w:w="4230" w:type="dxa"/>
          <w:tcMar>
            <w:left w:w="0" w:type="dxa"/>
            <w:right w:w="0" w:type="dxa"/>
          </w:tcMar>
        </w:tcPr>
        <w:p w:rsidR="00545AA1" w:rsidRDefault="00545A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45AA1"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45AA1"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45AA1">
      <w:trPr>
        <w:gridAfter w:val="2"/>
        <w:wAfter w:w="5250" w:type="dxa"/>
      </w:trPr>
      <w:tc>
        <w:tcPr>
          <w:tcW w:w="4230" w:type="dxa"/>
          <w:tcMar>
            <w:left w:w="0" w:type="dxa"/>
            <w:right w:w="0" w:type="dxa"/>
          </w:tcMar>
        </w:tcPr>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45AA1"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45AA1" w:rsidRPr="00755F22" w:rsidTr="00245129">
      <w:tc>
        <w:tcPr>
          <w:tcW w:w="4230" w:type="dxa"/>
          <w:tcMar>
            <w:left w:w="0" w:type="dxa"/>
            <w:right w:w="0" w:type="dxa"/>
          </w:tcMar>
        </w:tcPr>
        <w:p w:rsidR="00545AA1" w:rsidRPr="00755F22" w:rsidRDefault="00545AA1" w:rsidP="00831CA9">
          <w:pPr>
            <w:keepNext/>
            <w:keepLines/>
            <w:rPr>
              <w:sz w:val="20"/>
              <w:szCs w:val="20"/>
            </w:rPr>
          </w:pPr>
          <w:r w:rsidRPr="00755F22">
            <w:rPr>
              <w:sz w:val="20"/>
              <w:szCs w:val="20"/>
            </w:rPr>
            <w:t>Motions</w:t>
          </w:r>
        </w:p>
      </w:tc>
      <w:tc>
        <w:tcPr>
          <w:tcW w:w="1170" w:type="dxa"/>
          <w:tcMar>
            <w:left w:w="0" w:type="dxa"/>
            <w:right w:w="0" w:type="dxa"/>
          </w:tcMar>
        </w:tcPr>
        <w:p w:rsidR="00545AA1" w:rsidRPr="00755F22" w:rsidRDefault="00545AA1" w:rsidP="00831CA9">
          <w:pPr>
            <w:keepLines/>
            <w:jc w:val="center"/>
            <w:rPr>
              <w:sz w:val="20"/>
              <w:szCs w:val="20"/>
            </w:rPr>
          </w:pPr>
        </w:p>
        <w:p w:rsidR="00545AA1" w:rsidRPr="00755F22" w:rsidRDefault="00545AA1" w:rsidP="00831CA9">
          <w:pPr>
            <w:keepLines/>
            <w:tabs>
              <w:tab w:val="left" w:pos="-1440"/>
              <w:tab w:val="left" w:pos="-720"/>
            </w:tabs>
            <w:jc w:val="center"/>
            <w:rPr>
              <w:sz w:val="20"/>
              <w:szCs w:val="20"/>
            </w:rPr>
          </w:pPr>
        </w:p>
      </w:tc>
      <w:tc>
        <w:tcPr>
          <w:tcW w:w="4080" w:type="dxa"/>
          <w:tcMar>
            <w:left w:w="0" w:type="dxa"/>
            <w:right w:w="0" w:type="dxa"/>
          </w:tcMar>
        </w:tcPr>
        <w:p w:rsidR="00545AA1" w:rsidRPr="00BA6468" w:rsidRDefault="00545AA1" w:rsidP="00BA6468">
          <w:pPr>
            <w:keepLines/>
            <w:rPr>
              <w:sz w:val="20"/>
              <w:szCs w:val="20"/>
              <w:lang w:val="fr-CA"/>
            </w:rPr>
          </w:pPr>
          <w:r w:rsidRPr="00BA6468">
            <w:rPr>
              <w:sz w:val="20"/>
              <w:szCs w:val="20"/>
              <w:lang w:val="fr-CA"/>
            </w:rPr>
            <w:t>Requêtes</w:t>
          </w:r>
        </w:p>
      </w:tc>
    </w:tr>
  </w:tbl>
  <w:p w:rsidR="00545AA1" w:rsidRDefault="00545AA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A1" w:rsidRDefault="00545A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45AA1" w:rsidRPr="002A25F4">
      <w:tc>
        <w:tcPr>
          <w:tcW w:w="4200" w:type="dxa"/>
          <w:tcMar>
            <w:left w:w="0" w:type="dxa"/>
            <w:right w:w="0" w:type="dxa"/>
          </w:tcMar>
        </w:tcPr>
        <w:p w:rsidR="00545AA1" w:rsidRDefault="00545A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45AA1" w:rsidRDefault="00545A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45AA1" w:rsidRPr="00283C52" w:rsidRDefault="00545A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45AA1" w:rsidRPr="00283C52"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45AA1" w:rsidRPr="00283C52" w:rsidRDefault="0054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03"/>
    <w:rsid w:val="00002704"/>
    <w:rsid w:val="00020DC3"/>
    <w:rsid w:val="0003223B"/>
    <w:rsid w:val="000327B2"/>
    <w:rsid w:val="00033A57"/>
    <w:rsid w:val="0004528B"/>
    <w:rsid w:val="00045DE3"/>
    <w:rsid w:val="00064FBA"/>
    <w:rsid w:val="0009055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5F4"/>
    <w:rsid w:val="002A27D1"/>
    <w:rsid w:val="002A4AFA"/>
    <w:rsid w:val="002B2610"/>
    <w:rsid w:val="002B516C"/>
    <w:rsid w:val="002B5D82"/>
    <w:rsid w:val="002C4FA4"/>
    <w:rsid w:val="002D72EB"/>
    <w:rsid w:val="002E2327"/>
    <w:rsid w:val="002E3583"/>
    <w:rsid w:val="002E545B"/>
    <w:rsid w:val="002E5576"/>
    <w:rsid w:val="0030050B"/>
    <w:rsid w:val="003008F5"/>
    <w:rsid w:val="00304081"/>
    <w:rsid w:val="00316ABF"/>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13FF7"/>
    <w:rsid w:val="00422D9A"/>
    <w:rsid w:val="004317DE"/>
    <w:rsid w:val="00432989"/>
    <w:rsid w:val="004342A0"/>
    <w:rsid w:val="00440E24"/>
    <w:rsid w:val="004472C3"/>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5AA1"/>
    <w:rsid w:val="00560DF1"/>
    <w:rsid w:val="0056248C"/>
    <w:rsid w:val="00564B09"/>
    <w:rsid w:val="00567602"/>
    <w:rsid w:val="00567680"/>
    <w:rsid w:val="00571CA4"/>
    <w:rsid w:val="00573903"/>
    <w:rsid w:val="00573AF2"/>
    <w:rsid w:val="00582136"/>
    <w:rsid w:val="005967EF"/>
    <w:rsid w:val="005B2EA9"/>
    <w:rsid w:val="005B6826"/>
    <w:rsid w:val="005C6840"/>
    <w:rsid w:val="005D4B77"/>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1EBE"/>
    <w:rsid w:val="006C3F47"/>
    <w:rsid w:val="006C5F7A"/>
    <w:rsid w:val="006E06AF"/>
    <w:rsid w:val="006E1CB0"/>
    <w:rsid w:val="006F350F"/>
    <w:rsid w:val="00717608"/>
    <w:rsid w:val="007244D5"/>
    <w:rsid w:val="00727571"/>
    <w:rsid w:val="00732DB7"/>
    <w:rsid w:val="0074238B"/>
    <w:rsid w:val="00745EF7"/>
    <w:rsid w:val="00746644"/>
    <w:rsid w:val="0075220B"/>
    <w:rsid w:val="00755F22"/>
    <w:rsid w:val="00766E4A"/>
    <w:rsid w:val="007711B0"/>
    <w:rsid w:val="007820CE"/>
    <w:rsid w:val="00782AE4"/>
    <w:rsid w:val="0079724F"/>
    <w:rsid w:val="007A13B6"/>
    <w:rsid w:val="007A3EAE"/>
    <w:rsid w:val="007B09D6"/>
    <w:rsid w:val="007B4DFF"/>
    <w:rsid w:val="007C04FC"/>
    <w:rsid w:val="007C3D5F"/>
    <w:rsid w:val="007C3DB0"/>
    <w:rsid w:val="007C47C2"/>
    <w:rsid w:val="007D3E0F"/>
    <w:rsid w:val="007E4282"/>
    <w:rsid w:val="007F387B"/>
    <w:rsid w:val="00802863"/>
    <w:rsid w:val="008077DB"/>
    <w:rsid w:val="008112A9"/>
    <w:rsid w:val="0081473A"/>
    <w:rsid w:val="00815B3C"/>
    <w:rsid w:val="0081610A"/>
    <w:rsid w:val="008277C4"/>
    <w:rsid w:val="0082783A"/>
    <w:rsid w:val="00831CA9"/>
    <w:rsid w:val="00842B6B"/>
    <w:rsid w:val="00844E40"/>
    <w:rsid w:val="00845C2A"/>
    <w:rsid w:val="00850E1F"/>
    <w:rsid w:val="0085476B"/>
    <w:rsid w:val="0086340B"/>
    <w:rsid w:val="0086723F"/>
    <w:rsid w:val="00873743"/>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6242"/>
    <w:rsid w:val="009504A9"/>
    <w:rsid w:val="0095096B"/>
    <w:rsid w:val="00955827"/>
    <w:rsid w:val="00957556"/>
    <w:rsid w:val="00961C83"/>
    <w:rsid w:val="00970CD3"/>
    <w:rsid w:val="009723FA"/>
    <w:rsid w:val="00984546"/>
    <w:rsid w:val="00990D50"/>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3AAF"/>
    <w:rsid w:val="00A61252"/>
    <w:rsid w:val="00A6552C"/>
    <w:rsid w:val="00A744AF"/>
    <w:rsid w:val="00A760C7"/>
    <w:rsid w:val="00A81DCF"/>
    <w:rsid w:val="00A87207"/>
    <w:rsid w:val="00A935AA"/>
    <w:rsid w:val="00A956D3"/>
    <w:rsid w:val="00AA6F74"/>
    <w:rsid w:val="00AB2201"/>
    <w:rsid w:val="00AC3CBD"/>
    <w:rsid w:val="00AD1D34"/>
    <w:rsid w:val="00AD3259"/>
    <w:rsid w:val="00AE043C"/>
    <w:rsid w:val="00AF1715"/>
    <w:rsid w:val="00AF3904"/>
    <w:rsid w:val="00B00A0B"/>
    <w:rsid w:val="00B010C0"/>
    <w:rsid w:val="00B05D01"/>
    <w:rsid w:val="00B15CBE"/>
    <w:rsid w:val="00B40FD9"/>
    <w:rsid w:val="00B4618C"/>
    <w:rsid w:val="00B4740D"/>
    <w:rsid w:val="00B61629"/>
    <w:rsid w:val="00B635E0"/>
    <w:rsid w:val="00B67395"/>
    <w:rsid w:val="00B7374B"/>
    <w:rsid w:val="00B90DC0"/>
    <w:rsid w:val="00B95084"/>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32B7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1B66"/>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3126"/>
    <w:rsid w:val="00F0576D"/>
    <w:rsid w:val="00F138C1"/>
    <w:rsid w:val="00F14E6D"/>
    <w:rsid w:val="00F15EA8"/>
    <w:rsid w:val="00F16063"/>
    <w:rsid w:val="00F16C8D"/>
    <w:rsid w:val="00F23E23"/>
    <w:rsid w:val="00F253CC"/>
    <w:rsid w:val="00F26C61"/>
    <w:rsid w:val="00F33CCE"/>
    <w:rsid w:val="00F40249"/>
    <w:rsid w:val="00F526C8"/>
    <w:rsid w:val="00F554B5"/>
    <w:rsid w:val="00F56F3A"/>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SubfileSeparator0">
    <w:name w:val="SCC.Lsoc.SubfileSeparator"/>
    <w:basedOn w:val="Normal"/>
    <w:next w:val="Normal"/>
    <w:link w:val="SCCLsocSubfileSeparatorChar"/>
    <w:rsid w:val="006C1EBE"/>
    <w:pPr>
      <w:jc w:val="both"/>
    </w:pPr>
    <w:rPr>
      <w:rFonts w:cs="Times New Roman"/>
      <w:b/>
      <w:szCs w:val="24"/>
    </w:rPr>
  </w:style>
  <w:style w:type="character" w:customStyle="1" w:styleId="SCCLsocSubfileSeparatorChar">
    <w:name w:val="SCC.Lsoc.SubfileSeparator Char"/>
    <w:basedOn w:val="DefaultParagraphFont"/>
    <w:link w:val="SCCLsocSubfileSeparator0"/>
    <w:rsid w:val="006C1EBE"/>
    <w:rPr>
      <w:rFonts w:cs="Times New Roman"/>
      <w:b/>
      <w:szCs w:val="24"/>
      <w:lang w:val="en-CA"/>
    </w:rPr>
  </w:style>
  <w:style w:type="paragraph" w:customStyle="1" w:styleId="aparanumbering">
    <w:name w:val="aparanumbering"/>
    <w:basedOn w:val="Normal"/>
    <w:rsid w:val="006C1EBE"/>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34995145">
      <w:bodyDiv w:val="1"/>
      <w:marLeft w:val="0"/>
      <w:marRight w:val="0"/>
      <w:marTop w:val="0"/>
      <w:marBottom w:val="0"/>
      <w:divBdr>
        <w:top w:val="none" w:sz="0" w:space="0" w:color="auto"/>
        <w:left w:val="none" w:sz="0" w:space="0" w:color="auto"/>
        <w:bottom w:val="none" w:sz="0" w:space="0" w:color="auto"/>
        <w:right w:val="none" w:sz="0" w:space="0" w:color="auto"/>
      </w:divBdr>
    </w:div>
    <w:div w:id="84254882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25008747">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laws/stat/rso-1990-c-c12/latest/rso-1990-c-c12.html" TargetMode="External"/><Relationship Id="rId26" Type="http://schemas.openxmlformats.org/officeDocument/2006/relationships/hyperlink" Target="https://www.canlii.org/en/bc/bcca/doc/2020/2020bcca159/2020bcca159.html" TargetMode="External"/><Relationship Id="rId39" Type="http://schemas.openxmlformats.org/officeDocument/2006/relationships/hyperlink" Target="https://www.canlii.org/en/ab/abqb/doc/2016/2016abqb13/2016abqb13.html" TargetMode="External"/><Relationship Id="rId21" Type="http://schemas.openxmlformats.org/officeDocument/2006/relationships/hyperlink" Target="https://www.canlii.org/en/bc/bclrb/doc/2018/2018canlii5111/2018canlii5111.html" TargetMode="External"/><Relationship Id="rId34" Type="http://schemas.openxmlformats.org/officeDocument/2006/relationships/hyperlink" Target="https://www.canlii.org/en/bc/bcca/doc/2020/2020bcca130/2020bcca130.html?autocompleteStr=2020%20BCCA%20130&amp;autocompletePos=1" TargetMode="External"/><Relationship Id="rId42" Type="http://schemas.openxmlformats.org/officeDocument/2006/relationships/hyperlink" Target="https://www.canlii.org/en/ab/abca/doc/2020/2020abca120/2020abca120.html?searchUrlHash=AAAAAQANMjAyMCBBQkNBIDEyMAAAAAAB&amp;resultIndex=1" TargetMode="External"/><Relationship Id="rId47" Type="http://schemas.openxmlformats.org/officeDocument/2006/relationships/hyperlink" Target="https://www.canlii.org/en/ab/abqb/doc/2019/2019abqb746/2019abqb746.html?autocompleteStr=2019%20ABQB%20746&amp;autocompletePos=1" TargetMode="External"/><Relationship Id="rId50" Type="http://schemas.openxmlformats.org/officeDocument/2006/relationships/hyperlink" Target="https://www.canlii.org/en/ab/abca/doc/2020/2020abca238/2020abca238.html?autocompleteStr=2020%20ABCA%20238&amp;autocompletePos=1" TargetMode="External"/><Relationship Id="rId55" Type="http://schemas.openxmlformats.org/officeDocument/2006/relationships/header" Target="header3.xml"/><Relationship Id="rId63" Type="http://schemas.openxmlformats.org/officeDocument/2006/relationships/footer" Target="footer6.xml"/><Relationship Id="rId68" Type="http://schemas.openxmlformats.org/officeDocument/2006/relationships/hyperlink" Target="https://www.scc-csc.ca/case-dossier/info/sum-som-eng.aspx?cas=39110" TargetMode="Externa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www.scc-csc.ca/case-dossier/info/sum-som-eng.aspx?cas=39214" TargetMode="External"/><Relationship Id="rId2" Type="http://schemas.openxmlformats.org/officeDocument/2006/relationships/numbering" Target="numbering.xml"/><Relationship Id="rId16" Type="http://schemas.openxmlformats.org/officeDocument/2006/relationships/hyperlink" Target="https://www.canlii.org/en/on/laws/stat/rso-1990-c-c12/latest/rso-1990-c-c12.html" TargetMode="External"/><Relationship Id="rId29" Type="http://schemas.openxmlformats.org/officeDocument/2006/relationships/hyperlink" Target="http://canlii.ca/t/htjnn" TargetMode="External"/><Relationship Id="rId11" Type="http://schemas.openxmlformats.org/officeDocument/2006/relationships/header" Target="header1.xml"/><Relationship Id="rId24" Type="http://schemas.openxmlformats.org/officeDocument/2006/relationships/hyperlink" Target="https://www.canlii.org/en/bc/bclrb/doc/2018/2018canlii5111/2018canlii5111.html" TargetMode="External"/><Relationship Id="rId32" Type="http://schemas.openxmlformats.org/officeDocument/2006/relationships/hyperlink" Target="https://www.canlii.org/en/bc/bcca/doc/2020/2020bcca130/2020bcca130.html?autocompleteStr=2020%20BCCA%20130&amp;autocompletePos=1" TargetMode="External"/><Relationship Id="rId37" Type="http://schemas.openxmlformats.org/officeDocument/2006/relationships/hyperlink" Target="https://www.canlii.org/en/ab/abca/doc/2019/2019abca123/2019abca123.html" TargetMode="External"/><Relationship Id="rId40" Type="http://schemas.openxmlformats.org/officeDocument/2006/relationships/hyperlink" Target="https://www.canlii.org/en/ab/abqb/doc/2018/2018abqb47/2018abqb47.html" TargetMode="External"/><Relationship Id="rId45" Type="http://schemas.openxmlformats.org/officeDocument/2006/relationships/hyperlink" Target="https://www.canlii.org/en/bc/bcsc/doc/2017/2017bcsc1700/2017bcsc1700.html?autocompleteStr=2017%20BCSC%201700&amp;autocompletePos=1" TargetMode="External"/><Relationship Id="rId53" Type="http://schemas.openxmlformats.org/officeDocument/2006/relationships/hyperlink" Target="https://www.canlii.org/en/on/onsc/doc/2019/2019onsc259/2019onsc259.html" TargetMode="External"/><Relationship Id="rId58" Type="http://schemas.openxmlformats.org/officeDocument/2006/relationships/footer" Target="footer4.xml"/><Relationship Id="rId66" Type="http://schemas.openxmlformats.org/officeDocument/2006/relationships/footer" Target="footer8.xml"/><Relationship Id="rId74" Type="http://schemas.openxmlformats.org/officeDocument/2006/relationships/footer" Target="footer9.xm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6.xml"/><Relationship Id="rId10" Type="http://schemas.openxmlformats.org/officeDocument/2006/relationships/hyperlink" Target="https://www.scc-csc.ca" TargetMode="External"/><Relationship Id="rId19" Type="http://schemas.openxmlformats.org/officeDocument/2006/relationships/hyperlink" Target="https://www.canlii.org/en/on/laws/stat/rso-1990-c-c12/latest/rso-1990-c-c12.html" TargetMode="External"/><Relationship Id="rId31" Type="http://schemas.openxmlformats.org/officeDocument/2006/relationships/hyperlink" Target="https://www.canlii.org/en/bc/bcsc/doc/2019/2019bcsc739/2019bcsc739.html" TargetMode="External"/><Relationship Id="rId44" Type="http://schemas.openxmlformats.org/officeDocument/2006/relationships/hyperlink" Target="https://www.canlii.org/en/bc/bcca/doc/2020/2020bcca138/2020bcca138.html?autocompleteStr=2020%20BCCA%20138&amp;autocompletePos=1" TargetMode="External"/><Relationship Id="rId52" Type="http://schemas.openxmlformats.org/officeDocument/2006/relationships/hyperlink" Target="https://www.canlii.org/en/on/onca/doc/2020/2020onca430/2020onca430.html?autocompleteStr=2020%20ONCA%20430&amp;autocompletePos=1" TargetMode="External"/><Relationship Id="rId60" Type="http://schemas.openxmlformats.org/officeDocument/2006/relationships/footer" Target="footer5.xml"/><Relationship Id="rId65" Type="http://schemas.openxmlformats.org/officeDocument/2006/relationships/header" Target="header8.xml"/><Relationship Id="rId73" Type="http://schemas.openxmlformats.org/officeDocument/2006/relationships/header" Target="header10.xml"/><Relationship Id="rId78" Type="http://schemas.openxmlformats.org/officeDocument/2006/relationships/header" Target="header1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bc/bcsc/doc/2019/2019bcsc1422/2019bcsc1422.html" TargetMode="External"/><Relationship Id="rId27" Type="http://schemas.openxmlformats.org/officeDocument/2006/relationships/hyperlink" Target="http://canlii.ca/t/htjnn" TargetMode="External"/><Relationship Id="rId30" Type="http://schemas.openxmlformats.org/officeDocument/2006/relationships/hyperlink" Target="http://canlii.ca/t/j6c8q" TargetMode="External"/><Relationship Id="rId35" Type="http://schemas.openxmlformats.org/officeDocument/2006/relationships/hyperlink" Target="https://www.canlii.org/en/ab/abqb/doc/2016/2016abqb13/2016abqb13.html" TargetMode="External"/><Relationship Id="rId43" Type="http://schemas.openxmlformats.org/officeDocument/2006/relationships/hyperlink" Target="https://www.canlii.org/en/bc/bcsc/doc/2017/2017bcsc1700/2017bcsc1700.html?autocompleteStr=2017%20BCSC%201700&amp;autocompletePos=1" TargetMode="External"/><Relationship Id="rId48" Type="http://schemas.openxmlformats.org/officeDocument/2006/relationships/hyperlink" Target="https://www.canlii.org/en/ab/abca/doc/2020/2020abca238/2020abca238.html?autocompleteStr=2020%20ABCA%20238&amp;autocompletePos=1" TargetMode="External"/><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hyperlink" Target="https://www.scc-csc.ca/case-dossier/info/sum-som-fra.aspx?cas=39131" TargetMode="External"/><Relationship Id="rId77"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hyperlink" Target="https://www.canlii.org/en/on/onsc/doc/2019/2019onsc259/2019onsc259.html" TargetMode="External"/><Relationship Id="rId72" Type="http://schemas.openxmlformats.org/officeDocument/2006/relationships/header" Target="header9.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nlii.ca/t/j3xsm" TargetMode="External"/><Relationship Id="rId25" Type="http://schemas.openxmlformats.org/officeDocument/2006/relationships/hyperlink" Target="https://www.canlii.org/en/bc/bcsc/doc/2019/2019bcsc1422/2019bcsc1422.html" TargetMode="External"/><Relationship Id="rId33" Type="http://schemas.openxmlformats.org/officeDocument/2006/relationships/hyperlink" Target="https://www.canlii.org/en/bc/bcsc/doc/2019/2019bcsc739/2019bcsc739.html" TargetMode="External"/><Relationship Id="rId38" Type="http://schemas.openxmlformats.org/officeDocument/2006/relationships/hyperlink" Target="https://www.canlii.org/en/ab/abca/doc/2020/2020abca120/2020abca120.html?searchUrlHash=AAAAAQANMjAyMCBBQkNBIDEyMAAAAAAB&amp;resultIndex=1" TargetMode="External"/><Relationship Id="rId46" Type="http://schemas.openxmlformats.org/officeDocument/2006/relationships/hyperlink" Target="https://www.canlii.org/en/bc/bcca/doc/2020/2020bcca138/2020bcca138.html?autocompleteStr=2020%20BCCA%20138&amp;autocompletePos=1" TargetMode="External"/><Relationship Id="rId59" Type="http://schemas.openxmlformats.org/officeDocument/2006/relationships/header" Target="header5.xml"/><Relationship Id="rId67" Type="http://schemas.openxmlformats.org/officeDocument/2006/relationships/hyperlink" Target="https://www.scc-csc.ca/case-dossier/info/sum-som-eng.aspx?cas=39049" TargetMode="External"/><Relationship Id="rId20" Type="http://schemas.openxmlformats.org/officeDocument/2006/relationships/hyperlink" Target="http://canlii.ca/t/j3xsm" TargetMode="External"/><Relationship Id="rId41" Type="http://schemas.openxmlformats.org/officeDocument/2006/relationships/hyperlink" Target="https://www.canlii.org/en/ab/abca/doc/2019/2019abca123/2019abca123.html" TargetMode="External"/><Relationship Id="rId54" Type="http://schemas.openxmlformats.org/officeDocument/2006/relationships/hyperlink" Target="https://www.canlii.org/en/on/onca/doc/2020/2020onca430/2020onca430.html?autocompleteStr=2020%20ONCA%20430&amp;autocompletePos=1" TargetMode="External"/><Relationship Id="rId62" Type="http://schemas.openxmlformats.org/officeDocument/2006/relationships/header" Target="header7.xml"/><Relationship Id="rId70" Type="http://schemas.openxmlformats.org/officeDocument/2006/relationships/hyperlink" Target="https://www.scc-csc.ca/case-dossier/info/sum-som-eng.aspx?cas=39134" TargetMode="Externa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laws/stat/rso-1990-c-c12/latest/rso-1990-c-c12.html" TargetMode="External"/><Relationship Id="rId23" Type="http://schemas.openxmlformats.org/officeDocument/2006/relationships/hyperlink" Target="https://www.canlii.org/en/bc/bcca/doc/2020/2020bcca159/2020bcca159.html" TargetMode="External"/><Relationship Id="rId28" Type="http://schemas.openxmlformats.org/officeDocument/2006/relationships/hyperlink" Target="http://canlii.ca/t/j6c8q" TargetMode="External"/><Relationship Id="rId36" Type="http://schemas.openxmlformats.org/officeDocument/2006/relationships/hyperlink" Target="https://www.canlii.org/en/ab/abqb/doc/2018/2018abqb47/2018abqb47.html" TargetMode="External"/><Relationship Id="rId49" Type="http://schemas.openxmlformats.org/officeDocument/2006/relationships/hyperlink" Target="https://www.canlii.org/en/ab/abqb/doc/2019/2019abqb746/2019abqb746.html?autocompleteStr=2019%20ABQB%20746&amp;autocompletePos=1" TargetMode="External"/><Relationship Id="rId5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55CC-0B00-4711-A5EA-E0FDD53C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30</Pages>
  <Words>13067</Words>
  <Characters>74487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2021-01-11T15:32:00Z</dcterms:created>
  <dcterms:modified xsi:type="dcterms:W3CDTF">2021-02-02T15:44:00Z</dcterms:modified>
</cp:coreProperties>
</file>