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3149D" w:rsidTr="00F138C1">
        <w:tc>
          <w:tcPr>
            <w:tcW w:w="9648" w:type="dxa"/>
            <w:gridSpan w:val="3"/>
          </w:tcPr>
          <w:p w:rsidR="00F138C1" w:rsidRPr="00B3149D" w:rsidRDefault="00F138C1" w:rsidP="00F138C1">
            <w:pPr>
              <w:tabs>
                <w:tab w:val="left" w:pos="6075"/>
              </w:tabs>
              <w:jc w:val="center"/>
              <w:rPr>
                <w:b/>
                <w:sz w:val="32"/>
                <w:szCs w:val="32"/>
                <w:lang w:val="fr-CA"/>
              </w:rPr>
            </w:pPr>
            <w:r w:rsidRPr="00B3149D">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B3149D" w:rsidTr="00F138C1">
        <w:tc>
          <w:tcPr>
            <w:tcW w:w="4599" w:type="dxa"/>
            <w:tcMar>
              <w:top w:w="284" w:type="dxa"/>
            </w:tcMar>
          </w:tcPr>
          <w:p w:rsidR="00F138C1" w:rsidRPr="00B3149D" w:rsidRDefault="00F138C1" w:rsidP="00F138C1">
            <w:pPr>
              <w:tabs>
                <w:tab w:val="left" w:pos="6075"/>
              </w:tabs>
              <w:jc w:val="center"/>
              <w:rPr>
                <w:b/>
                <w:sz w:val="32"/>
                <w:szCs w:val="32"/>
              </w:rPr>
            </w:pPr>
            <w:r w:rsidRPr="00B3149D">
              <w:rPr>
                <w:b/>
                <w:sz w:val="32"/>
                <w:szCs w:val="32"/>
              </w:rPr>
              <w:t>SUPREME COURT OF CANADA</w:t>
            </w:r>
          </w:p>
        </w:tc>
        <w:tc>
          <w:tcPr>
            <w:tcW w:w="483" w:type="dxa"/>
          </w:tcPr>
          <w:p w:rsidR="00F138C1" w:rsidRPr="00B3149D" w:rsidRDefault="00F138C1" w:rsidP="00F138C1">
            <w:pPr>
              <w:tabs>
                <w:tab w:val="left" w:pos="6075"/>
              </w:tabs>
              <w:jc w:val="center"/>
              <w:rPr>
                <w:sz w:val="32"/>
                <w:szCs w:val="32"/>
              </w:rPr>
            </w:pPr>
          </w:p>
        </w:tc>
        <w:tc>
          <w:tcPr>
            <w:tcW w:w="4566" w:type="dxa"/>
            <w:tcMar>
              <w:top w:w="284" w:type="dxa"/>
            </w:tcMar>
          </w:tcPr>
          <w:p w:rsidR="00F138C1" w:rsidRPr="00B3149D" w:rsidRDefault="00F138C1" w:rsidP="00F138C1">
            <w:pPr>
              <w:tabs>
                <w:tab w:val="left" w:pos="6075"/>
              </w:tabs>
              <w:jc w:val="center"/>
              <w:rPr>
                <w:b/>
                <w:sz w:val="32"/>
                <w:szCs w:val="32"/>
                <w:lang w:val="fr-CA"/>
              </w:rPr>
            </w:pPr>
            <w:r w:rsidRPr="00B3149D">
              <w:rPr>
                <w:b/>
                <w:sz w:val="32"/>
                <w:szCs w:val="32"/>
                <w:lang w:val="fr-CA"/>
              </w:rPr>
              <w:t>COUR SUPRÊME DU CANADA</w:t>
            </w:r>
          </w:p>
        </w:tc>
      </w:tr>
      <w:tr w:rsidR="00F138C1" w:rsidRPr="00B3149D" w:rsidTr="00F138C1">
        <w:tc>
          <w:tcPr>
            <w:tcW w:w="4599" w:type="dxa"/>
            <w:tcMar>
              <w:top w:w="567" w:type="dxa"/>
            </w:tcMar>
          </w:tcPr>
          <w:p w:rsidR="00F138C1" w:rsidRPr="00B3149D" w:rsidRDefault="00F138C1" w:rsidP="00F138C1">
            <w:pPr>
              <w:tabs>
                <w:tab w:val="left" w:pos="6075"/>
              </w:tabs>
              <w:jc w:val="center"/>
              <w:rPr>
                <w:sz w:val="28"/>
                <w:szCs w:val="28"/>
              </w:rPr>
            </w:pPr>
            <w:r w:rsidRPr="00B3149D">
              <w:rPr>
                <w:sz w:val="28"/>
                <w:szCs w:val="28"/>
              </w:rPr>
              <w:t>BULLETIN OF</w:t>
            </w:r>
            <w:r w:rsidRPr="00B3149D">
              <w:rPr>
                <w:sz w:val="28"/>
                <w:szCs w:val="28"/>
              </w:rPr>
              <w:br/>
              <w:t xml:space="preserve"> PROCEEDINGS</w:t>
            </w:r>
          </w:p>
        </w:tc>
        <w:tc>
          <w:tcPr>
            <w:tcW w:w="483" w:type="dxa"/>
          </w:tcPr>
          <w:p w:rsidR="00F138C1" w:rsidRPr="00B3149D" w:rsidRDefault="00F138C1" w:rsidP="00F138C1">
            <w:pPr>
              <w:tabs>
                <w:tab w:val="left" w:pos="6075"/>
              </w:tabs>
            </w:pPr>
          </w:p>
        </w:tc>
        <w:tc>
          <w:tcPr>
            <w:tcW w:w="4566" w:type="dxa"/>
            <w:tcMar>
              <w:top w:w="567" w:type="dxa"/>
            </w:tcMar>
          </w:tcPr>
          <w:p w:rsidR="00F138C1" w:rsidRPr="00B3149D" w:rsidRDefault="00F138C1" w:rsidP="00F138C1">
            <w:pPr>
              <w:tabs>
                <w:tab w:val="left" w:pos="6075"/>
              </w:tabs>
              <w:jc w:val="center"/>
              <w:rPr>
                <w:sz w:val="28"/>
                <w:szCs w:val="28"/>
                <w:lang w:val="fr-CA"/>
              </w:rPr>
            </w:pPr>
            <w:r w:rsidRPr="00B3149D">
              <w:rPr>
                <w:sz w:val="28"/>
                <w:szCs w:val="28"/>
                <w:lang w:val="fr-CA"/>
              </w:rPr>
              <w:t>BULLETIN DES</w:t>
            </w:r>
            <w:r w:rsidRPr="00B3149D">
              <w:rPr>
                <w:sz w:val="28"/>
                <w:szCs w:val="28"/>
                <w:lang w:val="fr-CA"/>
              </w:rPr>
              <w:br/>
              <w:t xml:space="preserve"> PROCÉDURES</w:t>
            </w:r>
          </w:p>
        </w:tc>
      </w:tr>
      <w:tr w:rsidR="00F138C1" w:rsidRPr="009873D4" w:rsidTr="00F138C1">
        <w:tc>
          <w:tcPr>
            <w:tcW w:w="4599" w:type="dxa"/>
            <w:tcMar>
              <w:top w:w="567" w:type="dxa"/>
            </w:tcMar>
          </w:tcPr>
          <w:p w:rsidR="00F138C1" w:rsidRPr="00B3149D" w:rsidRDefault="00F138C1" w:rsidP="00F138C1">
            <w:pPr>
              <w:tabs>
                <w:tab w:val="left" w:pos="6075"/>
              </w:tabs>
              <w:jc w:val="both"/>
              <w:rPr>
                <w:rFonts w:ascii="Arial" w:hAnsi="Arial" w:cs="Arial"/>
                <w:i/>
                <w:sz w:val="20"/>
                <w:szCs w:val="20"/>
              </w:rPr>
            </w:pPr>
            <w:r w:rsidRPr="00B3149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314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149D" w:rsidRDefault="00F138C1" w:rsidP="00F138C1">
            <w:pPr>
              <w:tabs>
                <w:tab w:val="left" w:pos="6075"/>
              </w:tabs>
              <w:jc w:val="both"/>
              <w:rPr>
                <w:rFonts w:ascii="Arial" w:hAnsi="Arial" w:cs="Arial"/>
                <w:i/>
                <w:sz w:val="20"/>
                <w:szCs w:val="20"/>
                <w:lang w:val="fr-CA"/>
              </w:rPr>
            </w:pPr>
            <w:r w:rsidRPr="00B3149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873D4" w:rsidTr="00F138C1">
        <w:tc>
          <w:tcPr>
            <w:tcW w:w="4599" w:type="dxa"/>
            <w:tcMar>
              <w:top w:w="567" w:type="dxa"/>
            </w:tcMar>
          </w:tcPr>
          <w:p w:rsidR="00F138C1" w:rsidRPr="00B3149D" w:rsidRDefault="00F138C1" w:rsidP="00F138C1">
            <w:pPr>
              <w:tabs>
                <w:tab w:val="left" w:pos="6075"/>
              </w:tabs>
              <w:jc w:val="both"/>
              <w:rPr>
                <w:rFonts w:ascii="Arial" w:hAnsi="Arial" w:cs="Arial"/>
                <w:i/>
                <w:sz w:val="20"/>
                <w:szCs w:val="20"/>
              </w:rPr>
            </w:pPr>
            <w:r w:rsidRPr="00B3149D">
              <w:rPr>
                <w:rFonts w:ascii="Arial" w:hAnsi="Arial" w:cs="Arial"/>
                <w:i/>
                <w:sz w:val="20"/>
                <w:szCs w:val="20"/>
              </w:rPr>
              <w:t>During Court sessions, the Bulletin is usually issued weekly.</w:t>
            </w:r>
          </w:p>
        </w:tc>
        <w:tc>
          <w:tcPr>
            <w:tcW w:w="483" w:type="dxa"/>
          </w:tcPr>
          <w:p w:rsidR="00F138C1" w:rsidRPr="00B314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149D" w:rsidRDefault="00F138C1" w:rsidP="00F138C1">
            <w:pPr>
              <w:tabs>
                <w:tab w:val="left" w:pos="6075"/>
              </w:tabs>
              <w:jc w:val="both"/>
              <w:rPr>
                <w:rFonts w:ascii="Arial" w:hAnsi="Arial" w:cs="Arial"/>
                <w:i/>
                <w:sz w:val="20"/>
                <w:szCs w:val="20"/>
                <w:lang w:val="fr-CA"/>
              </w:rPr>
            </w:pPr>
            <w:r w:rsidRPr="00B3149D">
              <w:rPr>
                <w:rFonts w:ascii="Arial" w:hAnsi="Arial" w:cs="Arial"/>
                <w:i/>
                <w:sz w:val="20"/>
                <w:szCs w:val="20"/>
                <w:lang w:val="fr-CA"/>
              </w:rPr>
              <w:t>Le Bulletin paraît en principe toutes les semaines pendant les sessions de la Cour.</w:t>
            </w:r>
          </w:p>
        </w:tc>
      </w:tr>
      <w:tr w:rsidR="00F138C1" w:rsidRPr="009873D4" w:rsidTr="00F138C1">
        <w:tc>
          <w:tcPr>
            <w:tcW w:w="4599" w:type="dxa"/>
            <w:tcMar>
              <w:top w:w="567" w:type="dxa"/>
            </w:tcMar>
          </w:tcPr>
          <w:p w:rsidR="00F138C1" w:rsidRPr="00B3149D" w:rsidRDefault="00F138C1" w:rsidP="00F138C1">
            <w:pPr>
              <w:tabs>
                <w:tab w:val="left" w:pos="6075"/>
              </w:tabs>
              <w:jc w:val="both"/>
              <w:rPr>
                <w:rFonts w:ascii="Arial" w:hAnsi="Arial" w:cs="Arial"/>
                <w:i/>
                <w:sz w:val="20"/>
                <w:szCs w:val="20"/>
              </w:rPr>
            </w:pPr>
            <w:r w:rsidRPr="00B3149D">
              <w:rPr>
                <w:rFonts w:ascii="Arial" w:hAnsi="Arial" w:cs="Arial"/>
                <w:i/>
                <w:sz w:val="20"/>
                <w:szCs w:val="20"/>
              </w:rPr>
              <w:fldChar w:fldCharType="begin"/>
            </w:r>
            <w:r w:rsidRPr="00B3149D">
              <w:rPr>
                <w:rFonts w:ascii="Arial" w:hAnsi="Arial" w:cs="Arial"/>
                <w:i/>
                <w:sz w:val="20"/>
                <w:szCs w:val="20"/>
              </w:rPr>
              <w:instrText xml:space="preserve"> SEQ CHAPTER \h \r 1</w:instrText>
            </w:r>
            <w:r w:rsidRPr="00B3149D">
              <w:rPr>
                <w:rFonts w:ascii="Arial" w:hAnsi="Arial" w:cs="Arial"/>
                <w:i/>
                <w:sz w:val="20"/>
                <w:szCs w:val="20"/>
              </w:rPr>
              <w:fldChar w:fldCharType="end"/>
            </w:r>
            <w:r w:rsidRPr="00B3149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314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149D" w:rsidRDefault="00F138C1" w:rsidP="00F138C1">
            <w:pPr>
              <w:tabs>
                <w:tab w:val="left" w:pos="6075"/>
              </w:tabs>
              <w:jc w:val="both"/>
              <w:rPr>
                <w:rFonts w:ascii="Arial" w:hAnsi="Arial" w:cs="Arial"/>
                <w:i/>
                <w:sz w:val="20"/>
                <w:szCs w:val="20"/>
                <w:lang w:val="fr-CA"/>
              </w:rPr>
            </w:pPr>
            <w:r w:rsidRPr="00B3149D">
              <w:rPr>
                <w:rFonts w:ascii="Arial" w:hAnsi="Arial" w:cs="Arial"/>
                <w:i/>
                <w:sz w:val="20"/>
                <w:szCs w:val="20"/>
                <w:lang w:val="fr-CA"/>
              </w:rPr>
              <w:fldChar w:fldCharType="begin"/>
            </w:r>
            <w:r w:rsidRPr="00B3149D">
              <w:rPr>
                <w:rFonts w:ascii="Arial" w:hAnsi="Arial" w:cs="Arial"/>
                <w:i/>
                <w:sz w:val="20"/>
                <w:szCs w:val="20"/>
                <w:lang w:val="fr-CA"/>
              </w:rPr>
              <w:instrText xml:space="preserve"> SEQ CHAPTER \h \r 1</w:instrText>
            </w:r>
            <w:r w:rsidRPr="00B3149D">
              <w:rPr>
                <w:rFonts w:ascii="Arial" w:hAnsi="Arial" w:cs="Arial"/>
                <w:i/>
                <w:sz w:val="20"/>
                <w:szCs w:val="20"/>
                <w:lang w:val="fr-CA"/>
              </w:rPr>
              <w:fldChar w:fldCharType="end"/>
            </w:r>
            <w:r w:rsidRPr="00B3149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873D4" w:rsidTr="00F138C1">
        <w:tc>
          <w:tcPr>
            <w:tcW w:w="4599" w:type="dxa"/>
            <w:tcMar>
              <w:top w:w="567" w:type="dxa"/>
            </w:tcMar>
          </w:tcPr>
          <w:p w:rsidR="00F138C1" w:rsidRPr="00B3149D" w:rsidRDefault="00F138C1" w:rsidP="00F138C1">
            <w:pPr>
              <w:tabs>
                <w:tab w:val="left" w:pos="6075"/>
              </w:tabs>
              <w:jc w:val="both"/>
              <w:rPr>
                <w:rFonts w:ascii="Arial" w:hAnsi="Arial" w:cs="Arial"/>
                <w:i/>
                <w:sz w:val="20"/>
                <w:szCs w:val="20"/>
              </w:rPr>
            </w:pPr>
            <w:r w:rsidRPr="00B3149D">
              <w:rPr>
                <w:rFonts w:ascii="Arial" w:hAnsi="Arial" w:cs="Arial"/>
                <w:i/>
                <w:sz w:val="20"/>
                <w:szCs w:val="20"/>
                <w:lang w:val="en-US"/>
              </w:rPr>
              <w:t>Please c</w:t>
            </w:r>
            <w:r w:rsidRPr="00B3149D">
              <w:rPr>
                <w:rFonts w:ascii="Arial" w:hAnsi="Arial" w:cs="Arial"/>
                <w:i/>
                <w:sz w:val="20"/>
                <w:szCs w:val="20"/>
              </w:rPr>
              <w:t xml:space="preserve">onsult the Supreme Court of Canada website at </w:t>
            </w:r>
            <w:hyperlink r:id="rId9" w:history="1">
              <w:r w:rsidRPr="00B3149D">
                <w:rPr>
                  <w:rStyle w:val="Hyperlink"/>
                  <w:rFonts w:ascii="Arial" w:hAnsi="Arial" w:cs="Arial"/>
                  <w:i/>
                  <w:sz w:val="20"/>
                  <w:szCs w:val="20"/>
                </w:rPr>
                <w:t>www.scc-csc.ca</w:t>
              </w:r>
            </w:hyperlink>
            <w:r w:rsidRPr="00B3149D">
              <w:rPr>
                <w:rFonts w:ascii="Arial" w:hAnsi="Arial" w:cs="Arial"/>
                <w:i/>
                <w:sz w:val="20"/>
                <w:szCs w:val="20"/>
              </w:rPr>
              <w:t xml:space="preserve"> for more information.</w:t>
            </w:r>
          </w:p>
        </w:tc>
        <w:tc>
          <w:tcPr>
            <w:tcW w:w="483" w:type="dxa"/>
          </w:tcPr>
          <w:p w:rsidR="00F138C1" w:rsidRPr="00B314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3149D" w:rsidRDefault="00F138C1" w:rsidP="00F138C1">
            <w:pPr>
              <w:tabs>
                <w:tab w:val="left" w:pos="6075"/>
              </w:tabs>
              <w:jc w:val="both"/>
              <w:rPr>
                <w:rFonts w:ascii="Arial" w:hAnsi="Arial" w:cs="Arial"/>
                <w:i/>
                <w:sz w:val="20"/>
                <w:szCs w:val="20"/>
                <w:lang w:val="fr-CA"/>
              </w:rPr>
            </w:pPr>
            <w:r w:rsidRPr="00B3149D">
              <w:rPr>
                <w:rFonts w:ascii="Arial" w:hAnsi="Arial" w:cs="Arial"/>
                <w:i/>
                <w:sz w:val="20"/>
                <w:szCs w:val="20"/>
                <w:lang w:val="fr-CA"/>
              </w:rPr>
              <w:t xml:space="preserve">Pour de plus amples informations, veuillez consulter le site Web de la Cour suprême du Canada à l’adresse suivante : </w:t>
            </w:r>
            <w:hyperlink r:id="rId10" w:history="1">
              <w:r w:rsidRPr="00B3149D">
                <w:rPr>
                  <w:rStyle w:val="Hyperlink"/>
                  <w:rFonts w:ascii="Arial" w:hAnsi="Arial" w:cs="Arial"/>
                  <w:i/>
                  <w:sz w:val="20"/>
                  <w:szCs w:val="20"/>
                  <w:lang w:val="fr-CA"/>
                </w:rPr>
                <w:t>www.scc-csc.ca</w:t>
              </w:r>
            </w:hyperlink>
            <w:r w:rsidRPr="00B3149D">
              <w:rPr>
                <w:rFonts w:ascii="Arial" w:hAnsi="Arial" w:cs="Arial"/>
                <w:i/>
                <w:sz w:val="20"/>
                <w:szCs w:val="20"/>
                <w:lang w:val="fr-CA"/>
              </w:rPr>
              <w:t xml:space="preserve"> </w:t>
            </w:r>
          </w:p>
        </w:tc>
      </w:tr>
    </w:tbl>
    <w:p w:rsidR="00F138C1" w:rsidRPr="00B3149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3149D" w:rsidTr="00F138C1">
        <w:tc>
          <w:tcPr>
            <w:tcW w:w="2250" w:type="pct"/>
            <w:tcBorders>
              <w:top w:val="single" w:sz="4" w:space="0" w:color="auto"/>
            </w:tcBorders>
            <w:tcMar>
              <w:top w:w="284" w:type="dxa"/>
              <w:bottom w:w="284" w:type="dxa"/>
            </w:tcMar>
          </w:tcPr>
          <w:p w:rsidR="00F138C1" w:rsidRPr="00B3149D" w:rsidRDefault="00DE4CD7" w:rsidP="00DE4CD7">
            <w:pPr>
              <w:tabs>
                <w:tab w:val="left" w:pos="6075"/>
              </w:tabs>
              <w:rPr>
                <w:rFonts w:ascii="Arial" w:hAnsi="Arial" w:cs="Arial"/>
                <w:i/>
                <w:sz w:val="20"/>
                <w:szCs w:val="20"/>
              </w:rPr>
            </w:pPr>
            <w:r w:rsidRPr="00B3149D">
              <w:rPr>
                <w:lang w:val="fr-CA"/>
              </w:rPr>
              <w:t>February</w:t>
            </w:r>
            <w:r w:rsidR="00F138C1" w:rsidRPr="00B3149D">
              <w:rPr>
                <w:lang w:val="fr-CA"/>
              </w:rPr>
              <w:t xml:space="preserve"> </w:t>
            </w:r>
            <w:r w:rsidRPr="00B3149D">
              <w:rPr>
                <w:lang w:val="fr-CA"/>
              </w:rPr>
              <w:t>19</w:t>
            </w:r>
            <w:r w:rsidR="00F138C1" w:rsidRPr="00B3149D">
              <w:rPr>
                <w:lang w:val="fr-CA"/>
              </w:rPr>
              <w:t>, 20</w:t>
            </w:r>
            <w:r w:rsidR="009B36BA" w:rsidRPr="00B3149D">
              <w:rPr>
                <w:lang w:val="fr-CA"/>
              </w:rPr>
              <w:t>21</w:t>
            </w:r>
          </w:p>
        </w:tc>
        <w:tc>
          <w:tcPr>
            <w:tcW w:w="500" w:type="pct"/>
            <w:tcBorders>
              <w:top w:val="single" w:sz="4" w:space="0" w:color="auto"/>
            </w:tcBorders>
            <w:tcMar>
              <w:top w:w="284" w:type="dxa"/>
              <w:bottom w:w="284" w:type="dxa"/>
            </w:tcMar>
          </w:tcPr>
          <w:p w:rsidR="00F138C1" w:rsidRPr="00B3149D" w:rsidRDefault="00F138C1" w:rsidP="00B3149D">
            <w:pPr>
              <w:tabs>
                <w:tab w:val="left" w:pos="6075"/>
              </w:tabs>
              <w:jc w:val="center"/>
              <w:rPr>
                <w:rFonts w:ascii="Arial" w:hAnsi="Arial" w:cs="Arial"/>
                <w:i/>
                <w:sz w:val="20"/>
                <w:szCs w:val="20"/>
              </w:rPr>
            </w:pPr>
            <w:r w:rsidRPr="00B3149D">
              <w:rPr>
                <w:lang w:val="fr-CA"/>
              </w:rPr>
              <w:t xml:space="preserve">1 - </w:t>
            </w:r>
            <w:r w:rsidR="00807134" w:rsidRPr="00B3149D">
              <w:rPr>
                <w:lang w:val="fr-CA"/>
              </w:rPr>
              <w:t>3</w:t>
            </w:r>
            <w:r w:rsidR="00B3149D">
              <w:rPr>
                <w:lang w:val="fr-CA"/>
              </w:rPr>
              <w:t>3</w:t>
            </w:r>
          </w:p>
        </w:tc>
        <w:tc>
          <w:tcPr>
            <w:tcW w:w="2250" w:type="pct"/>
            <w:tcBorders>
              <w:top w:val="single" w:sz="4" w:space="0" w:color="auto"/>
            </w:tcBorders>
            <w:tcMar>
              <w:top w:w="284" w:type="dxa"/>
              <w:bottom w:w="284" w:type="dxa"/>
            </w:tcMar>
          </w:tcPr>
          <w:p w:rsidR="00F138C1" w:rsidRPr="00B3149D" w:rsidRDefault="00F138C1" w:rsidP="00DE4CD7">
            <w:pPr>
              <w:tabs>
                <w:tab w:val="left" w:pos="6075"/>
              </w:tabs>
              <w:jc w:val="right"/>
              <w:rPr>
                <w:rFonts w:ascii="Arial" w:hAnsi="Arial" w:cs="Arial"/>
                <w:i/>
                <w:sz w:val="20"/>
                <w:szCs w:val="20"/>
                <w:lang w:val="fr-CA"/>
              </w:rPr>
            </w:pPr>
            <w:r w:rsidRPr="00B3149D">
              <w:rPr>
                <w:lang w:val="fr-CA"/>
              </w:rPr>
              <w:t xml:space="preserve">Le </w:t>
            </w:r>
            <w:r w:rsidR="00DE4CD7" w:rsidRPr="00B3149D">
              <w:rPr>
                <w:lang w:val="fr-CA"/>
              </w:rPr>
              <w:t>19</w:t>
            </w:r>
            <w:r w:rsidRPr="00B3149D">
              <w:rPr>
                <w:lang w:val="fr-CA"/>
              </w:rPr>
              <w:t xml:space="preserve"> </w:t>
            </w:r>
            <w:r w:rsidR="00DE4CD7" w:rsidRPr="00B3149D">
              <w:rPr>
                <w:lang w:val="fr-CA"/>
              </w:rPr>
              <w:t>févr</w:t>
            </w:r>
            <w:r w:rsidR="009B36BA" w:rsidRPr="00B3149D">
              <w:rPr>
                <w:lang w:val="fr-CA"/>
              </w:rPr>
              <w:t>ier</w:t>
            </w:r>
            <w:r w:rsidRPr="00B3149D">
              <w:rPr>
                <w:lang w:val="fr-CA"/>
              </w:rPr>
              <w:t xml:space="preserve"> 202</w:t>
            </w:r>
            <w:r w:rsidR="009B36BA" w:rsidRPr="00B3149D">
              <w:rPr>
                <w:lang w:val="fr-CA"/>
              </w:rPr>
              <w:t>1</w:t>
            </w:r>
          </w:p>
        </w:tc>
      </w:tr>
      <w:tr w:rsidR="00F138C1" w:rsidRPr="009873D4" w:rsidTr="00F138C1">
        <w:tc>
          <w:tcPr>
            <w:tcW w:w="2250" w:type="pct"/>
            <w:tcBorders>
              <w:bottom w:val="single" w:sz="4" w:space="0" w:color="auto"/>
            </w:tcBorders>
            <w:tcMar>
              <w:top w:w="284" w:type="dxa"/>
              <w:bottom w:w="284" w:type="dxa"/>
            </w:tcMar>
          </w:tcPr>
          <w:p w:rsidR="00F138C1" w:rsidRPr="00B3149D" w:rsidRDefault="00F138C1" w:rsidP="009B36BA">
            <w:pPr>
              <w:tabs>
                <w:tab w:val="left" w:pos="6075"/>
              </w:tabs>
              <w:rPr>
                <w:rFonts w:ascii="Arial" w:hAnsi="Arial" w:cs="Arial"/>
                <w:i/>
                <w:sz w:val="20"/>
                <w:szCs w:val="20"/>
              </w:rPr>
            </w:pPr>
            <w:r w:rsidRPr="00B3149D">
              <w:rPr>
                <w:sz w:val="18"/>
                <w:szCs w:val="18"/>
                <w:lang w:val="en-US"/>
              </w:rPr>
              <w:t>© Supreme Court of Canada (202</w:t>
            </w:r>
            <w:r w:rsidR="009B36BA" w:rsidRPr="00B3149D">
              <w:rPr>
                <w:sz w:val="18"/>
                <w:szCs w:val="18"/>
                <w:lang w:val="en-US"/>
              </w:rPr>
              <w:t>1</w:t>
            </w:r>
            <w:r w:rsidRPr="00B3149D">
              <w:rPr>
                <w:sz w:val="18"/>
                <w:szCs w:val="18"/>
                <w:lang w:val="en-US"/>
              </w:rPr>
              <w:t>)</w:t>
            </w:r>
            <w:r w:rsidRPr="00B3149D">
              <w:rPr>
                <w:sz w:val="18"/>
                <w:szCs w:val="18"/>
                <w:lang w:val="en-US"/>
              </w:rPr>
              <w:br/>
              <w:t>ISSN 1918-8358 (Online)</w:t>
            </w:r>
          </w:p>
        </w:tc>
        <w:tc>
          <w:tcPr>
            <w:tcW w:w="500" w:type="pct"/>
            <w:tcBorders>
              <w:bottom w:val="single" w:sz="4" w:space="0" w:color="auto"/>
            </w:tcBorders>
            <w:tcMar>
              <w:top w:w="284" w:type="dxa"/>
              <w:bottom w:w="284" w:type="dxa"/>
            </w:tcMar>
          </w:tcPr>
          <w:p w:rsidR="00F138C1" w:rsidRPr="00B3149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3149D" w:rsidRDefault="00F138C1" w:rsidP="009B36BA">
            <w:pPr>
              <w:tabs>
                <w:tab w:val="left" w:pos="6075"/>
              </w:tabs>
              <w:jc w:val="right"/>
              <w:rPr>
                <w:rFonts w:ascii="Arial" w:hAnsi="Arial" w:cs="Arial"/>
                <w:i/>
                <w:sz w:val="20"/>
                <w:szCs w:val="20"/>
                <w:lang w:val="fr-CA"/>
              </w:rPr>
            </w:pPr>
            <w:r w:rsidRPr="00B3149D">
              <w:rPr>
                <w:sz w:val="18"/>
                <w:szCs w:val="18"/>
                <w:lang w:val="fr-CA"/>
              </w:rPr>
              <w:t>© Cour suprême du Canada (202</w:t>
            </w:r>
            <w:r w:rsidR="009B36BA" w:rsidRPr="00B3149D">
              <w:rPr>
                <w:sz w:val="18"/>
                <w:szCs w:val="18"/>
                <w:lang w:val="fr-CA"/>
              </w:rPr>
              <w:t>1</w:t>
            </w:r>
            <w:proofErr w:type="gramStart"/>
            <w:r w:rsidRPr="00B3149D">
              <w:rPr>
                <w:sz w:val="18"/>
                <w:szCs w:val="18"/>
                <w:lang w:val="fr-CA"/>
              </w:rPr>
              <w:t>)</w:t>
            </w:r>
            <w:proofErr w:type="gramEnd"/>
            <w:r w:rsidRPr="00B3149D">
              <w:rPr>
                <w:sz w:val="18"/>
                <w:szCs w:val="18"/>
                <w:lang w:val="fr-CA"/>
              </w:rPr>
              <w:br/>
              <w:t>ISSN 1918-8358 (En ligne)</w:t>
            </w:r>
          </w:p>
        </w:tc>
      </w:tr>
    </w:tbl>
    <w:p w:rsidR="0030050B" w:rsidRPr="00B3149D" w:rsidRDefault="0030050B" w:rsidP="00F138C1">
      <w:pPr>
        <w:tabs>
          <w:tab w:val="left" w:pos="6075"/>
        </w:tabs>
        <w:rPr>
          <w:lang w:val="fr-CA"/>
        </w:rPr>
      </w:pPr>
    </w:p>
    <w:p w:rsidR="00560DF1" w:rsidRPr="00B3149D" w:rsidRDefault="00560DF1" w:rsidP="0095096B">
      <w:pPr>
        <w:tabs>
          <w:tab w:val="right" w:pos="9360"/>
        </w:tabs>
        <w:rPr>
          <w:lang w:val="fr-CA"/>
        </w:rPr>
      </w:pPr>
    </w:p>
    <w:p w:rsidR="00F138C1" w:rsidRPr="00B3149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3149D" w:rsidRDefault="00DC6B2E" w:rsidP="00693C38">
          <w:pPr>
            <w:pStyle w:val="Title"/>
            <w:jc w:val="center"/>
            <w:rPr>
              <w:rFonts w:ascii="Times New Roman" w:hAnsi="Times New Roman" w:cs="Times New Roman"/>
              <w:b/>
              <w:sz w:val="24"/>
              <w:szCs w:val="28"/>
              <w:lang w:val="fr-CA"/>
            </w:rPr>
          </w:pPr>
          <w:r w:rsidRPr="00B3149D">
            <w:rPr>
              <w:rFonts w:ascii="Times New Roman" w:hAnsi="Times New Roman" w:cs="Times New Roman"/>
              <w:b/>
              <w:sz w:val="24"/>
              <w:szCs w:val="28"/>
              <w:lang w:val="fr-CA"/>
            </w:rPr>
            <w:t>Contents</w:t>
          </w:r>
        </w:p>
        <w:p w:rsidR="00693C38" w:rsidRPr="00B3149D" w:rsidRDefault="00DC6B2E" w:rsidP="00693C38">
          <w:pPr>
            <w:jc w:val="center"/>
            <w:rPr>
              <w:b/>
              <w:szCs w:val="28"/>
              <w:lang w:val="fr-CA"/>
            </w:rPr>
          </w:pPr>
          <w:r w:rsidRPr="00B3149D">
            <w:rPr>
              <w:b/>
              <w:szCs w:val="28"/>
              <w:lang w:val="fr-CA"/>
            </w:rPr>
            <w:t>Table des matières</w:t>
          </w:r>
        </w:p>
        <w:p w:rsidR="00693C38" w:rsidRPr="00B3149D" w:rsidRDefault="00693C38" w:rsidP="00693C38">
          <w:pPr>
            <w:rPr>
              <w:lang w:val="fr-CA"/>
            </w:rPr>
          </w:pPr>
        </w:p>
        <w:p w:rsidR="00B3149D" w:rsidRPr="00B3149D" w:rsidRDefault="00DC6B2E">
          <w:pPr>
            <w:pStyle w:val="TOC1"/>
            <w:tabs>
              <w:tab w:val="right" w:leader="dot" w:pos="9638"/>
            </w:tabs>
            <w:rPr>
              <w:rFonts w:asciiTheme="minorHAnsi" w:eastAsiaTheme="minorEastAsia" w:hAnsiTheme="minorHAnsi"/>
              <w:noProof/>
              <w:sz w:val="22"/>
              <w:lang w:val="en-US"/>
            </w:rPr>
          </w:pPr>
          <w:r w:rsidRPr="00B3149D">
            <w:rPr>
              <w:b/>
              <w:bCs/>
              <w:noProof/>
            </w:rPr>
            <w:fldChar w:fldCharType="begin"/>
          </w:r>
          <w:r w:rsidRPr="00B3149D">
            <w:rPr>
              <w:b/>
              <w:bCs/>
              <w:noProof/>
            </w:rPr>
            <w:instrText xml:space="preserve"> TOC \o "1-3" \h \z \u </w:instrText>
          </w:r>
          <w:r w:rsidRPr="00B3149D">
            <w:rPr>
              <w:b/>
              <w:bCs/>
              <w:noProof/>
            </w:rPr>
            <w:fldChar w:fldCharType="separate"/>
          </w:r>
          <w:hyperlink w:anchor="_Toc64628179" w:history="1">
            <w:r w:rsidR="00B3149D" w:rsidRPr="00B3149D">
              <w:rPr>
                <w:rStyle w:val="Hyperlink"/>
                <w:noProof/>
                <w:lang w:val="fr-CA"/>
              </w:rPr>
              <w:t>Applications for leave to appeal filed /  Demandes d’autorisation d’appel déposées</w:t>
            </w:r>
            <w:r w:rsidR="00B3149D" w:rsidRPr="00B3149D">
              <w:rPr>
                <w:noProof/>
                <w:webHidden/>
              </w:rPr>
              <w:tab/>
            </w:r>
            <w:r w:rsidR="00B3149D" w:rsidRPr="00B3149D">
              <w:rPr>
                <w:noProof/>
                <w:webHidden/>
              </w:rPr>
              <w:fldChar w:fldCharType="begin"/>
            </w:r>
            <w:r w:rsidR="00B3149D" w:rsidRPr="00B3149D">
              <w:rPr>
                <w:noProof/>
                <w:webHidden/>
              </w:rPr>
              <w:instrText xml:space="preserve"> PAGEREF _Toc64628179 \h </w:instrText>
            </w:r>
            <w:r w:rsidR="00B3149D" w:rsidRPr="00B3149D">
              <w:rPr>
                <w:noProof/>
                <w:webHidden/>
              </w:rPr>
            </w:r>
            <w:r w:rsidR="00B3149D" w:rsidRPr="00B3149D">
              <w:rPr>
                <w:noProof/>
                <w:webHidden/>
              </w:rPr>
              <w:fldChar w:fldCharType="separate"/>
            </w:r>
            <w:r w:rsidR="00B3149D" w:rsidRPr="00B3149D">
              <w:rPr>
                <w:noProof/>
                <w:webHidden/>
              </w:rPr>
              <w:t>1</w:t>
            </w:r>
            <w:r w:rsidR="00B3149D" w:rsidRPr="00B3149D">
              <w:rPr>
                <w:noProof/>
                <w:webHidden/>
              </w:rPr>
              <w:fldChar w:fldCharType="end"/>
            </w:r>
          </w:hyperlink>
        </w:p>
        <w:p w:rsidR="00B3149D" w:rsidRPr="00B3149D" w:rsidRDefault="00E51866">
          <w:pPr>
            <w:pStyle w:val="TOC1"/>
            <w:tabs>
              <w:tab w:val="right" w:leader="dot" w:pos="9638"/>
            </w:tabs>
            <w:rPr>
              <w:rFonts w:asciiTheme="minorHAnsi" w:eastAsiaTheme="minorEastAsia" w:hAnsiTheme="minorHAnsi"/>
              <w:noProof/>
              <w:sz w:val="22"/>
              <w:lang w:val="en-US"/>
            </w:rPr>
          </w:pPr>
          <w:hyperlink w:anchor="_Toc64628180" w:history="1">
            <w:r w:rsidR="00B3149D" w:rsidRPr="00B3149D">
              <w:rPr>
                <w:rStyle w:val="Hyperlink"/>
                <w:noProof/>
                <w:lang w:val="fr-CA"/>
              </w:rPr>
              <w:t>Judgments on applications for leave /  Jugements rendus sur les demandes d’autorisation</w:t>
            </w:r>
            <w:r w:rsidR="00B3149D" w:rsidRPr="00B3149D">
              <w:rPr>
                <w:noProof/>
                <w:webHidden/>
              </w:rPr>
              <w:tab/>
            </w:r>
            <w:r w:rsidR="00B3149D" w:rsidRPr="00B3149D">
              <w:rPr>
                <w:noProof/>
                <w:webHidden/>
              </w:rPr>
              <w:fldChar w:fldCharType="begin"/>
            </w:r>
            <w:r w:rsidR="00B3149D" w:rsidRPr="00B3149D">
              <w:rPr>
                <w:noProof/>
                <w:webHidden/>
              </w:rPr>
              <w:instrText xml:space="preserve"> PAGEREF _Toc64628180 \h </w:instrText>
            </w:r>
            <w:r w:rsidR="00B3149D" w:rsidRPr="00B3149D">
              <w:rPr>
                <w:noProof/>
                <w:webHidden/>
              </w:rPr>
            </w:r>
            <w:r w:rsidR="00B3149D" w:rsidRPr="00B3149D">
              <w:rPr>
                <w:noProof/>
                <w:webHidden/>
              </w:rPr>
              <w:fldChar w:fldCharType="separate"/>
            </w:r>
            <w:r w:rsidR="00B3149D" w:rsidRPr="00B3149D">
              <w:rPr>
                <w:noProof/>
                <w:webHidden/>
              </w:rPr>
              <w:t>2</w:t>
            </w:r>
            <w:r w:rsidR="00B3149D" w:rsidRPr="00B3149D">
              <w:rPr>
                <w:noProof/>
                <w:webHidden/>
              </w:rPr>
              <w:fldChar w:fldCharType="end"/>
            </w:r>
          </w:hyperlink>
        </w:p>
        <w:p w:rsidR="00B3149D" w:rsidRPr="00B3149D" w:rsidRDefault="00E51866">
          <w:pPr>
            <w:pStyle w:val="TOC1"/>
            <w:tabs>
              <w:tab w:val="right" w:leader="dot" w:pos="9638"/>
            </w:tabs>
            <w:rPr>
              <w:rFonts w:asciiTheme="minorHAnsi" w:eastAsiaTheme="minorEastAsia" w:hAnsiTheme="minorHAnsi"/>
              <w:noProof/>
              <w:sz w:val="22"/>
              <w:lang w:val="en-US"/>
            </w:rPr>
          </w:pPr>
          <w:hyperlink w:anchor="_Toc64628181" w:history="1">
            <w:r w:rsidR="00B3149D" w:rsidRPr="00B3149D">
              <w:rPr>
                <w:rStyle w:val="Hyperlink"/>
                <w:noProof/>
                <w:lang w:val="fr-CA"/>
              </w:rPr>
              <w:t>Motions /  Requêtes</w:t>
            </w:r>
            <w:r w:rsidR="00B3149D" w:rsidRPr="00B3149D">
              <w:rPr>
                <w:noProof/>
                <w:webHidden/>
              </w:rPr>
              <w:tab/>
            </w:r>
            <w:r w:rsidR="00B3149D" w:rsidRPr="00B3149D">
              <w:rPr>
                <w:noProof/>
                <w:webHidden/>
              </w:rPr>
              <w:fldChar w:fldCharType="begin"/>
            </w:r>
            <w:r w:rsidR="00B3149D" w:rsidRPr="00B3149D">
              <w:rPr>
                <w:noProof/>
                <w:webHidden/>
              </w:rPr>
              <w:instrText xml:space="preserve"> PAGEREF _Toc64628181 \h </w:instrText>
            </w:r>
            <w:r w:rsidR="00B3149D" w:rsidRPr="00B3149D">
              <w:rPr>
                <w:noProof/>
                <w:webHidden/>
              </w:rPr>
            </w:r>
            <w:r w:rsidR="00B3149D" w:rsidRPr="00B3149D">
              <w:rPr>
                <w:noProof/>
                <w:webHidden/>
              </w:rPr>
              <w:fldChar w:fldCharType="separate"/>
            </w:r>
            <w:r w:rsidR="00B3149D" w:rsidRPr="00B3149D">
              <w:rPr>
                <w:noProof/>
                <w:webHidden/>
              </w:rPr>
              <w:t>27</w:t>
            </w:r>
            <w:r w:rsidR="00B3149D" w:rsidRPr="00B3149D">
              <w:rPr>
                <w:noProof/>
                <w:webHidden/>
              </w:rPr>
              <w:fldChar w:fldCharType="end"/>
            </w:r>
          </w:hyperlink>
        </w:p>
        <w:p w:rsidR="00B3149D" w:rsidRPr="00B3149D" w:rsidRDefault="00E51866">
          <w:pPr>
            <w:pStyle w:val="TOC1"/>
            <w:tabs>
              <w:tab w:val="right" w:leader="dot" w:pos="9638"/>
            </w:tabs>
            <w:rPr>
              <w:rFonts w:asciiTheme="minorHAnsi" w:eastAsiaTheme="minorEastAsia" w:hAnsiTheme="minorHAnsi"/>
              <w:noProof/>
              <w:sz w:val="22"/>
              <w:lang w:val="en-US"/>
            </w:rPr>
          </w:pPr>
          <w:hyperlink w:anchor="_Toc64628182" w:history="1">
            <w:r w:rsidR="00B3149D" w:rsidRPr="00B3149D">
              <w:rPr>
                <w:rStyle w:val="Hyperlink"/>
                <w:noProof/>
                <w:lang w:val="fr-CA"/>
              </w:rPr>
              <w:t>Appeals heard since the last issue and disposition /  Appels entendus depuis la dernière parution et résultat</w:t>
            </w:r>
            <w:r w:rsidR="00B3149D" w:rsidRPr="00B3149D">
              <w:rPr>
                <w:noProof/>
                <w:webHidden/>
              </w:rPr>
              <w:tab/>
            </w:r>
            <w:r w:rsidR="00B3149D" w:rsidRPr="00B3149D">
              <w:rPr>
                <w:noProof/>
                <w:webHidden/>
              </w:rPr>
              <w:fldChar w:fldCharType="begin"/>
            </w:r>
            <w:r w:rsidR="00B3149D" w:rsidRPr="00B3149D">
              <w:rPr>
                <w:noProof/>
                <w:webHidden/>
              </w:rPr>
              <w:instrText xml:space="preserve"> PAGEREF _Toc64628182 \h </w:instrText>
            </w:r>
            <w:r w:rsidR="00B3149D" w:rsidRPr="00B3149D">
              <w:rPr>
                <w:noProof/>
                <w:webHidden/>
              </w:rPr>
            </w:r>
            <w:r w:rsidR="00B3149D" w:rsidRPr="00B3149D">
              <w:rPr>
                <w:noProof/>
                <w:webHidden/>
              </w:rPr>
              <w:fldChar w:fldCharType="separate"/>
            </w:r>
            <w:r w:rsidR="00B3149D" w:rsidRPr="00B3149D">
              <w:rPr>
                <w:noProof/>
                <w:webHidden/>
              </w:rPr>
              <w:t>33</w:t>
            </w:r>
            <w:r w:rsidR="00B3149D" w:rsidRPr="00B3149D">
              <w:rPr>
                <w:noProof/>
                <w:webHidden/>
              </w:rPr>
              <w:fldChar w:fldCharType="end"/>
            </w:r>
          </w:hyperlink>
        </w:p>
        <w:p w:rsidR="00560DF1" w:rsidRPr="00B3149D" w:rsidRDefault="00DC6B2E">
          <w:r w:rsidRPr="00B3149D">
            <w:rPr>
              <w:b/>
              <w:bCs/>
              <w:noProof/>
              <w:sz w:val="20"/>
            </w:rPr>
            <w:fldChar w:fldCharType="end"/>
          </w:r>
        </w:p>
      </w:sdtContent>
    </w:sdt>
    <w:p w:rsidR="00560DF1" w:rsidRPr="00B3149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873D4" w:rsidTr="00F138C1">
        <w:trPr>
          <w:jc w:val="center"/>
        </w:trPr>
        <w:tc>
          <w:tcPr>
            <w:tcW w:w="9638" w:type="dxa"/>
          </w:tcPr>
          <w:p w:rsidR="00F138C1" w:rsidRPr="00B3149D" w:rsidRDefault="00F138C1" w:rsidP="00F138C1">
            <w:pPr>
              <w:keepNext/>
              <w:tabs>
                <w:tab w:val="right" w:pos="9360"/>
              </w:tabs>
              <w:spacing w:after="120"/>
              <w:jc w:val="center"/>
              <w:rPr>
                <w:szCs w:val="24"/>
              </w:rPr>
            </w:pPr>
            <w:r w:rsidRPr="00B3149D">
              <w:rPr>
                <w:szCs w:val="24"/>
              </w:rPr>
              <w:t>NOTICE</w:t>
            </w:r>
          </w:p>
          <w:p w:rsidR="00F138C1" w:rsidRPr="00B3149D" w:rsidRDefault="00F138C1" w:rsidP="00F138C1">
            <w:pPr>
              <w:keepNext/>
              <w:tabs>
                <w:tab w:val="right" w:pos="9360"/>
              </w:tabs>
              <w:spacing w:after="120"/>
              <w:jc w:val="both"/>
              <w:rPr>
                <w:szCs w:val="24"/>
              </w:rPr>
            </w:pPr>
            <w:r w:rsidRPr="00B3149D">
              <w:rPr>
                <w:szCs w:val="24"/>
              </w:rPr>
              <w:t>Case summaries included in the Bulletin are prepared by the Office of the Registrar of the Supreme Court of Canada (Law Branch) for information purposes only.</w:t>
            </w:r>
          </w:p>
          <w:p w:rsidR="00F138C1" w:rsidRPr="00B3149D" w:rsidRDefault="00F138C1" w:rsidP="00F138C1">
            <w:pPr>
              <w:keepNext/>
              <w:tabs>
                <w:tab w:val="right" w:pos="9360"/>
              </w:tabs>
              <w:spacing w:after="120"/>
              <w:jc w:val="center"/>
              <w:rPr>
                <w:szCs w:val="24"/>
                <w:lang w:val="fr-CA"/>
              </w:rPr>
            </w:pPr>
            <w:r w:rsidRPr="00B3149D">
              <w:rPr>
                <w:szCs w:val="24"/>
                <w:lang w:val="fr-CA"/>
              </w:rPr>
              <w:t>AVIS</w:t>
            </w:r>
          </w:p>
          <w:p w:rsidR="00F138C1" w:rsidRPr="00B3149D" w:rsidRDefault="00F138C1" w:rsidP="00F138C1">
            <w:pPr>
              <w:keepNext/>
              <w:tabs>
                <w:tab w:val="right" w:pos="9360"/>
              </w:tabs>
              <w:spacing w:after="120"/>
              <w:jc w:val="both"/>
              <w:rPr>
                <w:sz w:val="20"/>
                <w:szCs w:val="20"/>
                <w:lang w:val="fr-CA"/>
              </w:rPr>
            </w:pPr>
            <w:r w:rsidRPr="00B3149D">
              <w:rPr>
                <w:szCs w:val="24"/>
                <w:lang w:val="fr-CA"/>
              </w:rPr>
              <w:t>Les résumés des causes publiés dans le bulletin sont préparés par le Bureau du registraire (Direction générale du droit) uniquement à titre d’information.</w:t>
            </w:r>
          </w:p>
        </w:tc>
      </w:tr>
    </w:tbl>
    <w:p w:rsidR="00F138C1" w:rsidRPr="00B3149D" w:rsidRDefault="00F138C1" w:rsidP="00F138C1">
      <w:pPr>
        <w:tabs>
          <w:tab w:val="right" w:pos="9360"/>
        </w:tabs>
        <w:rPr>
          <w:lang w:val="fr-CA"/>
        </w:rPr>
      </w:pPr>
    </w:p>
    <w:p w:rsidR="00F138C1" w:rsidRPr="00B3149D" w:rsidRDefault="00F138C1" w:rsidP="00F138C1">
      <w:pPr>
        <w:tabs>
          <w:tab w:val="right" w:pos="9360"/>
        </w:tabs>
        <w:rPr>
          <w:lang w:val="fr-CA"/>
        </w:rPr>
      </w:pPr>
    </w:p>
    <w:p w:rsidR="00C01FCB" w:rsidRPr="00B3149D" w:rsidRDefault="00C01FCB" w:rsidP="0095096B">
      <w:pPr>
        <w:tabs>
          <w:tab w:val="right" w:pos="9360"/>
        </w:tabs>
        <w:rPr>
          <w:lang w:val="fr-CA"/>
        </w:rPr>
      </w:pPr>
    </w:p>
    <w:p w:rsidR="00A87207" w:rsidRPr="00B3149D" w:rsidRDefault="00A87207" w:rsidP="0095096B">
      <w:pPr>
        <w:tabs>
          <w:tab w:val="right" w:pos="9360"/>
        </w:tabs>
        <w:rPr>
          <w:lang w:val="fr-CA"/>
        </w:rPr>
        <w:sectPr w:rsidR="00A87207" w:rsidRPr="00B3149D" w:rsidSect="0044776A">
          <w:pgSz w:w="12240" w:h="15840"/>
          <w:pgMar w:top="720" w:right="1152" w:bottom="1080" w:left="1440" w:header="706" w:footer="706" w:gutter="0"/>
          <w:cols w:space="708"/>
          <w:titlePg/>
          <w:docGrid w:linePitch="360"/>
        </w:sectPr>
      </w:pPr>
    </w:p>
    <w:p w:rsidR="00560DF1" w:rsidRPr="00B3149D" w:rsidRDefault="00DD0BDC" w:rsidP="00567602">
      <w:pPr>
        <w:pStyle w:val="Header1StyleE"/>
        <w:pBdr>
          <w:bottom w:val="single" w:sz="12" w:space="1" w:color="auto"/>
        </w:pBdr>
        <w:rPr>
          <w:lang w:val="fr-CA"/>
        </w:rPr>
      </w:pPr>
      <w:bookmarkStart w:id="0" w:name="_Toc64628179"/>
      <w:r w:rsidRPr="00B3149D">
        <w:rPr>
          <w:lang w:val="fr-CA"/>
        </w:rPr>
        <w:lastRenderedPageBreak/>
        <w:t>Applications for leave to appeal filed</w:t>
      </w:r>
      <w:r w:rsidR="00271E1E" w:rsidRPr="00B3149D">
        <w:rPr>
          <w:lang w:val="fr-CA"/>
        </w:rPr>
        <w:t xml:space="preserve"> / </w:t>
      </w:r>
      <w:r w:rsidR="00727571" w:rsidRPr="00B3149D">
        <w:rPr>
          <w:lang w:val="fr-CA"/>
        </w:rPr>
        <w:br/>
      </w:r>
      <w:r w:rsidRPr="00B3149D">
        <w:rPr>
          <w:lang w:val="fr-CA"/>
        </w:rPr>
        <w:t>Demandes d’autorisation d’appel déposées</w:t>
      </w:r>
      <w:bookmarkEnd w:id="0"/>
    </w:p>
    <w:p w:rsidR="00F138C1" w:rsidRPr="00B3149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3149D" w:rsidTr="00F138C1">
        <w:tc>
          <w:tcPr>
            <w:tcW w:w="4239" w:type="dxa"/>
            <w:shd w:val="clear" w:color="auto" w:fill="auto"/>
          </w:tcPr>
          <w:p w:rsidR="00F138C1" w:rsidRPr="00B3149D" w:rsidRDefault="005430B8" w:rsidP="00F138C1">
            <w:pPr>
              <w:rPr>
                <w:sz w:val="20"/>
                <w:szCs w:val="20"/>
                <w:lang w:val="en-US"/>
              </w:rPr>
            </w:pPr>
            <w:r w:rsidRPr="00B3149D">
              <w:rPr>
                <w:b/>
                <w:sz w:val="20"/>
                <w:szCs w:val="20"/>
                <w:lang w:val="en-US"/>
              </w:rPr>
              <w:t>Named Person #3</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Daviau, Lindsay</w:t>
            </w:r>
          </w:p>
          <w:p w:rsidR="00F138C1" w:rsidRPr="00B3149D" w:rsidRDefault="005430B8"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Rosen &amp; Company Barristers</w:t>
            </w:r>
          </w:p>
          <w:p w:rsidR="005430B8" w:rsidRPr="00B3149D" w:rsidRDefault="005430B8" w:rsidP="00F138C1">
            <w:pPr>
              <w:tabs>
                <w:tab w:val="left" w:pos="-1440"/>
                <w:tab w:val="left" w:pos="-720"/>
              </w:tabs>
              <w:rPr>
                <w:sz w:val="20"/>
                <w:szCs w:val="20"/>
                <w:lang w:val="en-US"/>
              </w:rPr>
            </w:pPr>
          </w:p>
          <w:p w:rsidR="00F138C1" w:rsidRPr="00B3149D" w:rsidRDefault="00F138C1" w:rsidP="00F138C1">
            <w:pPr>
              <w:tabs>
                <w:tab w:val="left" w:pos="-1440"/>
                <w:tab w:val="left" w:pos="-720"/>
              </w:tabs>
              <w:rPr>
                <w:sz w:val="20"/>
                <w:szCs w:val="20"/>
                <w:lang w:val="en-US"/>
              </w:rPr>
            </w:pPr>
            <w:r w:rsidRPr="00B3149D">
              <w:rPr>
                <w:sz w:val="20"/>
                <w:szCs w:val="20"/>
                <w:lang w:val="en-US"/>
              </w:rPr>
              <w:tab/>
              <w:t>v. (39</w:t>
            </w:r>
            <w:r w:rsidR="005430B8" w:rsidRPr="00B3149D">
              <w:rPr>
                <w:sz w:val="20"/>
                <w:szCs w:val="20"/>
                <w:lang w:val="en-US"/>
              </w:rPr>
              <w:t>539</w:t>
            </w:r>
            <w:r w:rsidRPr="00B3149D">
              <w:rPr>
                <w:sz w:val="20"/>
                <w:szCs w:val="20"/>
                <w:lang w:val="en-US"/>
              </w:rPr>
              <w:t>)</w:t>
            </w:r>
          </w:p>
          <w:p w:rsidR="00F138C1" w:rsidRPr="00B3149D" w:rsidRDefault="00F138C1" w:rsidP="00F138C1">
            <w:pPr>
              <w:tabs>
                <w:tab w:val="left" w:pos="-1440"/>
                <w:tab w:val="left" w:pos="-720"/>
              </w:tabs>
              <w:rPr>
                <w:sz w:val="20"/>
                <w:szCs w:val="20"/>
                <w:lang w:val="en-US"/>
              </w:rPr>
            </w:pPr>
          </w:p>
          <w:p w:rsidR="00F138C1" w:rsidRPr="00B3149D" w:rsidRDefault="009373A2" w:rsidP="00F138C1">
            <w:pPr>
              <w:tabs>
                <w:tab w:val="left" w:pos="-1440"/>
                <w:tab w:val="left" w:pos="-720"/>
              </w:tabs>
              <w:rPr>
                <w:b/>
                <w:sz w:val="20"/>
                <w:szCs w:val="20"/>
                <w:lang w:val="en-US"/>
              </w:rPr>
            </w:pPr>
            <w:r w:rsidRPr="00B3149D">
              <w:rPr>
                <w:b/>
                <w:sz w:val="20"/>
                <w:szCs w:val="20"/>
                <w:lang w:val="en-US"/>
              </w:rPr>
              <w:t xml:space="preserve">Her Majesty the Queen </w:t>
            </w:r>
            <w:r w:rsidR="00F138C1" w:rsidRPr="00B3149D">
              <w:rPr>
                <w:b/>
                <w:sz w:val="20"/>
                <w:szCs w:val="20"/>
                <w:lang w:val="en-US"/>
              </w:rPr>
              <w:t>(</w:t>
            </w:r>
            <w:r w:rsidR="005430B8" w:rsidRPr="00B3149D">
              <w:rPr>
                <w:b/>
                <w:sz w:val="20"/>
                <w:szCs w:val="20"/>
                <w:lang w:val="en-US"/>
              </w:rPr>
              <w:t>Ont</w:t>
            </w:r>
            <w:r w:rsidR="00F138C1" w:rsidRPr="00B3149D">
              <w:rPr>
                <w:b/>
                <w:sz w:val="20"/>
                <w:szCs w:val="20"/>
                <w:lang w:val="en-US"/>
              </w:rPr>
              <w:t>.)</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Scrutton, Peter</w:t>
            </w:r>
          </w:p>
          <w:p w:rsidR="00F138C1" w:rsidRPr="00B3149D" w:rsidRDefault="00F138C1" w:rsidP="00F138C1">
            <w:pPr>
              <w:tabs>
                <w:tab w:val="left" w:pos="-1440"/>
                <w:tab w:val="left" w:pos="-720"/>
              </w:tabs>
              <w:rPr>
                <w:sz w:val="20"/>
                <w:szCs w:val="20"/>
              </w:rPr>
            </w:pPr>
            <w:r w:rsidRPr="00B3149D">
              <w:rPr>
                <w:sz w:val="20"/>
                <w:szCs w:val="20"/>
                <w:lang w:val="en-US"/>
              </w:rPr>
              <w:tab/>
            </w:r>
            <w:r w:rsidR="009373A2" w:rsidRPr="00B3149D">
              <w:rPr>
                <w:sz w:val="20"/>
                <w:szCs w:val="20"/>
              </w:rPr>
              <w:t>Attorney General of Ontario</w:t>
            </w:r>
          </w:p>
          <w:p w:rsidR="00F138C1" w:rsidRPr="00B3149D" w:rsidRDefault="00F138C1" w:rsidP="00F138C1">
            <w:pPr>
              <w:tabs>
                <w:tab w:val="left" w:pos="-1440"/>
                <w:tab w:val="left" w:pos="-720"/>
              </w:tabs>
              <w:rPr>
                <w:sz w:val="20"/>
                <w:szCs w:val="20"/>
              </w:rPr>
            </w:pPr>
          </w:p>
          <w:p w:rsidR="00F138C1" w:rsidRPr="00B3149D" w:rsidRDefault="00F138C1" w:rsidP="00F138C1">
            <w:pPr>
              <w:rPr>
                <w:sz w:val="20"/>
                <w:szCs w:val="20"/>
              </w:rPr>
            </w:pPr>
            <w:r w:rsidRPr="00B3149D">
              <w:rPr>
                <w:sz w:val="20"/>
                <w:szCs w:val="20"/>
              </w:rPr>
              <w:t xml:space="preserve">FILING DATE: </w:t>
            </w:r>
            <w:r w:rsidR="005430B8" w:rsidRPr="00B3149D">
              <w:rPr>
                <w:sz w:val="20"/>
                <w:szCs w:val="20"/>
              </w:rPr>
              <w:t>February</w:t>
            </w:r>
            <w:r w:rsidRPr="00B3149D">
              <w:rPr>
                <w:sz w:val="20"/>
                <w:szCs w:val="20"/>
              </w:rPr>
              <w:t xml:space="preserve"> </w:t>
            </w:r>
            <w:r w:rsidR="005430B8" w:rsidRPr="00B3149D">
              <w:rPr>
                <w:sz w:val="20"/>
                <w:szCs w:val="20"/>
              </w:rPr>
              <w:t>4</w:t>
            </w:r>
            <w:r w:rsidRPr="00B3149D">
              <w:rPr>
                <w:sz w:val="20"/>
                <w:szCs w:val="20"/>
              </w:rPr>
              <w:t>, 20</w:t>
            </w:r>
            <w:r w:rsidR="00DA1D48" w:rsidRPr="00B3149D">
              <w:rPr>
                <w:sz w:val="20"/>
                <w:szCs w:val="20"/>
              </w:rPr>
              <w:t>2</w:t>
            </w:r>
            <w:r w:rsidR="005430B8" w:rsidRPr="00B3149D">
              <w:rPr>
                <w:sz w:val="20"/>
                <w:szCs w:val="20"/>
              </w:rPr>
              <w:t>1</w:t>
            </w:r>
          </w:p>
          <w:p w:rsidR="004B2E86" w:rsidRPr="00B3149D" w:rsidRDefault="004B2E86" w:rsidP="00F138C1">
            <w:pPr>
              <w:rPr>
                <w:sz w:val="20"/>
                <w:szCs w:val="20"/>
              </w:rPr>
            </w:pPr>
          </w:p>
          <w:p w:rsidR="00F138C1" w:rsidRPr="00B3149D" w:rsidRDefault="00E51866"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F138C1" w:rsidRPr="00B3149D" w:rsidRDefault="00F138C1" w:rsidP="00F138C1">
            <w:pPr>
              <w:jc w:val="center"/>
              <w:rPr>
                <w:sz w:val="20"/>
                <w:szCs w:val="20"/>
              </w:rPr>
            </w:pPr>
          </w:p>
          <w:p w:rsidR="004B2E86" w:rsidRPr="00B3149D" w:rsidRDefault="004B2E86" w:rsidP="00F138C1">
            <w:pPr>
              <w:jc w:val="center"/>
              <w:rPr>
                <w:sz w:val="20"/>
                <w:szCs w:val="20"/>
              </w:rPr>
            </w:pPr>
          </w:p>
          <w:p w:rsidR="00F138C1" w:rsidRPr="00B3149D" w:rsidRDefault="00F138C1" w:rsidP="00F138C1">
            <w:pPr>
              <w:jc w:val="center"/>
              <w:rPr>
                <w:sz w:val="20"/>
                <w:szCs w:val="20"/>
              </w:rPr>
            </w:pPr>
          </w:p>
        </w:tc>
        <w:tc>
          <w:tcPr>
            <w:tcW w:w="4239" w:type="dxa"/>
            <w:shd w:val="clear" w:color="auto" w:fill="auto"/>
          </w:tcPr>
          <w:p w:rsidR="00F138C1" w:rsidRPr="00B3149D" w:rsidRDefault="009373A2" w:rsidP="00F138C1">
            <w:pPr>
              <w:rPr>
                <w:b/>
                <w:sz w:val="20"/>
                <w:szCs w:val="20"/>
                <w:lang w:val="en-US"/>
              </w:rPr>
            </w:pPr>
            <w:r w:rsidRPr="00B3149D">
              <w:rPr>
                <w:b/>
                <w:sz w:val="20"/>
                <w:szCs w:val="20"/>
                <w:lang w:val="en-US"/>
              </w:rPr>
              <w:t>Ingrid Hayden</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Ingrid Hayden</w:t>
            </w:r>
          </w:p>
          <w:p w:rsidR="00F138C1" w:rsidRPr="00B3149D" w:rsidRDefault="00F138C1" w:rsidP="00F138C1">
            <w:pPr>
              <w:tabs>
                <w:tab w:val="left" w:pos="-1440"/>
                <w:tab w:val="left" w:pos="-720"/>
              </w:tabs>
              <w:rPr>
                <w:sz w:val="20"/>
                <w:szCs w:val="20"/>
                <w:lang w:val="en-US"/>
              </w:rPr>
            </w:pP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v</w:t>
            </w:r>
            <w:r w:rsidRPr="00B3149D">
              <w:rPr>
                <w:sz w:val="20"/>
                <w:szCs w:val="20"/>
                <w:lang w:val="en-US"/>
              </w:rPr>
              <w:t>. (39</w:t>
            </w:r>
            <w:r w:rsidR="009373A2" w:rsidRPr="00B3149D">
              <w:rPr>
                <w:sz w:val="20"/>
                <w:szCs w:val="20"/>
                <w:lang w:val="en-US"/>
              </w:rPr>
              <w:t>540</w:t>
            </w:r>
            <w:r w:rsidRPr="00B3149D">
              <w:rPr>
                <w:sz w:val="20"/>
                <w:szCs w:val="20"/>
                <w:lang w:val="en-US"/>
              </w:rPr>
              <w:t>)</w:t>
            </w:r>
          </w:p>
          <w:p w:rsidR="00F138C1" w:rsidRPr="00B3149D" w:rsidRDefault="00F138C1" w:rsidP="00F138C1">
            <w:pPr>
              <w:tabs>
                <w:tab w:val="left" w:pos="-1440"/>
                <w:tab w:val="left" w:pos="-720"/>
              </w:tabs>
              <w:rPr>
                <w:sz w:val="20"/>
                <w:szCs w:val="20"/>
                <w:lang w:val="en-US"/>
              </w:rPr>
            </w:pPr>
          </w:p>
          <w:p w:rsidR="00F138C1" w:rsidRPr="00B3149D" w:rsidRDefault="009373A2" w:rsidP="00F138C1">
            <w:pPr>
              <w:tabs>
                <w:tab w:val="left" w:pos="-1440"/>
                <w:tab w:val="left" w:pos="-720"/>
              </w:tabs>
              <w:rPr>
                <w:b/>
                <w:sz w:val="20"/>
                <w:szCs w:val="20"/>
                <w:lang w:val="en-US"/>
              </w:rPr>
            </w:pPr>
            <w:r w:rsidRPr="00B3149D">
              <w:rPr>
                <w:b/>
                <w:sz w:val="20"/>
                <w:szCs w:val="20"/>
                <w:lang w:val="fr-CA"/>
              </w:rPr>
              <w:t xml:space="preserve">Bradley J. Hayden, et al. </w:t>
            </w:r>
            <w:r w:rsidR="00F138C1" w:rsidRPr="00B3149D">
              <w:rPr>
                <w:b/>
                <w:sz w:val="20"/>
                <w:szCs w:val="20"/>
                <w:lang w:val="en-US"/>
              </w:rPr>
              <w:t>(</w:t>
            </w:r>
            <w:r w:rsidRPr="00B3149D">
              <w:rPr>
                <w:b/>
                <w:sz w:val="20"/>
                <w:szCs w:val="20"/>
                <w:lang w:val="en-US"/>
              </w:rPr>
              <w:t>Alta.</w:t>
            </w:r>
            <w:r w:rsidR="00F138C1" w:rsidRPr="00B3149D">
              <w:rPr>
                <w:b/>
                <w:sz w:val="20"/>
                <w:szCs w:val="20"/>
                <w:lang w:val="en-US"/>
              </w:rPr>
              <w:t>)</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Gilborn, Dan</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Caron &amp; Partners LLP</w:t>
            </w:r>
          </w:p>
          <w:p w:rsidR="00F138C1" w:rsidRPr="00B3149D" w:rsidRDefault="00F138C1" w:rsidP="00F138C1">
            <w:pPr>
              <w:tabs>
                <w:tab w:val="left" w:pos="-1440"/>
                <w:tab w:val="left" w:pos="-720"/>
              </w:tabs>
              <w:rPr>
                <w:sz w:val="20"/>
                <w:szCs w:val="20"/>
                <w:lang w:val="en-US"/>
              </w:rPr>
            </w:pPr>
          </w:p>
          <w:p w:rsidR="00F138C1" w:rsidRPr="00B3149D" w:rsidRDefault="009373A2" w:rsidP="00F138C1">
            <w:pPr>
              <w:rPr>
                <w:sz w:val="20"/>
                <w:szCs w:val="20"/>
                <w:lang w:val="fr-CA"/>
              </w:rPr>
            </w:pPr>
            <w:r w:rsidRPr="00B3149D">
              <w:rPr>
                <w:sz w:val="20"/>
                <w:szCs w:val="20"/>
                <w:lang w:val="fr-CA"/>
              </w:rPr>
              <w:t xml:space="preserve">FILING </w:t>
            </w:r>
            <w:r w:rsidR="00F138C1" w:rsidRPr="00B3149D">
              <w:rPr>
                <w:sz w:val="20"/>
                <w:szCs w:val="20"/>
                <w:lang w:val="fr-CA"/>
              </w:rPr>
              <w:t xml:space="preserve">DATE: </w:t>
            </w:r>
            <w:r w:rsidRPr="00B3149D">
              <w:rPr>
                <w:sz w:val="20"/>
                <w:szCs w:val="20"/>
                <w:lang w:val="fr-CA"/>
              </w:rPr>
              <w:t>February 9,</w:t>
            </w:r>
            <w:r w:rsidR="00F138C1" w:rsidRPr="00B3149D">
              <w:rPr>
                <w:sz w:val="20"/>
                <w:szCs w:val="20"/>
                <w:lang w:val="fr-CA"/>
              </w:rPr>
              <w:t xml:space="preserve"> 20</w:t>
            </w:r>
            <w:r w:rsidR="00DA1D48" w:rsidRPr="00B3149D">
              <w:rPr>
                <w:sz w:val="20"/>
                <w:szCs w:val="20"/>
                <w:lang w:val="fr-CA"/>
              </w:rPr>
              <w:t>2</w:t>
            </w:r>
            <w:r w:rsidRPr="00B3149D">
              <w:rPr>
                <w:sz w:val="20"/>
                <w:szCs w:val="20"/>
                <w:lang w:val="fr-CA"/>
              </w:rPr>
              <w:t>1</w:t>
            </w:r>
          </w:p>
          <w:p w:rsidR="004B2E86" w:rsidRPr="00B3149D" w:rsidRDefault="004B2E86" w:rsidP="00F138C1">
            <w:pPr>
              <w:rPr>
                <w:sz w:val="20"/>
                <w:szCs w:val="20"/>
                <w:lang w:val="fr-CA"/>
              </w:rPr>
            </w:pPr>
          </w:p>
          <w:p w:rsidR="00F138C1" w:rsidRPr="00B3149D" w:rsidRDefault="00E51866"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B3149D" w:rsidTr="00F138C1">
        <w:tc>
          <w:tcPr>
            <w:tcW w:w="4239" w:type="dxa"/>
            <w:shd w:val="clear" w:color="auto" w:fill="auto"/>
          </w:tcPr>
          <w:p w:rsidR="00F138C1" w:rsidRPr="00B3149D" w:rsidRDefault="009373A2" w:rsidP="009B36BA">
            <w:pPr>
              <w:tabs>
                <w:tab w:val="left" w:pos="-1440"/>
                <w:tab w:val="left" w:pos="-720"/>
              </w:tabs>
              <w:rPr>
                <w:b/>
                <w:sz w:val="20"/>
                <w:szCs w:val="20"/>
                <w:lang w:val="en-US"/>
              </w:rPr>
            </w:pPr>
            <w:r w:rsidRPr="00B3149D">
              <w:rPr>
                <w:b/>
                <w:sz w:val="20"/>
                <w:szCs w:val="20"/>
                <w:lang w:val="en-US"/>
              </w:rPr>
              <w:t>Bernard Tremblay</w:t>
            </w:r>
          </w:p>
          <w:p w:rsidR="00F138C1" w:rsidRPr="00B3149D" w:rsidRDefault="00F138C1" w:rsidP="00F138C1">
            <w:pPr>
              <w:keepNext/>
              <w:keepLines/>
              <w:tabs>
                <w:tab w:val="left" w:pos="-1440"/>
                <w:tab w:val="left" w:pos="-720"/>
              </w:tabs>
              <w:rPr>
                <w:sz w:val="20"/>
                <w:szCs w:val="20"/>
                <w:lang w:val="en-US"/>
              </w:rPr>
            </w:pPr>
            <w:r w:rsidRPr="00B3149D">
              <w:rPr>
                <w:sz w:val="20"/>
                <w:szCs w:val="20"/>
                <w:lang w:val="en-US"/>
              </w:rPr>
              <w:tab/>
            </w:r>
            <w:r w:rsidR="009373A2" w:rsidRPr="00B3149D">
              <w:rPr>
                <w:sz w:val="20"/>
                <w:szCs w:val="20"/>
                <w:lang w:val="en-US"/>
              </w:rPr>
              <w:t>Bernard Tremblay</w:t>
            </w:r>
          </w:p>
          <w:p w:rsidR="00F138C1" w:rsidRPr="00B3149D" w:rsidRDefault="00F138C1" w:rsidP="00F138C1">
            <w:pPr>
              <w:keepNext/>
              <w:keepLines/>
              <w:tabs>
                <w:tab w:val="left" w:pos="-1440"/>
                <w:tab w:val="left" w:pos="-720"/>
              </w:tabs>
              <w:rPr>
                <w:sz w:val="20"/>
                <w:szCs w:val="20"/>
                <w:lang w:val="en-US"/>
              </w:rPr>
            </w:pPr>
          </w:p>
          <w:p w:rsidR="00F138C1" w:rsidRPr="00B3149D" w:rsidRDefault="00F138C1" w:rsidP="00F138C1">
            <w:pPr>
              <w:keepNext/>
              <w:keepLines/>
              <w:tabs>
                <w:tab w:val="left" w:pos="-1440"/>
                <w:tab w:val="left" w:pos="-720"/>
              </w:tabs>
              <w:rPr>
                <w:sz w:val="20"/>
                <w:szCs w:val="20"/>
                <w:lang w:val="en-US"/>
              </w:rPr>
            </w:pPr>
            <w:r w:rsidRPr="00B3149D">
              <w:rPr>
                <w:sz w:val="20"/>
                <w:szCs w:val="20"/>
                <w:lang w:val="en-US"/>
              </w:rPr>
              <w:tab/>
            </w:r>
            <w:r w:rsidR="009373A2" w:rsidRPr="00B3149D">
              <w:rPr>
                <w:sz w:val="20"/>
                <w:szCs w:val="20"/>
                <w:lang w:val="en-US"/>
              </w:rPr>
              <w:t>c</w:t>
            </w:r>
            <w:r w:rsidRPr="00B3149D">
              <w:rPr>
                <w:sz w:val="20"/>
                <w:szCs w:val="20"/>
                <w:lang w:val="en-US"/>
              </w:rPr>
              <w:t>. (39</w:t>
            </w:r>
            <w:r w:rsidR="009373A2" w:rsidRPr="00B3149D">
              <w:rPr>
                <w:sz w:val="20"/>
                <w:szCs w:val="20"/>
                <w:lang w:val="en-US"/>
              </w:rPr>
              <w:t>54</w:t>
            </w:r>
            <w:r w:rsidRPr="00B3149D">
              <w:rPr>
                <w:sz w:val="20"/>
                <w:szCs w:val="20"/>
                <w:lang w:val="en-US"/>
              </w:rPr>
              <w:t>1)</w:t>
            </w:r>
          </w:p>
          <w:p w:rsidR="00F138C1" w:rsidRPr="00B3149D" w:rsidRDefault="00F138C1" w:rsidP="00F138C1">
            <w:pPr>
              <w:keepNext/>
              <w:keepLines/>
              <w:tabs>
                <w:tab w:val="left" w:pos="-1440"/>
                <w:tab w:val="left" w:pos="-720"/>
              </w:tabs>
              <w:rPr>
                <w:sz w:val="20"/>
                <w:szCs w:val="20"/>
                <w:lang w:val="en-US"/>
              </w:rPr>
            </w:pPr>
          </w:p>
          <w:p w:rsidR="00F138C1" w:rsidRPr="00B3149D" w:rsidRDefault="009373A2" w:rsidP="00F138C1">
            <w:pPr>
              <w:keepNext/>
              <w:keepLines/>
              <w:tabs>
                <w:tab w:val="left" w:pos="-1440"/>
                <w:tab w:val="left" w:pos="-720"/>
              </w:tabs>
              <w:rPr>
                <w:b/>
                <w:sz w:val="20"/>
                <w:szCs w:val="20"/>
                <w:lang w:val="fr-CA"/>
              </w:rPr>
            </w:pPr>
            <w:r w:rsidRPr="00B3149D">
              <w:rPr>
                <w:b/>
                <w:sz w:val="20"/>
                <w:szCs w:val="20"/>
                <w:lang w:val="fr-CA"/>
              </w:rPr>
              <w:t xml:space="preserve">Ordre des ingénieurs du Québec </w:t>
            </w:r>
            <w:r w:rsidR="00F138C1" w:rsidRPr="00B3149D">
              <w:rPr>
                <w:b/>
                <w:sz w:val="20"/>
                <w:szCs w:val="20"/>
                <w:lang w:val="fr-CA"/>
              </w:rPr>
              <w:t>(</w:t>
            </w:r>
            <w:r w:rsidRPr="00B3149D">
              <w:rPr>
                <w:b/>
                <w:sz w:val="20"/>
                <w:szCs w:val="20"/>
                <w:lang w:val="fr-CA"/>
              </w:rPr>
              <w:t>Qc</w:t>
            </w:r>
            <w:r w:rsidR="00F138C1" w:rsidRPr="00B3149D">
              <w:rPr>
                <w:b/>
                <w:sz w:val="20"/>
                <w:szCs w:val="20"/>
                <w:lang w:val="fr-CA"/>
              </w:rPr>
              <w:t>)</w:t>
            </w:r>
          </w:p>
          <w:p w:rsidR="00F138C1" w:rsidRPr="00B3149D" w:rsidRDefault="00F138C1" w:rsidP="00F138C1">
            <w:pPr>
              <w:keepNext/>
              <w:keepLines/>
              <w:tabs>
                <w:tab w:val="left" w:pos="-1440"/>
                <w:tab w:val="left" w:pos="-720"/>
              </w:tabs>
              <w:rPr>
                <w:sz w:val="20"/>
                <w:szCs w:val="20"/>
                <w:lang w:val="fr-CA"/>
              </w:rPr>
            </w:pPr>
            <w:r w:rsidRPr="00B3149D">
              <w:rPr>
                <w:sz w:val="20"/>
                <w:szCs w:val="20"/>
                <w:lang w:val="fr-CA"/>
              </w:rPr>
              <w:tab/>
            </w:r>
            <w:r w:rsidR="009373A2" w:rsidRPr="00B3149D">
              <w:rPr>
                <w:sz w:val="20"/>
                <w:szCs w:val="20"/>
                <w:lang w:val="fr-CA"/>
              </w:rPr>
              <w:t>Marcoux, Patrick</w:t>
            </w:r>
          </w:p>
          <w:p w:rsidR="00F138C1" w:rsidRPr="00B3149D" w:rsidRDefault="00F138C1" w:rsidP="00F138C1">
            <w:pPr>
              <w:keepNext/>
              <w:keepLines/>
              <w:tabs>
                <w:tab w:val="left" w:pos="-1440"/>
                <w:tab w:val="left" w:pos="-720"/>
              </w:tabs>
              <w:rPr>
                <w:sz w:val="20"/>
                <w:szCs w:val="20"/>
                <w:lang w:val="fr-CA"/>
              </w:rPr>
            </w:pPr>
            <w:r w:rsidRPr="00B3149D">
              <w:rPr>
                <w:sz w:val="20"/>
                <w:szCs w:val="20"/>
                <w:lang w:val="fr-CA"/>
              </w:rPr>
              <w:tab/>
            </w:r>
            <w:r w:rsidR="009373A2" w:rsidRPr="00B3149D">
              <w:rPr>
                <w:sz w:val="20"/>
                <w:szCs w:val="20"/>
                <w:lang w:val="fr-CA"/>
              </w:rPr>
              <w:t>Ordre des ingénieurs du Québec</w:t>
            </w:r>
          </w:p>
          <w:p w:rsidR="00F138C1" w:rsidRPr="00B3149D" w:rsidRDefault="00F138C1" w:rsidP="00F138C1">
            <w:pPr>
              <w:keepNext/>
              <w:keepLines/>
              <w:tabs>
                <w:tab w:val="left" w:pos="-1440"/>
                <w:tab w:val="left" w:pos="-720"/>
              </w:tabs>
              <w:rPr>
                <w:sz w:val="20"/>
                <w:szCs w:val="20"/>
                <w:lang w:val="fr-CA"/>
              </w:rPr>
            </w:pPr>
          </w:p>
          <w:p w:rsidR="004B2E86" w:rsidRPr="00B3149D" w:rsidRDefault="00F138C1" w:rsidP="00F138C1">
            <w:pPr>
              <w:rPr>
                <w:sz w:val="20"/>
                <w:szCs w:val="20"/>
                <w:lang w:val="fr-CA"/>
              </w:rPr>
            </w:pPr>
            <w:r w:rsidRPr="00B3149D">
              <w:rPr>
                <w:sz w:val="20"/>
                <w:szCs w:val="20"/>
                <w:lang w:val="fr-CA"/>
              </w:rPr>
              <w:t>DATE</w:t>
            </w:r>
            <w:r w:rsidR="009373A2" w:rsidRPr="00B3149D">
              <w:rPr>
                <w:sz w:val="20"/>
                <w:szCs w:val="20"/>
                <w:lang w:val="fr-CA"/>
              </w:rPr>
              <w:t xml:space="preserve"> DE PRODUCTION</w:t>
            </w:r>
            <w:r w:rsidRPr="00B3149D">
              <w:rPr>
                <w:sz w:val="20"/>
                <w:szCs w:val="20"/>
                <w:lang w:val="fr-CA"/>
              </w:rPr>
              <w:t xml:space="preserve">: </w:t>
            </w:r>
            <w:r w:rsidR="009373A2" w:rsidRPr="00B3149D">
              <w:rPr>
                <w:sz w:val="20"/>
                <w:szCs w:val="20"/>
                <w:lang w:val="fr-CA"/>
              </w:rPr>
              <w:t>le 10 février</w:t>
            </w:r>
            <w:r w:rsidRPr="00B3149D">
              <w:rPr>
                <w:sz w:val="20"/>
                <w:szCs w:val="20"/>
                <w:lang w:val="fr-CA"/>
              </w:rPr>
              <w:t xml:space="preserve"> 20</w:t>
            </w:r>
            <w:r w:rsidR="00DA1D48" w:rsidRPr="00B3149D">
              <w:rPr>
                <w:sz w:val="20"/>
                <w:szCs w:val="20"/>
                <w:lang w:val="fr-CA"/>
              </w:rPr>
              <w:t>2</w:t>
            </w:r>
            <w:r w:rsidR="009373A2" w:rsidRPr="00B3149D">
              <w:rPr>
                <w:sz w:val="20"/>
                <w:szCs w:val="20"/>
                <w:lang w:val="fr-CA"/>
              </w:rPr>
              <w:t>1</w:t>
            </w:r>
          </w:p>
          <w:p w:rsidR="004B2E86" w:rsidRPr="00B3149D" w:rsidRDefault="004B2E86" w:rsidP="00F138C1">
            <w:pPr>
              <w:rPr>
                <w:sz w:val="20"/>
                <w:szCs w:val="20"/>
                <w:lang w:val="fr-CA"/>
              </w:rPr>
            </w:pPr>
          </w:p>
          <w:p w:rsidR="00F138C1" w:rsidRPr="00B3149D" w:rsidRDefault="00E51866"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F138C1" w:rsidRPr="00B3149D" w:rsidRDefault="00F138C1" w:rsidP="00F138C1">
            <w:pPr>
              <w:jc w:val="center"/>
              <w:rPr>
                <w:sz w:val="20"/>
                <w:szCs w:val="20"/>
                <w:lang w:val="en-US"/>
              </w:rPr>
            </w:pPr>
          </w:p>
          <w:p w:rsidR="004B2E86" w:rsidRPr="00B3149D" w:rsidRDefault="004B2E86" w:rsidP="00F138C1">
            <w:pPr>
              <w:jc w:val="center"/>
              <w:rPr>
                <w:sz w:val="20"/>
                <w:szCs w:val="20"/>
                <w:lang w:val="en-US"/>
              </w:rPr>
            </w:pPr>
          </w:p>
        </w:tc>
        <w:tc>
          <w:tcPr>
            <w:tcW w:w="4239" w:type="dxa"/>
            <w:shd w:val="clear" w:color="auto" w:fill="auto"/>
          </w:tcPr>
          <w:p w:rsidR="00F138C1" w:rsidRPr="00B3149D" w:rsidRDefault="009373A2" w:rsidP="00F138C1">
            <w:pPr>
              <w:rPr>
                <w:b/>
                <w:sz w:val="20"/>
                <w:szCs w:val="20"/>
                <w:lang w:val="en-US"/>
              </w:rPr>
            </w:pPr>
            <w:r w:rsidRPr="00B3149D">
              <w:rPr>
                <w:b/>
                <w:sz w:val="20"/>
                <w:szCs w:val="20"/>
                <w:lang w:val="en-US"/>
              </w:rPr>
              <w:t>F.L.</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Arnault, Luc</w:t>
            </w:r>
          </w:p>
          <w:p w:rsidR="00F138C1" w:rsidRPr="00B3149D" w:rsidRDefault="00F138C1" w:rsidP="00F138C1">
            <w:pPr>
              <w:tabs>
                <w:tab w:val="left" w:pos="-1440"/>
                <w:tab w:val="left" w:pos="-720"/>
              </w:tabs>
              <w:rPr>
                <w:sz w:val="20"/>
                <w:szCs w:val="20"/>
                <w:lang w:val="en-US"/>
              </w:rPr>
            </w:pPr>
            <w:r w:rsidRPr="00B3149D">
              <w:rPr>
                <w:sz w:val="20"/>
                <w:szCs w:val="20"/>
                <w:lang w:val="en-US"/>
              </w:rPr>
              <w:tab/>
            </w:r>
            <w:r w:rsidR="009373A2" w:rsidRPr="00B3149D">
              <w:rPr>
                <w:sz w:val="20"/>
                <w:szCs w:val="20"/>
                <w:lang w:val="en-US"/>
              </w:rPr>
              <w:t>Arnault Thibault Cléroux</w:t>
            </w:r>
          </w:p>
          <w:p w:rsidR="00F138C1" w:rsidRPr="00B3149D" w:rsidRDefault="00F138C1" w:rsidP="00F138C1">
            <w:pPr>
              <w:tabs>
                <w:tab w:val="left" w:pos="-1440"/>
                <w:tab w:val="left" w:pos="-720"/>
              </w:tabs>
              <w:rPr>
                <w:sz w:val="20"/>
                <w:szCs w:val="20"/>
                <w:lang w:val="en-US"/>
              </w:rPr>
            </w:pPr>
          </w:p>
          <w:p w:rsidR="00F138C1" w:rsidRPr="00B3149D" w:rsidRDefault="00F138C1" w:rsidP="00F138C1">
            <w:pPr>
              <w:tabs>
                <w:tab w:val="left" w:pos="-1440"/>
                <w:tab w:val="left" w:pos="-720"/>
              </w:tabs>
              <w:rPr>
                <w:sz w:val="20"/>
                <w:szCs w:val="20"/>
                <w:lang w:val="fr-CA"/>
              </w:rPr>
            </w:pPr>
            <w:r w:rsidRPr="00B3149D">
              <w:rPr>
                <w:sz w:val="20"/>
                <w:szCs w:val="20"/>
                <w:lang w:val="en-US"/>
              </w:rPr>
              <w:tab/>
            </w:r>
            <w:r w:rsidRPr="00B3149D">
              <w:rPr>
                <w:sz w:val="20"/>
                <w:szCs w:val="20"/>
                <w:lang w:val="fr-CA"/>
              </w:rPr>
              <w:t>c. (39</w:t>
            </w:r>
            <w:r w:rsidR="009373A2" w:rsidRPr="00B3149D">
              <w:rPr>
                <w:sz w:val="20"/>
                <w:szCs w:val="20"/>
                <w:lang w:val="fr-CA"/>
              </w:rPr>
              <w:t>54</w:t>
            </w:r>
            <w:r w:rsidRPr="00B3149D">
              <w:rPr>
                <w:sz w:val="20"/>
                <w:szCs w:val="20"/>
                <w:lang w:val="fr-CA"/>
              </w:rPr>
              <w:t>2)</w:t>
            </w:r>
          </w:p>
          <w:p w:rsidR="00F138C1" w:rsidRPr="00B3149D" w:rsidRDefault="00F138C1" w:rsidP="00F138C1">
            <w:pPr>
              <w:tabs>
                <w:tab w:val="left" w:pos="-1440"/>
                <w:tab w:val="left" w:pos="-720"/>
              </w:tabs>
              <w:rPr>
                <w:sz w:val="20"/>
                <w:szCs w:val="20"/>
                <w:lang w:val="fr-CA"/>
              </w:rPr>
            </w:pPr>
          </w:p>
          <w:p w:rsidR="00F138C1" w:rsidRPr="00B3149D" w:rsidRDefault="009373A2" w:rsidP="00F138C1">
            <w:pPr>
              <w:tabs>
                <w:tab w:val="left" w:pos="-1440"/>
                <w:tab w:val="left" w:pos="-720"/>
              </w:tabs>
              <w:rPr>
                <w:b/>
                <w:sz w:val="20"/>
                <w:szCs w:val="20"/>
                <w:lang w:val="fr-CA"/>
              </w:rPr>
            </w:pPr>
            <w:r w:rsidRPr="00B3149D">
              <w:rPr>
                <w:b/>
                <w:sz w:val="20"/>
                <w:szCs w:val="20"/>
                <w:lang w:val="fr-CA"/>
              </w:rPr>
              <w:t>C.G.</w:t>
            </w:r>
            <w:r w:rsidR="00F138C1" w:rsidRPr="00B3149D">
              <w:rPr>
                <w:sz w:val="20"/>
                <w:szCs w:val="20"/>
                <w:lang w:val="fr-CA"/>
              </w:rPr>
              <w:t xml:space="preserve"> </w:t>
            </w:r>
            <w:r w:rsidR="00F138C1" w:rsidRPr="00B3149D">
              <w:rPr>
                <w:b/>
                <w:sz w:val="20"/>
                <w:szCs w:val="20"/>
                <w:lang w:val="fr-CA"/>
              </w:rPr>
              <w:t>(Qc)</w:t>
            </w:r>
          </w:p>
          <w:p w:rsidR="00F138C1" w:rsidRPr="00B3149D" w:rsidRDefault="00F138C1" w:rsidP="00F138C1">
            <w:pPr>
              <w:tabs>
                <w:tab w:val="left" w:pos="-1440"/>
                <w:tab w:val="left" w:pos="-720"/>
              </w:tabs>
              <w:rPr>
                <w:sz w:val="20"/>
                <w:szCs w:val="20"/>
                <w:lang w:val="fr-CA"/>
              </w:rPr>
            </w:pPr>
            <w:r w:rsidRPr="00B3149D">
              <w:rPr>
                <w:sz w:val="20"/>
                <w:szCs w:val="20"/>
                <w:lang w:val="fr-CA"/>
              </w:rPr>
              <w:tab/>
            </w:r>
            <w:r w:rsidR="009373A2" w:rsidRPr="00B3149D">
              <w:rPr>
                <w:sz w:val="20"/>
                <w:szCs w:val="20"/>
                <w:lang w:val="fr-CA"/>
              </w:rPr>
              <w:t>Pringle, Suzanne H.</w:t>
            </w:r>
          </w:p>
          <w:p w:rsidR="00F138C1" w:rsidRPr="00B3149D" w:rsidRDefault="00F138C1" w:rsidP="00F138C1">
            <w:pPr>
              <w:tabs>
                <w:tab w:val="left" w:pos="-1440"/>
                <w:tab w:val="left" w:pos="-720"/>
              </w:tabs>
              <w:rPr>
                <w:sz w:val="20"/>
                <w:szCs w:val="20"/>
                <w:lang w:val="fr-CA"/>
              </w:rPr>
            </w:pPr>
            <w:r w:rsidRPr="00B3149D">
              <w:rPr>
                <w:sz w:val="20"/>
                <w:szCs w:val="20"/>
                <w:lang w:val="fr-CA"/>
              </w:rPr>
              <w:tab/>
            </w:r>
            <w:r w:rsidR="009373A2" w:rsidRPr="00B3149D">
              <w:rPr>
                <w:sz w:val="20"/>
                <w:szCs w:val="20"/>
                <w:lang w:val="fr-CA"/>
              </w:rPr>
              <w:t>Suzanne H. Pringle, avocats</w:t>
            </w:r>
          </w:p>
          <w:p w:rsidR="00F138C1" w:rsidRPr="00B3149D" w:rsidRDefault="00F138C1" w:rsidP="00F138C1">
            <w:pPr>
              <w:tabs>
                <w:tab w:val="left" w:pos="-1440"/>
                <w:tab w:val="left" w:pos="-720"/>
              </w:tabs>
              <w:rPr>
                <w:sz w:val="20"/>
                <w:szCs w:val="20"/>
                <w:lang w:val="fr-CA"/>
              </w:rPr>
            </w:pPr>
          </w:p>
          <w:p w:rsidR="00F138C1" w:rsidRPr="00B3149D" w:rsidRDefault="00F138C1" w:rsidP="00F138C1">
            <w:pPr>
              <w:rPr>
                <w:sz w:val="20"/>
                <w:szCs w:val="20"/>
                <w:lang w:val="fr-CA"/>
              </w:rPr>
            </w:pPr>
            <w:r w:rsidRPr="00B3149D">
              <w:rPr>
                <w:sz w:val="20"/>
                <w:szCs w:val="20"/>
                <w:lang w:val="fr-CA"/>
              </w:rPr>
              <w:t xml:space="preserve">DATE DE PRODUCTION: </w:t>
            </w:r>
            <w:r w:rsidR="009373A2" w:rsidRPr="00B3149D">
              <w:rPr>
                <w:sz w:val="20"/>
                <w:szCs w:val="20"/>
                <w:lang w:val="fr-CA"/>
              </w:rPr>
              <w:t>le 11 février 2021</w:t>
            </w:r>
          </w:p>
          <w:p w:rsidR="004B2E86" w:rsidRPr="00B3149D" w:rsidRDefault="004B2E86" w:rsidP="00F138C1">
            <w:pPr>
              <w:rPr>
                <w:sz w:val="20"/>
                <w:szCs w:val="20"/>
                <w:lang w:val="fr-CA"/>
              </w:rPr>
            </w:pPr>
          </w:p>
          <w:p w:rsidR="00F138C1" w:rsidRPr="00B3149D" w:rsidRDefault="00E51866"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B3149D" w:rsidTr="00F138C1">
        <w:tc>
          <w:tcPr>
            <w:tcW w:w="4239" w:type="dxa"/>
            <w:shd w:val="clear" w:color="auto" w:fill="auto"/>
          </w:tcPr>
          <w:p w:rsidR="00DA1D48" w:rsidRPr="00B3149D" w:rsidRDefault="009373A2" w:rsidP="00DA1D48">
            <w:pPr>
              <w:rPr>
                <w:sz w:val="20"/>
                <w:szCs w:val="20"/>
                <w:lang w:val="fr-CA"/>
              </w:rPr>
            </w:pPr>
            <w:r w:rsidRPr="00B3149D">
              <w:rPr>
                <w:b/>
                <w:sz w:val="20"/>
                <w:szCs w:val="20"/>
                <w:lang w:val="fr-CA"/>
              </w:rPr>
              <w:t>Procureur général du Québec, et al.</w:t>
            </w:r>
          </w:p>
          <w:p w:rsidR="00DA1D48" w:rsidRPr="00B3149D" w:rsidRDefault="00DA1D48" w:rsidP="00DA1D48">
            <w:pPr>
              <w:tabs>
                <w:tab w:val="left" w:pos="-1440"/>
                <w:tab w:val="left" w:pos="-720"/>
              </w:tabs>
              <w:rPr>
                <w:sz w:val="20"/>
                <w:szCs w:val="20"/>
                <w:lang w:val="fr-CA"/>
              </w:rPr>
            </w:pPr>
            <w:r w:rsidRPr="00B3149D">
              <w:rPr>
                <w:sz w:val="20"/>
                <w:szCs w:val="20"/>
                <w:lang w:val="fr-CA"/>
              </w:rPr>
              <w:tab/>
            </w:r>
            <w:r w:rsidR="009373A2" w:rsidRPr="00B3149D">
              <w:rPr>
                <w:sz w:val="20"/>
                <w:szCs w:val="20"/>
                <w:lang w:val="fr-CA"/>
              </w:rPr>
              <w:t>Leboeuf, Sylvain</w:t>
            </w:r>
          </w:p>
          <w:p w:rsidR="009373A2" w:rsidRPr="00B3149D" w:rsidRDefault="009373A2" w:rsidP="00DA1D48">
            <w:pPr>
              <w:tabs>
                <w:tab w:val="left" w:pos="-1440"/>
                <w:tab w:val="left" w:pos="-720"/>
              </w:tabs>
              <w:rPr>
                <w:sz w:val="20"/>
                <w:szCs w:val="20"/>
                <w:lang w:val="fr-CA"/>
              </w:rPr>
            </w:pPr>
            <w:r w:rsidRPr="00B3149D">
              <w:rPr>
                <w:sz w:val="20"/>
                <w:szCs w:val="20"/>
                <w:lang w:val="fr-CA"/>
              </w:rPr>
              <w:tab/>
              <w:t>Ministère de la Justice du Québec</w:t>
            </w:r>
          </w:p>
          <w:p w:rsidR="00DA1D48" w:rsidRPr="00B3149D" w:rsidRDefault="00DA1D48" w:rsidP="00DA1D48">
            <w:pPr>
              <w:tabs>
                <w:tab w:val="left" w:pos="-1440"/>
                <w:tab w:val="left" w:pos="-720"/>
              </w:tabs>
              <w:rPr>
                <w:sz w:val="20"/>
                <w:szCs w:val="20"/>
                <w:lang w:val="fr-CA"/>
              </w:rPr>
            </w:pPr>
          </w:p>
          <w:p w:rsidR="00DA1D48" w:rsidRPr="00B3149D" w:rsidRDefault="00DA1D48" w:rsidP="00DA1D48">
            <w:pPr>
              <w:tabs>
                <w:tab w:val="left" w:pos="-1440"/>
                <w:tab w:val="left" w:pos="-720"/>
              </w:tabs>
              <w:rPr>
                <w:sz w:val="20"/>
                <w:szCs w:val="20"/>
                <w:lang w:val="fr-CA"/>
              </w:rPr>
            </w:pPr>
            <w:r w:rsidRPr="00B3149D">
              <w:rPr>
                <w:sz w:val="20"/>
                <w:szCs w:val="20"/>
                <w:lang w:val="fr-CA"/>
              </w:rPr>
              <w:tab/>
            </w:r>
            <w:r w:rsidR="009373A2" w:rsidRPr="00B3149D">
              <w:rPr>
                <w:sz w:val="20"/>
                <w:szCs w:val="20"/>
                <w:lang w:val="fr-CA"/>
              </w:rPr>
              <w:t>c</w:t>
            </w:r>
            <w:r w:rsidRPr="00B3149D">
              <w:rPr>
                <w:sz w:val="20"/>
                <w:szCs w:val="20"/>
                <w:lang w:val="fr-CA"/>
              </w:rPr>
              <w:t>. (39</w:t>
            </w:r>
            <w:r w:rsidR="009373A2" w:rsidRPr="00B3149D">
              <w:rPr>
                <w:sz w:val="20"/>
                <w:szCs w:val="20"/>
                <w:lang w:val="fr-CA"/>
              </w:rPr>
              <w:t>54</w:t>
            </w:r>
            <w:r w:rsidRPr="00B3149D">
              <w:rPr>
                <w:sz w:val="20"/>
                <w:szCs w:val="20"/>
                <w:lang w:val="fr-CA"/>
              </w:rPr>
              <w:t>4)</w:t>
            </w:r>
          </w:p>
          <w:p w:rsidR="00DA1D48" w:rsidRPr="00B3149D" w:rsidRDefault="00DA1D48" w:rsidP="00DA1D48">
            <w:pPr>
              <w:tabs>
                <w:tab w:val="left" w:pos="-1440"/>
                <w:tab w:val="left" w:pos="-720"/>
              </w:tabs>
              <w:rPr>
                <w:sz w:val="20"/>
                <w:szCs w:val="20"/>
                <w:lang w:val="fr-CA"/>
              </w:rPr>
            </w:pPr>
          </w:p>
          <w:p w:rsidR="00DA1D48" w:rsidRPr="00B3149D" w:rsidRDefault="009373A2" w:rsidP="00DA1D48">
            <w:pPr>
              <w:tabs>
                <w:tab w:val="left" w:pos="-1440"/>
                <w:tab w:val="left" w:pos="-720"/>
              </w:tabs>
              <w:rPr>
                <w:b/>
                <w:sz w:val="20"/>
                <w:szCs w:val="20"/>
                <w:lang w:val="fr-CA"/>
              </w:rPr>
            </w:pPr>
            <w:r w:rsidRPr="00B3149D">
              <w:rPr>
                <w:b/>
                <w:sz w:val="20"/>
                <w:szCs w:val="20"/>
                <w:lang w:val="fr-CA"/>
              </w:rPr>
              <w:t xml:space="preserve">Alexandre Bissonnette </w:t>
            </w:r>
            <w:r w:rsidR="00DA1D48" w:rsidRPr="00B3149D">
              <w:rPr>
                <w:b/>
                <w:sz w:val="20"/>
                <w:szCs w:val="20"/>
                <w:lang w:val="fr-CA"/>
              </w:rPr>
              <w:t>(</w:t>
            </w:r>
            <w:r w:rsidRPr="00B3149D">
              <w:rPr>
                <w:b/>
                <w:sz w:val="20"/>
                <w:szCs w:val="20"/>
                <w:lang w:val="fr-CA"/>
              </w:rPr>
              <w:t>Qc</w:t>
            </w:r>
            <w:r w:rsidR="00DA1D48" w:rsidRPr="00B3149D">
              <w:rPr>
                <w:b/>
                <w:sz w:val="20"/>
                <w:szCs w:val="20"/>
                <w:lang w:val="fr-CA"/>
              </w:rPr>
              <w:t>)</w:t>
            </w:r>
          </w:p>
          <w:p w:rsidR="00DA1D48" w:rsidRPr="00B3149D" w:rsidRDefault="00DA1D48" w:rsidP="00DA1D48">
            <w:pPr>
              <w:tabs>
                <w:tab w:val="left" w:pos="-1440"/>
                <w:tab w:val="left" w:pos="-720"/>
              </w:tabs>
              <w:rPr>
                <w:sz w:val="20"/>
                <w:szCs w:val="20"/>
                <w:lang w:val="fr-CA"/>
              </w:rPr>
            </w:pPr>
            <w:r w:rsidRPr="00B3149D">
              <w:rPr>
                <w:sz w:val="20"/>
                <w:szCs w:val="20"/>
                <w:lang w:val="fr-CA"/>
              </w:rPr>
              <w:tab/>
            </w:r>
            <w:r w:rsidR="009373A2" w:rsidRPr="00B3149D">
              <w:rPr>
                <w:sz w:val="20"/>
                <w:szCs w:val="20"/>
                <w:lang w:val="fr-CA"/>
              </w:rPr>
              <w:t>Gosselin, Charles-Olivier</w:t>
            </w:r>
          </w:p>
          <w:p w:rsidR="00DA1D48" w:rsidRPr="00B3149D" w:rsidRDefault="00DA1D48" w:rsidP="00DA1D48">
            <w:pPr>
              <w:tabs>
                <w:tab w:val="left" w:pos="-1440"/>
                <w:tab w:val="left" w:pos="-720"/>
              </w:tabs>
              <w:rPr>
                <w:sz w:val="20"/>
                <w:szCs w:val="20"/>
                <w:lang w:val="fr-CA"/>
              </w:rPr>
            </w:pPr>
            <w:r w:rsidRPr="00B3149D">
              <w:rPr>
                <w:sz w:val="20"/>
                <w:szCs w:val="20"/>
                <w:lang w:val="fr-CA"/>
              </w:rPr>
              <w:tab/>
            </w:r>
            <w:r w:rsidR="009373A2" w:rsidRPr="00B3149D">
              <w:rPr>
                <w:sz w:val="20"/>
                <w:szCs w:val="20"/>
                <w:lang w:val="fr-CA"/>
              </w:rPr>
              <w:t>Bureau d'aide juridique</w:t>
            </w:r>
          </w:p>
          <w:p w:rsidR="00DA1D48" w:rsidRPr="00B3149D" w:rsidRDefault="00DA1D48" w:rsidP="00DA1D48">
            <w:pPr>
              <w:tabs>
                <w:tab w:val="left" w:pos="-1440"/>
                <w:tab w:val="left" w:pos="-720"/>
              </w:tabs>
              <w:rPr>
                <w:sz w:val="20"/>
                <w:szCs w:val="20"/>
                <w:lang w:val="fr-CA"/>
              </w:rPr>
            </w:pPr>
          </w:p>
          <w:p w:rsidR="009373A2" w:rsidRPr="00B3149D" w:rsidRDefault="009373A2" w:rsidP="009373A2">
            <w:pPr>
              <w:rPr>
                <w:sz w:val="20"/>
                <w:szCs w:val="20"/>
                <w:lang w:val="fr-CA"/>
              </w:rPr>
            </w:pPr>
            <w:r w:rsidRPr="00B3149D">
              <w:rPr>
                <w:sz w:val="20"/>
                <w:szCs w:val="20"/>
                <w:lang w:val="fr-CA"/>
              </w:rPr>
              <w:t>DATE DE PRODUCTION: le 11 février 2021</w:t>
            </w:r>
          </w:p>
          <w:p w:rsidR="00DA1D48" w:rsidRPr="00B3149D" w:rsidRDefault="00DA1D48" w:rsidP="00DA1D48">
            <w:pPr>
              <w:rPr>
                <w:sz w:val="20"/>
                <w:szCs w:val="20"/>
                <w:lang w:val="fr-CA"/>
              </w:rPr>
            </w:pPr>
          </w:p>
          <w:p w:rsidR="00F138C1" w:rsidRPr="00B3149D" w:rsidRDefault="00E51866"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3149D" w:rsidRDefault="00F138C1"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DA1D48" w:rsidRPr="00B3149D" w:rsidRDefault="00DA1D48" w:rsidP="00F138C1">
            <w:pPr>
              <w:jc w:val="center"/>
              <w:rPr>
                <w:sz w:val="20"/>
                <w:szCs w:val="20"/>
                <w:lang w:val="en-US"/>
              </w:rPr>
            </w:pPr>
          </w:p>
          <w:p w:rsidR="009373A2" w:rsidRPr="00B3149D" w:rsidRDefault="009373A2" w:rsidP="00F138C1">
            <w:pPr>
              <w:jc w:val="center"/>
              <w:rPr>
                <w:sz w:val="20"/>
                <w:szCs w:val="20"/>
                <w:lang w:val="en-US"/>
              </w:rPr>
            </w:pPr>
          </w:p>
          <w:p w:rsidR="00DA1D48" w:rsidRPr="00B3149D" w:rsidRDefault="00DA1D48" w:rsidP="00F138C1">
            <w:pPr>
              <w:jc w:val="center"/>
              <w:rPr>
                <w:sz w:val="20"/>
                <w:szCs w:val="20"/>
                <w:lang w:val="en-US"/>
              </w:rPr>
            </w:pPr>
          </w:p>
        </w:tc>
        <w:tc>
          <w:tcPr>
            <w:tcW w:w="4239" w:type="dxa"/>
            <w:shd w:val="clear" w:color="auto" w:fill="auto"/>
          </w:tcPr>
          <w:p w:rsidR="00F138C1" w:rsidRPr="00B3149D" w:rsidRDefault="00F138C1" w:rsidP="00DA1D48">
            <w:pPr>
              <w:rPr>
                <w:sz w:val="20"/>
                <w:szCs w:val="20"/>
                <w:lang w:val="fr-CA"/>
              </w:rPr>
            </w:pPr>
          </w:p>
        </w:tc>
      </w:tr>
    </w:tbl>
    <w:p w:rsidR="00F138C1" w:rsidRPr="00B3149D" w:rsidRDefault="00F138C1" w:rsidP="00F138C1">
      <w:pPr>
        <w:tabs>
          <w:tab w:val="right" w:pos="9360"/>
        </w:tabs>
        <w:rPr>
          <w:sz w:val="20"/>
          <w:szCs w:val="20"/>
          <w:lang w:val="fr-CA"/>
        </w:rPr>
      </w:pPr>
    </w:p>
    <w:p w:rsidR="00F138C1" w:rsidRPr="00B3149D" w:rsidRDefault="00F138C1" w:rsidP="00F138C1">
      <w:pPr>
        <w:tabs>
          <w:tab w:val="right" w:pos="9360"/>
        </w:tabs>
        <w:rPr>
          <w:sz w:val="20"/>
          <w:szCs w:val="20"/>
          <w:lang w:val="fr-CA"/>
        </w:rPr>
      </w:pPr>
    </w:p>
    <w:p w:rsidR="00C01FCB" w:rsidRPr="00B3149D" w:rsidRDefault="00C01FCB" w:rsidP="0095096B">
      <w:pPr>
        <w:tabs>
          <w:tab w:val="right" w:pos="9360"/>
        </w:tabs>
        <w:rPr>
          <w:sz w:val="20"/>
          <w:szCs w:val="20"/>
          <w:lang w:val="fr-CA"/>
        </w:rPr>
      </w:pPr>
    </w:p>
    <w:p w:rsidR="00242AEE" w:rsidRPr="00B3149D" w:rsidRDefault="00242AEE" w:rsidP="0095096B">
      <w:pPr>
        <w:tabs>
          <w:tab w:val="right" w:pos="9360"/>
        </w:tabs>
        <w:rPr>
          <w:sz w:val="20"/>
          <w:szCs w:val="20"/>
          <w:lang w:val="fr-CA"/>
        </w:rPr>
        <w:sectPr w:rsidR="00242AEE" w:rsidRPr="00B3149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3149D" w:rsidRDefault="00DD0BDC" w:rsidP="00567602">
      <w:pPr>
        <w:pStyle w:val="Header1StyleE"/>
        <w:pBdr>
          <w:bottom w:val="single" w:sz="12" w:space="1" w:color="auto"/>
        </w:pBdr>
        <w:rPr>
          <w:lang w:val="fr-CA"/>
        </w:rPr>
      </w:pPr>
      <w:bookmarkStart w:id="1" w:name="QuickMark_1"/>
      <w:bookmarkStart w:id="2" w:name="_Toc64628180"/>
      <w:bookmarkEnd w:id="1"/>
      <w:r w:rsidRPr="00B3149D">
        <w:rPr>
          <w:lang w:val="fr-CA"/>
        </w:rPr>
        <w:lastRenderedPageBreak/>
        <w:t>Judgments on applications</w:t>
      </w:r>
      <w:r w:rsidR="000C1D9D" w:rsidRPr="00B3149D">
        <w:rPr>
          <w:lang w:val="fr-CA"/>
        </w:rPr>
        <w:t xml:space="preserve"> </w:t>
      </w:r>
      <w:r w:rsidRPr="00B3149D">
        <w:rPr>
          <w:lang w:val="fr-CA"/>
        </w:rPr>
        <w:t>for leave</w:t>
      </w:r>
      <w:r w:rsidR="00693C38" w:rsidRPr="00B3149D">
        <w:rPr>
          <w:noProof/>
          <w:sz w:val="20"/>
          <w:lang w:val="fr-CA"/>
        </w:rPr>
        <w:t xml:space="preserve"> </w:t>
      </w:r>
      <w:r w:rsidR="00271E1E" w:rsidRPr="00B3149D">
        <w:rPr>
          <w:noProof/>
          <w:sz w:val="20"/>
          <w:lang w:val="fr-CA"/>
        </w:rPr>
        <w:t xml:space="preserve">/ </w:t>
      </w:r>
      <w:r w:rsidR="00693C38" w:rsidRPr="00B3149D">
        <w:rPr>
          <w:noProof/>
          <w:sz w:val="20"/>
          <w:lang w:val="fr-CA"/>
        </w:rPr>
        <w:br/>
      </w:r>
      <w:r w:rsidRPr="00B3149D">
        <w:rPr>
          <w:lang w:val="fr-CA"/>
        </w:rPr>
        <w:t>Jugements rendus sur les demandes d’autorisation</w:t>
      </w:r>
      <w:bookmarkEnd w:id="2"/>
    </w:p>
    <w:p w:rsidR="00FB1DB6" w:rsidRPr="00B3149D" w:rsidRDefault="00FB1DB6" w:rsidP="00693C38">
      <w:pPr>
        <w:rPr>
          <w:sz w:val="20"/>
          <w:szCs w:val="20"/>
          <w:lang w:val="fr-CA"/>
        </w:rPr>
      </w:pPr>
    </w:p>
    <w:p w:rsidR="00F16063" w:rsidRPr="00B3149D" w:rsidRDefault="00DE4CD7" w:rsidP="00F16063">
      <w:pPr>
        <w:rPr>
          <w:b/>
          <w:sz w:val="20"/>
          <w:szCs w:val="20"/>
        </w:rPr>
      </w:pPr>
      <w:r w:rsidRPr="00B3149D">
        <w:rPr>
          <w:b/>
          <w:sz w:val="20"/>
          <w:szCs w:val="20"/>
          <w:lang w:val="fr-CA"/>
        </w:rPr>
        <w:t>FEBRUARY</w:t>
      </w:r>
      <w:r w:rsidR="00F16063" w:rsidRPr="00B3149D">
        <w:rPr>
          <w:b/>
          <w:sz w:val="20"/>
          <w:szCs w:val="20"/>
        </w:rPr>
        <w:t xml:space="preserve"> </w:t>
      </w:r>
      <w:r w:rsidR="00691D1D" w:rsidRPr="00B3149D">
        <w:rPr>
          <w:b/>
          <w:sz w:val="20"/>
          <w:szCs w:val="20"/>
        </w:rPr>
        <w:t>1</w:t>
      </w:r>
      <w:r w:rsidRPr="00B3149D">
        <w:rPr>
          <w:b/>
          <w:sz w:val="20"/>
          <w:szCs w:val="20"/>
        </w:rPr>
        <w:t>8</w:t>
      </w:r>
      <w:r w:rsidR="00F16063" w:rsidRPr="00B3149D">
        <w:rPr>
          <w:b/>
          <w:sz w:val="20"/>
          <w:szCs w:val="20"/>
        </w:rPr>
        <w:t xml:space="preserve">, </w:t>
      </w:r>
      <w:r w:rsidR="0034657E" w:rsidRPr="00B3149D">
        <w:rPr>
          <w:b/>
          <w:sz w:val="20"/>
          <w:szCs w:val="20"/>
        </w:rPr>
        <w:t>20</w:t>
      </w:r>
      <w:r w:rsidR="005967EF" w:rsidRPr="00B3149D">
        <w:rPr>
          <w:b/>
          <w:sz w:val="20"/>
          <w:szCs w:val="20"/>
        </w:rPr>
        <w:t>2</w:t>
      </w:r>
      <w:r w:rsidR="009B36BA" w:rsidRPr="00B3149D">
        <w:rPr>
          <w:b/>
          <w:sz w:val="20"/>
          <w:szCs w:val="20"/>
        </w:rPr>
        <w:t>1</w:t>
      </w:r>
      <w:r w:rsidR="00F16063" w:rsidRPr="00B3149D">
        <w:rPr>
          <w:b/>
          <w:sz w:val="20"/>
          <w:szCs w:val="20"/>
        </w:rPr>
        <w:t xml:space="preserve"> / LE </w:t>
      </w:r>
      <w:r w:rsidR="00691D1D" w:rsidRPr="00B3149D">
        <w:rPr>
          <w:b/>
          <w:sz w:val="20"/>
          <w:szCs w:val="20"/>
        </w:rPr>
        <w:t>1</w:t>
      </w:r>
      <w:r w:rsidRPr="00B3149D">
        <w:rPr>
          <w:b/>
          <w:sz w:val="20"/>
          <w:szCs w:val="20"/>
        </w:rPr>
        <w:t>8</w:t>
      </w:r>
      <w:r w:rsidR="00F16063" w:rsidRPr="00B3149D">
        <w:rPr>
          <w:b/>
          <w:sz w:val="20"/>
          <w:szCs w:val="20"/>
        </w:rPr>
        <w:t xml:space="preserve"> </w:t>
      </w:r>
      <w:r w:rsidRPr="00B3149D">
        <w:rPr>
          <w:b/>
          <w:sz w:val="20"/>
          <w:szCs w:val="20"/>
        </w:rPr>
        <w:t>FÉVRIER</w:t>
      </w:r>
      <w:r w:rsidR="00F16063" w:rsidRPr="00B3149D">
        <w:rPr>
          <w:b/>
          <w:sz w:val="20"/>
          <w:szCs w:val="20"/>
        </w:rPr>
        <w:t xml:space="preserve"> </w:t>
      </w:r>
      <w:r w:rsidR="0034657E" w:rsidRPr="00B3149D">
        <w:rPr>
          <w:b/>
          <w:sz w:val="20"/>
          <w:szCs w:val="20"/>
        </w:rPr>
        <w:t>20</w:t>
      </w:r>
      <w:r w:rsidR="005967EF" w:rsidRPr="00B3149D">
        <w:rPr>
          <w:b/>
          <w:sz w:val="20"/>
          <w:szCs w:val="20"/>
        </w:rPr>
        <w:t>2</w:t>
      </w:r>
      <w:r w:rsidR="009B36BA" w:rsidRPr="00B3149D">
        <w:rPr>
          <w:b/>
          <w:sz w:val="20"/>
          <w:szCs w:val="20"/>
        </w:rPr>
        <w:t>1</w:t>
      </w:r>
    </w:p>
    <w:p w:rsidR="0082729A" w:rsidRPr="00B3149D" w:rsidRDefault="0082729A" w:rsidP="0082729A">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39363</w:t>
            </w: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Peel Regional Police Service v. Her Majesty the Queen, Dyllan Ali, Diquan Taylor</w:t>
            </w:r>
            <w:r w:rsidR="00810620" w:rsidRPr="00B3149D">
              <w:rPr>
                <w:b/>
                <w:sz w:val="20"/>
                <w:szCs w:val="20"/>
                <w:lang w:val="en-US"/>
              </w:rPr>
              <w:t xml:space="preserve"> and</w:t>
            </w:r>
            <w:r w:rsidRPr="00B3149D">
              <w:rPr>
                <w:b/>
                <w:sz w:val="20"/>
                <w:szCs w:val="20"/>
                <w:lang w:val="en-US"/>
              </w:rPr>
              <w:t xml:space="preserve"> Constable Sean Osborne</w:t>
            </w:r>
          </w:p>
          <w:p w:rsidR="0082729A" w:rsidRPr="00B3149D" w:rsidRDefault="0082729A" w:rsidP="00B3166C">
            <w:pPr>
              <w:jc w:val="both"/>
              <w:rPr>
                <w:sz w:val="20"/>
                <w:szCs w:val="20"/>
              </w:rPr>
            </w:pPr>
            <w:r w:rsidRPr="00B3149D">
              <w:rPr>
                <w:sz w:val="20"/>
                <w:szCs w:val="20"/>
              </w:rPr>
              <w:t>(Ont.) (Criminal) (By Leave)</w:t>
            </w:r>
          </w:p>
        </w:tc>
      </w:tr>
      <w:tr w:rsidR="00B22DD4" w:rsidRPr="00B3149D" w:rsidTr="00B3166C">
        <w:tc>
          <w:tcPr>
            <w:tcW w:w="5000" w:type="pct"/>
            <w:gridSpan w:val="4"/>
          </w:tcPr>
          <w:p w:rsidR="00810620" w:rsidRPr="00B3149D" w:rsidRDefault="00810620" w:rsidP="00810620">
            <w:pPr>
              <w:jc w:val="both"/>
              <w:rPr>
                <w:sz w:val="20"/>
                <w:szCs w:val="20"/>
              </w:rPr>
            </w:pPr>
            <w:r w:rsidRPr="00B3149D">
              <w:rPr>
                <w:sz w:val="20"/>
                <w:szCs w:val="20"/>
              </w:rPr>
              <w:t>The application for leave to appeal from the judgment of the</w:t>
            </w:r>
            <w:bookmarkStart w:id="3" w:name="BM_1_"/>
            <w:bookmarkEnd w:id="3"/>
            <w:r w:rsidRPr="00B3149D">
              <w:rPr>
                <w:sz w:val="20"/>
                <w:szCs w:val="20"/>
              </w:rPr>
              <w:t xml:space="preserve"> Ontario Superior Court of Justice, Number CRIMJ(P) 1986/19, 2020 ONSC 4410, dated July 17, 2020, is dismissed.</w:t>
            </w:r>
          </w:p>
          <w:p w:rsidR="00B22DD4" w:rsidRPr="00B3149D" w:rsidRDefault="00B22DD4"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 xml:space="preserve">Criminal law — Evidence — Disclosure — Whether the Crown is required to disclose its witness’s </w:t>
            </w:r>
            <w:r w:rsidRPr="00B3149D">
              <w:rPr>
                <w:rFonts w:eastAsia="Arial"/>
                <w:color w:val="000000"/>
                <w:sz w:val="20"/>
                <w:szCs w:val="20"/>
              </w:rPr>
              <w:t xml:space="preserve">outstanding criminal charges as first party disclosure </w:t>
            </w:r>
            <w:r w:rsidRPr="00B3149D">
              <w:rPr>
                <w:sz w:val="20"/>
                <w:szCs w:val="20"/>
              </w:rPr>
              <w:t xml:space="preserve">— Whether disclosure of unrelated outstanding criminal charges of Crown witnesses is governed by the first party </w:t>
            </w:r>
            <w:r w:rsidRPr="00B3149D">
              <w:rPr>
                <w:i/>
                <w:sz w:val="20"/>
                <w:szCs w:val="20"/>
              </w:rPr>
              <w:t>Stinchcombe</w:t>
            </w:r>
            <w:r w:rsidRPr="00B3149D">
              <w:rPr>
                <w:sz w:val="20"/>
                <w:szCs w:val="20"/>
              </w:rPr>
              <w:t xml:space="preserve"> regime, or the third party </w:t>
            </w:r>
            <w:r w:rsidRPr="00B3149D">
              <w:rPr>
                <w:i/>
                <w:sz w:val="20"/>
                <w:szCs w:val="20"/>
              </w:rPr>
              <w:t>O’Connor</w:t>
            </w:r>
            <w:r w:rsidRPr="00B3149D">
              <w:rPr>
                <w:sz w:val="20"/>
                <w:szCs w:val="20"/>
              </w:rPr>
              <w:t xml:space="preserve"> regime — Whether the Court should clarify the scope of “obvious relevance” as set out in </w:t>
            </w:r>
            <w:r w:rsidRPr="00B3149D">
              <w:rPr>
                <w:i/>
                <w:sz w:val="20"/>
                <w:szCs w:val="20"/>
              </w:rPr>
              <w:t xml:space="preserve">R. v. McNeil, </w:t>
            </w:r>
            <w:r w:rsidRPr="00B3149D">
              <w:rPr>
                <w:sz w:val="20"/>
                <w:szCs w:val="20"/>
              </w:rPr>
              <w:t>2009 SCC 3, [2009] 1 S.C.R. 66.</w:t>
            </w:r>
          </w:p>
        </w:tc>
      </w:tr>
      <w:tr w:rsidR="0082729A" w:rsidRPr="00B3149D" w:rsidTr="00B3166C">
        <w:tc>
          <w:tcPr>
            <w:tcW w:w="5000" w:type="pct"/>
            <w:gridSpan w:val="4"/>
          </w:tcPr>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 xml:space="preserve">Police had a Motel 6 in Brampton under observation because prostitution and drug trafficking offences had been occurring in and around the motel. Dyllan Ali and Diquan Taylor were two of four passengers in a taxi that was stopped by members of the police. The stop was based on an allegation that the taxi proceeded through a red traffic light. Cst. Sean Osborne and Cst. Erik Grant testified at the preliminary inquiry that as they approached the stopped taxi, they made observations of movements inside the taxi that justified their removing the occupants and conducting a search for officer safety. The search revealed firearms and cocaine. As a result, Dyllan Ali faces numerous firearms offences and Diquan Taylor is charged with possession of cocaine for the purpose of trafficking. They are to be tried together. Mr. Ali and Mr. Taylor have applied for an order requiring disclosure of the full contents of disciplinary and criminal investigation files relating to Cst. Osborne. To the extent these have not already been provided or agreed to be provided, Mr. Ali and Mr. Taylor submit that they should be part of first party disclosure from the Crown pursuant to </w:t>
            </w:r>
            <w:r w:rsidRPr="00B3149D">
              <w:rPr>
                <w:i/>
                <w:sz w:val="20"/>
                <w:szCs w:val="20"/>
              </w:rPr>
              <w:t xml:space="preserve">R. v. McNeil, </w:t>
            </w:r>
            <w:r w:rsidRPr="00B3149D">
              <w:rPr>
                <w:sz w:val="20"/>
                <w:szCs w:val="20"/>
              </w:rPr>
              <w:t xml:space="preserve">2009 SCC 3, [2009] 1 S.C.R. 66, and </w:t>
            </w:r>
            <w:r w:rsidRPr="00B3149D">
              <w:rPr>
                <w:i/>
                <w:sz w:val="20"/>
                <w:szCs w:val="20"/>
              </w:rPr>
              <w:t>R. v. Stinchcombe</w:t>
            </w:r>
            <w:r w:rsidRPr="00B3149D">
              <w:rPr>
                <w:sz w:val="20"/>
                <w:szCs w:val="20"/>
              </w:rPr>
              <w:t xml:space="preserve">, [1991] 3 S.C.R. 326, [1991], S.C.J. No. 83. In the alternative, they submit that they have met the likely relevance threshold at the first stage of the third party disclosure regime developed in </w:t>
            </w:r>
            <w:r w:rsidRPr="00B3149D">
              <w:rPr>
                <w:i/>
                <w:sz w:val="20"/>
                <w:szCs w:val="20"/>
              </w:rPr>
              <w:t>R. v. O’Connor</w:t>
            </w:r>
            <w:r w:rsidRPr="00B3149D">
              <w:rPr>
                <w:sz w:val="20"/>
                <w:szCs w:val="20"/>
              </w:rPr>
              <w:t>, [1995] 4 S.C.R. 411. The application for further disclosure of the investigative files regarding Cst. Osborne’s previous disciplinary proceeding was dismissed. The application for disclosure of the investigative files for Cst. Osborne’s outstanding criminal charges was granted pursuant to the Crown’s first party disclosure obligations.</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July 17, 2020</w:t>
            </w:r>
          </w:p>
          <w:p w:rsidR="0082729A" w:rsidRPr="00B3149D" w:rsidRDefault="0082729A" w:rsidP="00B3166C">
            <w:pPr>
              <w:jc w:val="both"/>
              <w:rPr>
                <w:sz w:val="20"/>
                <w:szCs w:val="20"/>
              </w:rPr>
            </w:pPr>
            <w:r w:rsidRPr="00B3149D">
              <w:rPr>
                <w:sz w:val="20"/>
                <w:szCs w:val="20"/>
              </w:rPr>
              <w:t>Ontario Superior Court of Justice</w:t>
            </w:r>
          </w:p>
          <w:p w:rsidR="0082729A" w:rsidRPr="00B3149D" w:rsidRDefault="0082729A" w:rsidP="00B3166C">
            <w:pPr>
              <w:jc w:val="both"/>
              <w:rPr>
                <w:sz w:val="20"/>
                <w:szCs w:val="20"/>
              </w:rPr>
            </w:pPr>
            <w:r w:rsidRPr="00B3149D">
              <w:rPr>
                <w:sz w:val="20"/>
                <w:szCs w:val="20"/>
              </w:rPr>
              <w:t>(Dawson J.)</w:t>
            </w:r>
          </w:p>
          <w:p w:rsidR="0082729A" w:rsidRPr="00B3149D" w:rsidRDefault="0082729A" w:rsidP="00B3166C">
            <w:pPr>
              <w:jc w:val="both"/>
              <w:rPr>
                <w:sz w:val="20"/>
                <w:szCs w:val="20"/>
              </w:rPr>
            </w:pPr>
            <w:r w:rsidRPr="00B3149D">
              <w:rPr>
                <w:sz w:val="20"/>
                <w:szCs w:val="20"/>
              </w:rPr>
              <w:t>2020 ONSC 4410 (unreported)</w:t>
            </w:r>
          </w:p>
          <w:p w:rsidR="0082729A" w:rsidRPr="00B3149D" w:rsidRDefault="0082729A" w:rsidP="00B3166C">
            <w:pPr>
              <w:jc w:val="both"/>
              <w:rPr>
                <w:sz w:val="20"/>
                <w:szCs w:val="20"/>
              </w:rPr>
            </w:pPr>
            <w:r w:rsidRPr="00B3149D">
              <w:rPr>
                <w:sz w:val="20"/>
                <w:szCs w:val="20"/>
              </w:rPr>
              <w:t>CRIMJ(P)1986/19</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Dyllan Ali and Diquan Taylor’s application for disclosure granted in part</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September 29,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32"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39363</w:t>
            </w:r>
          </w:p>
        </w:tc>
        <w:tc>
          <w:tcPr>
            <w:tcW w:w="4457" w:type="pct"/>
          </w:tcPr>
          <w:p w:rsidR="0082729A" w:rsidRPr="00B3149D" w:rsidRDefault="0082729A" w:rsidP="00B3166C">
            <w:pPr>
              <w:pStyle w:val="SCCLsocParty"/>
              <w:jc w:val="both"/>
              <w:rPr>
                <w:b/>
                <w:sz w:val="20"/>
                <w:szCs w:val="20"/>
              </w:rPr>
            </w:pPr>
            <w:r w:rsidRPr="00B3149D">
              <w:rPr>
                <w:b/>
                <w:sz w:val="20"/>
                <w:szCs w:val="20"/>
              </w:rPr>
              <w:t>Peel Regional Police Service c. Sa Majesté la Reine, Dyllan Ali, Diquan Taylor</w:t>
            </w:r>
            <w:r w:rsidR="00810620" w:rsidRPr="00B3149D">
              <w:rPr>
                <w:b/>
                <w:sz w:val="20"/>
                <w:szCs w:val="20"/>
              </w:rPr>
              <w:t xml:space="preserve"> et</w:t>
            </w:r>
            <w:r w:rsidRPr="00B3149D">
              <w:rPr>
                <w:b/>
                <w:sz w:val="20"/>
                <w:szCs w:val="20"/>
              </w:rPr>
              <w:t xml:space="preserve"> </w:t>
            </w:r>
            <w:r w:rsidR="00810620" w:rsidRPr="00B3149D">
              <w:rPr>
                <w:b/>
                <w:sz w:val="20"/>
                <w:szCs w:val="20"/>
              </w:rPr>
              <w:t xml:space="preserve">Constable </w:t>
            </w:r>
            <w:r w:rsidRPr="00B3149D">
              <w:rPr>
                <w:b/>
                <w:sz w:val="20"/>
                <w:szCs w:val="20"/>
              </w:rPr>
              <w:t>Sean Osborne</w:t>
            </w:r>
          </w:p>
          <w:p w:rsidR="0082729A" w:rsidRPr="00B3149D" w:rsidRDefault="0082729A" w:rsidP="00B3166C">
            <w:pPr>
              <w:jc w:val="both"/>
              <w:rPr>
                <w:sz w:val="20"/>
                <w:szCs w:val="20"/>
                <w:lang w:val="fr-CA"/>
              </w:rPr>
            </w:pPr>
            <w:r w:rsidRPr="00B3149D">
              <w:rPr>
                <w:sz w:val="20"/>
                <w:szCs w:val="20"/>
                <w:lang w:val="fr-CA"/>
              </w:rPr>
              <w:t>(Ont.) (Criminelle) (Sur autorisation)</w:t>
            </w:r>
          </w:p>
        </w:tc>
      </w:tr>
      <w:tr w:rsidR="00B22DD4" w:rsidRPr="009873D4" w:rsidTr="00B3166C">
        <w:tc>
          <w:tcPr>
            <w:tcW w:w="5000" w:type="pct"/>
            <w:gridSpan w:val="2"/>
          </w:tcPr>
          <w:p w:rsidR="00B22DD4" w:rsidRPr="00B3149D" w:rsidRDefault="00810620" w:rsidP="00B3166C">
            <w:pPr>
              <w:jc w:val="both"/>
              <w:rPr>
                <w:sz w:val="20"/>
                <w:szCs w:val="20"/>
                <w:lang w:val="fr-CA"/>
              </w:rPr>
            </w:pPr>
            <w:r w:rsidRPr="00B3149D">
              <w:rPr>
                <w:sz w:val="20"/>
                <w:szCs w:val="20"/>
                <w:lang w:val="fr-CA"/>
              </w:rPr>
              <w:t>La demande d’autorisation d’appel de l’arrêt de la Cour supérieure de justice de l’Ontario, numéro CRIMJ(P) 1986/19, 2020 ONSC 4410, daté du 17 juillet 2020, est rejet</w:t>
            </w:r>
            <w:r w:rsidRPr="00B3149D">
              <w:rPr>
                <w:rFonts w:cs="Times New Roman"/>
                <w:sz w:val="20"/>
                <w:szCs w:val="20"/>
                <w:lang w:val="fr-CA"/>
              </w:rPr>
              <w:t>é</w:t>
            </w:r>
            <w:r w:rsidRPr="00B3149D">
              <w:rPr>
                <w:sz w:val="20"/>
                <w:szCs w:val="20"/>
                <w:lang w:val="fr-CA"/>
              </w:rPr>
              <w:t>e.</w:t>
            </w:r>
          </w:p>
          <w:p w:rsidR="00810620" w:rsidRPr="00B3149D" w:rsidRDefault="00810620"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5000" w:type="pct"/>
            <w:gridSpan w:val="3"/>
          </w:tcPr>
          <w:p w:rsidR="0082729A" w:rsidRPr="00B3149D" w:rsidRDefault="0082729A" w:rsidP="00B3166C">
            <w:pPr>
              <w:jc w:val="both"/>
              <w:rPr>
                <w:sz w:val="20"/>
                <w:szCs w:val="20"/>
                <w:lang w:val="fr-CA"/>
              </w:rPr>
            </w:pPr>
            <w:r w:rsidRPr="00B3149D">
              <w:rPr>
                <w:sz w:val="20"/>
                <w:szCs w:val="20"/>
                <w:lang w:val="fr-CA"/>
              </w:rPr>
              <w:lastRenderedPageBreak/>
              <w:t>Droit criminel — Preuve — Communication de la preuve — Le ministère public est</w:t>
            </w:r>
            <w:r w:rsidRPr="00B3149D">
              <w:rPr>
                <w:sz w:val="20"/>
                <w:szCs w:val="20"/>
                <w:lang w:val="fr-CA"/>
              </w:rPr>
              <w:noBreakHyphen/>
              <w:t>il obligé de communiquer les accusations criminelles qui pèsent contre l’un de ses témoins à titre de communication qui incombe à la partie principale ?</w:t>
            </w:r>
            <w:r w:rsidRPr="00B3149D">
              <w:rPr>
                <w:rFonts w:eastAsia="Arial"/>
                <w:color w:val="000000"/>
                <w:sz w:val="20"/>
                <w:szCs w:val="20"/>
                <w:lang w:val="fr-CA"/>
              </w:rPr>
              <w:t xml:space="preserve"> </w:t>
            </w:r>
            <w:r w:rsidRPr="00B3149D">
              <w:rPr>
                <w:sz w:val="20"/>
                <w:szCs w:val="20"/>
                <w:lang w:val="fr-CA"/>
              </w:rPr>
              <w:t>— La communication d’accusations criminelles non reliées qui pèsent contre les témoins à charge est</w:t>
            </w:r>
            <w:r w:rsidRPr="00B3149D">
              <w:rPr>
                <w:sz w:val="20"/>
                <w:szCs w:val="20"/>
                <w:lang w:val="fr-CA"/>
              </w:rPr>
              <w:noBreakHyphen/>
              <w:t xml:space="preserve">elle régie par le régime de communication qui incombe à la partie principale établi dans l’arrêt </w:t>
            </w:r>
            <w:r w:rsidRPr="00B3149D">
              <w:rPr>
                <w:i/>
                <w:sz w:val="20"/>
                <w:szCs w:val="20"/>
                <w:lang w:val="fr-CA"/>
              </w:rPr>
              <w:t>Stinchcombe</w:t>
            </w:r>
            <w:r w:rsidRPr="00B3149D">
              <w:rPr>
                <w:sz w:val="20"/>
                <w:szCs w:val="20"/>
                <w:lang w:val="fr-CA"/>
              </w:rPr>
              <w:t xml:space="preserve">, ou par la communication de dossiers en la possession de tiers visée par le régime de l’arrêt </w:t>
            </w:r>
            <w:r w:rsidRPr="00B3149D">
              <w:rPr>
                <w:i/>
                <w:sz w:val="20"/>
                <w:szCs w:val="20"/>
                <w:lang w:val="fr-CA"/>
              </w:rPr>
              <w:t>O’Connor</w:t>
            </w:r>
            <w:r w:rsidRPr="00B3149D">
              <w:rPr>
                <w:sz w:val="20"/>
                <w:szCs w:val="20"/>
                <w:lang w:val="fr-CA"/>
              </w:rPr>
              <w:t> ? — La Cour devrait</w:t>
            </w:r>
            <w:r w:rsidRPr="00B3149D">
              <w:rPr>
                <w:sz w:val="20"/>
                <w:szCs w:val="20"/>
                <w:lang w:val="fr-CA"/>
              </w:rPr>
              <w:noBreakHyphen/>
              <w:t xml:space="preserve">elle clarifier la portée de la « pertinence manifeste » énoncée dans l’arrêt </w:t>
            </w:r>
            <w:r w:rsidRPr="00B3149D">
              <w:rPr>
                <w:i/>
                <w:sz w:val="20"/>
                <w:szCs w:val="20"/>
                <w:lang w:val="fr-CA"/>
              </w:rPr>
              <w:t xml:space="preserve">R. c. McNeil, </w:t>
            </w:r>
            <w:r w:rsidRPr="00B3149D">
              <w:rPr>
                <w:sz w:val="20"/>
                <w:szCs w:val="20"/>
                <w:lang w:val="fr-CA"/>
              </w:rPr>
              <w:t>2009 CSC 3, [2009] 1 R.C.S. 66.</w:t>
            </w:r>
          </w:p>
        </w:tc>
      </w:tr>
      <w:tr w:rsidR="0082729A" w:rsidRPr="009873D4" w:rsidTr="00B3166C">
        <w:tc>
          <w:tcPr>
            <w:tcW w:w="5000" w:type="pct"/>
            <w:gridSpan w:val="3"/>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 xml:space="preserve">La police avait mis sous surveillance un Motel 6 à Brampton parce qu’il y avait eu des infractions relatives à la prostitution et le trafic de drogues dans le motel et aux alentours. Dyllan Ali et Diquan Taylor étaient deux des quatre passagers dans un taxi lorsque ce dernier a été arrêté par des membres de la police au motif allégué que le taxi avait brûlé un feu rouge. L’agent Sean Osborne et l’agent Erik Grant ont témoigné, lors de l’enquête préliminaire, qu’à l’approche du taxi arrêté, ils ont observé des mouvements à l’intérieur du taxi qui justifiait qu’ils retirent les occupants du taxi et procèdent à une fouille pour les besoins de sécurité des agents. La fouille a révélé des armes à feu et de la cocaïne. Par conséquent, Dyllan Ali est accusé de nombreuses infractions relatives aux armes à feu et Diquan Taylor est accusé de possession de cocaïne en vue d’en faire le trafic. Ils subiront un procès commun. M. Ali et M. Taylor ont demandé une ordonnance exigeant la communication de tout le contenu des dossiers d’enquête criminelle et disciplinaire relatifs à l’agent Osborne. Dans la mesure où ces derniers n’ont pas déjà été fournis ou qu’il n’a pas été convenu qu’ils soient fournis, M. Ali et M. Taylor soutiennent qu’ils devraient être communiqués dans le cadre de l’obligation de communication qui incombe au ministère public à titre de partie principale en vertu des arrêts </w:t>
            </w:r>
            <w:r w:rsidRPr="00B3149D">
              <w:rPr>
                <w:i/>
                <w:sz w:val="20"/>
                <w:szCs w:val="20"/>
                <w:lang w:val="fr-CA"/>
              </w:rPr>
              <w:t xml:space="preserve">R. c. McNeil, </w:t>
            </w:r>
            <w:r w:rsidRPr="00B3149D">
              <w:rPr>
                <w:sz w:val="20"/>
                <w:szCs w:val="20"/>
                <w:lang w:val="fr-CA"/>
              </w:rPr>
              <w:t xml:space="preserve">2009 CSC 3, [2009] 1 R.C.S. 66, et </w:t>
            </w:r>
            <w:r w:rsidRPr="00B3149D">
              <w:rPr>
                <w:i/>
                <w:sz w:val="20"/>
                <w:szCs w:val="20"/>
                <w:lang w:val="fr-CA"/>
              </w:rPr>
              <w:t>R. c. Stinchcombe</w:t>
            </w:r>
            <w:r w:rsidRPr="00B3149D">
              <w:rPr>
                <w:sz w:val="20"/>
                <w:szCs w:val="20"/>
                <w:lang w:val="fr-CA"/>
              </w:rPr>
              <w:t>, [1991] 3 R.C.S. 326, [1991], C.S.J. N</w:t>
            </w:r>
            <w:r w:rsidRPr="00B3149D">
              <w:rPr>
                <w:sz w:val="20"/>
                <w:szCs w:val="20"/>
                <w:vertAlign w:val="superscript"/>
                <w:lang w:val="fr-CA"/>
              </w:rPr>
              <w:t>o</w:t>
            </w:r>
            <w:r w:rsidRPr="00B3149D">
              <w:rPr>
                <w:sz w:val="20"/>
                <w:szCs w:val="20"/>
                <w:lang w:val="fr-CA"/>
              </w:rPr>
              <w:t xml:space="preserve"> 83. Subsidiairement, ils soutiennent qu’ils ont satisfait au critère </w:t>
            </w:r>
            <w:r w:rsidRPr="00B3149D">
              <w:rPr>
                <w:sz w:val="20"/>
                <w:szCs w:val="20"/>
                <w:lang w:val="fr-FR"/>
              </w:rPr>
              <w:t>de pertinence probable à la première étape du régime</w:t>
            </w:r>
            <w:r w:rsidRPr="00B3149D">
              <w:rPr>
                <w:sz w:val="20"/>
                <w:szCs w:val="20"/>
                <w:lang w:val="fr-CA"/>
              </w:rPr>
              <w:t xml:space="preserve"> de communication de dossiers en la possession de tiers élaboré dans l’arrêt </w:t>
            </w:r>
            <w:r w:rsidRPr="00B3149D">
              <w:rPr>
                <w:i/>
                <w:sz w:val="20"/>
                <w:szCs w:val="20"/>
                <w:lang w:val="fr-CA"/>
              </w:rPr>
              <w:t>R. c. O’Connor</w:t>
            </w:r>
            <w:r w:rsidRPr="00B3149D">
              <w:rPr>
                <w:sz w:val="20"/>
                <w:szCs w:val="20"/>
                <w:lang w:val="fr-CA"/>
              </w:rPr>
              <w:t>, [1995] 4 R.C.S. 411. La demande de communication additionnelle relative aux dossiers d’enquête à l’égard des procédures disciplinaires antérieures de l’agent Osborne a été rejetée. La demande de communication des dossiers d’enquête à l’égard des accusations criminelles qui pèsent contre l’agent Osborne a été accueillie en vertu l’obligation de communication qui incombe au ministère public à titre de partie principale.</w:t>
            </w:r>
          </w:p>
        </w:tc>
      </w:tr>
      <w:tr w:rsidR="0082729A" w:rsidRPr="009873D4" w:rsidTr="00B3166C">
        <w:tc>
          <w:tcPr>
            <w:tcW w:w="5000" w:type="pct"/>
            <w:gridSpan w:val="3"/>
          </w:tcPr>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17 juillet 2020</w:t>
            </w:r>
          </w:p>
          <w:p w:rsidR="0082729A" w:rsidRPr="00B3149D" w:rsidRDefault="0082729A" w:rsidP="00B3166C">
            <w:pPr>
              <w:jc w:val="both"/>
              <w:rPr>
                <w:sz w:val="20"/>
                <w:szCs w:val="20"/>
                <w:lang w:val="fr-CA"/>
              </w:rPr>
            </w:pPr>
            <w:r w:rsidRPr="00B3149D">
              <w:rPr>
                <w:sz w:val="20"/>
                <w:szCs w:val="20"/>
                <w:lang w:val="fr-CA"/>
              </w:rPr>
              <w:t xml:space="preserve">Cour supérieure de justice de l’Ontario </w:t>
            </w:r>
          </w:p>
          <w:p w:rsidR="0082729A" w:rsidRPr="00B3149D" w:rsidRDefault="0082729A" w:rsidP="00B3166C">
            <w:pPr>
              <w:jc w:val="both"/>
              <w:rPr>
                <w:sz w:val="20"/>
                <w:szCs w:val="20"/>
                <w:lang w:val="fr-CA"/>
              </w:rPr>
            </w:pPr>
            <w:r w:rsidRPr="00B3149D">
              <w:rPr>
                <w:sz w:val="20"/>
                <w:szCs w:val="20"/>
                <w:lang w:val="fr-CA"/>
              </w:rPr>
              <w:t>(Juge Dawson)</w:t>
            </w:r>
          </w:p>
          <w:p w:rsidR="0082729A" w:rsidRPr="00B3149D" w:rsidRDefault="0082729A" w:rsidP="00B3166C">
            <w:pPr>
              <w:jc w:val="both"/>
              <w:rPr>
                <w:sz w:val="20"/>
                <w:szCs w:val="20"/>
                <w:lang w:val="fr-CA"/>
              </w:rPr>
            </w:pPr>
            <w:r w:rsidRPr="00B3149D">
              <w:rPr>
                <w:sz w:val="20"/>
                <w:szCs w:val="20"/>
                <w:lang w:val="fr-CA"/>
              </w:rPr>
              <w:t>2020 ONSC 4410 (non publié)</w:t>
            </w:r>
          </w:p>
          <w:p w:rsidR="0082729A" w:rsidRPr="00B3149D" w:rsidRDefault="0082729A" w:rsidP="00B3166C">
            <w:pPr>
              <w:jc w:val="both"/>
              <w:rPr>
                <w:sz w:val="20"/>
                <w:szCs w:val="20"/>
                <w:lang w:val="fr-CA"/>
              </w:rPr>
            </w:pPr>
            <w:r w:rsidRPr="00B3149D">
              <w:rPr>
                <w:sz w:val="20"/>
                <w:szCs w:val="20"/>
                <w:lang w:val="fr-CA"/>
              </w:rPr>
              <w:t>CRIMJ(P)1986/19</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de Dyllan Ali et de Diquan Taylor en vue de la communication de la preuve est accueillie en partie.</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29 septembre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33"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39384</w:t>
            </w:r>
          </w:p>
        </w:tc>
        <w:tc>
          <w:tcPr>
            <w:tcW w:w="4457" w:type="pct"/>
          </w:tcPr>
          <w:p w:rsidR="0082729A" w:rsidRPr="00B3149D" w:rsidRDefault="0082729A" w:rsidP="00B3166C">
            <w:pPr>
              <w:pStyle w:val="SCCLsocParty"/>
              <w:jc w:val="both"/>
              <w:rPr>
                <w:b/>
                <w:sz w:val="20"/>
                <w:szCs w:val="20"/>
              </w:rPr>
            </w:pPr>
            <w:r w:rsidRPr="00B3149D">
              <w:rPr>
                <w:b/>
                <w:sz w:val="20"/>
                <w:szCs w:val="20"/>
              </w:rPr>
              <w:t>Nadine Galy, André Couture, Pierre Laframboise, George Amyot, Claude Malenfant and Michel Verreault v. Ville de Québec</w:t>
            </w:r>
          </w:p>
          <w:p w:rsidR="0082729A" w:rsidRPr="00B3149D" w:rsidRDefault="0082729A" w:rsidP="00B3166C">
            <w:pPr>
              <w:jc w:val="both"/>
              <w:rPr>
                <w:sz w:val="20"/>
                <w:szCs w:val="20"/>
              </w:rPr>
            </w:pPr>
            <w:r w:rsidRPr="00B3149D">
              <w:rPr>
                <w:sz w:val="20"/>
                <w:szCs w:val="20"/>
              </w:rPr>
              <w:t>(Que.) (Civil) (By Leave)</w:t>
            </w:r>
          </w:p>
        </w:tc>
      </w:tr>
      <w:tr w:rsidR="00B22DD4" w:rsidRPr="00B3149D" w:rsidTr="00B3166C">
        <w:tc>
          <w:tcPr>
            <w:tcW w:w="5000" w:type="pct"/>
            <w:gridSpan w:val="2"/>
          </w:tcPr>
          <w:p w:rsidR="00B22DD4" w:rsidRPr="00B3149D" w:rsidRDefault="00810620" w:rsidP="00B3166C">
            <w:pPr>
              <w:jc w:val="both"/>
              <w:rPr>
                <w:sz w:val="20"/>
                <w:szCs w:val="20"/>
              </w:rPr>
            </w:pPr>
            <w:r w:rsidRPr="00B3149D">
              <w:rPr>
                <w:sz w:val="20"/>
                <w:szCs w:val="20"/>
              </w:rPr>
              <w:t xml:space="preserve">The application for leave to appeal from the judgment of the </w:t>
            </w:r>
            <w:r w:rsidRPr="00B3149D">
              <w:rPr>
                <w:sz w:val="20"/>
                <w:szCs w:val="20"/>
                <w:lang w:val="en-US"/>
              </w:rPr>
              <w:t>Court of Appeal of Quebec (Québec)</w:t>
            </w:r>
            <w:r w:rsidRPr="00B3149D">
              <w:rPr>
                <w:sz w:val="20"/>
                <w:szCs w:val="20"/>
              </w:rPr>
              <w:t xml:space="preserve">, Number </w:t>
            </w:r>
            <w:r w:rsidRPr="00B3149D">
              <w:rPr>
                <w:sz w:val="20"/>
                <w:szCs w:val="20"/>
                <w:lang w:val="en-US"/>
              </w:rPr>
              <w:t>200-09-009764-181, 2020 QCCA 1130</w:t>
            </w:r>
            <w:r w:rsidRPr="00B3149D">
              <w:rPr>
                <w:sz w:val="20"/>
                <w:szCs w:val="20"/>
              </w:rPr>
              <w:t xml:space="preserve">, dated </w:t>
            </w:r>
            <w:r w:rsidRPr="00B3149D">
              <w:rPr>
                <w:sz w:val="20"/>
                <w:szCs w:val="20"/>
                <w:lang w:val="en-US"/>
              </w:rPr>
              <w:t>September 8, 2020,</w:t>
            </w:r>
            <w:r w:rsidRPr="00B3149D">
              <w:rPr>
                <w:sz w:val="20"/>
                <w:szCs w:val="20"/>
              </w:rPr>
              <w:t xml:space="preserve"> is dismissed without costs.</w:t>
            </w:r>
          </w:p>
          <w:p w:rsidR="00810620" w:rsidRPr="00B3149D" w:rsidRDefault="00810620" w:rsidP="00B3166C">
            <w:pPr>
              <w:jc w:val="both"/>
              <w:rPr>
                <w:iCs/>
                <w:sz w:val="20"/>
                <w:szCs w:val="20"/>
              </w:rPr>
            </w:pPr>
          </w:p>
        </w:tc>
      </w:tr>
      <w:tr w:rsidR="0082729A" w:rsidRPr="00B3149D" w:rsidTr="00B3166C">
        <w:tc>
          <w:tcPr>
            <w:tcW w:w="5000" w:type="pct"/>
            <w:gridSpan w:val="2"/>
          </w:tcPr>
          <w:p w:rsidR="0082729A" w:rsidRPr="00B3149D" w:rsidRDefault="0082729A" w:rsidP="00B3166C">
            <w:pPr>
              <w:jc w:val="both"/>
              <w:rPr>
                <w:sz w:val="20"/>
                <w:szCs w:val="20"/>
              </w:rPr>
            </w:pPr>
            <w:r w:rsidRPr="00B3149D">
              <w:rPr>
                <w:iCs/>
                <w:sz w:val="20"/>
                <w:szCs w:val="20"/>
              </w:rPr>
              <w:t>Municipal law — By</w:t>
            </w:r>
            <w:r w:rsidRPr="00B3149D">
              <w:rPr>
                <w:iCs/>
                <w:sz w:val="20"/>
                <w:szCs w:val="20"/>
              </w:rPr>
              <w:noBreakHyphen/>
              <w:t>laws — Validity — Standard of review applicable to municipal by</w:t>
            </w:r>
            <w:r w:rsidRPr="00B3149D">
              <w:rPr>
                <w:iCs/>
                <w:sz w:val="20"/>
                <w:szCs w:val="20"/>
              </w:rPr>
              <w:noBreakHyphen/>
              <w:t xml:space="preserve">law </w:t>
            </w:r>
            <w:r w:rsidRPr="00B3149D">
              <w:rPr>
                <w:sz w:val="20"/>
                <w:szCs w:val="20"/>
              </w:rPr>
              <w:t>— Framework that must be complied with by cities and municipalities in exercising their discretion to regulate when they wish to amend terms and conditions of by</w:t>
            </w:r>
            <w:r w:rsidRPr="00B3149D">
              <w:rPr>
                <w:sz w:val="20"/>
                <w:szCs w:val="20"/>
              </w:rPr>
              <w:noBreakHyphen/>
              <w:t xml:space="preserve">laws they have made themselves by including objective </w:t>
            </w:r>
            <w:r w:rsidR="00D84797" w:rsidRPr="00B3149D">
              <w:rPr>
                <w:sz w:val="20"/>
                <w:szCs w:val="20"/>
              </w:rPr>
              <w:t>public safety standard in them.</w:t>
            </w:r>
          </w:p>
          <w:p w:rsidR="00D84797" w:rsidRPr="00B3149D" w:rsidRDefault="00D84797" w:rsidP="00B3166C">
            <w:pPr>
              <w:jc w:val="both"/>
              <w:rPr>
                <w:sz w:val="20"/>
                <w:szCs w:val="20"/>
              </w:rPr>
            </w:pPr>
          </w:p>
        </w:tc>
      </w:tr>
    </w:tbl>
    <w:p w:rsidR="00D84797" w:rsidRPr="00B3149D" w:rsidRDefault="00D84797">
      <w:r w:rsidRPr="00B314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B3149D" w:rsidTr="00B3166C">
        <w:tc>
          <w:tcPr>
            <w:tcW w:w="5000" w:type="pct"/>
            <w:gridSpan w:val="3"/>
          </w:tcPr>
          <w:p w:rsidR="0082729A" w:rsidRPr="00B3149D" w:rsidRDefault="0082729A" w:rsidP="00B3166C">
            <w:pPr>
              <w:jc w:val="both"/>
              <w:rPr>
                <w:sz w:val="20"/>
                <w:szCs w:val="20"/>
              </w:rPr>
            </w:pPr>
            <w:r w:rsidRPr="00B3149D">
              <w:rPr>
                <w:sz w:val="20"/>
                <w:szCs w:val="20"/>
              </w:rPr>
              <w:lastRenderedPageBreak/>
              <w:t>The applicants own immovables in the block formed by La Porte and Terrasse</w:t>
            </w:r>
            <w:r w:rsidRPr="00B3149D">
              <w:rPr>
                <w:sz w:val="20"/>
                <w:szCs w:val="20"/>
              </w:rPr>
              <w:noBreakHyphen/>
              <w:t>Dufferin streets and St</w:t>
            </w:r>
            <w:r w:rsidRPr="00B3149D">
              <w:rPr>
                <w:sz w:val="20"/>
                <w:szCs w:val="20"/>
              </w:rPr>
              <w:noBreakHyphen/>
              <w:t>Denis and Sainte Geneviève avenues inside the fortifications of the respondent city, Ville de Québec. In 2011, a residential project for a lot in that block was submitted to the city. The lot was subject to certain restrictions because of its inclusion in the zone described as [</w:t>
            </w:r>
            <w:r w:rsidRPr="00B3149D">
              <w:rPr>
                <w:smallCaps/>
                <w:sz w:val="20"/>
                <w:szCs w:val="20"/>
              </w:rPr>
              <w:t>translation</w:t>
            </w:r>
            <w:r w:rsidRPr="00B3149D">
              <w:rPr>
                <w:rFonts w:asciiTheme="minorBidi" w:hAnsiTheme="minorBidi"/>
                <w:sz w:val="20"/>
                <w:szCs w:val="20"/>
              </w:rPr>
              <w:t>] “steep slopes and approaches to steep slopes” in the city’s zoning plan. As a result of reviews done in 2014 in connection with the granting of permits for that real estate project, it was recommended that the city remove the lot from the steep slopes zone through a by</w:t>
            </w:r>
            <w:r w:rsidRPr="00B3149D">
              <w:rPr>
                <w:rFonts w:asciiTheme="minorBidi" w:hAnsiTheme="minorBidi"/>
                <w:sz w:val="20"/>
                <w:szCs w:val="20"/>
              </w:rPr>
              <w:noBreakHyphen/>
              <w:t>law amendment, provided that a geotechnical study confirmed that the contemplated work presented no risk to the stability of the embankment. Once the study showing that this requirement was met had been submitted, the proposed by</w:t>
            </w:r>
            <w:r w:rsidRPr="00B3149D">
              <w:rPr>
                <w:rFonts w:asciiTheme="minorBidi" w:hAnsiTheme="minorBidi"/>
                <w:sz w:val="20"/>
                <w:szCs w:val="20"/>
              </w:rPr>
              <w:noBreakHyphen/>
              <w:t>law amendment was approved by the borough council in July 2015. In September 2015, a public consultation was held concerning the proposed by</w:t>
            </w:r>
            <w:r w:rsidRPr="00B3149D">
              <w:rPr>
                <w:rFonts w:asciiTheme="minorBidi" w:hAnsiTheme="minorBidi"/>
                <w:sz w:val="20"/>
                <w:szCs w:val="20"/>
              </w:rPr>
              <w:noBreakHyphen/>
              <w:t xml:space="preserve">law amendment. </w:t>
            </w:r>
            <w:r w:rsidRPr="00B3149D">
              <w:rPr>
                <w:sz w:val="20"/>
                <w:szCs w:val="20"/>
              </w:rPr>
              <w:t>It resulted in a recommendation, through a resolution passed by the neighbourhood council, that the by</w:t>
            </w:r>
            <w:r w:rsidRPr="00B3149D">
              <w:rPr>
                <w:sz w:val="20"/>
                <w:szCs w:val="20"/>
              </w:rPr>
              <w:noBreakHyphen/>
              <w:t>law not be adopted because of the lack of available information about the planned residential development. On December 9, 2015, the applicants served the city with a formal notice to suspend the adoption of the by</w:t>
            </w:r>
            <w:r w:rsidRPr="00B3149D">
              <w:rPr>
                <w:sz w:val="20"/>
                <w:szCs w:val="20"/>
              </w:rPr>
              <w:noBreakHyphen/>
              <w:t xml:space="preserve">law. </w:t>
            </w:r>
            <w:r w:rsidRPr="00B3149D">
              <w:rPr>
                <w:sz w:val="20"/>
                <w:szCs w:val="20"/>
                <w:lang w:val="fr-CA"/>
              </w:rPr>
              <w:t>After certain amendments were withdrawn, the by</w:t>
            </w:r>
            <w:r w:rsidRPr="00B3149D">
              <w:rPr>
                <w:sz w:val="20"/>
                <w:szCs w:val="20"/>
                <w:lang w:val="fr-CA"/>
              </w:rPr>
              <w:noBreakHyphen/>
              <w:t xml:space="preserve">law entitled </w:t>
            </w:r>
            <w:r w:rsidRPr="00B3149D">
              <w:rPr>
                <w:i/>
                <w:sz w:val="20"/>
                <w:szCs w:val="20"/>
                <w:lang w:val="fr-CA"/>
              </w:rPr>
              <w:t>Règlement modifiant le Règlement de l’Arrondissement de La Cité</w:t>
            </w:r>
            <w:r w:rsidRPr="00B3149D">
              <w:rPr>
                <w:i/>
                <w:sz w:val="20"/>
                <w:szCs w:val="20"/>
                <w:lang w:val="fr-CA"/>
              </w:rPr>
              <w:noBreakHyphen/>
              <w:t>Limoilou sur l’urbanisme relativement à la modification d’une zone de fortes pentes dans le secteur de la rue de la Terrasse</w:t>
            </w:r>
            <w:r w:rsidRPr="00B3149D">
              <w:rPr>
                <w:i/>
                <w:sz w:val="20"/>
                <w:szCs w:val="20"/>
                <w:lang w:val="fr-CA"/>
              </w:rPr>
              <w:noBreakHyphen/>
              <w:t>Dufferin</w:t>
            </w:r>
            <w:r w:rsidRPr="00B3149D">
              <w:rPr>
                <w:sz w:val="20"/>
                <w:szCs w:val="20"/>
                <w:lang w:val="fr-CA"/>
              </w:rPr>
              <w:t>, R.C.A.1V.Q. 241, was adopted and came into force in mid</w:t>
            </w:r>
            <w:r w:rsidRPr="00B3149D">
              <w:rPr>
                <w:sz w:val="20"/>
                <w:szCs w:val="20"/>
                <w:lang w:val="fr-CA"/>
              </w:rPr>
              <w:noBreakHyphen/>
              <w:t xml:space="preserve">December 2015. </w:t>
            </w:r>
            <w:r w:rsidRPr="00B3149D">
              <w:rPr>
                <w:sz w:val="20"/>
                <w:szCs w:val="20"/>
              </w:rPr>
              <w:t>The applicants filed an application for judicial review and for the annulment of a municipal by</w:t>
            </w:r>
            <w:r w:rsidRPr="00B3149D">
              <w:rPr>
                <w:sz w:val="20"/>
                <w:szCs w:val="20"/>
              </w:rPr>
              <w:noBreakHyphen/>
              <w:t>law with the Superior Court, which annulled the by</w:t>
            </w:r>
            <w:r w:rsidRPr="00B3149D">
              <w:rPr>
                <w:sz w:val="20"/>
                <w:szCs w:val="20"/>
              </w:rPr>
              <w:noBreakHyphen/>
              <w:t xml:space="preserve">law. The Court of Appeal allowed the appeal and set aside the trial judgment. </w:t>
            </w:r>
          </w:p>
        </w:tc>
      </w:tr>
      <w:tr w:rsidR="0082729A" w:rsidRPr="00B3149D" w:rsidTr="00B3166C">
        <w:tc>
          <w:tcPr>
            <w:tcW w:w="5000" w:type="pct"/>
            <w:gridSpan w:val="3"/>
          </w:tcPr>
          <w:p w:rsidR="0082729A" w:rsidRPr="00B3149D" w:rsidRDefault="0082729A" w:rsidP="00B3166C">
            <w:pPr>
              <w:jc w:val="both"/>
              <w:rPr>
                <w:sz w:val="20"/>
                <w:szCs w:val="20"/>
              </w:rPr>
            </w:pPr>
          </w:p>
        </w:tc>
      </w:tr>
      <w:tr w:rsidR="0082729A" w:rsidRPr="009873D4" w:rsidTr="00B3166C">
        <w:tc>
          <w:tcPr>
            <w:tcW w:w="2427" w:type="pct"/>
          </w:tcPr>
          <w:p w:rsidR="0082729A" w:rsidRPr="00B3149D" w:rsidRDefault="0082729A" w:rsidP="00B3166C">
            <w:pPr>
              <w:jc w:val="both"/>
              <w:rPr>
                <w:sz w:val="20"/>
                <w:szCs w:val="20"/>
              </w:rPr>
            </w:pPr>
            <w:r w:rsidRPr="00B3149D">
              <w:rPr>
                <w:sz w:val="20"/>
                <w:szCs w:val="20"/>
              </w:rPr>
              <w:t>March 26, 2018</w:t>
            </w:r>
          </w:p>
          <w:p w:rsidR="0082729A" w:rsidRPr="00B3149D" w:rsidRDefault="0082729A" w:rsidP="00B3166C">
            <w:pPr>
              <w:jc w:val="both"/>
              <w:rPr>
                <w:sz w:val="20"/>
                <w:szCs w:val="20"/>
              </w:rPr>
            </w:pPr>
            <w:r w:rsidRPr="00B3149D">
              <w:rPr>
                <w:sz w:val="20"/>
                <w:szCs w:val="20"/>
              </w:rPr>
              <w:t>Quebec Superior Court</w:t>
            </w:r>
          </w:p>
          <w:p w:rsidR="0082729A" w:rsidRPr="00B3149D" w:rsidRDefault="0082729A" w:rsidP="00B3166C">
            <w:pPr>
              <w:jc w:val="both"/>
              <w:rPr>
                <w:sz w:val="20"/>
                <w:szCs w:val="20"/>
              </w:rPr>
            </w:pPr>
            <w:r w:rsidRPr="00B3149D">
              <w:rPr>
                <w:sz w:val="20"/>
                <w:szCs w:val="20"/>
              </w:rPr>
              <w:t>(Gagnon J.)</w:t>
            </w:r>
          </w:p>
          <w:p w:rsidR="0082729A" w:rsidRPr="00B3149D" w:rsidRDefault="00E51866" w:rsidP="00B3166C">
            <w:pPr>
              <w:jc w:val="both"/>
              <w:rPr>
                <w:sz w:val="20"/>
                <w:szCs w:val="20"/>
              </w:rPr>
            </w:pPr>
            <w:hyperlink r:id="rId15" w:history="1">
              <w:r w:rsidR="0082729A" w:rsidRPr="00B3149D">
                <w:rPr>
                  <w:rStyle w:val="Hyperlink"/>
                  <w:sz w:val="20"/>
                  <w:szCs w:val="20"/>
                </w:rPr>
                <w:t>2018 QCCS 1208</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i/>
                <w:sz w:val="20"/>
                <w:szCs w:val="20"/>
                <w:lang w:val="fr-CA"/>
              </w:rPr>
              <w:t>Règlement modifiant le Règlement de l’Arrondissement de La Cité</w:t>
            </w:r>
            <w:r w:rsidRPr="00B3149D">
              <w:rPr>
                <w:i/>
                <w:sz w:val="20"/>
                <w:szCs w:val="20"/>
                <w:lang w:val="fr-CA"/>
              </w:rPr>
              <w:noBreakHyphen/>
              <w:t>Limoilou sur l’urbanisme relativement à la modification d’une zone de fortes pentes dans le secteur de la rue de la Terrasse</w:t>
            </w:r>
            <w:r w:rsidRPr="00B3149D">
              <w:rPr>
                <w:i/>
                <w:sz w:val="20"/>
                <w:szCs w:val="20"/>
                <w:lang w:val="fr-CA"/>
              </w:rPr>
              <w:noBreakHyphen/>
              <w:t>Dufferin</w:t>
            </w:r>
            <w:r w:rsidRPr="00B3149D">
              <w:rPr>
                <w:sz w:val="20"/>
                <w:szCs w:val="20"/>
                <w:lang w:val="fr-CA"/>
              </w:rPr>
              <w:t>, R.C.A.1V.Q. 241, annulled</w:t>
            </w:r>
          </w:p>
          <w:p w:rsidR="0082729A" w:rsidRPr="00B3149D" w:rsidRDefault="0082729A" w:rsidP="00B3166C">
            <w:pPr>
              <w:jc w:val="both"/>
              <w:rPr>
                <w:sz w:val="20"/>
                <w:szCs w:val="20"/>
                <w:lang w:val="fr-CA"/>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September 8, 2020</w:t>
            </w:r>
          </w:p>
          <w:p w:rsidR="0082729A" w:rsidRPr="00B3149D" w:rsidRDefault="0082729A" w:rsidP="00B3166C">
            <w:pPr>
              <w:jc w:val="both"/>
              <w:rPr>
                <w:sz w:val="20"/>
                <w:szCs w:val="20"/>
              </w:rPr>
            </w:pPr>
            <w:r w:rsidRPr="00B3149D">
              <w:rPr>
                <w:sz w:val="20"/>
                <w:szCs w:val="20"/>
              </w:rPr>
              <w:t>Quebec Court of Appeal (Québec)</w:t>
            </w:r>
          </w:p>
          <w:p w:rsidR="0082729A" w:rsidRPr="00B3149D" w:rsidRDefault="0082729A" w:rsidP="00B3166C">
            <w:pPr>
              <w:jc w:val="both"/>
              <w:rPr>
                <w:sz w:val="20"/>
                <w:szCs w:val="20"/>
              </w:rPr>
            </w:pPr>
            <w:r w:rsidRPr="00B3149D">
              <w:rPr>
                <w:sz w:val="20"/>
                <w:szCs w:val="20"/>
              </w:rPr>
              <w:t>(Rochette, Healy and Ruel JJ.A.)</w:t>
            </w:r>
          </w:p>
          <w:p w:rsidR="0082729A" w:rsidRPr="00B3149D" w:rsidRDefault="00E51866" w:rsidP="00B3166C">
            <w:pPr>
              <w:jc w:val="both"/>
              <w:rPr>
                <w:rStyle w:val="Hyperlink"/>
                <w:sz w:val="20"/>
                <w:szCs w:val="20"/>
              </w:rPr>
            </w:pPr>
            <w:hyperlink r:id="rId16" w:history="1">
              <w:r w:rsidR="0082729A" w:rsidRPr="00B3149D">
                <w:rPr>
                  <w:rStyle w:val="Hyperlink"/>
                  <w:sz w:val="20"/>
                  <w:szCs w:val="20"/>
                </w:rPr>
                <w:t>2020 QCCA 1130</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allowed</w:t>
            </w:r>
          </w:p>
          <w:p w:rsidR="0082729A" w:rsidRPr="00B3149D" w:rsidRDefault="0082729A" w:rsidP="00B3166C">
            <w:pPr>
              <w:jc w:val="both"/>
              <w:rPr>
                <w:sz w:val="20"/>
                <w:szCs w:val="20"/>
              </w:rPr>
            </w:pPr>
            <w:r w:rsidRPr="00B3149D">
              <w:rPr>
                <w:sz w:val="20"/>
                <w:szCs w:val="20"/>
              </w:rPr>
              <w:t>Trial judgment set aside</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November 4,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34"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39384</w:t>
            </w:r>
          </w:p>
        </w:tc>
        <w:tc>
          <w:tcPr>
            <w:tcW w:w="4457" w:type="pct"/>
          </w:tcPr>
          <w:p w:rsidR="0082729A" w:rsidRPr="00B3149D" w:rsidRDefault="0082729A" w:rsidP="00B3166C">
            <w:pPr>
              <w:pStyle w:val="SCCLsocParty"/>
              <w:jc w:val="both"/>
              <w:rPr>
                <w:b/>
                <w:sz w:val="20"/>
                <w:szCs w:val="20"/>
              </w:rPr>
            </w:pPr>
            <w:r w:rsidRPr="00B3149D">
              <w:rPr>
                <w:b/>
                <w:sz w:val="20"/>
                <w:szCs w:val="20"/>
              </w:rPr>
              <w:t>Nadine Galy, André Couture, Pierre Laframboise, George Amyot, Claude Malenfant et Michel Verreault c. Ville de Québec</w:t>
            </w:r>
          </w:p>
          <w:p w:rsidR="0082729A" w:rsidRPr="00B3149D" w:rsidRDefault="0082729A" w:rsidP="00B3166C">
            <w:pPr>
              <w:jc w:val="both"/>
              <w:rPr>
                <w:sz w:val="20"/>
                <w:szCs w:val="20"/>
              </w:rPr>
            </w:pPr>
            <w:r w:rsidRPr="00B3149D">
              <w:rPr>
                <w:sz w:val="20"/>
                <w:szCs w:val="20"/>
              </w:rPr>
              <w:t>(Qc) (Civile) (Autorisation)</w:t>
            </w:r>
          </w:p>
        </w:tc>
      </w:tr>
      <w:tr w:rsidR="00B22DD4" w:rsidRPr="009873D4" w:rsidTr="00B3166C">
        <w:tc>
          <w:tcPr>
            <w:tcW w:w="5000" w:type="pct"/>
            <w:gridSpan w:val="2"/>
          </w:tcPr>
          <w:p w:rsidR="00810620" w:rsidRPr="00B3149D" w:rsidRDefault="00810620" w:rsidP="00810620">
            <w:pPr>
              <w:jc w:val="both"/>
              <w:rPr>
                <w:sz w:val="20"/>
                <w:szCs w:val="20"/>
                <w:lang w:val="fr-CA"/>
              </w:rPr>
            </w:pPr>
            <w:r w:rsidRPr="00B3149D">
              <w:rPr>
                <w:sz w:val="20"/>
                <w:szCs w:val="20"/>
                <w:lang w:val="fr-CA"/>
              </w:rPr>
              <w:t>La demande d’autorisation d’appel de l’arrêt de la Cour d’appel du Québec (Québec), numéro 200-09-009764-181, 2020 QCCA 1130, daté du 8 septembre 2020, est rejet</w:t>
            </w:r>
            <w:r w:rsidRPr="00B3149D">
              <w:rPr>
                <w:rFonts w:cs="Times New Roman"/>
                <w:sz w:val="20"/>
                <w:szCs w:val="20"/>
                <w:lang w:val="fr-CA"/>
              </w:rPr>
              <w:t>é</w:t>
            </w:r>
            <w:r w:rsidRPr="00B3149D">
              <w:rPr>
                <w:sz w:val="20"/>
                <w:szCs w:val="20"/>
                <w:lang w:val="fr-CA"/>
              </w:rPr>
              <w:t>e sans d</w:t>
            </w:r>
            <w:r w:rsidRPr="00B3149D">
              <w:rPr>
                <w:rFonts w:cs="Times New Roman"/>
                <w:sz w:val="20"/>
                <w:szCs w:val="20"/>
                <w:lang w:val="fr-CA"/>
              </w:rPr>
              <w:t>é</w:t>
            </w:r>
            <w:r w:rsidRPr="00B3149D">
              <w:rPr>
                <w:sz w:val="20"/>
                <w:szCs w:val="20"/>
                <w:lang w:val="fr-CA"/>
              </w:rPr>
              <w:t>pens.</w:t>
            </w:r>
          </w:p>
          <w:p w:rsidR="00B22DD4" w:rsidRPr="00B3149D" w:rsidRDefault="00B22DD4" w:rsidP="00B3166C">
            <w:pPr>
              <w:jc w:val="both"/>
              <w:rPr>
                <w:iCs/>
                <w:sz w:val="20"/>
                <w:szCs w:val="20"/>
                <w:lang w:val="fr-CA"/>
              </w:rPr>
            </w:pPr>
          </w:p>
        </w:tc>
      </w:tr>
      <w:tr w:rsidR="0082729A" w:rsidRPr="009873D4" w:rsidTr="00B3166C">
        <w:tc>
          <w:tcPr>
            <w:tcW w:w="5000" w:type="pct"/>
            <w:gridSpan w:val="2"/>
          </w:tcPr>
          <w:p w:rsidR="0082729A" w:rsidRPr="00B3149D" w:rsidRDefault="0082729A" w:rsidP="00B3166C">
            <w:pPr>
              <w:jc w:val="both"/>
              <w:rPr>
                <w:sz w:val="20"/>
                <w:szCs w:val="20"/>
                <w:lang w:val="fr-CA"/>
              </w:rPr>
            </w:pPr>
            <w:r w:rsidRPr="00B3149D">
              <w:rPr>
                <w:iCs/>
                <w:sz w:val="20"/>
                <w:szCs w:val="20"/>
                <w:lang w:val="fr-CA"/>
              </w:rPr>
              <w:t xml:space="preserve">Droit municipal — Règlements — Validité — Norme de contrôle applicable à un règlement municipal </w:t>
            </w:r>
            <w:r w:rsidRPr="00B3149D">
              <w:rPr>
                <w:sz w:val="20"/>
                <w:szCs w:val="20"/>
                <w:lang w:val="fr-CA"/>
              </w:rPr>
              <w:t>— Quel est le cadre auquel les villes et municipalités doivent se soumettre lors de l’exercice de leur pouvoir discrétionnaire de réglementer lorsqu’elles désirent modifier les termes et les modalités de règlements qu’elles ont elles</w:t>
            </w:r>
            <w:r w:rsidRPr="00B3149D">
              <w:rPr>
                <w:sz w:val="20"/>
                <w:szCs w:val="20"/>
                <w:lang w:val="fr-CA"/>
              </w:rPr>
              <w:noBreakHyphen/>
              <w:t>mêmes adoptés en y légiférant une norme objective e</w:t>
            </w:r>
            <w:r w:rsidR="00D84797" w:rsidRPr="00B3149D">
              <w:rPr>
                <w:sz w:val="20"/>
                <w:szCs w:val="20"/>
                <w:lang w:val="fr-CA"/>
              </w:rPr>
              <w:t>n matière de sécurité publique?</w:t>
            </w:r>
          </w:p>
          <w:p w:rsidR="00D84797" w:rsidRPr="00B3149D" w:rsidRDefault="00D84797"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5000" w:type="pct"/>
            <w:gridSpan w:val="3"/>
          </w:tcPr>
          <w:p w:rsidR="0082729A" w:rsidRPr="00B3149D" w:rsidRDefault="0082729A" w:rsidP="00B3166C">
            <w:pPr>
              <w:jc w:val="both"/>
              <w:rPr>
                <w:sz w:val="20"/>
                <w:szCs w:val="20"/>
                <w:lang w:val="fr-CA"/>
              </w:rPr>
            </w:pPr>
            <w:r w:rsidRPr="00B3149D">
              <w:rPr>
                <w:sz w:val="20"/>
                <w:szCs w:val="20"/>
                <w:lang w:val="fr-CA"/>
              </w:rPr>
              <w:lastRenderedPageBreak/>
              <w:t>Les demandeurs sont propriétaire d’immeubles situés dans un quadrilatère formé des rues La Porte et Terrasse</w:t>
            </w:r>
            <w:r w:rsidRPr="00B3149D">
              <w:rPr>
                <w:sz w:val="20"/>
                <w:szCs w:val="20"/>
                <w:lang w:val="fr-CA"/>
              </w:rPr>
              <w:noBreakHyphen/>
              <w:t>Dufferin et des avenues St</w:t>
            </w:r>
            <w:r w:rsidRPr="00B3149D">
              <w:rPr>
                <w:sz w:val="20"/>
                <w:szCs w:val="20"/>
                <w:lang w:val="fr-CA"/>
              </w:rPr>
              <w:noBreakHyphen/>
              <w:t>Denis et Sainte Geneviève, lui</w:t>
            </w:r>
            <w:r w:rsidRPr="00B3149D">
              <w:rPr>
                <w:sz w:val="20"/>
                <w:szCs w:val="20"/>
                <w:lang w:val="fr-CA"/>
              </w:rPr>
              <w:noBreakHyphen/>
              <w:t xml:space="preserve">même situé à l’intérieur des fortifications de l’intimée, la Ville de Québec. En 2011, un projet résidentiel est présenté à la Ville relativement à un lot situé dans ce quadrilatère. Ce lot est affecté de certaines restrictions en raison de son inclusion dans la zone qualifiée de « fortes pentes et abords de forte pente » du plan de zonage de la Ville. Comme suite à des études menées en 2014 en lien avec l’octroi de permis quant à ce projet immobilier, il est recommandé à la Ville de retirer ce lot de la zone de fortes pertes par modification règlementaire sous réserve, toutefois, d’une étude géotechnique confirmant que les travaux envisagés ne comportent aucun risque relatif à la stabilité du talus. Une fois l’étude déposée démontrant que cette exigence est remplie, le projet de modification du règlement est approuvé par le conseil d’arrondissement en juillet 2015. En septembre 2015, une consultation publique est menée quant au projet de modification du règlement. Il en résulte une recommandation, par résolution du conseil de quartier, de ne pas donner suite à l’adoption du règlement en raison du manque d’information disponible relativement au projet d’ensemble résidentiel. Le 9 décembre 2015, une mise en demeure de suspendre l’adoption du règlement est signifiée à la Ville par les demandeurs. Après le retrait de certaines modifications, le Règlement intitulé </w:t>
            </w:r>
            <w:r w:rsidRPr="00B3149D">
              <w:rPr>
                <w:i/>
                <w:sz w:val="20"/>
                <w:szCs w:val="20"/>
                <w:lang w:val="fr-CA"/>
              </w:rPr>
              <w:t>Règlement modifiant le Règlement de l’Arrondissement de La Cité</w:t>
            </w:r>
            <w:r w:rsidRPr="00B3149D">
              <w:rPr>
                <w:i/>
                <w:sz w:val="20"/>
                <w:szCs w:val="20"/>
                <w:lang w:val="fr-CA"/>
              </w:rPr>
              <w:noBreakHyphen/>
              <w:t>Limoilou sur l’urbanisme relativement à la modification d’une zone de fortes pentes dans le secteur de la rue de la Terrasse</w:t>
            </w:r>
            <w:r w:rsidRPr="00B3149D">
              <w:rPr>
                <w:i/>
                <w:sz w:val="20"/>
                <w:szCs w:val="20"/>
                <w:lang w:val="fr-CA"/>
              </w:rPr>
              <w:noBreakHyphen/>
              <w:t>Dufferin</w:t>
            </w:r>
            <w:r w:rsidRPr="00B3149D">
              <w:rPr>
                <w:sz w:val="20"/>
                <w:szCs w:val="20"/>
                <w:lang w:val="fr-CA"/>
              </w:rPr>
              <w:t>, R.C.A.1V.Q. 241 est adopté et entrée en vigueur à la mi</w:t>
            </w:r>
            <w:r w:rsidRPr="00B3149D">
              <w:rPr>
                <w:sz w:val="20"/>
                <w:szCs w:val="20"/>
                <w:lang w:val="fr-CA"/>
              </w:rPr>
              <w:noBreakHyphen/>
              <w:t xml:space="preserve">décembre 2015. Les demandeurs ont déposé en Cour supérieure une demande en contrôle judiciaire et en nullité d’un règlement municipal. La Cour supérieure a annulé le </w:t>
            </w:r>
            <w:r w:rsidRPr="00B3149D">
              <w:rPr>
                <w:i/>
                <w:sz w:val="20"/>
                <w:szCs w:val="20"/>
                <w:lang w:val="fr-CA"/>
              </w:rPr>
              <w:t>Règlement</w:t>
            </w:r>
            <w:r w:rsidRPr="00B3149D">
              <w:rPr>
                <w:sz w:val="20"/>
                <w:szCs w:val="20"/>
                <w:lang w:val="fr-CA"/>
              </w:rPr>
              <w:t xml:space="preserve">. La Cour d’appel a accueilli l’appel et a infirmé le jugement de première instance. </w:t>
            </w:r>
          </w:p>
        </w:tc>
      </w:tr>
      <w:tr w:rsidR="0082729A" w:rsidRPr="009873D4" w:rsidTr="00B3166C">
        <w:tc>
          <w:tcPr>
            <w:tcW w:w="5000" w:type="pct"/>
            <w:gridSpan w:val="3"/>
          </w:tcPr>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Le 26 mars 2018</w:t>
            </w:r>
          </w:p>
          <w:p w:rsidR="0082729A" w:rsidRPr="00B3149D" w:rsidRDefault="0082729A" w:rsidP="00B3166C">
            <w:pPr>
              <w:jc w:val="both"/>
              <w:rPr>
                <w:sz w:val="20"/>
                <w:szCs w:val="20"/>
                <w:lang w:val="fr-CA"/>
              </w:rPr>
            </w:pPr>
            <w:r w:rsidRPr="00B3149D">
              <w:rPr>
                <w:sz w:val="20"/>
                <w:szCs w:val="20"/>
                <w:lang w:val="fr-CA"/>
              </w:rPr>
              <w:t>Cour supérieure du Québec</w:t>
            </w:r>
          </w:p>
          <w:p w:rsidR="0082729A" w:rsidRPr="00B3149D" w:rsidRDefault="0082729A" w:rsidP="00B3166C">
            <w:pPr>
              <w:jc w:val="both"/>
              <w:rPr>
                <w:sz w:val="20"/>
                <w:szCs w:val="20"/>
              </w:rPr>
            </w:pPr>
            <w:r w:rsidRPr="00B3149D">
              <w:rPr>
                <w:sz w:val="20"/>
                <w:szCs w:val="20"/>
              </w:rPr>
              <w:t>(La juge Gagnon)</w:t>
            </w:r>
          </w:p>
          <w:p w:rsidR="0082729A" w:rsidRPr="00B3149D" w:rsidRDefault="00E51866" w:rsidP="00B3166C">
            <w:pPr>
              <w:jc w:val="both"/>
              <w:rPr>
                <w:sz w:val="20"/>
                <w:szCs w:val="20"/>
              </w:rPr>
            </w:pPr>
            <w:hyperlink r:id="rId17" w:history="1">
              <w:r w:rsidR="0082729A" w:rsidRPr="00B3149D">
                <w:rPr>
                  <w:rStyle w:val="Hyperlink"/>
                  <w:sz w:val="20"/>
                  <w:szCs w:val="20"/>
                </w:rPr>
                <w:t>2018 QCCS 1208</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Règlement modifiant le Règlement de l’Arrondissement de La Cité</w:t>
            </w:r>
            <w:r w:rsidRPr="00B3149D">
              <w:rPr>
                <w:sz w:val="20"/>
                <w:szCs w:val="20"/>
                <w:lang w:val="fr-CA"/>
              </w:rPr>
              <w:noBreakHyphen/>
              <w:t>Limoilou sur l’urbanisme relativement à la modification d’une zone de fortes pentes dans le secteur de la rue de la Terrasse</w:t>
            </w:r>
            <w:r w:rsidRPr="00B3149D">
              <w:rPr>
                <w:sz w:val="20"/>
                <w:szCs w:val="20"/>
                <w:lang w:val="fr-CA"/>
              </w:rPr>
              <w:noBreakHyphen/>
              <w:t>Dufferin, R .C.A.1V.Q. 241 annulé.</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Le 8 septembre 2020</w:t>
            </w:r>
          </w:p>
          <w:p w:rsidR="0082729A" w:rsidRPr="00B3149D" w:rsidRDefault="0082729A" w:rsidP="00B3166C">
            <w:pPr>
              <w:jc w:val="both"/>
              <w:rPr>
                <w:sz w:val="20"/>
                <w:szCs w:val="20"/>
                <w:lang w:val="fr-CA"/>
              </w:rPr>
            </w:pPr>
            <w:r w:rsidRPr="00B3149D">
              <w:rPr>
                <w:sz w:val="20"/>
                <w:szCs w:val="20"/>
                <w:lang w:val="fr-CA"/>
              </w:rPr>
              <w:t>Cour d’appel du Québec (Québec)</w:t>
            </w:r>
          </w:p>
          <w:p w:rsidR="0082729A" w:rsidRPr="00B3149D" w:rsidRDefault="0082729A" w:rsidP="00B3166C">
            <w:pPr>
              <w:jc w:val="both"/>
              <w:rPr>
                <w:sz w:val="20"/>
                <w:szCs w:val="20"/>
                <w:lang w:val="fr-CA"/>
              </w:rPr>
            </w:pPr>
            <w:r w:rsidRPr="00B3149D">
              <w:rPr>
                <w:sz w:val="20"/>
                <w:szCs w:val="20"/>
                <w:lang w:val="fr-CA"/>
              </w:rPr>
              <w:t>(Les juges Rochette, Healy et Ruel)</w:t>
            </w:r>
          </w:p>
          <w:p w:rsidR="0082729A" w:rsidRPr="00B3149D" w:rsidRDefault="00E51866" w:rsidP="00B3166C">
            <w:pPr>
              <w:jc w:val="both"/>
              <w:rPr>
                <w:rStyle w:val="Hyperlink"/>
                <w:sz w:val="20"/>
                <w:szCs w:val="20"/>
              </w:rPr>
            </w:pPr>
            <w:hyperlink r:id="rId18" w:history="1">
              <w:r w:rsidR="0082729A" w:rsidRPr="00B3149D">
                <w:rPr>
                  <w:rStyle w:val="Hyperlink"/>
                  <w:sz w:val="20"/>
                  <w:szCs w:val="20"/>
                </w:rPr>
                <w:t>2020 QCCA 1130</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Appel accueilli.</w:t>
            </w:r>
          </w:p>
          <w:p w:rsidR="0082729A" w:rsidRPr="00B3149D" w:rsidRDefault="0082729A" w:rsidP="00B3166C">
            <w:pPr>
              <w:jc w:val="both"/>
              <w:rPr>
                <w:sz w:val="20"/>
                <w:szCs w:val="20"/>
                <w:lang w:val="fr-CA"/>
              </w:rPr>
            </w:pPr>
            <w:r w:rsidRPr="00B3149D">
              <w:rPr>
                <w:sz w:val="20"/>
                <w:szCs w:val="20"/>
                <w:lang w:val="fr-CA"/>
              </w:rPr>
              <w:t>Jugement de première instance infirmé.</w:t>
            </w:r>
          </w:p>
          <w:p w:rsidR="0082729A" w:rsidRPr="00B3149D" w:rsidRDefault="0082729A" w:rsidP="00B3166C">
            <w:pPr>
              <w:jc w:val="both"/>
              <w:rPr>
                <w:sz w:val="20"/>
                <w:szCs w:val="20"/>
                <w:lang w:val="fr-CA"/>
              </w:rPr>
            </w:pPr>
          </w:p>
        </w:tc>
      </w:tr>
      <w:tr w:rsidR="0082729A" w:rsidRPr="00B3149D" w:rsidTr="00B3166C">
        <w:tc>
          <w:tcPr>
            <w:tcW w:w="2427" w:type="pct"/>
          </w:tcPr>
          <w:p w:rsidR="0082729A" w:rsidRPr="00B3149D" w:rsidRDefault="0082729A" w:rsidP="00B3166C">
            <w:pPr>
              <w:jc w:val="both"/>
              <w:rPr>
                <w:sz w:val="20"/>
                <w:szCs w:val="20"/>
                <w:lang w:val="fr-CA"/>
              </w:rPr>
            </w:pPr>
            <w:r w:rsidRPr="00B3149D">
              <w:rPr>
                <w:sz w:val="20"/>
                <w:szCs w:val="20"/>
                <w:lang w:val="fr-CA"/>
              </w:rPr>
              <w:t>Le 4 novembre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rPr>
            </w:pPr>
            <w:r w:rsidRPr="00B3149D">
              <w:rPr>
                <w:sz w:val="20"/>
                <w:szCs w:val="20"/>
              </w:rPr>
              <w:t>Demande d'autorisation d'appel déposée</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szCs w:val="20"/>
        </w:rPr>
      </w:pPr>
      <w:r>
        <w:rPr>
          <w:sz w:val="20"/>
        </w:rPr>
        <w:pict>
          <v:rect id="_x0000_i1035"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39386</w:t>
            </w:r>
          </w:p>
        </w:tc>
        <w:tc>
          <w:tcPr>
            <w:tcW w:w="4457" w:type="pct"/>
          </w:tcPr>
          <w:p w:rsidR="0082729A" w:rsidRPr="00B3149D" w:rsidRDefault="0082729A" w:rsidP="00B3166C">
            <w:pPr>
              <w:pStyle w:val="SCCLsocParty"/>
              <w:jc w:val="both"/>
              <w:rPr>
                <w:b/>
                <w:sz w:val="20"/>
                <w:szCs w:val="20"/>
                <w:lang w:val="en-US"/>
              </w:rPr>
            </w:pPr>
            <w:r w:rsidRPr="00B3149D">
              <w:rPr>
                <w:b/>
                <w:sz w:val="20"/>
                <w:szCs w:val="20"/>
                <w:lang w:val="en-US"/>
              </w:rPr>
              <w:t>Grasshopper Solar Corporation, GSC Solar Fund I Inc., One Point Twenty One Gigawatts Inc., Egerton Polar Power LP</w:t>
            </w:r>
            <w:r w:rsidR="00B3166C" w:rsidRPr="00B3149D">
              <w:rPr>
                <w:b/>
                <w:sz w:val="20"/>
                <w:szCs w:val="20"/>
                <w:lang w:val="en-US"/>
              </w:rPr>
              <w:t xml:space="preserve"> and</w:t>
            </w:r>
            <w:r w:rsidRPr="00B3149D">
              <w:rPr>
                <w:b/>
                <w:sz w:val="20"/>
                <w:szCs w:val="20"/>
                <w:lang w:val="en-US"/>
              </w:rPr>
              <w:t xml:space="preserve"> MPI GM Solar 1 LP v. Independent Electricity System Operator</w:t>
            </w:r>
          </w:p>
          <w:p w:rsidR="0082729A" w:rsidRPr="00B3149D" w:rsidRDefault="0082729A" w:rsidP="00B3166C">
            <w:pPr>
              <w:jc w:val="both"/>
              <w:rPr>
                <w:sz w:val="20"/>
                <w:szCs w:val="20"/>
              </w:rPr>
            </w:pPr>
            <w:r w:rsidRPr="00B3149D">
              <w:rPr>
                <w:sz w:val="20"/>
                <w:szCs w:val="20"/>
              </w:rPr>
              <w:t>(Ont.) (Civil) (By Leave)</w:t>
            </w:r>
          </w:p>
        </w:tc>
      </w:tr>
      <w:tr w:rsidR="00B22DD4" w:rsidRPr="00B3149D" w:rsidTr="00B3166C">
        <w:tc>
          <w:tcPr>
            <w:tcW w:w="5000" w:type="pct"/>
            <w:gridSpan w:val="2"/>
          </w:tcPr>
          <w:p w:rsidR="00B3166C" w:rsidRPr="00B3149D" w:rsidRDefault="00B3166C" w:rsidP="00B3166C">
            <w:pPr>
              <w:jc w:val="both"/>
              <w:rPr>
                <w:sz w:val="20"/>
                <w:szCs w:val="20"/>
              </w:rPr>
            </w:pPr>
            <w:r w:rsidRPr="00B3149D">
              <w:rPr>
                <w:sz w:val="20"/>
                <w:szCs w:val="20"/>
              </w:rPr>
              <w:t>The application for leave to appeal from the judgment of the Court of Appeal for Ontario, Number C67794, 2020 ONCA 499, dated August 7, 2020, is dismissed with costs.</w:t>
            </w:r>
          </w:p>
          <w:p w:rsidR="00B22DD4" w:rsidRPr="00B3149D" w:rsidRDefault="00B22DD4" w:rsidP="00B3166C">
            <w:pPr>
              <w:jc w:val="both"/>
              <w:rPr>
                <w:sz w:val="20"/>
                <w:szCs w:val="20"/>
              </w:rPr>
            </w:pPr>
          </w:p>
        </w:tc>
      </w:tr>
      <w:tr w:rsidR="0082729A" w:rsidRPr="00B3149D" w:rsidTr="00B3166C">
        <w:tc>
          <w:tcPr>
            <w:tcW w:w="5000" w:type="pct"/>
            <w:gridSpan w:val="2"/>
          </w:tcPr>
          <w:p w:rsidR="0082729A" w:rsidRPr="00B3149D" w:rsidRDefault="0082729A" w:rsidP="00B3166C">
            <w:pPr>
              <w:jc w:val="both"/>
              <w:rPr>
                <w:sz w:val="20"/>
                <w:szCs w:val="20"/>
              </w:rPr>
            </w:pPr>
            <w:r w:rsidRPr="00B3149D">
              <w:rPr>
                <w:sz w:val="20"/>
                <w:szCs w:val="20"/>
              </w:rPr>
              <w:t>Contracts — Interpretation — Application for a declaration contracting party did not have right to terminate contracts — To what extent does the principle that a contract should be interpreted as a whole require the court to search for a reading that gives effect to all of its terms — What significance do the “surrounding circumstances” have when interpreting the meaning of phrases in standard form contracts — If an interpretation of a contract is not “commercially reasonable”, may it be selected over another interpretation that is reasonable by altering it through an implied term?</w:t>
            </w:r>
          </w:p>
          <w:p w:rsidR="00D84797" w:rsidRPr="00B3149D" w:rsidRDefault="00D84797" w:rsidP="00B3166C">
            <w:pPr>
              <w:jc w:val="both"/>
              <w:rPr>
                <w:sz w:val="20"/>
                <w:szCs w:val="20"/>
              </w:rPr>
            </w:pPr>
          </w:p>
        </w:tc>
      </w:tr>
    </w:tbl>
    <w:p w:rsidR="00D84797" w:rsidRPr="00B3149D" w:rsidRDefault="00D84797">
      <w:r w:rsidRPr="00B314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B3149D" w:rsidTr="00B3166C">
        <w:tc>
          <w:tcPr>
            <w:tcW w:w="5000" w:type="pct"/>
            <w:gridSpan w:val="3"/>
          </w:tcPr>
          <w:p w:rsidR="0082729A" w:rsidRPr="00B3149D" w:rsidRDefault="0082729A" w:rsidP="00B3166C">
            <w:pPr>
              <w:jc w:val="both"/>
              <w:rPr>
                <w:sz w:val="20"/>
                <w:szCs w:val="20"/>
              </w:rPr>
            </w:pPr>
            <w:r w:rsidRPr="00B3149D">
              <w:rPr>
                <w:sz w:val="20"/>
                <w:szCs w:val="20"/>
                <w:lang w:val="en"/>
              </w:rPr>
              <w:lastRenderedPageBreak/>
              <w:t xml:space="preserve">Independent Electricity System Operator entered into a standard form contract with each of the applicants. The contract set a milestone date by which the renewable energy company was required to achieve commercial operation of solar power facilities. The energy companies failed to meet their milestone dates. Independent Electricity System Operator terminated the contracts without paying damages. The applicants jointly applied for a declaration that Independent Electricity System Operator </w:t>
            </w:r>
            <w:r w:rsidRPr="00B3149D">
              <w:rPr>
                <w:sz w:val="20"/>
                <w:szCs w:val="20"/>
              </w:rPr>
              <w:t>did not have the right to terminate contracts</w:t>
            </w:r>
            <w:r w:rsidRPr="00B3149D">
              <w:rPr>
                <w:sz w:val="20"/>
                <w:szCs w:val="20"/>
                <w:lang w:val="en"/>
              </w:rPr>
              <w:t>. The applications judge dismissed the application. The Court of Appeal dismissed an appeal.</w:t>
            </w:r>
          </w:p>
        </w:tc>
      </w:tr>
      <w:tr w:rsidR="0082729A" w:rsidRPr="00B3149D" w:rsidTr="00B3166C">
        <w:tc>
          <w:tcPr>
            <w:tcW w:w="5000" w:type="pct"/>
            <w:gridSpan w:val="3"/>
          </w:tcPr>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November 15, 2019</w:t>
            </w:r>
          </w:p>
          <w:p w:rsidR="0082729A" w:rsidRPr="00B3149D" w:rsidRDefault="0082729A" w:rsidP="00B3166C">
            <w:pPr>
              <w:jc w:val="both"/>
              <w:rPr>
                <w:sz w:val="20"/>
                <w:szCs w:val="20"/>
              </w:rPr>
            </w:pPr>
            <w:r w:rsidRPr="00B3149D">
              <w:rPr>
                <w:sz w:val="20"/>
                <w:szCs w:val="20"/>
              </w:rPr>
              <w:t>Ontario Superior Court of Justice</w:t>
            </w:r>
          </w:p>
          <w:p w:rsidR="0082729A" w:rsidRPr="00B3149D" w:rsidRDefault="0082729A" w:rsidP="00B3166C">
            <w:pPr>
              <w:jc w:val="both"/>
              <w:rPr>
                <w:sz w:val="20"/>
                <w:szCs w:val="20"/>
              </w:rPr>
            </w:pPr>
            <w:r w:rsidRPr="00B3149D">
              <w:rPr>
                <w:sz w:val="20"/>
                <w:szCs w:val="20"/>
              </w:rPr>
              <w:t xml:space="preserve">(Hainey J.) </w:t>
            </w:r>
          </w:p>
          <w:p w:rsidR="0082729A" w:rsidRPr="00B3149D" w:rsidRDefault="00E51866" w:rsidP="00B3166C">
            <w:pPr>
              <w:jc w:val="both"/>
              <w:rPr>
                <w:sz w:val="20"/>
                <w:szCs w:val="20"/>
              </w:rPr>
            </w:pPr>
            <w:hyperlink r:id="rId19" w:history="1">
              <w:r w:rsidR="0082729A" w:rsidRPr="00B3149D">
                <w:rPr>
                  <w:rStyle w:val="Hyperlink"/>
                  <w:sz w:val="20"/>
                  <w:szCs w:val="20"/>
                </w:rPr>
                <w:t>2019 ONSC 6397</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 xml:space="preserve">Application dismissed </w:t>
            </w: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August 7, 2020</w:t>
            </w:r>
          </w:p>
          <w:p w:rsidR="0082729A" w:rsidRPr="00B3149D" w:rsidRDefault="0082729A" w:rsidP="00B3166C">
            <w:pPr>
              <w:jc w:val="both"/>
              <w:rPr>
                <w:sz w:val="20"/>
                <w:szCs w:val="20"/>
              </w:rPr>
            </w:pPr>
            <w:r w:rsidRPr="00B3149D">
              <w:rPr>
                <w:sz w:val="20"/>
                <w:szCs w:val="20"/>
              </w:rPr>
              <w:t>Court of Appeal for Ontario</w:t>
            </w:r>
          </w:p>
          <w:p w:rsidR="0082729A" w:rsidRPr="00B3149D" w:rsidRDefault="0082729A" w:rsidP="00B3166C">
            <w:pPr>
              <w:jc w:val="both"/>
              <w:rPr>
                <w:sz w:val="20"/>
                <w:szCs w:val="20"/>
              </w:rPr>
            </w:pPr>
            <w:r w:rsidRPr="00B3149D">
              <w:rPr>
                <w:sz w:val="20"/>
                <w:szCs w:val="20"/>
              </w:rPr>
              <w:t>(Feldman, Lauwers, Huscroft JJ.A.)</w:t>
            </w:r>
          </w:p>
          <w:p w:rsidR="0082729A" w:rsidRPr="00B3149D" w:rsidRDefault="00E51866" w:rsidP="00B3166C">
            <w:pPr>
              <w:jc w:val="both"/>
              <w:rPr>
                <w:sz w:val="20"/>
                <w:szCs w:val="20"/>
              </w:rPr>
            </w:pPr>
            <w:hyperlink r:id="rId20" w:history="1">
              <w:r w:rsidR="0082729A" w:rsidRPr="00B3149D">
                <w:rPr>
                  <w:rStyle w:val="Hyperlink"/>
                  <w:sz w:val="20"/>
                  <w:szCs w:val="20"/>
                </w:rPr>
                <w:t>2020 ONCA 499</w:t>
              </w:r>
            </w:hyperlink>
            <w:r w:rsidR="0082729A" w:rsidRPr="00B3149D">
              <w:rPr>
                <w:sz w:val="20"/>
                <w:szCs w:val="20"/>
              </w:rPr>
              <w:t>; C67794</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dismissed</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November 5,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36"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39386</w:t>
            </w:r>
          </w:p>
        </w:tc>
        <w:tc>
          <w:tcPr>
            <w:tcW w:w="4457" w:type="pct"/>
            <w:gridSpan w:val="3"/>
          </w:tcPr>
          <w:p w:rsidR="0082729A" w:rsidRPr="00B3149D" w:rsidRDefault="0082729A" w:rsidP="00B3166C">
            <w:pPr>
              <w:pStyle w:val="SCCLsocParty"/>
              <w:jc w:val="both"/>
              <w:rPr>
                <w:b/>
                <w:sz w:val="20"/>
                <w:szCs w:val="20"/>
              </w:rPr>
            </w:pPr>
            <w:r w:rsidRPr="00B3149D">
              <w:rPr>
                <w:b/>
                <w:sz w:val="20"/>
                <w:szCs w:val="20"/>
              </w:rPr>
              <w:t>Grasshopper Solar Corporation, GSC Solar Fund I Inc., One Point Twenty One Gigawatts Inc., Egerton Polar Power LP</w:t>
            </w:r>
            <w:r w:rsidR="00B3166C" w:rsidRPr="00B3149D">
              <w:rPr>
                <w:b/>
                <w:sz w:val="20"/>
                <w:szCs w:val="20"/>
              </w:rPr>
              <w:t xml:space="preserve"> et</w:t>
            </w:r>
            <w:r w:rsidRPr="00B3149D">
              <w:rPr>
                <w:b/>
                <w:sz w:val="20"/>
                <w:szCs w:val="20"/>
              </w:rPr>
              <w:t xml:space="preserve"> MPI GM Solar 1 LP c. </w:t>
            </w:r>
            <w:r w:rsidRPr="00B3149D">
              <w:rPr>
                <w:b/>
                <w:bCs/>
                <w:sz w:val="20"/>
                <w:szCs w:val="20"/>
              </w:rPr>
              <w:t>Société indépendante d’exploitation du réseau d’électricité</w:t>
            </w:r>
          </w:p>
          <w:p w:rsidR="0082729A" w:rsidRPr="00B3149D" w:rsidRDefault="0082729A" w:rsidP="00B3166C">
            <w:pPr>
              <w:jc w:val="both"/>
              <w:rPr>
                <w:sz w:val="20"/>
                <w:szCs w:val="20"/>
                <w:lang w:val="fr-CA"/>
              </w:rPr>
            </w:pPr>
            <w:r w:rsidRPr="00B3149D">
              <w:rPr>
                <w:sz w:val="20"/>
                <w:szCs w:val="20"/>
                <w:lang w:val="fr-CA"/>
              </w:rPr>
              <w:t>(Ont.) (Civile) (Sur autorisation)</w:t>
            </w:r>
          </w:p>
        </w:tc>
      </w:tr>
      <w:tr w:rsidR="00B22DD4" w:rsidRPr="009873D4" w:rsidTr="00B3166C">
        <w:tc>
          <w:tcPr>
            <w:tcW w:w="5000" w:type="pct"/>
            <w:gridSpan w:val="4"/>
          </w:tcPr>
          <w:p w:rsidR="00B22DD4" w:rsidRPr="00B3149D" w:rsidRDefault="00B3166C" w:rsidP="00B3166C">
            <w:pPr>
              <w:jc w:val="both"/>
              <w:rPr>
                <w:sz w:val="20"/>
                <w:szCs w:val="20"/>
                <w:lang w:val="fr-CA"/>
              </w:rPr>
            </w:pPr>
            <w:r w:rsidRPr="00B3149D">
              <w:rPr>
                <w:sz w:val="20"/>
                <w:szCs w:val="20"/>
                <w:lang w:val="fr-CA"/>
              </w:rPr>
              <w:t>La demande d’autorisation d’appel de l’arrêt de la Cour d’appel de l’Ontario, numéro, C67794, 2020 ONCA 499, daté du 7 août 2020, est rejet</w:t>
            </w:r>
            <w:r w:rsidRPr="00B3149D">
              <w:rPr>
                <w:rFonts w:cs="Times New Roman"/>
                <w:sz w:val="20"/>
                <w:szCs w:val="20"/>
                <w:lang w:val="fr-CA"/>
              </w:rPr>
              <w:t>é</w:t>
            </w:r>
            <w:r w:rsidRPr="00B3149D">
              <w:rPr>
                <w:sz w:val="20"/>
                <w:szCs w:val="20"/>
                <w:lang w:val="fr-CA"/>
              </w:rPr>
              <w:t>e avec d</w:t>
            </w:r>
            <w:r w:rsidRPr="00B3149D">
              <w:rPr>
                <w:rFonts w:cs="Times New Roman"/>
                <w:sz w:val="20"/>
                <w:szCs w:val="20"/>
                <w:lang w:val="fr-CA"/>
              </w:rPr>
              <w:t>é</w:t>
            </w:r>
            <w:r w:rsidRPr="00B3149D">
              <w:rPr>
                <w:sz w:val="20"/>
                <w:szCs w:val="20"/>
                <w:lang w:val="fr-CA"/>
              </w:rPr>
              <w:t>pens.</w:t>
            </w:r>
          </w:p>
          <w:p w:rsidR="00B3166C" w:rsidRPr="00B3149D" w:rsidRDefault="00B3166C"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Contrats — Interprétation — Demande sollicitant un jugement déclaratoire portant que le cocontractant n’avait pas le droit de mettre fin aux contrats — Dans quelle mesure le principe voulant qu’un contrat soit interprété dans son ensemble exige</w:t>
            </w:r>
            <w:r w:rsidRPr="00B3149D">
              <w:rPr>
                <w:sz w:val="20"/>
                <w:szCs w:val="20"/>
                <w:lang w:val="fr-CA"/>
              </w:rPr>
              <w:noBreakHyphen/>
              <w:t>t</w:t>
            </w:r>
            <w:r w:rsidRPr="00B3149D">
              <w:rPr>
                <w:sz w:val="20"/>
                <w:szCs w:val="20"/>
                <w:lang w:val="fr-CA"/>
              </w:rPr>
              <w:noBreakHyphen/>
              <w:t>il que le tribunal recherche une interprétation qui permet la réalisation de toutes les conditions de ce contrat ? — Quelle importance faut</w:t>
            </w:r>
            <w:r w:rsidRPr="00B3149D">
              <w:rPr>
                <w:sz w:val="20"/>
                <w:szCs w:val="20"/>
                <w:lang w:val="fr-CA"/>
              </w:rPr>
              <w:noBreakHyphen/>
              <w:t>il donner aux [traduction</w:t>
            </w:r>
            <w:r w:rsidRPr="00B3149D">
              <w:rPr>
                <w:rFonts w:asciiTheme="minorBidi" w:hAnsiTheme="minorBidi"/>
                <w:sz w:val="20"/>
                <w:szCs w:val="20"/>
                <w:lang w:val="fr-CA"/>
              </w:rPr>
              <w:t xml:space="preserve">] </w:t>
            </w:r>
            <w:r w:rsidRPr="00B3149D">
              <w:rPr>
                <w:sz w:val="20"/>
                <w:szCs w:val="20"/>
                <w:lang w:val="fr-CA"/>
              </w:rPr>
              <w:t>« circonstances en cause » lors de l’interprétation du sens de termes dans les contrats types ? — Si l’interprétation d’un contrat n’est pas [traduction</w:t>
            </w:r>
            <w:r w:rsidRPr="00B3149D">
              <w:rPr>
                <w:rFonts w:asciiTheme="minorBidi" w:hAnsiTheme="minorBidi"/>
                <w:sz w:val="20"/>
                <w:szCs w:val="20"/>
                <w:lang w:val="fr-CA"/>
              </w:rPr>
              <w:t xml:space="preserve">] « raisonnable sur le plan </w:t>
            </w:r>
            <w:r w:rsidRPr="00B3149D">
              <w:rPr>
                <w:sz w:val="20"/>
                <w:szCs w:val="20"/>
                <w:lang w:val="fr-CA"/>
              </w:rPr>
              <w:t>commercial », est</w:t>
            </w:r>
            <w:r w:rsidRPr="00B3149D">
              <w:rPr>
                <w:sz w:val="20"/>
                <w:szCs w:val="20"/>
                <w:lang w:val="fr-CA"/>
              </w:rPr>
              <w:noBreakHyphen/>
              <w:t>il possible de choisir cette dernière au lieu d’une autre interprétation qui est raisonnable en la modifiant au moyen d’une condition implicite ?</w:t>
            </w:r>
          </w:p>
        </w:tc>
      </w:tr>
      <w:tr w:rsidR="0082729A" w:rsidRPr="00B3149D" w:rsidTr="00B3166C">
        <w:tc>
          <w:tcPr>
            <w:tcW w:w="5000" w:type="pct"/>
            <w:gridSpan w:val="4"/>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bCs/>
                <w:sz w:val="20"/>
                <w:szCs w:val="20"/>
                <w:lang w:val="fr-CA"/>
              </w:rPr>
              <w:t>La Société indépendante d’exploitation du réseau d’électricité</w:t>
            </w:r>
            <w:r w:rsidRPr="00B3149D">
              <w:rPr>
                <w:sz w:val="20"/>
                <w:szCs w:val="20"/>
                <w:lang w:val="fr-CA"/>
              </w:rPr>
              <w:t xml:space="preserve"> a conclu un contrat type avec chacune des demanderesses. Le contrat établissait une date repère à laquelle la société d’énergie renouvelable devait atteindre l’étape de l’exploitation commerciale des installations d’énergie solaire. Les sociétés d’énergie n’ont pas respecté ce délai. La </w:t>
            </w:r>
            <w:r w:rsidRPr="00B3149D">
              <w:rPr>
                <w:bCs/>
                <w:sz w:val="20"/>
                <w:szCs w:val="20"/>
                <w:lang w:val="fr-CA"/>
              </w:rPr>
              <w:t>Société indépendante d’exploitation du réseau d’électricité</w:t>
            </w:r>
            <w:r w:rsidRPr="00B3149D">
              <w:rPr>
                <w:sz w:val="20"/>
                <w:szCs w:val="20"/>
                <w:lang w:val="fr-CA"/>
              </w:rPr>
              <w:t xml:space="preserve"> a mis fin aux contrats sans verser de dommages-intérêts. Les demanderesses ont conjointement présenté une demande sollicitant un jugement déclaratoire portant que</w:t>
            </w:r>
            <w:r w:rsidRPr="00B3149D">
              <w:rPr>
                <w:bCs/>
                <w:sz w:val="20"/>
                <w:szCs w:val="20"/>
                <w:lang w:val="fr-CA"/>
              </w:rPr>
              <w:t xml:space="preserve"> la Société indépendante d’exploitation du réseau d’électricité</w:t>
            </w:r>
            <w:r w:rsidRPr="00B3149D">
              <w:rPr>
                <w:sz w:val="20"/>
                <w:szCs w:val="20"/>
                <w:lang w:val="fr-CA"/>
              </w:rPr>
              <w:t xml:space="preserve"> n’avait pas le droit de mettre fin aux contrats. Le juge saisi de la demande a rejeté cette dernière. La Cour d’appel a rejeté l’appel.</w:t>
            </w:r>
          </w:p>
        </w:tc>
      </w:tr>
      <w:tr w:rsidR="0082729A" w:rsidRPr="00B3149D" w:rsidTr="00B3166C">
        <w:tc>
          <w:tcPr>
            <w:tcW w:w="5000" w:type="pct"/>
            <w:gridSpan w:val="4"/>
          </w:tcPr>
          <w:p w:rsidR="0082729A" w:rsidRPr="00B3149D" w:rsidRDefault="0082729A" w:rsidP="00B3166C">
            <w:pPr>
              <w:jc w:val="both"/>
              <w:rPr>
                <w:sz w:val="20"/>
                <w:szCs w:val="20"/>
                <w:lang w:val="fr-CA"/>
              </w:rPr>
            </w:pPr>
          </w:p>
        </w:tc>
      </w:tr>
      <w:tr w:rsidR="0082729A" w:rsidRPr="00B3149D"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15 novembre 2019</w:t>
            </w:r>
          </w:p>
          <w:p w:rsidR="0082729A" w:rsidRPr="00B3149D" w:rsidRDefault="0082729A" w:rsidP="00B3166C">
            <w:pPr>
              <w:jc w:val="both"/>
              <w:rPr>
                <w:sz w:val="20"/>
                <w:szCs w:val="20"/>
                <w:lang w:val="fr-CA"/>
              </w:rPr>
            </w:pPr>
            <w:r w:rsidRPr="00B3149D">
              <w:rPr>
                <w:sz w:val="20"/>
                <w:szCs w:val="20"/>
                <w:lang w:val="fr-CA"/>
              </w:rPr>
              <w:t>Cour supérieure de justice de l’Ontario</w:t>
            </w:r>
          </w:p>
          <w:p w:rsidR="0082729A" w:rsidRPr="00B3149D" w:rsidRDefault="0082729A" w:rsidP="00B3166C">
            <w:pPr>
              <w:jc w:val="both"/>
              <w:rPr>
                <w:sz w:val="20"/>
                <w:szCs w:val="20"/>
                <w:lang w:val="fr-CA"/>
              </w:rPr>
            </w:pPr>
            <w:r w:rsidRPr="00B3149D">
              <w:rPr>
                <w:sz w:val="20"/>
                <w:szCs w:val="20"/>
                <w:lang w:val="fr-CA"/>
              </w:rPr>
              <w:t xml:space="preserve">(Juge Hainey) </w:t>
            </w:r>
          </w:p>
          <w:p w:rsidR="0082729A" w:rsidRPr="00B3149D" w:rsidRDefault="00E51866" w:rsidP="00B3166C">
            <w:pPr>
              <w:jc w:val="both"/>
              <w:rPr>
                <w:sz w:val="20"/>
                <w:szCs w:val="20"/>
                <w:lang w:val="fr-CA"/>
              </w:rPr>
            </w:pPr>
            <w:hyperlink r:id="rId21" w:history="1">
              <w:r w:rsidR="0082729A" w:rsidRPr="00B3149D">
                <w:rPr>
                  <w:rStyle w:val="Hyperlink"/>
                  <w:sz w:val="20"/>
                  <w:szCs w:val="20"/>
                  <w:lang w:val="fr-CA"/>
                </w:rPr>
                <w:t>2019 ONSC 6397</w:t>
              </w:r>
            </w:hyperlink>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 xml:space="preserve">La demande est rejetée. </w:t>
            </w:r>
          </w:p>
        </w:tc>
      </w:tr>
      <w:tr w:rsidR="0082729A" w:rsidRPr="00B3149D"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lastRenderedPageBreak/>
              <w:t>7 août 2020</w:t>
            </w:r>
          </w:p>
          <w:p w:rsidR="0082729A" w:rsidRPr="00B3149D" w:rsidRDefault="0082729A" w:rsidP="00B3166C">
            <w:pPr>
              <w:jc w:val="both"/>
              <w:rPr>
                <w:sz w:val="20"/>
                <w:szCs w:val="20"/>
                <w:lang w:val="fr-CA"/>
              </w:rPr>
            </w:pPr>
            <w:r w:rsidRPr="00B3149D">
              <w:rPr>
                <w:sz w:val="20"/>
                <w:szCs w:val="20"/>
                <w:lang w:val="fr-CA"/>
              </w:rPr>
              <w:t>Cour d’appel de l’Ontario</w:t>
            </w:r>
          </w:p>
          <w:p w:rsidR="0082729A" w:rsidRPr="00B3149D" w:rsidRDefault="0082729A" w:rsidP="00B3166C">
            <w:pPr>
              <w:jc w:val="both"/>
              <w:rPr>
                <w:sz w:val="20"/>
                <w:szCs w:val="20"/>
                <w:lang w:val="fr-CA"/>
              </w:rPr>
            </w:pPr>
            <w:r w:rsidRPr="00B3149D">
              <w:rPr>
                <w:sz w:val="20"/>
                <w:szCs w:val="20"/>
                <w:lang w:val="fr-CA"/>
              </w:rPr>
              <w:t>(Juges Feldman, Lauwers, Huscroft)</w:t>
            </w:r>
          </w:p>
          <w:p w:rsidR="0082729A" w:rsidRPr="00B3149D" w:rsidRDefault="00E51866" w:rsidP="00B3166C">
            <w:pPr>
              <w:jc w:val="both"/>
              <w:rPr>
                <w:sz w:val="20"/>
                <w:szCs w:val="20"/>
                <w:lang w:val="fr-CA"/>
              </w:rPr>
            </w:pPr>
            <w:hyperlink r:id="rId22" w:history="1">
              <w:r w:rsidR="0082729A" w:rsidRPr="00B3149D">
                <w:rPr>
                  <w:rStyle w:val="Hyperlink"/>
                  <w:sz w:val="20"/>
                  <w:szCs w:val="20"/>
                  <w:lang w:val="fr-CA"/>
                </w:rPr>
                <w:t>2020 ONCA 499</w:t>
              </w:r>
            </w:hyperlink>
            <w:r w:rsidR="0082729A" w:rsidRPr="00B3149D">
              <w:rPr>
                <w:sz w:val="20"/>
                <w:szCs w:val="20"/>
                <w:lang w:val="fr-CA"/>
              </w:rPr>
              <w:t>; C67794</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L’appel est rejeté.</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5 novembre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37"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39387</w:t>
            </w:r>
          </w:p>
        </w:tc>
        <w:tc>
          <w:tcPr>
            <w:tcW w:w="4457" w:type="pct"/>
            <w:gridSpan w:val="3"/>
          </w:tcPr>
          <w:p w:rsidR="0082729A" w:rsidRPr="00B3149D" w:rsidRDefault="00B3166C" w:rsidP="00B3166C">
            <w:pPr>
              <w:pStyle w:val="SCCLsocParty"/>
              <w:jc w:val="both"/>
              <w:rPr>
                <w:b/>
                <w:sz w:val="20"/>
                <w:szCs w:val="20"/>
                <w:lang w:val="en-US"/>
              </w:rPr>
            </w:pPr>
            <w:r w:rsidRPr="00B3149D">
              <w:rPr>
                <w:b/>
                <w:sz w:val="20"/>
                <w:szCs w:val="20"/>
                <w:lang w:val="en-US"/>
              </w:rPr>
              <w:t>KL Solar Projects LP, Highlands Solar Projects LP, Madawaska Solar Projects LP, McNab Solar Projects LP, PB Solar Projects LP, Ramara Solar Projects LP, Sudbury Community Solar Projects LP and Sustainable Ottawa Project LP</w:t>
            </w:r>
            <w:r w:rsidR="0082729A" w:rsidRPr="00B3149D">
              <w:rPr>
                <w:b/>
                <w:sz w:val="20"/>
                <w:szCs w:val="20"/>
                <w:lang w:val="en-US"/>
              </w:rPr>
              <w:t xml:space="preserve"> v. Independent Electricity System Operator</w:t>
            </w:r>
          </w:p>
          <w:p w:rsidR="0082729A" w:rsidRPr="00B3149D" w:rsidRDefault="0082729A" w:rsidP="00B3166C">
            <w:pPr>
              <w:jc w:val="both"/>
              <w:rPr>
                <w:sz w:val="20"/>
                <w:szCs w:val="20"/>
              </w:rPr>
            </w:pPr>
            <w:r w:rsidRPr="00B3149D">
              <w:rPr>
                <w:sz w:val="20"/>
                <w:szCs w:val="20"/>
              </w:rPr>
              <w:t>(Ont.) (Civil) (By Leave)</w:t>
            </w:r>
          </w:p>
        </w:tc>
      </w:tr>
      <w:tr w:rsidR="00B22DD4" w:rsidRPr="00B3149D" w:rsidTr="00B3166C">
        <w:tc>
          <w:tcPr>
            <w:tcW w:w="5000" w:type="pct"/>
            <w:gridSpan w:val="4"/>
          </w:tcPr>
          <w:p w:rsidR="00B3166C" w:rsidRPr="00B3149D" w:rsidRDefault="00B3166C" w:rsidP="00B3166C">
            <w:pPr>
              <w:jc w:val="both"/>
              <w:rPr>
                <w:sz w:val="20"/>
                <w:szCs w:val="20"/>
              </w:rPr>
            </w:pPr>
            <w:r w:rsidRPr="00B3149D">
              <w:rPr>
                <w:sz w:val="20"/>
                <w:szCs w:val="20"/>
              </w:rPr>
              <w:t>The application for leave to appeal from the judgment of the Court of Appeal for Ontario, Number C67795, 2020 ONCA 499, dated August 7, 2020, is dismissed with costs.</w:t>
            </w:r>
          </w:p>
          <w:p w:rsidR="00B22DD4" w:rsidRPr="00B3149D" w:rsidRDefault="00B22DD4"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Contracts — Interpretation — What is needed to establish a mutual assumption for estoppel by convention — Can estoppel or waiver arise from representations or conduct directed at third parties — Do entire agreement or non</w:t>
            </w:r>
            <w:r w:rsidRPr="00B3149D">
              <w:rPr>
                <w:sz w:val="20"/>
                <w:szCs w:val="20"/>
              </w:rPr>
              <w:noBreakHyphen/>
              <w:t>waiver clauses in contracts prevent estoppel or waiver — How do the principles of private law estoppel and waiver apply to government contractors and changes in government policy?</w:t>
            </w:r>
          </w:p>
        </w:tc>
      </w:tr>
      <w:tr w:rsidR="0082729A" w:rsidRPr="00B3149D" w:rsidTr="00B3166C">
        <w:tc>
          <w:tcPr>
            <w:tcW w:w="5000" w:type="pct"/>
            <w:gridSpan w:val="4"/>
          </w:tcPr>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lang w:val="en"/>
              </w:rPr>
              <w:t>Independent Electricity System Operator entered into a standard form contract with each of the applicants. The contract stipulated time was of the essence and set a milestone date by which the renewable energy company was required to achieve commercial operation of solar power facilities. The energy companies failed to meet their milestone dates. Independent Electricity System Operator terminated the contracts without paying damages. The applicants jointly applied for a declaration that Independent Electricity System Operator was estopped by convention from terminating the contracts. The applications judge dismissed the application. The Court of Appeal dismissed an appeal.</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November 15, 2019</w:t>
            </w:r>
          </w:p>
          <w:p w:rsidR="0082729A" w:rsidRPr="00B3149D" w:rsidRDefault="0082729A" w:rsidP="00B3166C">
            <w:pPr>
              <w:jc w:val="both"/>
              <w:rPr>
                <w:sz w:val="20"/>
                <w:szCs w:val="20"/>
              </w:rPr>
            </w:pPr>
            <w:r w:rsidRPr="00B3149D">
              <w:rPr>
                <w:sz w:val="20"/>
                <w:szCs w:val="20"/>
              </w:rPr>
              <w:t>Ontario Superior Court of Justice</w:t>
            </w:r>
          </w:p>
          <w:p w:rsidR="0082729A" w:rsidRPr="00B3149D" w:rsidRDefault="0082729A" w:rsidP="00B3166C">
            <w:pPr>
              <w:jc w:val="both"/>
              <w:rPr>
                <w:sz w:val="20"/>
                <w:szCs w:val="20"/>
              </w:rPr>
            </w:pPr>
            <w:r w:rsidRPr="00B3149D">
              <w:rPr>
                <w:sz w:val="20"/>
                <w:szCs w:val="20"/>
              </w:rPr>
              <w:t xml:space="preserve">(Hainey J.) </w:t>
            </w:r>
          </w:p>
          <w:p w:rsidR="0082729A" w:rsidRPr="00B3149D" w:rsidRDefault="00E51866" w:rsidP="00B3166C">
            <w:pPr>
              <w:jc w:val="both"/>
              <w:rPr>
                <w:sz w:val="20"/>
                <w:szCs w:val="20"/>
              </w:rPr>
            </w:pPr>
            <w:hyperlink r:id="rId23" w:history="1">
              <w:r w:rsidR="0082729A" w:rsidRPr="00B3149D">
                <w:rPr>
                  <w:rStyle w:val="Hyperlink"/>
                  <w:sz w:val="20"/>
                  <w:szCs w:val="20"/>
                </w:rPr>
                <w:t>2019 ONSC 6397</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 xml:space="preserve">Application for declaration Independent Electricity System Operator estopped by convention from terminating contracts dismissed </w:t>
            </w: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August 7, 2020</w:t>
            </w:r>
          </w:p>
          <w:p w:rsidR="0082729A" w:rsidRPr="00B3149D" w:rsidRDefault="0082729A" w:rsidP="00B3166C">
            <w:pPr>
              <w:jc w:val="both"/>
              <w:rPr>
                <w:sz w:val="20"/>
                <w:szCs w:val="20"/>
              </w:rPr>
            </w:pPr>
            <w:r w:rsidRPr="00B3149D">
              <w:rPr>
                <w:sz w:val="20"/>
                <w:szCs w:val="20"/>
              </w:rPr>
              <w:t>Court of Appeal for Ontario</w:t>
            </w:r>
          </w:p>
          <w:p w:rsidR="0082729A" w:rsidRPr="00B3149D" w:rsidRDefault="0082729A" w:rsidP="00B3166C">
            <w:pPr>
              <w:jc w:val="both"/>
              <w:rPr>
                <w:sz w:val="20"/>
                <w:szCs w:val="20"/>
              </w:rPr>
            </w:pPr>
            <w:r w:rsidRPr="00B3149D">
              <w:rPr>
                <w:sz w:val="20"/>
                <w:szCs w:val="20"/>
              </w:rPr>
              <w:t>(Feldman, Lauwers, Huscroft JJ.A.)</w:t>
            </w:r>
          </w:p>
          <w:p w:rsidR="0082729A" w:rsidRPr="00B3149D" w:rsidRDefault="00E51866" w:rsidP="00B3166C">
            <w:pPr>
              <w:jc w:val="both"/>
              <w:rPr>
                <w:sz w:val="20"/>
                <w:szCs w:val="20"/>
              </w:rPr>
            </w:pPr>
            <w:hyperlink r:id="rId24" w:history="1">
              <w:r w:rsidR="0082729A" w:rsidRPr="00B3149D">
                <w:rPr>
                  <w:rStyle w:val="Hyperlink"/>
                  <w:sz w:val="20"/>
                  <w:szCs w:val="20"/>
                </w:rPr>
                <w:t>2020 ONCA 499</w:t>
              </w:r>
            </w:hyperlink>
            <w:r w:rsidR="0082729A" w:rsidRPr="00B3149D">
              <w:rPr>
                <w:sz w:val="20"/>
                <w:szCs w:val="20"/>
              </w:rPr>
              <w:t>; C67794</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dismissed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November 5,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38"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39387</w:t>
            </w:r>
          </w:p>
        </w:tc>
        <w:tc>
          <w:tcPr>
            <w:tcW w:w="4457" w:type="pct"/>
            <w:gridSpan w:val="3"/>
          </w:tcPr>
          <w:p w:rsidR="0082729A" w:rsidRPr="00B3149D" w:rsidRDefault="00B3166C" w:rsidP="00B3166C">
            <w:pPr>
              <w:pStyle w:val="SCCLsocParty"/>
              <w:jc w:val="both"/>
              <w:rPr>
                <w:b/>
                <w:sz w:val="20"/>
                <w:szCs w:val="20"/>
              </w:rPr>
            </w:pPr>
            <w:r w:rsidRPr="00B3149D">
              <w:rPr>
                <w:b/>
                <w:sz w:val="20"/>
                <w:szCs w:val="20"/>
              </w:rPr>
              <w:t>KL Solar Projects LP, Highlands Solar Projects LP, Madawaska Solar Projects LP, McNab Solar Projects LP, PB Solar Projects LP, Ramara Solar Projects LP, Sudbury Community Solar Projects LP et Sustainable Ottawa Project LP</w:t>
            </w:r>
            <w:r w:rsidR="0082729A" w:rsidRPr="00B3149D">
              <w:rPr>
                <w:b/>
                <w:sz w:val="20"/>
                <w:szCs w:val="20"/>
              </w:rPr>
              <w:t xml:space="preserve"> c. </w:t>
            </w:r>
            <w:r w:rsidR="0082729A" w:rsidRPr="00B3149D">
              <w:rPr>
                <w:b/>
                <w:bCs/>
                <w:sz w:val="20"/>
                <w:szCs w:val="20"/>
              </w:rPr>
              <w:t>Société indépendante d’exploitation du réseau d’électricité</w:t>
            </w:r>
          </w:p>
          <w:p w:rsidR="0082729A" w:rsidRPr="00B3149D" w:rsidRDefault="0082729A" w:rsidP="00B3166C">
            <w:pPr>
              <w:jc w:val="both"/>
              <w:rPr>
                <w:sz w:val="20"/>
                <w:szCs w:val="20"/>
                <w:lang w:val="fr-CA"/>
              </w:rPr>
            </w:pPr>
            <w:r w:rsidRPr="00B3149D">
              <w:rPr>
                <w:sz w:val="20"/>
                <w:szCs w:val="20"/>
                <w:lang w:val="fr-CA"/>
              </w:rPr>
              <w:t>(Ont.) (Civile) (Sur autorisation)</w:t>
            </w:r>
          </w:p>
        </w:tc>
      </w:tr>
      <w:tr w:rsidR="00B22DD4" w:rsidRPr="009873D4" w:rsidTr="00B3166C">
        <w:tc>
          <w:tcPr>
            <w:tcW w:w="5000" w:type="pct"/>
            <w:gridSpan w:val="4"/>
          </w:tcPr>
          <w:p w:rsidR="00B22DD4" w:rsidRPr="00B3149D" w:rsidRDefault="00B3166C" w:rsidP="00B3166C">
            <w:pPr>
              <w:jc w:val="both"/>
              <w:rPr>
                <w:sz w:val="20"/>
                <w:szCs w:val="20"/>
                <w:lang w:val="fr-CA"/>
              </w:rPr>
            </w:pPr>
            <w:r w:rsidRPr="00B3149D">
              <w:rPr>
                <w:sz w:val="20"/>
                <w:szCs w:val="20"/>
                <w:lang w:val="fr-CA"/>
              </w:rPr>
              <w:t>La demande d’autorisation d’appel de l’arrêt de la Cour d’appel de l’Ontario, numéro C67795, 2020 ONCA 499, daté du 7 août 2020, est rejet</w:t>
            </w:r>
            <w:r w:rsidRPr="00B3149D">
              <w:rPr>
                <w:rFonts w:cs="Times New Roman"/>
                <w:sz w:val="20"/>
                <w:szCs w:val="20"/>
                <w:lang w:val="fr-CA"/>
              </w:rPr>
              <w:t>é</w:t>
            </w:r>
            <w:r w:rsidRPr="00B3149D">
              <w:rPr>
                <w:sz w:val="20"/>
                <w:szCs w:val="20"/>
                <w:lang w:val="fr-CA"/>
              </w:rPr>
              <w:t>e avec d</w:t>
            </w:r>
            <w:r w:rsidRPr="00B3149D">
              <w:rPr>
                <w:rFonts w:cs="Times New Roman"/>
                <w:sz w:val="20"/>
                <w:szCs w:val="20"/>
                <w:lang w:val="fr-CA"/>
              </w:rPr>
              <w:t>é</w:t>
            </w:r>
            <w:r w:rsidRPr="00B3149D">
              <w:rPr>
                <w:sz w:val="20"/>
                <w:szCs w:val="20"/>
                <w:lang w:val="fr-CA"/>
              </w:rPr>
              <w:t>pens.</w:t>
            </w:r>
          </w:p>
          <w:p w:rsidR="00B3166C" w:rsidRPr="00B3149D" w:rsidRDefault="00B3166C"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lastRenderedPageBreak/>
              <w:t>Contrats — Interprétation — Que faut</w:t>
            </w:r>
            <w:r w:rsidRPr="00B3149D">
              <w:rPr>
                <w:sz w:val="20"/>
                <w:szCs w:val="20"/>
                <w:lang w:val="fr-CA"/>
              </w:rPr>
              <w:noBreakHyphen/>
              <w:t>il pour établir une présupposition commune de préclusion par convention ? — La préclusion ou la renonciation peut</w:t>
            </w:r>
            <w:r w:rsidRPr="00B3149D">
              <w:rPr>
                <w:sz w:val="20"/>
                <w:szCs w:val="20"/>
                <w:lang w:val="fr-CA"/>
              </w:rPr>
              <w:noBreakHyphen/>
              <w:t>elle découler de déclarations ou de conduite à l’endroit de tiers ? — Les clauses d’intégralité de l’entente ou de non</w:t>
            </w:r>
            <w:r w:rsidRPr="00B3149D">
              <w:rPr>
                <w:sz w:val="20"/>
                <w:szCs w:val="20"/>
                <w:lang w:val="fr-CA"/>
              </w:rPr>
              <w:noBreakHyphen/>
              <w:t>renonciation dans les contrats empêchent</w:t>
            </w:r>
            <w:r w:rsidRPr="00B3149D">
              <w:rPr>
                <w:sz w:val="20"/>
                <w:szCs w:val="20"/>
                <w:lang w:val="fr-CA"/>
              </w:rPr>
              <w:noBreakHyphen/>
              <w:t>elles la préclusion ou la renonciation ? — De quelle façon les principes de préclusion et de renonciation en droit privé s’appliquent</w:t>
            </w:r>
            <w:r w:rsidRPr="00B3149D">
              <w:rPr>
                <w:sz w:val="20"/>
                <w:szCs w:val="20"/>
                <w:lang w:val="fr-CA"/>
              </w:rPr>
              <w:noBreakHyphen/>
              <w:t>ils aux entrepreneurs du gouvernement et aux modifications des politiques gouvernementales ?</w:t>
            </w:r>
          </w:p>
        </w:tc>
      </w:tr>
      <w:tr w:rsidR="0082729A" w:rsidRPr="00B3149D" w:rsidTr="00B3166C">
        <w:tc>
          <w:tcPr>
            <w:tcW w:w="5000" w:type="pct"/>
            <w:gridSpan w:val="4"/>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bCs/>
                <w:sz w:val="20"/>
                <w:szCs w:val="20"/>
                <w:lang w:val="fr-CA"/>
              </w:rPr>
              <w:t>La Société indépendante d’exploitation du réseau d’électricité</w:t>
            </w:r>
            <w:r w:rsidRPr="00B3149D">
              <w:rPr>
                <w:sz w:val="20"/>
                <w:szCs w:val="20"/>
                <w:lang w:val="fr-CA"/>
              </w:rPr>
              <w:t xml:space="preserve"> a conclu un contrat type avec chacune des demanderesses. Le contrat stipulait que le délai était de rigueur et établissait une date repère à laquelle la société d’énergie renouvelable devait atteindre l’étape de l’exploitation commerciale des installations d’énergie solaire. Les sociétés d’énergie n’ont pas respecté ce délai. La </w:t>
            </w:r>
            <w:r w:rsidRPr="00B3149D">
              <w:rPr>
                <w:bCs/>
                <w:sz w:val="20"/>
                <w:szCs w:val="20"/>
                <w:lang w:val="fr-CA"/>
              </w:rPr>
              <w:t>Société indépendante d’exploitation du réseau d’électricité</w:t>
            </w:r>
            <w:r w:rsidRPr="00B3149D">
              <w:rPr>
                <w:sz w:val="20"/>
                <w:szCs w:val="20"/>
                <w:lang w:val="fr-CA"/>
              </w:rPr>
              <w:t xml:space="preserve"> a mis fin aux contrats sans verser de dommages</w:t>
            </w:r>
            <w:r w:rsidRPr="00B3149D">
              <w:rPr>
                <w:sz w:val="20"/>
                <w:szCs w:val="20"/>
                <w:lang w:val="fr-CA"/>
              </w:rPr>
              <w:noBreakHyphen/>
              <w:t>intérêts. Les demanderesses ont conjointement présenté une demande sollicitant un jugement déclaratoire portant que</w:t>
            </w:r>
            <w:r w:rsidRPr="00B3149D">
              <w:rPr>
                <w:bCs/>
                <w:sz w:val="20"/>
                <w:szCs w:val="20"/>
                <w:lang w:val="fr-CA"/>
              </w:rPr>
              <w:t xml:space="preserve"> la Société indépendante d’exploitation du réseau d’électricité</w:t>
            </w:r>
            <w:r w:rsidRPr="00B3149D">
              <w:rPr>
                <w:sz w:val="20"/>
                <w:szCs w:val="20"/>
                <w:lang w:val="fr-CA"/>
              </w:rPr>
              <w:t xml:space="preserve"> ne pouvait mettre fin aux contrats en raison de préclusion par convention. Le juge saisi de la demande a rejeté cette dernière. La Cour d’appel a rejeté l’appel.</w:t>
            </w:r>
          </w:p>
        </w:tc>
      </w:tr>
      <w:tr w:rsidR="0082729A" w:rsidRPr="00B3149D" w:rsidTr="00B3166C">
        <w:tc>
          <w:tcPr>
            <w:tcW w:w="5000" w:type="pct"/>
            <w:gridSpan w:val="4"/>
          </w:tcPr>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15 novembre 2019</w:t>
            </w:r>
          </w:p>
          <w:p w:rsidR="0082729A" w:rsidRPr="00B3149D" w:rsidRDefault="0082729A" w:rsidP="00B3166C">
            <w:pPr>
              <w:jc w:val="both"/>
              <w:rPr>
                <w:sz w:val="20"/>
                <w:szCs w:val="20"/>
                <w:lang w:val="fr-CA"/>
              </w:rPr>
            </w:pPr>
            <w:r w:rsidRPr="00B3149D">
              <w:rPr>
                <w:sz w:val="20"/>
                <w:szCs w:val="20"/>
                <w:lang w:val="fr-CA"/>
              </w:rPr>
              <w:t>Cour supérieure de justice de l’Ontario</w:t>
            </w:r>
          </w:p>
          <w:p w:rsidR="0082729A" w:rsidRPr="00B3149D" w:rsidRDefault="0082729A" w:rsidP="00B3166C">
            <w:pPr>
              <w:jc w:val="both"/>
              <w:rPr>
                <w:sz w:val="20"/>
                <w:szCs w:val="20"/>
                <w:lang w:val="fr-CA"/>
              </w:rPr>
            </w:pPr>
            <w:r w:rsidRPr="00B3149D">
              <w:rPr>
                <w:sz w:val="20"/>
                <w:szCs w:val="20"/>
                <w:lang w:val="fr-CA"/>
              </w:rPr>
              <w:t xml:space="preserve">(Juge Hainey) </w:t>
            </w:r>
          </w:p>
          <w:p w:rsidR="0082729A" w:rsidRPr="00B3149D" w:rsidRDefault="00E51866" w:rsidP="00B3166C">
            <w:pPr>
              <w:jc w:val="both"/>
              <w:rPr>
                <w:sz w:val="20"/>
                <w:szCs w:val="20"/>
                <w:lang w:val="fr-CA"/>
              </w:rPr>
            </w:pPr>
            <w:hyperlink r:id="rId25" w:history="1">
              <w:r w:rsidR="0082729A" w:rsidRPr="00B3149D">
                <w:rPr>
                  <w:rStyle w:val="Hyperlink"/>
                  <w:sz w:val="20"/>
                  <w:szCs w:val="20"/>
                  <w:lang w:val="fr-CA"/>
                </w:rPr>
                <w:t>2019 ONSC 6397</w:t>
              </w:r>
            </w:hyperlink>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sollicitant un jugement déclaratoire portant que</w:t>
            </w:r>
            <w:r w:rsidRPr="00B3149D">
              <w:rPr>
                <w:bCs/>
                <w:sz w:val="20"/>
                <w:szCs w:val="20"/>
                <w:lang w:val="fr-CA"/>
              </w:rPr>
              <w:t xml:space="preserve"> la Société indépendante d’exploitation du réseau d’électricité</w:t>
            </w:r>
            <w:r w:rsidRPr="00B3149D">
              <w:rPr>
                <w:sz w:val="20"/>
                <w:szCs w:val="20"/>
                <w:lang w:val="fr-CA"/>
              </w:rPr>
              <w:t xml:space="preserve"> ne pouvait mettre fin aux contrats en raison de préclusion par convention est rejetée.</w:t>
            </w:r>
          </w:p>
        </w:tc>
      </w:tr>
      <w:tr w:rsidR="0082729A" w:rsidRPr="00B3149D"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7 août 2020</w:t>
            </w:r>
          </w:p>
          <w:p w:rsidR="0082729A" w:rsidRPr="00B3149D" w:rsidRDefault="0082729A" w:rsidP="00B3166C">
            <w:pPr>
              <w:jc w:val="both"/>
              <w:rPr>
                <w:sz w:val="20"/>
                <w:szCs w:val="20"/>
                <w:lang w:val="fr-CA"/>
              </w:rPr>
            </w:pPr>
            <w:r w:rsidRPr="00B3149D">
              <w:rPr>
                <w:sz w:val="20"/>
                <w:szCs w:val="20"/>
                <w:lang w:val="fr-CA"/>
              </w:rPr>
              <w:t>Cour d’appel de l’Ontario</w:t>
            </w:r>
          </w:p>
          <w:p w:rsidR="0082729A" w:rsidRPr="00B3149D" w:rsidRDefault="0082729A" w:rsidP="00B3166C">
            <w:pPr>
              <w:jc w:val="both"/>
              <w:rPr>
                <w:sz w:val="20"/>
                <w:szCs w:val="20"/>
                <w:lang w:val="fr-CA"/>
              </w:rPr>
            </w:pPr>
            <w:r w:rsidRPr="00B3149D">
              <w:rPr>
                <w:sz w:val="20"/>
                <w:szCs w:val="20"/>
                <w:lang w:val="fr-CA"/>
              </w:rPr>
              <w:t>(Juges Feldman, Lauwers, Huscroft)</w:t>
            </w:r>
          </w:p>
          <w:p w:rsidR="0082729A" w:rsidRPr="00B3149D" w:rsidRDefault="00E51866" w:rsidP="00B3166C">
            <w:pPr>
              <w:jc w:val="both"/>
              <w:rPr>
                <w:sz w:val="20"/>
                <w:szCs w:val="20"/>
                <w:lang w:val="fr-CA"/>
              </w:rPr>
            </w:pPr>
            <w:hyperlink r:id="rId26" w:history="1">
              <w:r w:rsidR="0082729A" w:rsidRPr="00B3149D">
                <w:rPr>
                  <w:rStyle w:val="Hyperlink"/>
                  <w:sz w:val="20"/>
                  <w:szCs w:val="20"/>
                  <w:lang w:val="fr-CA"/>
                </w:rPr>
                <w:t>2020 ONCA 499</w:t>
              </w:r>
            </w:hyperlink>
            <w:r w:rsidR="0082729A" w:rsidRPr="00B3149D">
              <w:rPr>
                <w:sz w:val="20"/>
                <w:szCs w:val="20"/>
                <w:lang w:val="fr-CA"/>
              </w:rPr>
              <w:t>; C67794</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L’appel est rejeté.</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5 novembre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39"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39415</w:t>
            </w:r>
          </w:p>
        </w:tc>
        <w:tc>
          <w:tcPr>
            <w:tcW w:w="4457" w:type="pct"/>
          </w:tcPr>
          <w:p w:rsidR="0082729A" w:rsidRPr="00B3149D" w:rsidRDefault="0082729A" w:rsidP="00B3166C">
            <w:pPr>
              <w:pStyle w:val="SCCLsocParty"/>
              <w:jc w:val="both"/>
              <w:rPr>
                <w:b/>
                <w:sz w:val="20"/>
                <w:szCs w:val="20"/>
                <w:lang w:val="en-US"/>
              </w:rPr>
            </w:pPr>
            <w:r w:rsidRPr="00B3149D">
              <w:rPr>
                <w:b/>
                <w:sz w:val="20"/>
                <w:szCs w:val="20"/>
                <w:lang w:val="en-US"/>
              </w:rPr>
              <w:t>Tanya Rebello v. Her Majesty the Queen in Right of the Province of Ontario represented by the Minister of Transportation for the Province of Ontario</w:t>
            </w:r>
          </w:p>
          <w:p w:rsidR="0082729A" w:rsidRPr="00B3149D" w:rsidRDefault="0082729A" w:rsidP="00B3166C">
            <w:pPr>
              <w:jc w:val="both"/>
              <w:rPr>
                <w:sz w:val="20"/>
                <w:szCs w:val="20"/>
              </w:rPr>
            </w:pPr>
            <w:r w:rsidRPr="00B3149D">
              <w:rPr>
                <w:sz w:val="20"/>
                <w:szCs w:val="20"/>
              </w:rPr>
              <w:t>(Ont.) (Civil) (By Leave)</w:t>
            </w:r>
          </w:p>
        </w:tc>
      </w:tr>
      <w:tr w:rsidR="00B22DD4" w:rsidRPr="00B3149D" w:rsidTr="00B3166C">
        <w:tc>
          <w:tcPr>
            <w:tcW w:w="5000" w:type="pct"/>
            <w:gridSpan w:val="2"/>
          </w:tcPr>
          <w:p w:rsidR="00B3166C" w:rsidRPr="00B3149D" w:rsidRDefault="00B3166C" w:rsidP="00B3166C">
            <w:pPr>
              <w:jc w:val="both"/>
              <w:rPr>
                <w:sz w:val="20"/>
                <w:szCs w:val="20"/>
              </w:rPr>
            </w:pPr>
            <w:r w:rsidRPr="00B3149D">
              <w:rPr>
                <w:sz w:val="20"/>
                <w:szCs w:val="20"/>
              </w:rPr>
              <w:t>The request for an oral hearing is dismissed. The application for leave to appeal from the judgment of the Court of Appeal for Ontario, Number M50954, dated June 23, 2020, is dismissed with costs.</w:t>
            </w:r>
          </w:p>
          <w:p w:rsidR="00B22DD4" w:rsidRPr="00B3149D" w:rsidRDefault="00B22DD4" w:rsidP="00B3166C">
            <w:pPr>
              <w:jc w:val="both"/>
              <w:rPr>
                <w:sz w:val="20"/>
                <w:szCs w:val="20"/>
              </w:rPr>
            </w:pPr>
          </w:p>
        </w:tc>
      </w:tr>
      <w:tr w:rsidR="0082729A" w:rsidRPr="00B3149D" w:rsidTr="00B3166C">
        <w:tc>
          <w:tcPr>
            <w:tcW w:w="5000" w:type="pct"/>
            <w:gridSpan w:val="2"/>
          </w:tcPr>
          <w:p w:rsidR="0082729A" w:rsidRPr="00B3149D" w:rsidRDefault="0082729A" w:rsidP="00B3166C">
            <w:pPr>
              <w:jc w:val="both"/>
              <w:rPr>
                <w:sz w:val="20"/>
                <w:szCs w:val="20"/>
              </w:rPr>
            </w:pPr>
            <w:r w:rsidRPr="00B3149D">
              <w:rPr>
                <w:i/>
                <w:sz w:val="20"/>
                <w:szCs w:val="20"/>
              </w:rPr>
              <w:t>Charter of rights</w:t>
            </w:r>
            <w:r w:rsidRPr="00B3149D">
              <w:rPr>
                <w:sz w:val="20"/>
                <w:szCs w:val="20"/>
              </w:rPr>
              <w:t xml:space="preserve"> — Civil procedure — Commencement of proceedings — Crown law — Proceedings against the Crown — Notice — Applicant’s lawsuit against province dismissed for lack of appropriate notice of claim against Crown — Divisional Court and Court of Appeal refusing to grant leave to appeal — Whether legislation can block individual from seeking remedy for breach of </w:t>
            </w:r>
            <w:r w:rsidRPr="00B3149D">
              <w:rPr>
                <w:i/>
                <w:sz w:val="20"/>
                <w:szCs w:val="20"/>
              </w:rPr>
              <w:t>Charter</w:t>
            </w:r>
            <w:r w:rsidRPr="00B3149D">
              <w:rPr>
                <w:sz w:val="20"/>
                <w:szCs w:val="20"/>
              </w:rPr>
              <w:t xml:space="preserve"> rights — Whether legislation can block individual from seeking access to justice and can block individual’s right to have case heard in province — Whether courts below erred in deciding rule of law issues and </w:t>
            </w:r>
            <w:r w:rsidRPr="00B3149D">
              <w:rPr>
                <w:i/>
                <w:sz w:val="20"/>
                <w:szCs w:val="20"/>
              </w:rPr>
              <w:t xml:space="preserve">Charter </w:t>
            </w:r>
            <w:r w:rsidRPr="00B3149D">
              <w:rPr>
                <w:sz w:val="20"/>
                <w:szCs w:val="20"/>
              </w:rPr>
              <w:t xml:space="preserve">rights issues contrary to jurisprudence — Whether Court of Appeal decision puts law in Canada in conflict, creating significant uncertainty in the law — Whether issues raised impact all Canadians, including general protection of economic rights, and protections for natural justice and judicial fairness in every province — Whether there is good reason to doubt correctness of decisions below — Whether Court of Appeal made order misinterpreting and misapplying facts and law — Whether Court of Appeal’s order contrary to laws of court — Whether Court of Appeal’s order bars ability to seek remedy for violation of rights, contrary to constitutional principles in other cases — </w:t>
            </w:r>
            <w:r w:rsidRPr="00B3149D">
              <w:rPr>
                <w:i/>
                <w:sz w:val="20"/>
                <w:szCs w:val="20"/>
              </w:rPr>
              <w:t>Proceedings Against the Crown Act</w:t>
            </w:r>
            <w:r w:rsidRPr="00B3149D">
              <w:rPr>
                <w:sz w:val="20"/>
                <w:szCs w:val="20"/>
              </w:rPr>
              <w:t>, R.S.O. 1990, c. P.27, s. 7.</w:t>
            </w:r>
          </w:p>
          <w:p w:rsidR="00D84797" w:rsidRPr="00B3149D" w:rsidRDefault="00D84797" w:rsidP="00B3166C">
            <w:pPr>
              <w:jc w:val="both"/>
              <w:rPr>
                <w:sz w:val="20"/>
                <w:szCs w:val="20"/>
              </w:rPr>
            </w:pPr>
          </w:p>
        </w:tc>
      </w:tr>
    </w:tbl>
    <w:p w:rsidR="00D84797" w:rsidRPr="00B3149D" w:rsidRDefault="00D84797">
      <w:r w:rsidRPr="00B314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B3149D" w:rsidTr="00B3166C">
        <w:tc>
          <w:tcPr>
            <w:tcW w:w="5000" w:type="pct"/>
            <w:gridSpan w:val="3"/>
          </w:tcPr>
          <w:p w:rsidR="0082729A" w:rsidRPr="00B3149D" w:rsidRDefault="0082729A" w:rsidP="00B3166C">
            <w:pPr>
              <w:jc w:val="both"/>
              <w:rPr>
                <w:sz w:val="20"/>
                <w:szCs w:val="20"/>
              </w:rPr>
            </w:pPr>
            <w:r w:rsidRPr="00B3149D">
              <w:rPr>
                <w:sz w:val="20"/>
                <w:szCs w:val="20"/>
              </w:rPr>
              <w:lastRenderedPageBreak/>
              <w:t xml:space="preserve">The applicant, Ms. Tanya Rebello, attempted to sue the Province of Ontario, as represented by the Minister of Transportation, in respect of allegations concerning the transfer of the ownership of her vehicle, the removal of her licence plate from the Ministry’s system, and the suspension of her driver’s licence. Ontario contested the action, noting that Ms. Rebello had failed to provide proper notice of the claim, as required by the provincial </w:t>
            </w:r>
            <w:r w:rsidRPr="00B3149D">
              <w:rPr>
                <w:i/>
                <w:sz w:val="20"/>
                <w:szCs w:val="20"/>
              </w:rPr>
              <w:t>Proceedings Against the Crown Act</w:t>
            </w:r>
            <w:r w:rsidRPr="00B3149D">
              <w:rPr>
                <w:sz w:val="20"/>
                <w:szCs w:val="20"/>
              </w:rPr>
              <w:t>, R.S.O. 1990, c. P.27. Ontario brought a motion to strike Ms. Rebello’s underlying action against the Province.</w:t>
            </w:r>
          </w:p>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A motion judge at the Superior Court granted Ontario’s motion to strike, and dismissed Ms. Rebello’s underlying action against Ontario; however, Ms. Rebello was allowed to file a new claim on the same issues. The Divisional Court denied Ms. Rebello leave to appeal that decision, finding that the dismissal order was final and the appropriate route was an appeal to the Court of Appeal; the Divisional Court lacked jurisdiction to hear an appeal. The Court of Appeal dismissed Ms. Rebello’s motion seeking leave to appeal the Divisional Court decision.</w:t>
            </w:r>
          </w:p>
        </w:tc>
      </w:tr>
      <w:tr w:rsidR="0082729A" w:rsidRPr="00B3149D" w:rsidTr="00B3166C">
        <w:tc>
          <w:tcPr>
            <w:tcW w:w="5000" w:type="pct"/>
            <w:gridSpan w:val="3"/>
          </w:tcPr>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March 29, 2018</w:t>
            </w:r>
          </w:p>
          <w:p w:rsidR="0082729A" w:rsidRPr="00B3149D" w:rsidRDefault="0082729A" w:rsidP="00B3166C">
            <w:pPr>
              <w:jc w:val="both"/>
              <w:rPr>
                <w:sz w:val="20"/>
                <w:szCs w:val="20"/>
              </w:rPr>
            </w:pPr>
            <w:r w:rsidRPr="00B3149D">
              <w:rPr>
                <w:sz w:val="20"/>
                <w:szCs w:val="20"/>
              </w:rPr>
              <w:t>Ontario Superior Court of Justice</w:t>
            </w:r>
          </w:p>
          <w:p w:rsidR="0082729A" w:rsidRPr="00B3149D" w:rsidRDefault="0082729A" w:rsidP="00B3166C">
            <w:pPr>
              <w:jc w:val="both"/>
              <w:rPr>
                <w:sz w:val="20"/>
                <w:szCs w:val="20"/>
              </w:rPr>
            </w:pPr>
            <w:r w:rsidRPr="00B3149D">
              <w:rPr>
                <w:sz w:val="20"/>
                <w:szCs w:val="20"/>
              </w:rPr>
              <w:t>(Dunphy J.)</w:t>
            </w:r>
          </w:p>
          <w:p w:rsidR="0082729A" w:rsidRPr="00B3149D" w:rsidRDefault="0082729A" w:rsidP="00B3166C">
            <w:pPr>
              <w:jc w:val="both"/>
              <w:rPr>
                <w:sz w:val="20"/>
                <w:szCs w:val="20"/>
              </w:rPr>
            </w:pPr>
            <w:r w:rsidRPr="00B3149D">
              <w:rPr>
                <w:sz w:val="20"/>
                <w:szCs w:val="20"/>
              </w:rPr>
              <w:t xml:space="preserve">Superior court file number: CV-18-599902 </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Motion to dismiss Ms. Rebello’s action against Ontario — granted.</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October 4, 2019</w:t>
            </w:r>
          </w:p>
          <w:p w:rsidR="0082729A" w:rsidRPr="00B3149D" w:rsidRDefault="0082729A" w:rsidP="00B3166C">
            <w:pPr>
              <w:jc w:val="both"/>
              <w:rPr>
                <w:sz w:val="20"/>
                <w:szCs w:val="20"/>
              </w:rPr>
            </w:pPr>
            <w:r w:rsidRPr="00B3149D">
              <w:rPr>
                <w:sz w:val="20"/>
                <w:szCs w:val="20"/>
              </w:rPr>
              <w:t>Ontario Superior Court of Justice</w:t>
            </w:r>
          </w:p>
          <w:p w:rsidR="0082729A" w:rsidRPr="00B3149D" w:rsidRDefault="0082729A" w:rsidP="00B3166C">
            <w:pPr>
              <w:jc w:val="both"/>
              <w:rPr>
                <w:sz w:val="20"/>
                <w:szCs w:val="20"/>
              </w:rPr>
            </w:pPr>
            <w:r w:rsidRPr="00B3149D">
              <w:rPr>
                <w:sz w:val="20"/>
                <w:szCs w:val="20"/>
              </w:rPr>
              <w:t>(Divisional Court)</w:t>
            </w:r>
          </w:p>
          <w:p w:rsidR="0082729A" w:rsidRPr="00B3149D" w:rsidRDefault="0082729A" w:rsidP="00B3166C">
            <w:pPr>
              <w:jc w:val="both"/>
              <w:rPr>
                <w:sz w:val="20"/>
                <w:szCs w:val="20"/>
              </w:rPr>
            </w:pPr>
            <w:r w:rsidRPr="00B3149D">
              <w:rPr>
                <w:sz w:val="20"/>
                <w:szCs w:val="20"/>
              </w:rPr>
              <w:t>(Sachs, Corbett and Sutherland JJ.)</w:t>
            </w:r>
          </w:p>
          <w:p w:rsidR="0082729A" w:rsidRPr="00B3149D" w:rsidRDefault="0082729A" w:rsidP="00B3166C">
            <w:pPr>
              <w:jc w:val="both"/>
              <w:rPr>
                <w:sz w:val="20"/>
                <w:szCs w:val="20"/>
              </w:rPr>
            </w:pPr>
            <w:r w:rsidRPr="00B3149D">
              <w:rPr>
                <w:sz w:val="20"/>
                <w:szCs w:val="20"/>
              </w:rPr>
              <w:t xml:space="preserve">Divisional court file number: CD-207-19 </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Ms. Rebello’s motion for leave to appeal Superior Court order — dismissed.</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June 23, 2020</w:t>
            </w:r>
          </w:p>
          <w:p w:rsidR="0082729A" w:rsidRPr="00B3149D" w:rsidRDefault="0082729A" w:rsidP="00B3166C">
            <w:pPr>
              <w:jc w:val="both"/>
              <w:rPr>
                <w:sz w:val="20"/>
                <w:szCs w:val="20"/>
              </w:rPr>
            </w:pPr>
            <w:r w:rsidRPr="00B3149D">
              <w:rPr>
                <w:sz w:val="20"/>
                <w:szCs w:val="20"/>
              </w:rPr>
              <w:t>Court of Appeal for Ontario</w:t>
            </w:r>
          </w:p>
          <w:p w:rsidR="0082729A" w:rsidRPr="00B3149D" w:rsidRDefault="0082729A" w:rsidP="00B3166C">
            <w:pPr>
              <w:jc w:val="both"/>
              <w:rPr>
                <w:sz w:val="20"/>
                <w:szCs w:val="20"/>
              </w:rPr>
            </w:pPr>
            <w:r w:rsidRPr="00B3149D">
              <w:rPr>
                <w:sz w:val="20"/>
                <w:szCs w:val="20"/>
              </w:rPr>
              <w:t>(Gillese, Brown and Paciocco JJ.A.)</w:t>
            </w:r>
          </w:p>
          <w:p w:rsidR="0082729A" w:rsidRPr="00B3149D" w:rsidRDefault="0082729A" w:rsidP="00B3166C">
            <w:pPr>
              <w:jc w:val="both"/>
              <w:rPr>
                <w:sz w:val="20"/>
                <w:szCs w:val="20"/>
              </w:rPr>
            </w:pPr>
            <w:r w:rsidRPr="00B3149D">
              <w:rPr>
                <w:sz w:val="20"/>
                <w:szCs w:val="20"/>
              </w:rPr>
              <w:t xml:space="preserve">Court of Appeal file number: M-50954 </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Ms. Rebello’s motion for leave to appeal Divisional Court order — dismissed.</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August 25,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 by Ms. Rebello, along with requ</w:t>
            </w:r>
            <w:r w:rsidRPr="00B3149D">
              <w:rPr>
                <w:sz w:val="20"/>
              </w:rPr>
              <w:t>est for oral hearing</w:t>
            </w: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40"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39415</w:t>
            </w:r>
          </w:p>
        </w:tc>
        <w:tc>
          <w:tcPr>
            <w:tcW w:w="4457" w:type="pct"/>
          </w:tcPr>
          <w:p w:rsidR="0082729A" w:rsidRPr="00B3149D" w:rsidRDefault="0082729A" w:rsidP="00B3166C">
            <w:pPr>
              <w:pStyle w:val="SCCLsocParty"/>
              <w:jc w:val="both"/>
              <w:rPr>
                <w:b/>
                <w:sz w:val="20"/>
                <w:szCs w:val="20"/>
              </w:rPr>
            </w:pPr>
            <w:r w:rsidRPr="00B3149D">
              <w:rPr>
                <w:b/>
                <w:sz w:val="20"/>
                <w:szCs w:val="20"/>
              </w:rPr>
              <w:t>Tanya Rebello c. Sa Majesté la Reine du chef de la province de l’Ontario représentée par le ministre des Transports de la province de l’Ontario</w:t>
            </w:r>
          </w:p>
          <w:p w:rsidR="0082729A" w:rsidRPr="00B3149D" w:rsidRDefault="0082729A" w:rsidP="00B3166C">
            <w:pPr>
              <w:jc w:val="both"/>
              <w:rPr>
                <w:sz w:val="20"/>
                <w:szCs w:val="20"/>
                <w:lang w:val="fr-CA"/>
              </w:rPr>
            </w:pPr>
            <w:r w:rsidRPr="00B3149D">
              <w:rPr>
                <w:sz w:val="20"/>
                <w:szCs w:val="20"/>
                <w:lang w:val="fr-CA"/>
              </w:rPr>
              <w:t>(Ont.) (Civile) (Sur autorisation)</w:t>
            </w:r>
          </w:p>
        </w:tc>
      </w:tr>
      <w:tr w:rsidR="00B22DD4" w:rsidRPr="009873D4" w:rsidTr="00B3166C">
        <w:tc>
          <w:tcPr>
            <w:tcW w:w="5000" w:type="pct"/>
            <w:gridSpan w:val="2"/>
          </w:tcPr>
          <w:p w:rsidR="00B3166C" w:rsidRPr="00B3149D" w:rsidRDefault="00B3166C" w:rsidP="00B3166C">
            <w:pPr>
              <w:jc w:val="both"/>
              <w:rPr>
                <w:sz w:val="20"/>
                <w:szCs w:val="20"/>
                <w:lang w:val="fr-CA"/>
              </w:rPr>
            </w:pPr>
            <w:r w:rsidRPr="00B3149D">
              <w:rPr>
                <w:sz w:val="20"/>
                <w:szCs w:val="20"/>
                <w:lang w:val="fr-CA"/>
              </w:rPr>
              <w:t>La demande pour la tenue d’une audience est rejet</w:t>
            </w:r>
            <w:r w:rsidRPr="00B3149D">
              <w:rPr>
                <w:rFonts w:cs="Times New Roman"/>
                <w:sz w:val="20"/>
                <w:szCs w:val="20"/>
                <w:lang w:val="fr-CA"/>
              </w:rPr>
              <w:t>é</w:t>
            </w:r>
            <w:r w:rsidRPr="00B3149D">
              <w:rPr>
                <w:sz w:val="20"/>
                <w:szCs w:val="20"/>
                <w:lang w:val="fr-CA"/>
              </w:rPr>
              <w:t>e. La demande d’autorisation d’appel de l’arrêt de la Cour d’appel de l’Ontario, numéro M50954, daté du 23 juin 2020, est rejet</w:t>
            </w:r>
            <w:r w:rsidRPr="00B3149D">
              <w:rPr>
                <w:rFonts w:cs="Times New Roman"/>
                <w:sz w:val="20"/>
                <w:szCs w:val="20"/>
                <w:lang w:val="fr-CA"/>
              </w:rPr>
              <w:t>é</w:t>
            </w:r>
            <w:r w:rsidRPr="00B3149D">
              <w:rPr>
                <w:sz w:val="20"/>
                <w:szCs w:val="20"/>
                <w:lang w:val="fr-CA"/>
              </w:rPr>
              <w:t>e avec d</w:t>
            </w:r>
            <w:r w:rsidRPr="00B3149D">
              <w:rPr>
                <w:rFonts w:cs="Times New Roman"/>
                <w:sz w:val="20"/>
                <w:szCs w:val="20"/>
                <w:lang w:val="fr-CA"/>
              </w:rPr>
              <w:t>é</w:t>
            </w:r>
            <w:r w:rsidRPr="00B3149D">
              <w:rPr>
                <w:sz w:val="20"/>
                <w:szCs w:val="20"/>
                <w:lang w:val="fr-CA"/>
              </w:rPr>
              <w:t>pens.</w:t>
            </w:r>
          </w:p>
          <w:p w:rsidR="00B22DD4" w:rsidRPr="00B3149D" w:rsidRDefault="00B22DD4"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5000" w:type="pct"/>
            <w:gridSpan w:val="3"/>
          </w:tcPr>
          <w:p w:rsidR="0082729A" w:rsidRPr="00B3149D" w:rsidRDefault="0082729A" w:rsidP="00B3166C">
            <w:pPr>
              <w:jc w:val="both"/>
              <w:rPr>
                <w:sz w:val="20"/>
                <w:szCs w:val="20"/>
                <w:lang w:val="fr-CA"/>
              </w:rPr>
            </w:pPr>
            <w:r w:rsidRPr="00B3149D">
              <w:rPr>
                <w:i/>
                <w:sz w:val="20"/>
                <w:szCs w:val="20"/>
                <w:lang w:val="fr-CA"/>
              </w:rPr>
              <w:lastRenderedPageBreak/>
              <w:t>Charte des droits</w:t>
            </w:r>
            <w:r w:rsidRPr="00B3149D">
              <w:rPr>
                <w:sz w:val="20"/>
                <w:szCs w:val="20"/>
                <w:lang w:val="fr-CA"/>
              </w:rPr>
              <w:t xml:space="preserve"> — Procédure civile — Introduction de l’instance — Droit de la Couronne — Instances introduites contre la Couronne — Avis — La poursuite intentée par la demanderesse contre la province est rejetée faute d’avis de demande convenable contre la Couronne — La cour divisionnaire et la Cour d’appel refusent d’accorder l’autorisation d’appel — Les dispositions d’une loi peuvent</w:t>
            </w:r>
            <w:r w:rsidRPr="00B3149D">
              <w:rPr>
                <w:sz w:val="20"/>
                <w:szCs w:val="20"/>
                <w:lang w:val="fr-CA"/>
              </w:rPr>
              <w:noBreakHyphen/>
              <w:t xml:space="preserve">elles empêcher un individu de chercher à exercer un recours pour violation des droits garantis par la </w:t>
            </w:r>
            <w:r w:rsidRPr="00B3149D">
              <w:rPr>
                <w:i/>
                <w:sz w:val="20"/>
                <w:szCs w:val="20"/>
                <w:lang w:val="fr-CA"/>
              </w:rPr>
              <w:t>Charte </w:t>
            </w:r>
            <w:r w:rsidRPr="00B3149D">
              <w:rPr>
                <w:sz w:val="20"/>
                <w:szCs w:val="20"/>
                <w:lang w:val="fr-CA"/>
              </w:rPr>
              <w:t>? — Les dispositions d’une loi peuvent</w:t>
            </w:r>
            <w:r w:rsidRPr="00B3149D">
              <w:rPr>
                <w:sz w:val="20"/>
                <w:szCs w:val="20"/>
                <w:lang w:val="fr-CA"/>
              </w:rPr>
              <w:noBreakHyphen/>
              <w:t>elles empêcher un individu de chercher à obtenir l’accès à la justice et lui nier le droit à l’instruction de l’affaire dans la province ? — Les juridictions inférieures ont</w:t>
            </w:r>
            <w:r w:rsidRPr="00B3149D">
              <w:rPr>
                <w:sz w:val="20"/>
                <w:szCs w:val="20"/>
                <w:lang w:val="fr-CA"/>
              </w:rPr>
              <w:noBreakHyphen/>
              <w:t xml:space="preserve">elles commis une erreur en concluant que les questions relatives à la primauté du droit et aux droits garantis par la </w:t>
            </w:r>
            <w:r w:rsidRPr="00B3149D">
              <w:rPr>
                <w:i/>
                <w:sz w:val="20"/>
                <w:szCs w:val="20"/>
                <w:lang w:val="fr-CA"/>
              </w:rPr>
              <w:t>Charte</w:t>
            </w:r>
            <w:r w:rsidRPr="00B3149D">
              <w:rPr>
                <w:sz w:val="20"/>
                <w:szCs w:val="20"/>
                <w:lang w:val="fr-CA"/>
              </w:rPr>
              <w:t xml:space="preserve"> sont contraires à la jurisprudence ? — La décision de la Cour d’appel entraîne</w:t>
            </w:r>
            <w:r w:rsidRPr="00B3149D">
              <w:rPr>
                <w:sz w:val="20"/>
                <w:szCs w:val="20"/>
                <w:lang w:val="fr-CA"/>
              </w:rPr>
              <w:noBreakHyphen/>
              <w:t>t</w:t>
            </w:r>
            <w:r w:rsidRPr="00B3149D">
              <w:rPr>
                <w:sz w:val="20"/>
                <w:szCs w:val="20"/>
                <w:lang w:val="fr-CA"/>
              </w:rPr>
              <w:noBreakHyphen/>
              <w:t>elle des contradictions dans le droit au Canada, créant une grande incertitude juridique ? — Les questions soulevées touchent</w:t>
            </w:r>
            <w:r w:rsidRPr="00B3149D">
              <w:rPr>
                <w:sz w:val="20"/>
                <w:szCs w:val="20"/>
                <w:lang w:val="fr-CA"/>
              </w:rPr>
              <w:noBreakHyphen/>
              <w:t>elles tous les Canadiens, notamment la protection générale des droits économiques, et les protections relatives à la justice naturelle et l’équité judiciaire dans toutes les provinces ? — Existe</w:t>
            </w:r>
            <w:r w:rsidRPr="00B3149D">
              <w:rPr>
                <w:sz w:val="20"/>
                <w:szCs w:val="20"/>
                <w:lang w:val="fr-CA"/>
              </w:rPr>
              <w:noBreakHyphen/>
              <w:t>t</w:t>
            </w:r>
            <w:r w:rsidRPr="00B3149D">
              <w:rPr>
                <w:sz w:val="20"/>
                <w:szCs w:val="20"/>
                <w:lang w:val="fr-CA"/>
              </w:rPr>
              <w:noBreakHyphen/>
              <w:t>il de bonnes raisons pour douter du caractère correct des décisions des juridictions inférieures ? — La Cour d’appel a</w:t>
            </w:r>
            <w:r w:rsidRPr="00B3149D">
              <w:rPr>
                <w:sz w:val="20"/>
                <w:szCs w:val="20"/>
                <w:lang w:val="fr-CA"/>
              </w:rPr>
              <w:noBreakHyphen/>
              <w:t>t</w:t>
            </w:r>
            <w:r w:rsidRPr="00B3149D">
              <w:rPr>
                <w:sz w:val="20"/>
                <w:szCs w:val="20"/>
                <w:lang w:val="fr-CA"/>
              </w:rPr>
              <w:noBreakHyphen/>
              <w:t>elle rendu une ordonnance donnant une interprétation et une application erronées des faits et du droit ? — L’ordonnance rendue par la Cour d’appel est</w:t>
            </w:r>
            <w:r w:rsidRPr="00B3149D">
              <w:rPr>
                <w:sz w:val="20"/>
                <w:szCs w:val="20"/>
                <w:lang w:val="fr-CA"/>
              </w:rPr>
              <w:noBreakHyphen/>
              <w:t>elle contraire aux lois du tribunal ? — L’ordonnance rendue par la Cour d’appel empêche</w:t>
            </w:r>
            <w:r w:rsidRPr="00B3149D">
              <w:rPr>
                <w:sz w:val="20"/>
                <w:szCs w:val="20"/>
                <w:lang w:val="fr-CA"/>
              </w:rPr>
              <w:noBreakHyphen/>
              <w:t>t</w:t>
            </w:r>
            <w:r w:rsidRPr="00B3149D">
              <w:rPr>
                <w:sz w:val="20"/>
                <w:szCs w:val="20"/>
                <w:lang w:val="fr-CA"/>
              </w:rPr>
              <w:noBreakHyphen/>
              <w:t xml:space="preserve">elle de chercher à exercer un recours pour la violation de droits, contrairement aux principes constitutionnels établis dans d’autres affaires ? — </w:t>
            </w:r>
            <w:r w:rsidRPr="00B3149D">
              <w:rPr>
                <w:i/>
                <w:sz w:val="20"/>
                <w:szCs w:val="20"/>
                <w:lang w:val="fr-CA"/>
              </w:rPr>
              <w:t>Loi sur les instances introduites contre la Couronne</w:t>
            </w:r>
            <w:r w:rsidRPr="00B3149D">
              <w:rPr>
                <w:sz w:val="20"/>
                <w:szCs w:val="20"/>
                <w:lang w:val="fr-CA"/>
              </w:rPr>
              <w:t>, L.R.O. 1990, c. P.27, art. 7.</w:t>
            </w:r>
          </w:p>
        </w:tc>
      </w:tr>
      <w:tr w:rsidR="0082729A" w:rsidRPr="009873D4" w:rsidTr="00B3166C">
        <w:tc>
          <w:tcPr>
            <w:tcW w:w="5000" w:type="pct"/>
            <w:gridSpan w:val="3"/>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 xml:space="preserve">La demanderesse, Mme Tanya Rebello, a tenté de poursuivre la province de l’Ontario, telle que représentée par le ministre des Transports, relativement à des allégations portant sur le transfert du titre de propriété de son véhicule, la radiation de sa plaque d’immatriculation du système du ministère, et la suspension de son permis de conduire. L’Ontario a contesté l’action, soulignant que Mme Rebello n’avait pas donné avis de la demande, comme l'exige la </w:t>
            </w:r>
            <w:r w:rsidRPr="00B3149D">
              <w:rPr>
                <w:i/>
                <w:sz w:val="20"/>
                <w:szCs w:val="20"/>
                <w:lang w:val="fr-CA"/>
              </w:rPr>
              <w:t>Loi sur les instances introduites contre la Couronne</w:t>
            </w:r>
            <w:r w:rsidRPr="00B3149D">
              <w:rPr>
                <w:sz w:val="20"/>
                <w:szCs w:val="20"/>
                <w:lang w:val="fr-CA"/>
              </w:rPr>
              <w:t xml:space="preserve"> provinciale. L’Ontario a présenté une requête en radiation de l’action sous</w:t>
            </w:r>
            <w:r w:rsidRPr="00B3149D">
              <w:rPr>
                <w:sz w:val="20"/>
                <w:szCs w:val="20"/>
                <w:lang w:val="fr-CA"/>
              </w:rPr>
              <w:noBreakHyphen/>
              <w:t>jacente intentée par Mme Rebello contre la province.</w:t>
            </w:r>
          </w:p>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Le juge de la Cour supérieure saisi de la requête a accueilli la requête en radiation présentée par l’Ontario, et a rejeté l’action sous</w:t>
            </w:r>
            <w:r w:rsidRPr="00B3149D">
              <w:rPr>
                <w:sz w:val="20"/>
                <w:szCs w:val="20"/>
                <w:lang w:val="fr-CA"/>
              </w:rPr>
              <w:noBreakHyphen/>
              <w:t>jacente de Mme Rebello contre l’Ontario; toutefois, on a accordé à Mme Rebello le droit de déposer une nouvelle demande portant sur les mêmes questions. La Cour divisionnaire a refusé à Mme Rebello l’autorisation de faire appel de cette décision, concluant que l’ordonnance rejetant la requête était définitive et que le recours approprié consistait à faire appel à la Cour d’appel; la Cour divisionnaire n’avait pas compétence pour entendre l’appel. La Cour d’appel a rejeté la requête, présentée par Mme Rebello, sollicitant l’autorisation d'appel de la décision de la Cour divisionnaire.</w:t>
            </w:r>
          </w:p>
        </w:tc>
      </w:tr>
      <w:tr w:rsidR="0082729A" w:rsidRPr="009873D4" w:rsidTr="00B3166C">
        <w:tc>
          <w:tcPr>
            <w:tcW w:w="5000" w:type="pct"/>
            <w:gridSpan w:val="3"/>
          </w:tcPr>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29 mars 2018</w:t>
            </w:r>
          </w:p>
          <w:p w:rsidR="0082729A" w:rsidRPr="00B3149D" w:rsidRDefault="0082729A" w:rsidP="00B3166C">
            <w:pPr>
              <w:jc w:val="both"/>
              <w:rPr>
                <w:sz w:val="20"/>
                <w:szCs w:val="20"/>
                <w:lang w:val="fr-CA"/>
              </w:rPr>
            </w:pPr>
            <w:r w:rsidRPr="00B3149D">
              <w:rPr>
                <w:sz w:val="20"/>
                <w:szCs w:val="20"/>
                <w:lang w:val="fr-CA"/>
              </w:rPr>
              <w:t>Cour supérieure de justice de l’Ontario</w:t>
            </w:r>
          </w:p>
          <w:p w:rsidR="0082729A" w:rsidRPr="00B3149D" w:rsidRDefault="0082729A" w:rsidP="00B3166C">
            <w:pPr>
              <w:jc w:val="both"/>
              <w:rPr>
                <w:sz w:val="20"/>
                <w:szCs w:val="20"/>
                <w:lang w:val="fr-CA"/>
              </w:rPr>
            </w:pPr>
            <w:r w:rsidRPr="00B3149D">
              <w:rPr>
                <w:sz w:val="20"/>
                <w:szCs w:val="20"/>
                <w:lang w:val="fr-CA"/>
              </w:rPr>
              <w:t>(Juge Dunphy)</w:t>
            </w:r>
          </w:p>
          <w:p w:rsidR="0082729A" w:rsidRPr="00B3149D" w:rsidRDefault="0082729A" w:rsidP="00B3166C">
            <w:pPr>
              <w:jc w:val="both"/>
              <w:rPr>
                <w:sz w:val="20"/>
                <w:szCs w:val="20"/>
                <w:lang w:val="fr-CA"/>
              </w:rPr>
            </w:pPr>
            <w:r w:rsidRPr="00B3149D">
              <w:rPr>
                <w:sz w:val="20"/>
                <w:szCs w:val="20"/>
                <w:lang w:val="fr-CA"/>
              </w:rPr>
              <w:t>Numéro de dossier de la Cour supérieure : CV</w:t>
            </w:r>
            <w:r w:rsidRPr="00B3149D">
              <w:rPr>
                <w:sz w:val="20"/>
                <w:szCs w:val="20"/>
                <w:lang w:val="fr-CA"/>
              </w:rPr>
              <w:noBreakHyphen/>
              <w:t>18</w:t>
            </w:r>
            <w:r w:rsidRPr="00B3149D">
              <w:rPr>
                <w:sz w:val="20"/>
                <w:szCs w:val="20"/>
                <w:lang w:val="fr-CA"/>
              </w:rPr>
              <w:noBreakHyphen/>
              <w:t xml:space="preserve">599902 </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requête visant à rejeter l’action intentée par Mme Rebello contre l’Ontario est accueillie.</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4 octobre 2019</w:t>
            </w:r>
          </w:p>
          <w:p w:rsidR="0082729A" w:rsidRPr="00B3149D" w:rsidRDefault="0082729A" w:rsidP="00B3166C">
            <w:pPr>
              <w:jc w:val="both"/>
              <w:rPr>
                <w:sz w:val="20"/>
                <w:szCs w:val="20"/>
                <w:lang w:val="fr-CA"/>
              </w:rPr>
            </w:pPr>
            <w:r w:rsidRPr="00B3149D">
              <w:rPr>
                <w:sz w:val="20"/>
                <w:szCs w:val="20"/>
                <w:lang w:val="fr-CA"/>
              </w:rPr>
              <w:t>Cour supérieure de justice de l’Ontario</w:t>
            </w:r>
          </w:p>
          <w:p w:rsidR="0082729A" w:rsidRPr="00B3149D" w:rsidRDefault="0082729A" w:rsidP="00B3166C">
            <w:pPr>
              <w:jc w:val="both"/>
              <w:rPr>
                <w:sz w:val="20"/>
                <w:szCs w:val="20"/>
                <w:lang w:val="fr-CA"/>
              </w:rPr>
            </w:pPr>
            <w:r w:rsidRPr="00B3149D">
              <w:rPr>
                <w:sz w:val="20"/>
                <w:szCs w:val="20"/>
                <w:lang w:val="fr-CA"/>
              </w:rPr>
              <w:t>(Cour divisionnaire)</w:t>
            </w:r>
          </w:p>
          <w:p w:rsidR="0082729A" w:rsidRPr="00B3149D" w:rsidRDefault="0082729A" w:rsidP="00B3166C">
            <w:pPr>
              <w:jc w:val="both"/>
              <w:rPr>
                <w:sz w:val="20"/>
                <w:szCs w:val="20"/>
                <w:lang w:val="fr-CA"/>
              </w:rPr>
            </w:pPr>
            <w:r w:rsidRPr="00B3149D">
              <w:rPr>
                <w:sz w:val="20"/>
                <w:szCs w:val="20"/>
                <w:lang w:val="fr-CA"/>
              </w:rPr>
              <w:t>(Juges Sachs, Corbett et Sutherland)</w:t>
            </w:r>
          </w:p>
          <w:p w:rsidR="0082729A" w:rsidRPr="00B3149D" w:rsidRDefault="0082729A" w:rsidP="00B3166C">
            <w:pPr>
              <w:jc w:val="both"/>
              <w:rPr>
                <w:sz w:val="20"/>
                <w:szCs w:val="20"/>
                <w:lang w:val="fr-CA"/>
              </w:rPr>
            </w:pPr>
            <w:r w:rsidRPr="00B3149D">
              <w:rPr>
                <w:sz w:val="20"/>
                <w:szCs w:val="20"/>
                <w:lang w:val="fr-CA"/>
              </w:rPr>
              <w:t>Numéro de dossier de la Cour divisionnaire : CD</w:t>
            </w:r>
            <w:r w:rsidRPr="00B3149D">
              <w:rPr>
                <w:sz w:val="20"/>
                <w:szCs w:val="20"/>
                <w:lang w:val="fr-CA"/>
              </w:rPr>
              <w:noBreakHyphen/>
              <w:t>207</w:t>
            </w:r>
            <w:r w:rsidRPr="00B3149D">
              <w:rPr>
                <w:sz w:val="20"/>
                <w:szCs w:val="20"/>
                <w:lang w:val="fr-CA"/>
              </w:rPr>
              <w:noBreakHyphen/>
              <w:t xml:space="preserve">19 </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requête présentée par Mme Rebello sollicitant l’autorisation d’appel de l’ordonnance de la Cour supérieure est rejetée.</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23 juin 2020</w:t>
            </w:r>
          </w:p>
          <w:p w:rsidR="0082729A" w:rsidRPr="00B3149D" w:rsidRDefault="0082729A" w:rsidP="00B3166C">
            <w:pPr>
              <w:jc w:val="both"/>
              <w:rPr>
                <w:sz w:val="20"/>
                <w:szCs w:val="20"/>
                <w:lang w:val="fr-CA"/>
              </w:rPr>
            </w:pPr>
            <w:r w:rsidRPr="00B3149D">
              <w:rPr>
                <w:sz w:val="20"/>
                <w:szCs w:val="20"/>
                <w:lang w:val="fr-CA"/>
              </w:rPr>
              <w:t>Cour d’appel de l’Ontario</w:t>
            </w:r>
          </w:p>
          <w:p w:rsidR="0082729A" w:rsidRPr="00B3149D" w:rsidRDefault="0082729A" w:rsidP="00B3166C">
            <w:pPr>
              <w:jc w:val="both"/>
              <w:rPr>
                <w:sz w:val="20"/>
                <w:szCs w:val="20"/>
                <w:lang w:val="fr-CA"/>
              </w:rPr>
            </w:pPr>
            <w:r w:rsidRPr="00B3149D">
              <w:rPr>
                <w:sz w:val="20"/>
                <w:szCs w:val="20"/>
                <w:lang w:val="fr-CA"/>
              </w:rPr>
              <w:t>(Juges Gillese, Brown et Paciocco)</w:t>
            </w:r>
          </w:p>
          <w:p w:rsidR="0082729A" w:rsidRPr="00B3149D" w:rsidRDefault="0082729A" w:rsidP="00B3166C">
            <w:pPr>
              <w:jc w:val="both"/>
              <w:rPr>
                <w:sz w:val="20"/>
                <w:szCs w:val="20"/>
                <w:lang w:val="fr-CA"/>
              </w:rPr>
            </w:pPr>
            <w:r w:rsidRPr="00B3149D">
              <w:rPr>
                <w:sz w:val="20"/>
                <w:szCs w:val="20"/>
                <w:lang w:val="fr-CA"/>
              </w:rPr>
              <w:t>Numéro de dossier de la Cour d’appel : M</w:t>
            </w:r>
            <w:r w:rsidRPr="00B3149D">
              <w:rPr>
                <w:sz w:val="20"/>
                <w:szCs w:val="20"/>
                <w:lang w:val="fr-CA"/>
              </w:rPr>
              <w:noBreakHyphen/>
              <w:t xml:space="preserve">50954 </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requête présentée par Mme Rebello sollicitant l’autorisation d’appel de l’ordonnance de la Cour divisionnaire est rejetée.</w:t>
            </w:r>
          </w:p>
          <w:p w:rsidR="0082729A" w:rsidRPr="00B3149D" w:rsidRDefault="0082729A"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lastRenderedPageBreak/>
              <w:t>25 août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 par Mme Rebello, ainsi qu’une demande de tenue d’une audience.</w:t>
            </w: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41"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rStyle w:val="SCCFileNumberChar"/>
                <w:sz w:val="20"/>
                <w:szCs w:val="20"/>
              </w:rPr>
            </w:pPr>
            <w:r w:rsidRPr="00B3149D">
              <w:rPr>
                <w:rStyle w:val="SCCFileNumberChar"/>
                <w:sz w:val="20"/>
                <w:szCs w:val="20"/>
              </w:rPr>
              <w:t>39427</w:t>
            </w:r>
          </w:p>
          <w:p w:rsidR="0082729A" w:rsidRPr="00B3149D" w:rsidRDefault="0082729A" w:rsidP="00B3166C">
            <w:pPr>
              <w:jc w:val="both"/>
              <w:rPr>
                <w:sz w:val="20"/>
                <w:szCs w:val="20"/>
              </w:rPr>
            </w:pP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William McHarg Bone v. Judith Lynn Bone</w:t>
            </w:r>
          </w:p>
          <w:p w:rsidR="0082729A" w:rsidRPr="00B3149D" w:rsidRDefault="0082729A" w:rsidP="00B3166C">
            <w:pPr>
              <w:jc w:val="both"/>
              <w:rPr>
                <w:sz w:val="20"/>
                <w:szCs w:val="20"/>
              </w:rPr>
            </w:pPr>
            <w:r w:rsidRPr="00B3149D">
              <w:rPr>
                <w:sz w:val="20"/>
                <w:szCs w:val="20"/>
              </w:rPr>
              <w:t>(Alta.) (Civil) (By Leave)</w:t>
            </w:r>
          </w:p>
        </w:tc>
      </w:tr>
      <w:tr w:rsidR="00B22DD4" w:rsidRPr="00B3149D" w:rsidTr="00B3166C">
        <w:tc>
          <w:tcPr>
            <w:tcW w:w="5000" w:type="pct"/>
            <w:gridSpan w:val="4"/>
          </w:tcPr>
          <w:p w:rsidR="009D21BC" w:rsidRPr="00B3149D" w:rsidRDefault="009D21BC" w:rsidP="009D21BC">
            <w:pPr>
              <w:jc w:val="both"/>
              <w:rPr>
                <w:sz w:val="20"/>
                <w:szCs w:val="20"/>
              </w:rPr>
            </w:pPr>
            <w:r w:rsidRPr="00B3149D">
              <w:rPr>
                <w:sz w:val="20"/>
                <w:szCs w:val="20"/>
              </w:rPr>
              <w:t>The application for leave to appeal from the judgment of the Court of Appeal of Alberta (Calgary), Number 1901-0170-AC, 2020 ABCA 323, dated September 16, 2020 is dismissed without costs.</w:t>
            </w:r>
          </w:p>
          <w:p w:rsidR="00B22DD4" w:rsidRPr="00B3149D" w:rsidRDefault="00B22DD4" w:rsidP="009D21BC">
            <w:pPr>
              <w:tabs>
                <w:tab w:val="left" w:pos="2474"/>
              </w:tabs>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Family law — Support — Spousal support — Insurance — Personal insurance — Support payor retiring and applying to vary existing support order — Support recipient having dissipated assets received on equalization and having little income of her own — Does discretionary nature of s. 15.2 (1) require the court to order security in the form of life insurance at all times that a spousal support order is granted? — Can the court do so without evidence or consideration of any factors? — Can a judge order that a payor obtain a life insurance policy as security if it is not in existence at the time of the application or appeal? — Is the court required to invoke the needs</w:t>
            </w:r>
            <w:r w:rsidRPr="00B3149D">
              <w:rPr>
                <w:sz w:val="20"/>
                <w:szCs w:val="20"/>
              </w:rPr>
              <w:noBreakHyphen/>
              <w:t xml:space="preserve">based exception to double dipping in </w:t>
            </w:r>
            <w:r w:rsidRPr="00B3149D">
              <w:rPr>
                <w:i/>
                <w:sz w:val="20"/>
                <w:szCs w:val="20"/>
              </w:rPr>
              <w:t>Boston</w:t>
            </w:r>
            <w:r w:rsidRPr="00B3149D">
              <w:rPr>
                <w:sz w:val="20"/>
                <w:szCs w:val="20"/>
              </w:rPr>
              <w:t xml:space="preserve"> when a support recipient has not made any attempt to use equalized assets in an income</w:t>
            </w:r>
            <w:r w:rsidRPr="00B3149D">
              <w:rPr>
                <w:sz w:val="20"/>
                <w:szCs w:val="20"/>
              </w:rPr>
              <w:noBreakHyphen/>
              <w:t xml:space="preserve">producing way? — What is the appropriate support, if any, payable to a spouse who has not made any attempt to discharge their obligations under s. 17(7) of the </w:t>
            </w:r>
            <w:r w:rsidRPr="00B3149D">
              <w:rPr>
                <w:i/>
                <w:sz w:val="20"/>
                <w:szCs w:val="20"/>
              </w:rPr>
              <w:t>Divorce Act</w:t>
            </w:r>
            <w:r w:rsidRPr="00B3149D">
              <w:rPr>
                <w:sz w:val="20"/>
                <w:szCs w:val="20"/>
              </w:rPr>
              <w:t>, R.S.C. 1985, c. 3 (2</w:t>
            </w:r>
            <w:r w:rsidRPr="00B3149D">
              <w:rPr>
                <w:sz w:val="20"/>
                <w:szCs w:val="20"/>
                <w:vertAlign w:val="superscript"/>
              </w:rPr>
              <w:t>nd</w:t>
            </w:r>
            <w:r w:rsidRPr="00B3149D">
              <w:rPr>
                <w:sz w:val="20"/>
                <w:szCs w:val="20"/>
              </w:rPr>
              <w:t xml:space="preserve"> Supp,)?</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Mr. and Ms. Bone were married in 1974, separated in 2001 and divorced in 2003, having raised four children together. Ms. Bone was employed until the birth of the first child but, after that, became a full</w:t>
            </w:r>
            <w:r w:rsidRPr="00B3149D">
              <w:rPr>
                <w:sz w:val="20"/>
                <w:szCs w:val="20"/>
              </w:rPr>
              <w:noBreakHyphen/>
              <w:t>time homemaker while Mr. Bone pursued his career. In 2003, after a summary trial, the court ordered a matrimonial property division and spousal support in the amount $8,000 per month payable to Ms. Bone. Ms. Bone was also entitled to share in any bonuses that Mr. Bone might receive. Mr. Bone was further required to maintain a term life insurance policy of $200,000 in favour of Ms. Bone. Each party received more than $1 million in assets and an equalization of Mr. Bone’s pension and supplemental pension. Mr. Bone complied with every aspect of the 2003 order. In 2019, he applied to vary the spousal support and life insurance provisions of the original order on the basis that his retirement and reduction in income constituted a material change in circumstances. Ms. Bone was by then receiving approximately $10,000 per month in spousal support, but had very little income of her own. She had dissipated all of the assets that she had acquired years before in the division of matrimonial assets. In contrast, Mr. Bone had significantly increased his net worth by continuing to work and taking advantage of various investment opportunities. At the time of the applications, Mr. Bone was 73 and Ms. Bone was 71. The chambers judge varied the spousal support payable to $3,000 per month and terminated the order requiring Mr. Bone to maintain life insurance. Ms. Bone’s appeal was allowed and her spousal support was increased to $4500 per month. Mr. Bone was also required to obtain life insurance with a face amount of $100,000.</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May 3, 2019</w:t>
            </w:r>
          </w:p>
          <w:p w:rsidR="0082729A" w:rsidRPr="00B3149D" w:rsidRDefault="0082729A" w:rsidP="00B3166C">
            <w:pPr>
              <w:jc w:val="both"/>
              <w:rPr>
                <w:sz w:val="20"/>
                <w:szCs w:val="20"/>
              </w:rPr>
            </w:pPr>
            <w:r w:rsidRPr="00B3149D">
              <w:rPr>
                <w:sz w:val="20"/>
                <w:szCs w:val="20"/>
              </w:rPr>
              <w:t>Court of Queen’s Bench of Alberta</w:t>
            </w:r>
          </w:p>
          <w:p w:rsidR="0082729A" w:rsidRPr="00B3149D" w:rsidRDefault="0082729A" w:rsidP="00B3166C">
            <w:pPr>
              <w:jc w:val="both"/>
              <w:rPr>
                <w:sz w:val="20"/>
                <w:szCs w:val="20"/>
              </w:rPr>
            </w:pPr>
            <w:r w:rsidRPr="00B3149D">
              <w:rPr>
                <w:sz w:val="20"/>
                <w:szCs w:val="20"/>
              </w:rPr>
              <w:t>(Labrenz J.)</w:t>
            </w:r>
          </w:p>
          <w:p w:rsidR="0082729A" w:rsidRPr="00B3149D" w:rsidRDefault="00E51866" w:rsidP="00B3166C">
            <w:pPr>
              <w:jc w:val="both"/>
              <w:rPr>
                <w:sz w:val="20"/>
                <w:szCs w:val="20"/>
              </w:rPr>
            </w:pPr>
            <w:hyperlink r:id="rId27" w:history="1">
              <w:r w:rsidR="0082729A" w:rsidRPr="00B3149D">
                <w:rPr>
                  <w:rStyle w:val="Hyperlink"/>
                  <w:sz w:val="20"/>
                  <w:szCs w:val="20"/>
                </w:rPr>
                <w:t>2019 ABQB 323</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Applicant’s variation application granted; Spousal support reduced from $10,000 per month to $3,000 per month; Obligation to maintain life insurance policy terminated</w:t>
            </w: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September 16, 2020</w:t>
            </w:r>
          </w:p>
          <w:p w:rsidR="0082729A" w:rsidRPr="00B3149D" w:rsidRDefault="0082729A" w:rsidP="00B3166C">
            <w:pPr>
              <w:jc w:val="both"/>
              <w:rPr>
                <w:sz w:val="20"/>
                <w:szCs w:val="20"/>
              </w:rPr>
            </w:pPr>
            <w:r w:rsidRPr="00B3149D">
              <w:rPr>
                <w:sz w:val="20"/>
                <w:szCs w:val="20"/>
              </w:rPr>
              <w:t>Court of Appeal of Alberta (Calgary)</w:t>
            </w:r>
          </w:p>
          <w:p w:rsidR="0082729A" w:rsidRPr="00B3149D" w:rsidRDefault="0082729A" w:rsidP="00B3166C">
            <w:pPr>
              <w:jc w:val="both"/>
              <w:rPr>
                <w:sz w:val="20"/>
                <w:szCs w:val="20"/>
              </w:rPr>
            </w:pPr>
            <w:r w:rsidRPr="00B3149D">
              <w:rPr>
                <w:sz w:val="20"/>
                <w:szCs w:val="20"/>
              </w:rPr>
              <w:t>(O’Ferrall [dissenting], Strekaf and Khullar JJ.A.)</w:t>
            </w:r>
          </w:p>
          <w:p w:rsidR="0082729A" w:rsidRPr="00B3149D" w:rsidRDefault="0082729A" w:rsidP="00B3166C">
            <w:pPr>
              <w:jc w:val="both"/>
              <w:rPr>
                <w:sz w:val="20"/>
                <w:szCs w:val="20"/>
              </w:rPr>
            </w:pPr>
            <w:r w:rsidRPr="00B3149D">
              <w:rPr>
                <w:sz w:val="20"/>
                <w:szCs w:val="20"/>
              </w:rPr>
              <w:t>2020 ABCA 323</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Respondent’s appeal allowed; Spousal support increased to $4,500 per month; Applicant ordered to maintain policy of life insurance in reduced amount.</w:t>
            </w: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November 13,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42"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rStyle w:val="SCCFileNumberChar"/>
                <w:sz w:val="20"/>
                <w:szCs w:val="20"/>
              </w:rPr>
            </w:pPr>
            <w:r w:rsidRPr="00B3149D">
              <w:rPr>
                <w:rStyle w:val="SCCFileNumberChar"/>
                <w:sz w:val="20"/>
                <w:szCs w:val="20"/>
              </w:rPr>
              <w:t>39427</w:t>
            </w:r>
          </w:p>
          <w:p w:rsidR="0082729A" w:rsidRPr="00B3149D" w:rsidRDefault="0082729A" w:rsidP="00B3166C">
            <w:pPr>
              <w:jc w:val="both"/>
              <w:rPr>
                <w:sz w:val="20"/>
                <w:szCs w:val="20"/>
              </w:rPr>
            </w:pP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William McHarg Bone c. Judith Lynn Bone</w:t>
            </w:r>
          </w:p>
          <w:p w:rsidR="0082729A" w:rsidRPr="00B3149D" w:rsidRDefault="0082729A" w:rsidP="00B3166C">
            <w:pPr>
              <w:jc w:val="both"/>
              <w:rPr>
                <w:sz w:val="20"/>
                <w:szCs w:val="20"/>
              </w:rPr>
            </w:pPr>
            <w:r w:rsidRPr="00B3149D">
              <w:rPr>
                <w:sz w:val="20"/>
                <w:szCs w:val="20"/>
              </w:rPr>
              <w:t>(Alb.) (Civile) (Sur autorisation)</w:t>
            </w:r>
          </w:p>
        </w:tc>
      </w:tr>
      <w:tr w:rsidR="00B22DD4" w:rsidRPr="009873D4" w:rsidTr="00B3166C">
        <w:tc>
          <w:tcPr>
            <w:tcW w:w="5000" w:type="pct"/>
            <w:gridSpan w:val="4"/>
          </w:tcPr>
          <w:p w:rsidR="00B22DD4" w:rsidRPr="00B3149D" w:rsidRDefault="009D21BC" w:rsidP="00B3166C">
            <w:pPr>
              <w:jc w:val="both"/>
              <w:rPr>
                <w:sz w:val="20"/>
                <w:szCs w:val="20"/>
                <w:lang w:val="fr-CA"/>
              </w:rPr>
            </w:pPr>
            <w:r w:rsidRPr="00B3149D">
              <w:rPr>
                <w:sz w:val="20"/>
                <w:szCs w:val="20"/>
                <w:lang w:val="fr-CA"/>
              </w:rPr>
              <w:t>La demande d’autorisation d’appel de l’arrêt de la Cour d’appel de l’Alberta (Calgary), numéro 1901-0170-AC, 2020 ABCA 323, daté du 16 septembre 2020, est rejetée sans dépens.</w:t>
            </w:r>
          </w:p>
          <w:p w:rsidR="009D21BC" w:rsidRPr="00B3149D" w:rsidRDefault="009D21BC"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Droit de la famille — Aliments — Pension alimentaire pour le conjoint — Assurances — Assurances de personnes — Départ à la retraite du payeur de la pension alimentaire, qui demande une modification de l’ordonnance alimentaire en vigueur — La bénéficiaire de la pension alimentaire ayant dilapidé les biens qu’elle a reçus en guise d’égalisation et possédant un faible revenu personnel — Le caractère discrétionnaire du par. 15.2(1) oblige</w:t>
            </w:r>
            <w:r w:rsidRPr="00B3149D">
              <w:rPr>
                <w:sz w:val="20"/>
                <w:szCs w:val="20"/>
                <w:lang w:val="fr-CA"/>
              </w:rPr>
              <w:noBreakHyphen/>
              <w:t>t</w:t>
            </w:r>
            <w:r w:rsidRPr="00B3149D">
              <w:rPr>
                <w:sz w:val="20"/>
                <w:szCs w:val="20"/>
                <w:lang w:val="fr-CA"/>
              </w:rPr>
              <w:noBreakHyphen/>
              <w:t>il le tribunal à ordonner une garantie sous forme d’assurance vie chaque fois qu’une ordonnance alimentaire est rendue au profit d’un époux? — Le tribunal peut</w:t>
            </w:r>
            <w:r w:rsidRPr="00B3149D">
              <w:rPr>
                <w:sz w:val="20"/>
                <w:szCs w:val="20"/>
                <w:lang w:val="fr-CA"/>
              </w:rPr>
              <w:noBreakHyphen/>
              <w:t>il le faire en l’absence de preuve ou sans tenir compte de quelque facteur que ce soit? — Le juge peut</w:t>
            </w:r>
            <w:r w:rsidRPr="00B3149D">
              <w:rPr>
                <w:sz w:val="20"/>
                <w:szCs w:val="20"/>
                <w:lang w:val="fr-CA"/>
              </w:rPr>
              <w:noBreakHyphen/>
              <w:t>il ordonner au payeur de contracter à titre de garantie une police d’assurance vie qui n’existait pas au moment de la demande ou de l’appel? — Le tribunal est</w:t>
            </w:r>
            <w:r w:rsidRPr="00B3149D">
              <w:rPr>
                <w:sz w:val="20"/>
                <w:szCs w:val="20"/>
                <w:lang w:val="fr-CA"/>
              </w:rPr>
              <w:noBreakHyphen/>
              <w:t xml:space="preserve">il tenu d’invoquer l’exception fondée sur les besoins au cumul de pension établie dans la décision </w:t>
            </w:r>
            <w:r w:rsidRPr="00B3149D">
              <w:rPr>
                <w:i/>
                <w:sz w:val="20"/>
                <w:szCs w:val="20"/>
                <w:lang w:val="fr-CA"/>
              </w:rPr>
              <w:t>Boston</w:t>
            </w:r>
            <w:r w:rsidRPr="00B3149D">
              <w:rPr>
                <w:sz w:val="20"/>
                <w:szCs w:val="20"/>
                <w:lang w:val="fr-CA"/>
              </w:rPr>
              <w:t xml:space="preserve"> lorsque la bénéficiaire de la pension alimentaire n’a aucunement tenté d’utiliser les biens en guise d’égalisation afin de générer un revenu? — Quel est le montant de pension alimentaire qu’il convient de payer, le cas échéant, à un époux qui n’a pas tenté de s’acquitter des obligations que lui impose le par. 17(7) de la </w:t>
            </w:r>
            <w:r w:rsidRPr="00B3149D">
              <w:rPr>
                <w:i/>
                <w:sz w:val="20"/>
                <w:szCs w:val="20"/>
                <w:lang w:val="fr-CA"/>
              </w:rPr>
              <w:t>Loi sur le divorce</w:t>
            </w:r>
            <w:r w:rsidRPr="00B3149D">
              <w:rPr>
                <w:sz w:val="20"/>
                <w:szCs w:val="20"/>
                <w:lang w:val="fr-CA"/>
              </w:rPr>
              <w:t>, L.R.C. 1985, c. 3 (2</w:t>
            </w:r>
            <w:r w:rsidRPr="00B3149D">
              <w:rPr>
                <w:sz w:val="20"/>
                <w:szCs w:val="20"/>
                <w:vertAlign w:val="superscript"/>
                <w:lang w:val="fr-CA"/>
              </w:rPr>
              <w:t>e</w:t>
            </w:r>
            <w:r w:rsidRPr="00B3149D">
              <w:rPr>
                <w:sz w:val="20"/>
                <w:szCs w:val="20"/>
                <w:lang w:val="fr-CA"/>
              </w:rPr>
              <w:t xml:space="preserve"> suppl.)?</w:t>
            </w:r>
          </w:p>
        </w:tc>
      </w:tr>
      <w:tr w:rsidR="0082729A" w:rsidRPr="009873D4" w:rsidTr="00B3166C">
        <w:tc>
          <w:tcPr>
            <w:tcW w:w="5000" w:type="pct"/>
            <w:gridSpan w:val="4"/>
          </w:tcPr>
          <w:p w:rsidR="0082729A" w:rsidRPr="00B3149D" w:rsidRDefault="0082729A"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M. et M</w:t>
            </w:r>
            <w:r w:rsidRPr="00B3149D">
              <w:rPr>
                <w:sz w:val="20"/>
                <w:szCs w:val="20"/>
                <w:vertAlign w:val="superscript"/>
                <w:lang w:val="fr-CA"/>
              </w:rPr>
              <w:t>me</w:t>
            </w:r>
            <w:r w:rsidRPr="00B3149D">
              <w:rPr>
                <w:sz w:val="20"/>
                <w:szCs w:val="20"/>
                <w:lang w:val="fr-CA"/>
              </w:rPr>
              <w:t> Bone se sont marié en 1974, se sont séparés en 2001 et ont divorcé en 2003, après avoir élevé ensemble quatre enfants. M</w:t>
            </w:r>
            <w:r w:rsidRPr="00B3149D">
              <w:rPr>
                <w:sz w:val="20"/>
                <w:szCs w:val="20"/>
                <w:vertAlign w:val="superscript"/>
                <w:lang w:val="fr-CA"/>
              </w:rPr>
              <w:t>me</w:t>
            </w:r>
            <w:r w:rsidRPr="00B3149D">
              <w:rPr>
                <w:sz w:val="20"/>
                <w:szCs w:val="20"/>
                <w:lang w:val="fr-CA"/>
              </w:rPr>
              <w:t> Bone a travaillé jusqu’à la naissance du premier enfant, mais elle est devenue par la suite mère au foyer à temps plein tandis que M. Bone poursuivait sa carrière. En 2003, au terme d’un procès sommaire, le tribunal a ordonné le partage des biens matrimoniaux et le versement d’une pension de 8 000 $ par mois à M</w:t>
            </w:r>
            <w:r w:rsidRPr="00B3149D">
              <w:rPr>
                <w:sz w:val="20"/>
                <w:szCs w:val="20"/>
                <w:vertAlign w:val="superscript"/>
                <w:lang w:val="fr-CA"/>
              </w:rPr>
              <w:t>me</w:t>
            </w:r>
            <w:r w:rsidRPr="00B3149D">
              <w:rPr>
                <w:sz w:val="20"/>
                <w:szCs w:val="20"/>
                <w:lang w:val="fr-CA"/>
              </w:rPr>
              <w:t> Bone. Elle avait aussi droit à une partie de tout boni susceptible d’être payé à M. Bone. Ce dernier devait également conserver une police d’assurance vie temporaire de 200 000 $ en faveur de M</w:t>
            </w:r>
            <w:r w:rsidRPr="00B3149D">
              <w:rPr>
                <w:sz w:val="20"/>
                <w:szCs w:val="20"/>
                <w:vertAlign w:val="superscript"/>
                <w:lang w:val="fr-CA"/>
              </w:rPr>
              <w:t>me</w:t>
            </w:r>
            <w:r w:rsidRPr="00B3149D">
              <w:rPr>
                <w:sz w:val="20"/>
                <w:szCs w:val="20"/>
                <w:lang w:val="fr-CA"/>
              </w:rPr>
              <w:t> Bone. Chaque partie a reçu plus d’un million de dollars en biens ainsi qu’un versement d’égalisation de la pension et de la pension supplémentaire de M. Bone. Il s’est conformé à tous les aspects de l’ordonnance de 2003. En 2019, il a demandé la modification des dispositions de l’ordonnance initiale portant sur la pension alimentaire pour le conjoint et l’assurance vie au motif que sa retraite et la baisse de son revenu constituaient un changement de situation important. M</w:t>
            </w:r>
            <w:r w:rsidRPr="00B3149D">
              <w:rPr>
                <w:sz w:val="20"/>
                <w:szCs w:val="20"/>
                <w:vertAlign w:val="superscript"/>
                <w:lang w:val="fr-CA"/>
              </w:rPr>
              <w:t>me</w:t>
            </w:r>
            <w:r w:rsidRPr="00B3149D">
              <w:rPr>
                <w:sz w:val="20"/>
                <w:szCs w:val="20"/>
                <w:lang w:val="fr-CA"/>
              </w:rPr>
              <w:t> Bone touchait alors environ 10 000 $ par moi à titre de pension alimentaire, mais elle possédait un très faible revenu personnel. Elle a dilapidé tous les biens qu’elle avait acquis des années auparavant lors du partage des biens matrimoniaux. À l’inverse, M. Bone a considérablement augmenté son actif net en continuant de travailler et en tirant profit de plusieurs occasions de placement. À l’époque des demandes, M. Bone avait 73 ans et M</w:t>
            </w:r>
            <w:r w:rsidRPr="00B3149D">
              <w:rPr>
                <w:sz w:val="20"/>
                <w:szCs w:val="20"/>
                <w:vertAlign w:val="superscript"/>
                <w:lang w:val="fr-CA"/>
              </w:rPr>
              <w:t>me</w:t>
            </w:r>
            <w:r w:rsidRPr="00B3149D">
              <w:rPr>
                <w:sz w:val="20"/>
                <w:szCs w:val="20"/>
                <w:lang w:val="fr-CA"/>
              </w:rPr>
              <w:t> Bone, 71 ans. Le juge en cabinet a fait passer la pension alimentaire payable à 3 000 $ par mois et a levé l’ordonnance obligeant M. Bone à conserver l’assurance vie. L’appel de M</w:t>
            </w:r>
            <w:r w:rsidRPr="00B3149D">
              <w:rPr>
                <w:sz w:val="20"/>
                <w:szCs w:val="20"/>
                <w:vertAlign w:val="superscript"/>
                <w:lang w:val="fr-CA"/>
              </w:rPr>
              <w:t>me</w:t>
            </w:r>
            <w:r w:rsidRPr="00B3149D">
              <w:rPr>
                <w:sz w:val="20"/>
                <w:szCs w:val="20"/>
                <w:lang w:val="fr-CA"/>
              </w:rPr>
              <w:t> Bone a été accueilli et sa pension alimentaire a été augmentée à 4 500 $ par mois. M. Bone s’est vu également ordonner de souscrire une assurance vie d’une valeur nominale de 100 000 $.</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3 mai 2019</w:t>
            </w:r>
          </w:p>
          <w:p w:rsidR="0082729A" w:rsidRPr="00B3149D" w:rsidRDefault="0082729A" w:rsidP="00B3166C">
            <w:pPr>
              <w:jc w:val="both"/>
              <w:rPr>
                <w:sz w:val="20"/>
                <w:szCs w:val="20"/>
                <w:lang w:val="fr-CA"/>
              </w:rPr>
            </w:pPr>
            <w:r w:rsidRPr="00B3149D">
              <w:rPr>
                <w:sz w:val="20"/>
                <w:szCs w:val="20"/>
                <w:lang w:val="fr-CA"/>
              </w:rPr>
              <w:t>Cour du Banc de la Reine de l’Alberta</w:t>
            </w:r>
          </w:p>
          <w:p w:rsidR="0082729A" w:rsidRPr="00B3149D" w:rsidRDefault="0082729A" w:rsidP="00B3166C">
            <w:pPr>
              <w:jc w:val="both"/>
              <w:rPr>
                <w:sz w:val="20"/>
                <w:szCs w:val="20"/>
              </w:rPr>
            </w:pPr>
            <w:r w:rsidRPr="00B3149D">
              <w:rPr>
                <w:sz w:val="20"/>
                <w:szCs w:val="20"/>
              </w:rPr>
              <w:t>(Juge Labrenz)</w:t>
            </w:r>
          </w:p>
          <w:p w:rsidR="0082729A" w:rsidRPr="00B3149D" w:rsidRDefault="00E51866" w:rsidP="00B3166C">
            <w:pPr>
              <w:jc w:val="both"/>
              <w:rPr>
                <w:sz w:val="20"/>
                <w:szCs w:val="20"/>
              </w:rPr>
            </w:pPr>
            <w:hyperlink r:id="rId28" w:history="1">
              <w:r w:rsidR="0082729A" w:rsidRPr="00B3149D">
                <w:rPr>
                  <w:rStyle w:val="Hyperlink"/>
                  <w:sz w:val="20"/>
                  <w:szCs w:val="20"/>
                </w:rPr>
                <w:t>2019 ABQB 323</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 xml:space="preserve">Demande de modification présentée par le demandeur accueillie; pension alimentaire au profit de l’épouse réduite de 10 000 $ par mois à 3 000 $ par mois; annulation de l’obligation de conserver la police d’assurance vie </w:t>
            </w: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16 septembre 2020</w:t>
            </w:r>
          </w:p>
          <w:p w:rsidR="0082729A" w:rsidRPr="00B3149D" w:rsidRDefault="0082729A" w:rsidP="00B3166C">
            <w:pPr>
              <w:jc w:val="both"/>
              <w:rPr>
                <w:sz w:val="20"/>
                <w:szCs w:val="20"/>
                <w:lang w:val="fr-CA"/>
              </w:rPr>
            </w:pPr>
            <w:r w:rsidRPr="00B3149D">
              <w:rPr>
                <w:sz w:val="20"/>
                <w:szCs w:val="20"/>
                <w:lang w:val="fr-CA"/>
              </w:rPr>
              <w:t>Cour d’appel de l’Alberta (Calgary)</w:t>
            </w:r>
          </w:p>
          <w:p w:rsidR="0082729A" w:rsidRPr="00B3149D" w:rsidRDefault="0082729A" w:rsidP="00B3166C">
            <w:pPr>
              <w:jc w:val="both"/>
              <w:rPr>
                <w:sz w:val="20"/>
                <w:szCs w:val="20"/>
              </w:rPr>
            </w:pPr>
            <w:r w:rsidRPr="00B3149D">
              <w:rPr>
                <w:sz w:val="20"/>
                <w:szCs w:val="20"/>
              </w:rPr>
              <w:t>(Juges O’Ferrall [dissident], Strekaf et Khullar)</w:t>
            </w:r>
          </w:p>
          <w:p w:rsidR="0082729A" w:rsidRPr="00B3149D" w:rsidRDefault="0082729A" w:rsidP="00B3166C">
            <w:pPr>
              <w:jc w:val="both"/>
              <w:rPr>
                <w:sz w:val="20"/>
                <w:szCs w:val="20"/>
              </w:rPr>
            </w:pPr>
            <w:r w:rsidRPr="00B3149D">
              <w:rPr>
                <w:sz w:val="20"/>
                <w:szCs w:val="20"/>
              </w:rPr>
              <w:t>2020 ABCA 323</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Appel de l’intimée accueilli; pension alimentaire pour l’épouse augmentée à 4 500 $ par mois; obligation du demandeur de conserver la police d’assurance vie, mais à un montant moins élevé.</w:t>
            </w: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13 novembre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 xml:space="preserve">Dépôt de la demande d’autorisation d’appel </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43"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2729A" w:rsidRPr="00B3149D" w:rsidTr="00B3166C">
        <w:trPr>
          <w:gridAfter w:val="1"/>
          <w:wAfter w:w="48" w:type="pct"/>
        </w:trPr>
        <w:tc>
          <w:tcPr>
            <w:tcW w:w="537" w:type="pct"/>
          </w:tcPr>
          <w:p w:rsidR="0082729A" w:rsidRPr="00B3149D" w:rsidRDefault="0082729A" w:rsidP="00B3166C">
            <w:pPr>
              <w:jc w:val="both"/>
              <w:rPr>
                <w:sz w:val="20"/>
                <w:szCs w:val="20"/>
              </w:rPr>
            </w:pPr>
            <w:r w:rsidRPr="00B3149D">
              <w:rPr>
                <w:rStyle w:val="SCCFileNumberChar"/>
                <w:sz w:val="20"/>
                <w:szCs w:val="20"/>
              </w:rPr>
              <w:lastRenderedPageBreak/>
              <w:t>39402</w:t>
            </w:r>
          </w:p>
        </w:tc>
        <w:tc>
          <w:tcPr>
            <w:tcW w:w="4415" w:type="pct"/>
            <w:gridSpan w:val="3"/>
          </w:tcPr>
          <w:p w:rsidR="0082729A" w:rsidRPr="00B3149D" w:rsidRDefault="0082729A" w:rsidP="00B3166C">
            <w:pPr>
              <w:pStyle w:val="SCCLsocParty"/>
              <w:jc w:val="both"/>
              <w:rPr>
                <w:b/>
                <w:sz w:val="20"/>
                <w:szCs w:val="20"/>
                <w:lang w:val="en-US"/>
              </w:rPr>
            </w:pPr>
            <w:r w:rsidRPr="00B3149D">
              <w:rPr>
                <w:b/>
                <w:sz w:val="20"/>
                <w:szCs w:val="20"/>
                <w:lang w:val="en-US"/>
              </w:rPr>
              <w:t>Mary Wagner v. Her Majesty the Queen</w:t>
            </w:r>
          </w:p>
          <w:p w:rsidR="0082729A" w:rsidRPr="00B3149D" w:rsidRDefault="0082729A" w:rsidP="00B3166C">
            <w:pPr>
              <w:jc w:val="both"/>
              <w:rPr>
                <w:sz w:val="20"/>
                <w:szCs w:val="20"/>
              </w:rPr>
            </w:pPr>
            <w:r w:rsidRPr="00B3149D">
              <w:rPr>
                <w:sz w:val="20"/>
                <w:szCs w:val="20"/>
              </w:rPr>
              <w:t>(Ont.) (Criminal) (By Leave)</w:t>
            </w:r>
          </w:p>
        </w:tc>
      </w:tr>
      <w:tr w:rsidR="00B22DD4" w:rsidRPr="00B3149D" w:rsidTr="00B3166C">
        <w:trPr>
          <w:gridAfter w:val="1"/>
          <w:wAfter w:w="48" w:type="pct"/>
        </w:trPr>
        <w:tc>
          <w:tcPr>
            <w:tcW w:w="4952" w:type="pct"/>
            <w:gridSpan w:val="4"/>
          </w:tcPr>
          <w:p w:rsidR="009D21BC" w:rsidRPr="00B3149D" w:rsidRDefault="009D21BC" w:rsidP="009D21BC">
            <w:pPr>
              <w:jc w:val="both"/>
              <w:rPr>
                <w:sz w:val="20"/>
                <w:szCs w:val="20"/>
              </w:rPr>
            </w:pPr>
            <w:r w:rsidRPr="00B3149D">
              <w:rPr>
                <w:sz w:val="20"/>
                <w:szCs w:val="20"/>
              </w:rPr>
              <w:t>The application for leave to appeal from the judgment of the Court of Appeal for Ontario, Number M51709, dated September 14, 2020, is dismissed.</w:t>
            </w:r>
          </w:p>
          <w:p w:rsidR="00B22DD4" w:rsidRPr="00B3149D" w:rsidRDefault="00B22DD4" w:rsidP="00B3166C">
            <w:pPr>
              <w:jc w:val="both"/>
              <w:rPr>
                <w:sz w:val="20"/>
                <w:szCs w:val="20"/>
              </w:rPr>
            </w:pPr>
          </w:p>
        </w:tc>
      </w:tr>
      <w:tr w:rsidR="0082729A" w:rsidRPr="00B3149D" w:rsidTr="00B3166C">
        <w:trPr>
          <w:gridAfter w:val="1"/>
          <w:wAfter w:w="48" w:type="pct"/>
        </w:trPr>
        <w:tc>
          <w:tcPr>
            <w:tcW w:w="4952" w:type="pct"/>
            <w:gridSpan w:val="4"/>
          </w:tcPr>
          <w:p w:rsidR="0082729A" w:rsidRPr="00B3149D" w:rsidRDefault="0082729A" w:rsidP="00B3166C">
            <w:pPr>
              <w:jc w:val="both"/>
              <w:rPr>
                <w:sz w:val="20"/>
                <w:szCs w:val="20"/>
              </w:rPr>
            </w:pPr>
            <w:r w:rsidRPr="00B3149D">
              <w:rPr>
                <w:i/>
                <w:sz w:val="20"/>
                <w:szCs w:val="20"/>
              </w:rPr>
              <w:t>Charter of Rights and Freedoms</w:t>
            </w:r>
            <w:r w:rsidRPr="00B3149D">
              <w:rPr>
                <w:sz w:val="20"/>
                <w:szCs w:val="20"/>
              </w:rPr>
              <w:t xml:space="preserve"> — Criminal law — Mischief — Breach of Probation — Appeals — Whether leave to appeal improperly denied — Definition of human being — When child becomes human being — Scope and constitutional compliance of s. 223(1) of </w:t>
            </w:r>
            <w:r w:rsidRPr="00B3149D">
              <w:rPr>
                <w:i/>
                <w:sz w:val="20"/>
                <w:szCs w:val="20"/>
              </w:rPr>
              <w:t>Criminal Code</w:t>
            </w:r>
            <w:r w:rsidRPr="00B3149D">
              <w:rPr>
                <w:sz w:val="20"/>
                <w:szCs w:val="20"/>
              </w:rPr>
              <w:t xml:space="preserve"> —Implications of denial of right to furnish evidence in support of defence — Whether ss. 7, 11(d) of </w:t>
            </w:r>
            <w:r w:rsidRPr="00B3149D">
              <w:rPr>
                <w:i/>
                <w:sz w:val="20"/>
                <w:szCs w:val="20"/>
              </w:rPr>
              <w:t xml:space="preserve">Charter </w:t>
            </w:r>
            <w:r w:rsidRPr="00B3149D">
              <w:rPr>
                <w:sz w:val="20"/>
                <w:szCs w:val="20"/>
              </w:rPr>
              <w:t xml:space="preserve">breached — </w:t>
            </w:r>
            <w:r w:rsidRPr="00B3149D">
              <w:rPr>
                <w:i/>
                <w:sz w:val="20"/>
                <w:szCs w:val="20"/>
              </w:rPr>
              <w:t>Criminal Code</w:t>
            </w:r>
            <w:r w:rsidRPr="00B3149D">
              <w:rPr>
                <w:sz w:val="20"/>
                <w:szCs w:val="20"/>
              </w:rPr>
              <w:t xml:space="preserve"> ss. 8(3), s. 37(1), 223(1), 650(3).</w:t>
            </w:r>
          </w:p>
        </w:tc>
      </w:tr>
      <w:tr w:rsidR="0082729A" w:rsidRPr="00B3149D" w:rsidTr="00B3166C">
        <w:trPr>
          <w:gridAfter w:val="1"/>
          <w:wAfter w:w="48" w:type="pct"/>
        </w:trPr>
        <w:tc>
          <w:tcPr>
            <w:tcW w:w="4952" w:type="pct"/>
            <w:gridSpan w:val="4"/>
          </w:tcPr>
          <w:p w:rsidR="0082729A" w:rsidRPr="00B3149D" w:rsidRDefault="0082729A" w:rsidP="00B3166C">
            <w:pPr>
              <w:jc w:val="both"/>
              <w:rPr>
                <w:sz w:val="20"/>
                <w:szCs w:val="20"/>
              </w:rPr>
            </w:pPr>
          </w:p>
        </w:tc>
      </w:tr>
      <w:tr w:rsidR="0082729A" w:rsidRPr="00B3149D" w:rsidTr="00B3166C">
        <w:trPr>
          <w:gridAfter w:val="1"/>
          <w:wAfter w:w="48" w:type="pct"/>
        </w:trPr>
        <w:tc>
          <w:tcPr>
            <w:tcW w:w="4952" w:type="pct"/>
            <w:gridSpan w:val="4"/>
          </w:tcPr>
          <w:p w:rsidR="0082729A" w:rsidRPr="00B3149D" w:rsidRDefault="0082729A" w:rsidP="00B3166C">
            <w:pPr>
              <w:jc w:val="both"/>
              <w:rPr>
                <w:sz w:val="20"/>
                <w:szCs w:val="20"/>
              </w:rPr>
            </w:pPr>
            <w:r w:rsidRPr="00B3149D">
              <w:rPr>
                <w:color w:val="000000"/>
                <w:sz w:val="20"/>
                <w:szCs w:val="20"/>
              </w:rPr>
              <w:t>Ms. Wagner was subject to two probation orders that in part prohibited her from being on the premises of any abortion provider in Ontario and from communicating with any person in such premises. She entered an abortion clinic, disrupted the operations and spoke to patients. Ms. Wagner was convicted of mischief and breach of probation. A summary judgment appeal was dismissed. The Ontario Court of Appeal refused leave to appeal.</w:t>
            </w:r>
          </w:p>
          <w:p w:rsidR="0082729A" w:rsidRPr="00B3149D" w:rsidRDefault="0082729A" w:rsidP="00B3166C">
            <w:pPr>
              <w:jc w:val="both"/>
              <w:rPr>
                <w:sz w:val="20"/>
                <w:szCs w:val="20"/>
              </w:rPr>
            </w:pPr>
          </w:p>
        </w:tc>
      </w:tr>
      <w:tr w:rsidR="0082729A" w:rsidRPr="00B3149D" w:rsidTr="00B3166C">
        <w:tblPrEx>
          <w:tblCellMar>
            <w:bottom w:w="0" w:type="dxa"/>
          </w:tblCellMar>
        </w:tblPrEx>
        <w:tc>
          <w:tcPr>
            <w:tcW w:w="2367" w:type="pct"/>
            <w:gridSpan w:val="2"/>
          </w:tcPr>
          <w:p w:rsidR="0082729A" w:rsidRPr="00B3149D" w:rsidRDefault="0082729A" w:rsidP="00B3166C">
            <w:pPr>
              <w:jc w:val="both"/>
              <w:rPr>
                <w:sz w:val="20"/>
                <w:szCs w:val="20"/>
              </w:rPr>
            </w:pPr>
            <w:r w:rsidRPr="00B3149D">
              <w:rPr>
                <w:sz w:val="20"/>
                <w:szCs w:val="20"/>
              </w:rPr>
              <w:t>February 12, 2015</w:t>
            </w:r>
          </w:p>
          <w:p w:rsidR="0082729A" w:rsidRPr="00B3149D" w:rsidRDefault="0082729A" w:rsidP="00B3166C">
            <w:pPr>
              <w:jc w:val="both"/>
              <w:rPr>
                <w:sz w:val="20"/>
                <w:szCs w:val="20"/>
              </w:rPr>
            </w:pPr>
            <w:r w:rsidRPr="00B3149D">
              <w:rPr>
                <w:sz w:val="20"/>
                <w:szCs w:val="20"/>
              </w:rPr>
              <w:t xml:space="preserve">Ontario Court of Justice </w:t>
            </w:r>
          </w:p>
          <w:p w:rsidR="0082729A" w:rsidRPr="00B3149D" w:rsidRDefault="0082729A" w:rsidP="00B3166C">
            <w:pPr>
              <w:jc w:val="both"/>
              <w:rPr>
                <w:sz w:val="20"/>
                <w:szCs w:val="20"/>
              </w:rPr>
            </w:pPr>
            <w:r w:rsidRPr="00B3149D">
              <w:rPr>
                <w:sz w:val="20"/>
                <w:szCs w:val="20"/>
              </w:rPr>
              <w:t>(O’Donnell J.)</w:t>
            </w:r>
          </w:p>
          <w:p w:rsidR="0082729A" w:rsidRPr="00B3149D" w:rsidRDefault="00E51866" w:rsidP="00B3166C">
            <w:pPr>
              <w:jc w:val="both"/>
              <w:rPr>
                <w:sz w:val="20"/>
                <w:szCs w:val="20"/>
              </w:rPr>
            </w:pPr>
            <w:hyperlink r:id="rId29" w:history="1">
              <w:r w:rsidR="0082729A" w:rsidRPr="00B3149D">
                <w:rPr>
                  <w:rStyle w:val="Hyperlink"/>
                  <w:sz w:val="20"/>
                  <w:szCs w:val="20"/>
                </w:rPr>
                <w:t>2015 ONCJ 66</w:t>
              </w:r>
            </w:hyperlink>
          </w:p>
          <w:p w:rsidR="0082729A" w:rsidRPr="00B3149D" w:rsidRDefault="0082729A" w:rsidP="00B3166C">
            <w:pPr>
              <w:jc w:val="both"/>
              <w:rPr>
                <w:sz w:val="20"/>
                <w:szCs w:val="20"/>
              </w:rPr>
            </w:pPr>
          </w:p>
        </w:tc>
        <w:tc>
          <w:tcPr>
            <w:tcW w:w="267" w:type="pct"/>
          </w:tcPr>
          <w:p w:rsidR="0082729A" w:rsidRPr="00B3149D" w:rsidRDefault="0082729A" w:rsidP="00B3166C">
            <w:pPr>
              <w:jc w:val="both"/>
              <w:rPr>
                <w:sz w:val="20"/>
                <w:szCs w:val="20"/>
              </w:rPr>
            </w:pPr>
          </w:p>
        </w:tc>
        <w:tc>
          <w:tcPr>
            <w:tcW w:w="2366" w:type="pct"/>
            <w:gridSpan w:val="2"/>
            <w:hideMark/>
          </w:tcPr>
          <w:p w:rsidR="0082729A" w:rsidRPr="00B3149D" w:rsidRDefault="0082729A" w:rsidP="00B3166C">
            <w:pPr>
              <w:jc w:val="both"/>
              <w:rPr>
                <w:sz w:val="20"/>
                <w:szCs w:val="20"/>
              </w:rPr>
            </w:pPr>
            <w:r w:rsidRPr="00B3149D">
              <w:rPr>
                <w:sz w:val="20"/>
                <w:szCs w:val="20"/>
              </w:rPr>
              <w:t xml:space="preserve">Convictions for mischief and breach of probation </w:t>
            </w:r>
          </w:p>
        </w:tc>
      </w:tr>
      <w:tr w:rsidR="0082729A" w:rsidRPr="00B3149D" w:rsidTr="00B3166C">
        <w:tblPrEx>
          <w:tblCellMar>
            <w:bottom w:w="0" w:type="dxa"/>
          </w:tblCellMar>
        </w:tblPrEx>
        <w:tc>
          <w:tcPr>
            <w:tcW w:w="2367" w:type="pct"/>
            <w:gridSpan w:val="2"/>
          </w:tcPr>
          <w:p w:rsidR="0082729A" w:rsidRPr="00B3149D" w:rsidRDefault="0082729A" w:rsidP="00B3166C">
            <w:pPr>
              <w:jc w:val="both"/>
              <w:rPr>
                <w:sz w:val="20"/>
                <w:szCs w:val="20"/>
              </w:rPr>
            </w:pPr>
            <w:r w:rsidRPr="00B3149D">
              <w:rPr>
                <w:sz w:val="20"/>
                <w:szCs w:val="20"/>
              </w:rPr>
              <w:t>December 22, 2016</w:t>
            </w:r>
          </w:p>
          <w:p w:rsidR="0082729A" w:rsidRPr="00B3149D" w:rsidRDefault="0082729A" w:rsidP="00B3166C">
            <w:pPr>
              <w:jc w:val="both"/>
              <w:rPr>
                <w:b/>
                <w:spacing w:val="-1"/>
                <w:sz w:val="20"/>
                <w:szCs w:val="20"/>
              </w:rPr>
            </w:pPr>
            <w:r w:rsidRPr="00B3149D">
              <w:rPr>
                <w:sz w:val="20"/>
                <w:szCs w:val="20"/>
              </w:rPr>
              <w:t xml:space="preserve">Ontario Superior Court of Justice </w:t>
            </w:r>
          </w:p>
          <w:p w:rsidR="0082729A" w:rsidRPr="00B3149D" w:rsidRDefault="0082729A" w:rsidP="00B3166C">
            <w:pPr>
              <w:jc w:val="both"/>
              <w:rPr>
                <w:sz w:val="20"/>
                <w:szCs w:val="20"/>
              </w:rPr>
            </w:pPr>
            <w:r w:rsidRPr="00B3149D">
              <w:rPr>
                <w:sz w:val="20"/>
                <w:szCs w:val="20"/>
              </w:rPr>
              <w:t>(Dunett J.)</w:t>
            </w:r>
          </w:p>
          <w:p w:rsidR="0082729A" w:rsidRPr="00B3149D" w:rsidRDefault="00E51866" w:rsidP="00B3166C">
            <w:pPr>
              <w:jc w:val="both"/>
              <w:rPr>
                <w:b/>
                <w:spacing w:val="-1"/>
                <w:sz w:val="20"/>
                <w:szCs w:val="20"/>
              </w:rPr>
            </w:pPr>
            <w:hyperlink r:id="rId30" w:history="1">
              <w:r w:rsidR="0082729A" w:rsidRPr="00B3149D">
                <w:rPr>
                  <w:rStyle w:val="Hyperlink"/>
                  <w:sz w:val="20"/>
                  <w:szCs w:val="20"/>
                </w:rPr>
                <w:t>2016 ONSC 8078</w:t>
              </w:r>
            </w:hyperlink>
          </w:p>
          <w:p w:rsidR="0082729A" w:rsidRPr="00B3149D" w:rsidRDefault="0082729A" w:rsidP="00B3166C">
            <w:pPr>
              <w:jc w:val="both"/>
              <w:rPr>
                <w:sz w:val="20"/>
                <w:szCs w:val="20"/>
              </w:rPr>
            </w:pPr>
          </w:p>
        </w:tc>
        <w:tc>
          <w:tcPr>
            <w:tcW w:w="267" w:type="pct"/>
          </w:tcPr>
          <w:p w:rsidR="0082729A" w:rsidRPr="00B3149D" w:rsidRDefault="0082729A" w:rsidP="00B3166C">
            <w:pPr>
              <w:jc w:val="both"/>
              <w:rPr>
                <w:sz w:val="20"/>
                <w:szCs w:val="20"/>
              </w:rPr>
            </w:pPr>
          </w:p>
        </w:tc>
        <w:tc>
          <w:tcPr>
            <w:tcW w:w="2366" w:type="pct"/>
            <w:gridSpan w:val="2"/>
          </w:tcPr>
          <w:p w:rsidR="0082729A" w:rsidRPr="00B3149D" w:rsidRDefault="0082729A" w:rsidP="00B3166C">
            <w:pPr>
              <w:jc w:val="both"/>
              <w:rPr>
                <w:sz w:val="20"/>
                <w:szCs w:val="20"/>
              </w:rPr>
            </w:pPr>
            <w:r w:rsidRPr="00B3149D">
              <w:rPr>
                <w:sz w:val="20"/>
                <w:szCs w:val="20"/>
              </w:rPr>
              <w:t>Summary judgment appeal dismissed</w:t>
            </w:r>
          </w:p>
          <w:p w:rsidR="0082729A" w:rsidRPr="00B3149D" w:rsidRDefault="0082729A" w:rsidP="00B3166C">
            <w:pPr>
              <w:jc w:val="both"/>
              <w:rPr>
                <w:sz w:val="20"/>
                <w:szCs w:val="20"/>
              </w:rPr>
            </w:pPr>
          </w:p>
        </w:tc>
      </w:tr>
      <w:tr w:rsidR="0082729A" w:rsidRPr="00B3149D" w:rsidTr="00B3166C">
        <w:tblPrEx>
          <w:tblCellMar>
            <w:bottom w:w="0" w:type="dxa"/>
          </w:tblCellMar>
        </w:tblPrEx>
        <w:tc>
          <w:tcPr>
            <w:tcW w:w="2367" w:type="pct"/>
            <w:gridSpan w:val="2"/>
          </w:tcPr>
          <w:p w:rsidR="0082729A" w:rsidRPr="00B3149D" w:rsidRDefault="0082729A" w:rsidP="00B3166C">
            <w:pPr>
              <w:jc w:val="both"/>
              <w:rPr>
                <w:sz w:val="20"/>
                <w:szCs w:val="20"/>
              </w:rPr>
            </w:pPr>
            <w:r w:rsidRPr="00B3149D">
              <w:rPr>
                <w:sz w:val="20"/>
                <w:szCs w:val="20"/>
              </w:rPr>
              <w:t>September 14, 2020</w:t>
            </w:r>
          </w:p>
          <w:p w:rsidR="0082729A" w:rsidRPr="00B3149D" w:rsidRDefault="0082729A" w:rsidP="00B3166C">
            <w:pPr>
              <w:jc w:val="both"/>
              <w:rPr>
                <w:sz w:val="20"/>
                <w:szCs w:val="20"/>
              </w:rPr>
            </w:pPr>
            <w:r w:rsidRPr="00B3149D">
              <w:rPr>
                <w:sz w:val="20"/>
                <w:szCs w:val="20"/>
              </w:rPr>
              <w:t>Court of Appeal for Ontario</w:t>
            </w:r>
          </w:p>
          <w:p w:rsidR="0082729A" w:rsidRPr="00B3149D" w:rsidRDefault="0082729A" w:rsidP="00B3166C">
            <w:pPr>
              <w:jc w:val="both"/>
              <w:rPr>
                <w:sz w:val="20"/>
                <w:szCs w:val="20"/>
              </w:rPr>
            </w:pPr>
            <w:r w:rsidRPr="00B3149D">
              <w:rPr>
                <w:sz w:val="20"/>
                <w:szCs w:val="20"/>
              </w:rPr>
              <w:t>(Tulloch, Paciocco, Young JJ.A.)</w:t>
            </w:r>
          </w:p>
          <w:p w:rsidR="0082729A" w:rsidRPr="00B3149D" w:rsidRDefault="0082729A" w:rsidP="00B3166C">
            <w:pPr>
              <w:jc w:val="both"/>
              <w:rPr>
                <w:rFonts w:ascii="Arial" w:hAnsi="Arial"/>
                <w:b/>
                <w:sz w:val="20"/>
                <w:szCs w:val="20"/>
              </w:rPr>
            </w:pPr>
            <w:r w:rsidRPr="00B3149D">
              <w:rPr>
                <w:sz w:val="20"/>
                <w:szCs w:val="20"/>
              </w:rPr>
              <w:t>M51709</w:t>
            </w:r>
          </w:p>
          <w:p w:rsidR="0082729A" w:rsidRPr="00B3149D" w:rsidRDefault="0082729A" w:rsidP="00B3166C">
            <w:pPr>
              <w:jc w:val="both"/>
              <w:rPr>
                <w:sz w:val="20"/>
                <w:szCs w:val="20"/>
              </w:rPr>
            </w:pPr>
          </w:p>
        </w:tc>
        <w:tc>
          <w:tcPr>
            <w:tcW w:w="267" w:type="pct"/>
          </w:tcPr>
          <w:p w:rsidR="0082729A" w:rsidRPr="00B3149D" w:rsidRDefault="0082729A" w:rsidP="00B3166C">
            <w:pPr>
              <w:jc w:val="both"/>
              <w:rPr>
                <w:sz w:val="20"/>
                <w:szCs w:val="20"/>
              </w:rPr>
            </w:pPr>
          </w:p>
        </w:tc>
        <w:tc>
          <w:tcPr>
            <w:tcW w:w="2366" w:type="pct"/>
            <w:gridSpan w:val="2"/>
          </w:tcPr>
          <w:p w:rsidR="0082729A" w:rsidRPr="00B3149D" w:rsidRDefault="0082729A" w:rsidP="00B3166C">
            <w:pPr>
              <w:jc w:val="both"/>
              <w:rPr>
                <w:sz w:val="20"/>
                <w:szCs w:val="20"/>
              </w:rPr>
            </w:pPr>
            <w:r w:rsidRPr="00B3149D">
              <w:rPr>
                <w:sz w:val="20"/>
                <w:szCs w:val="20"/>
              </w:rPr>
              <w:t>Leave to appeal denied</w:t>
            </w:r>
          </w:p>
          <w:p w:rsidR="0082729A" w:rsidRPr="00B3149D" w:rsidRDefault="0082729A" w:rsidP="00B3166C">
            <w:pPr>
              <w:jc w:val="both"/>
              <w:rPr>
                <w:sz w:val="20"/>
                <w:szCs w:val="20"/>
              </w:rPr>
            </w:pPr>
          </w:p>
        </w:tc>
      </w:tr>
      <w:tr w:rsidR="0082729A" w:rsidRPr="00B3149D" w:rsidTr="00B3166C">
        <w:tblPrEx>
          <w:tblCellMar>
            <w:bottom w:w="0" w:type="dxa"/>
          </w:tblCellMar>
        </w:tblPrEx>
        <w:tc>
          <w:tcPr>
            <w:tcW w:w="2367" w:type="pct"/>
            <w:gridSpan w:val="2"/>
            <w:hideMark/>
          </w:tcPr>
          <w:p w:rsidR="0082729A" w:rsidRPr="00B3149D" w:rsidRDefault="0082729A" w:rsidP="00B3166C">
            <w:pPr>
              <w:jc w:val="both"/>
              <w:rPr>
                <w:sz w:val="20"/>
                <w:szCs w:val="20"/>
              </w:rPr>
            </w:pPr>
            <w:r w:rsidRPr="00B3149D">
              <w:rPr>
                <w:sz w:val="20"/>
                <w:szCs w:val="20"/>
              </w:rPr>
              <w:t>November 12, 2020</w:t>
            </w:r>
          </w:p>
          <w:p w:rsidR="0082729A" w:rsidRPr="00B3149D" w:rsidRDefault="0082729A" w:rsidP="00B3166C">
            <w:pPr>
              <w:jc w:val="both"/>
              <w:rPr>
                <w:sz w:val="20"/>
                <w:szCs w:val="20"/>
              </w:rPr>
            </w:pPr>
            <w:r w:rsidRPr="00B3149D">
              <w:rPr>
                <w:sz w:val="20"/>
                <w:szCs w:val="20"/>
              </w:rPr>
              <w:t>Supreme Court of Canada</w:t>
            </w:r>
          </w:p>
        </w:tc>
        <w:tc>
          <w:tcPr>
            <w:tcW w:w="267" w:type="pct"/>
          </w:tcPr>
          <w:p w:rsidR="0082729A" w:rsidRPr="00B3149D" w:rsidRDefault="0082729A" w:rsidP="00B3166C">
            <w:pPr>
              <w:jc w:val="both"/>
              <w:rPr>
                <w:sz w:val="20"/>
                <w:szCs w:val="20"/>
              </w:rPr>
            </w:pPr>
          </w:p>
        </w:tc>
        <w:tc>
          <w:tcPr>
            <w:tcW w:w="2366" w:type="pct"/>
            <w:gridSpan w:val="2"/>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44"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82729A" w:rsidRPr="00B3149D" w:rsidTr="00D84797">
        <w:tc>
          <w:tcPr>
            <w:tcW w:w="542" w:type="pct"/>
          </w:tcPr>
          <w:p w:rsidR="0082729A" w:rsidRPr="00B3149D" w:rsidRDefault="0082729A" w:rsidP="00B3166C">
            <w:pPr>
              <w:jc w:val="both"/>
              <w:rPr>
                <w:sz w:val="20"/>
                <w:szCs w:val="20"/>
                <w:lang w:val="fr-CA"/>
              </w:rPr>
            </w:pPr>
            <w:r w:rsidRPr="00B3149D">
              <w:rPr>
                <w:rStyle w:val="SCCFileNumberChar"/>
                <w:sz w:val="20"/>
                <w:szCs w:val="20"/>
                <w:lang w:val="fr-CA"/>
              </w:rPr>
              <w:t>39402</w:t>
            </w:r>
          </w:p>
        </w:tc>
        <w:tc>
          <w:tcPr>
            <w:tcW w:w="4458" w:type="pct"/>
          </w:tcPr>
          <w:p w:rsidR="0082729A" w:rsidRPr="00B3149D" w:rsidRDefault="0082729A" w:rsidP="00B3166C">
            <w:pPr>
              <w:pStyle w:val="SCCLsocParty"/>
              <w:jc w:val="both"/>
              <w:rPr>
                <w:b/>
                <w:sz w:val="20"/>
                <w:szCs w:val="20"/>
              </w:rPr>
            </w:pPr>
            <w:r w:rsidRPr="00B3149D">
              <w:rPr>
                <w:b/>
                <w:sz w:val="20"/>
                <w:szCs w:val="20"/>
              </w:rPr>
              <w:t>Mary Wagner c. Sa Majesté la Reine</w:t>
            </w:r>
          </w:p>
          <w:p w:rsidR="0082729A" w:rsidRPr="00B3149D" w:rsidRDefault="0082729A" w:rsidP="00B3166C">
            <w:pPr>
              <w:jc w:val="both"/>
              <w:rPr>
                <w:sz w:val="20"/>
                <w:szCs w:val="20"/>
                <w:lang w:val="fr-CA"/>
              </w:rPr>
            </w:pPr>
            <w:r w:rsidRPr="00B3149D">
              <w:rPr>
                <w:sz w:val="20"/>
                <w:szCs w:val="20"/>
                <w:lang w:val="fr-CA"/>
              </w:rPr>
              <w:t>(Ont.) (Criminelle) (Sur autorisation)</w:t>
            </w:r>
          </w:p>
        </w:tc>
      </w:tr>
      <w:tr w:rsidR="00B22DD4" w:rsidRPr="009873D4" w:rsidTr="00D84797">
        <w:tc>
          <w:tcPr>
            <w:tcW w:w="5000" w:type="pct"/>
            <w:gridSpan w:val="2"/>
          </w:tcPr>
          <w:p w:rsidR="00B22DD4" w:rsidRPr="00B3149D" w:rsidRDefault="009D21BC" w:rsidP="00B3166C">
            <w:pPr>
              <w:jc w:val="both"/>
              <w:rPr>
                <w:sz w:val="20"/>
                <w:szCs w:val="20"/>
                <w:lang w:val="fr-CA"/>
              </w:rPr>
            </w:pPr>
            <w:r w:rsidRPr="00B3149D">
              <w:rPr>
                <w:sz w:val="20"/>
                <w:szCs w:val="20"/>
                <w:lang w:val="fr-CA"/>
              </w:rPr>
              <w:t>La demande d’autorisation d’appel de l’arrêt de la Cour d’appel de l’Ontario, numéro M51709, daté du 14 septembre 2020, est rejetée.</w:t>
            </w:r>
          </w:p>
          <w:p w:rsidR="009D21BC" w:rsidRPr="00B3149D" w:rsidRDefault="009D21BC" w:rsidP="00B3166C">
            <w:pPr>
              <w:jc w:val="both"/>
              <w:rPr>
                <w:sz w:val="20"/>
                <w:szCs w:val="20"/>
                <w:lang w:val="fr-CA"/>
              </w:rPr>
            </w:pPr>
          </w:p>
        </w:tc>
      </w:tr>
      <w:tr w:rsidR="0082729A" w:rsidRPr="009873D4" w:rsidTr="00D84797">
        <w:tc>
          <w:tcPr>
            <w:tcW w:w="5000" w:type="pct"/>
            <w:gridSpan w:val="2"/>
          </w:tcPr>
          <w:p w:rsidR="0082729A" w:rsidRPr="00B3149D" w:rsidRDefault="0082729A" w:rsidP="00B3166C">
            <w:pPr>
              <w:jc w:val="both"/>
              <w:rPr>
                <w:sz w:val="20"/>
                <w:szCs w:val="20"/>
                <w:lang w:val="fr-CA"/>
              </w:rPr>
            </w:pPr>
            <w:r w:rsidRPr="00B3149D">
              <w:rPr>
                <w:i/>
                <w:sz w:val="20"/>
                <w:szCs w:val="20"/>
                <w:lang w:val="fr-CA"/>
              </w:rPr>
              <w:t>Charte des droits et libertés</w:t>
            </w:r>
            <w:r w:rsidRPr="00B3149D">
              <w:rPr>
                <w:sz w:val="20"/>
                <w:szCs w:val="20"/>
                <w:lang w:val="fr-CA"/>
              </w:rPr>
              <w:t xml:space="preserve"> — Droit criminel — Méfait — Défaut de se conformer à une ordonnance de probation — Appels — L’autorisation d’appel a</w:t>
            </w:r>
            <w:r w:rsidRPr="00B3149D">
              <w:rPr>
                <w:sz w:val="20"/>
                <w:szCs w:val="20"/>
                <w:lang w:val="fr-CA"/>
              </w:rPr>
              <w:noBreakHyphen/>
              <w:t>t</w:t>
            </w:r>
            <w:r w:rsidRPr="00B3149D">
              <w:rPr>
                <w:sz w:val="20"/>
                <w:szCs w:val="20"/>
                <w:lang w:val="fr-CA"/>
              </w:rPr>
              <w:noBreakHyphen/>
              <w:t>elle été indûment privée ? — Définition du terme « être humain » — Quand l’enfant devient</w:t>
            </w:r>
            <w:r w:rsidRPr="00B3149D">
              <w:rPr>
                <w:sz w:val="20"/>
                <w:szCs w:val="20"/>
                <w:lang w:val="fr-CA"/>
              </w:rPr>
              <w:noBreakHyphen/>
              <w:t xml:space="preserve">il un être humain ? — Quelle est la portée du par. 223(1) du </w:t>
            </w:r>
            <w:r w:rsidRPr="00B3149D">
              <w:rPr>
                <w:i/>
                <w:sz w:val="20"/>
                <w:szCs w:val="20"/>
                <w:lang w:val="fr-CA"/>
              </w:rPr>
              <w:t>Code criminel</w:t>
            </w:r>
            <w:r w:rsidRPr="00B3149D">
              <w:rPr>
                <w:sz w:val="20"/>
                <w:szCs w:val="20"/>
                <w:lang w:val="fr-CA"/>
              </w:rPr>
              <w:t>, et dans quelle mesure respecte</w:t>
            </w:r>
            <w:r w:rsidRPr="00B3149D">
              <w:rPr>
                <w:sz w:val="20"/>
                <w:szCs w:val="20"/>
                <w:lang w:val="fr-CA"/>
              </w:rPr>
              <w:noBreakHyphen/>
              <w:t>t</w:t>
            </w:r>
            <w:r w:rsidRPr="00B3149D">
              <w:rPr>
                <w:sz w:val="20"/>
                <w:szCs w:val="20"/>
                <w:lang w:val="fr-CA"/>
              </w:rPr>
              <w:noBreakHyphen/>
              <w:t>il la Constitution ? — Quelles sont les implications du refus du droit de fournir des éléments de preuve au soutien de sa défense ? — Y a</w:t>
            </w:r>
            <w:r w:rsidRPr="00B3149D">
              <w:rPr>
                <w:sz w:val="20"/>
                <w:szCs w:val="20"/>
                <w:lang w:val="fr-CA"/>
              </w:rPr>
              <w:noBreakHyphen/>
              <w:t>t</w:t>
            </w:r>
            <w:r w:rsidRPr="00B3149D">
              <w:rPr>
                <w:sz w:val="20"/>
                <w:szCs w:val="20"/>
                <w:lang w:val="fr-CA"/>
              </w:rPr>
              <w:noBreakHyphen/>
              <w:t xml:space="preserve">il eu violation de l’art. 7 et de l’al. 11d) de la </w:t>
            </w:r>
            <w:r w:rsidRPr="00B3149D">
              <w:rPr>
                <w:i/>
                <w:sz w:val="20"/>
                <w:szCs w:val="20"/>
                <w:lang w:val="fr-CA"/>
              </w:rPr>
              <w:t>Charte </w:t>
            </w:r>
            <w:r w:rsidRPr="00B3149D">
              <w:rPr>
                <w:sz w:val="20"/>
                <w:szCs w:val="20"/>
                <w:lang w:val="fr-CA"/>
              </w:rPr>
              <w:t xml:space="preserve">? — </w:t>
            </w:r>
            <w:r w:rsidRPr="00B3149D">
              <w:rPr>
                <w:i/>
                <w:sz w:val="20"/>
                <w:szCs w:val="20"/>
                <w:lang w:val="fr-CA"/>
              </w:rPr>
              <w:t>Code criminel</w:t>
            </w:r>
            <w:r w:rsidRPr="00B3149D">
              <w:rPr>
                <w:sz w:val="20"/>
                <w:szCs w:val="20"/>
                <w:lang w:val="fr-CA"/>
              </w:rPr>
              <w:t>, par. 8(3), 37(1), 223(1), 650(3).</w:t>
            </w:r>
          </w:p>
        </w:tc>
      </w:tr>
      <w:tr w:rsidR="0082729A" w:rsidRPr="009873D4" w:rsidTr="00D84797">
        <w:tc>
          <w:tcPr>
            <w:tcW w:w="5000" w:type="pct"/>
            <w:gridSpan w:val="2"/>
          </w:tcPr>
          <w:p w:rsidR="0082729A" w:rsidRPr="00B3149D" w:rsidRDefault="0082729A"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82729A" w:rsidRPr="009873D4" w:rsidTr="00B3166C">
        <w:trPr>
          <w:gridAfter w:val="1"/>
          <w:wAfter w:w="48" w:type="pct"/>
        </w:trPr>
        <w:tc>
          <w:tcPr>
            <w:tcW w:w="4952" w:type="pct"/>
            <w:gridSpan w:val="3"/>
          </w:tcPr>
          <w:p w:rsidR="0082729A" w:rsidRPr="00B3149D" w:rsidRDefault="0082729A" w:rsidP="00B3166C">
            <w:pPr>
              <w:jc w:val="both"/>
              <w:rPr>
                <w:sz w:val="20"/>
                <w:szCs w:val="20"/>
                <w:lang w:val="fr-CA"/>
              </w:rPr>
            </w:pPr>
            <w:r w:rsidRPr="00B3149D">
              <w:rPr>
                <w:color w:val="000000"/>
                <w:sz w:val="20"/>
                <w:szCs w:val="20"/>
                <w:lang w:val="fr-CA"/>
              </w:rPr>
              <w:lastRenderedPageBreak/>
              <w:t xml:space="preserve">Mme Wagner faisait l’objet de deux </w:t>
            </w:r>
            <w:r w:rsidRPr="00B3149D">
              <w:rPr>
                <w:sz w:val="20"/>
                <w:szCs w:val="20"/>
                <w:lang w:val="fr-CA"/>
              </w:rPr>
              <w:t>ordonnances de probation qui l’interdisait en</w:t>
            </w:r>
            <w:r w:rsidRPr="00B3149D">
              <w:rPr>
                <w:color w:val="000000"/>
                <w:sz w:val="20"/>
                <w:szCs w:val="20"/>
                <w:lang w:val="fr-CA"/>
              </w:rPr>
              <w:t xml:space="preserve"> partie d’être sur les lieux de tout endroit fournissant des services d’avortement en Ontario et de communiquer avec toute personne se trouvant sur ces lieux. Elle est entrée dans une clinique d’avortement, en a perturbé le fonctionnement et a parlé à des patientes. Mme Wagner a été déclarée coupable de méfait</w:t>
            </w:r>
            <w:r w:rsidRPr="00B3149D">
              <w:rPr>
                <w:sz w:val="20"/>
                <w:szCs w:val="20"/>
                <w:lang w:val="fr-CA"/>
              </w:rPr>
              <w:t xml:space="preserve"> et de défaut de se conformer à une ordonnance de probation</w:t>
            </w:r>
            <w:r w:rsidRPr="00B3149D">
              <w:rPr>
                <w:color w:val="000000"/>
                <w:sz w:val="20"/>
                <w:szCs w:val="20"/>
                <w:lang w:val="fr-CA"/>
              </w:rPr>
              <w:t xml:space="preserve">. L’appel du jugement sommaire a été rejeté. La </w:t>
            </w:r>
            <w:r w:rsidRPr="00B3149D">
              <w:rPr>
                <w:sz w:val="20"/>
                <w:szCs w:val="20"/>
                <w:lang w:val="fr-CA"/>
              </w:rPr>
              <w:t>Cour d’appel de l’Ontario a rejeté la demande d’autorisation d’appel</w:t>
            </w:r>
            <w:r w:rsidRPr="00B3149D">
              <w:rPr>
                <w:color w:val="000000"/>
                <w:sz w:val="20"/>
                <w:szCs w:val="20"/>
                <w:lang w:val="fr-CA"/>
              </w:rPr>
              <w:t>.</w:t>
            </w:r>
          </w:p>
          <w:p w:rsidR="0082729A" w:rsidRPr="00B3149D" w:rsidRDefault="0082729A" w:rsidP="00B3166C">
            <w:pPr>
              <w:jc w:val="both"/>
              <w:rPr>
                <w:sz w:val="20"/>
                <w:szCs w:val="20"/>
                <w:lang w:val="fr-CA"/>
              </w:rPr>
            </w:pPr>
          </w:p>
        </w:tc>
      </w:tr>
      <w:tr w:rsidR="0082729A" w:rsidRPr="009873D4" w:rsidTr="00B3166C">
        <w:tblPrEx>
          <w:tblCellMar>
            <w:bottom w:w="0" w:type="dxa"/>
          </w:tblCellMar>
        </w:tblPrEx>
        <w:tc>
          <w:tcPr>
            <w:tcW w:w="2367" w:type="pct"/>
          </w:tcPr>
          <w:p w:rsidR="0082729A" w:rsidRPr="00B3149D" w:rsidRDefault="0082729A" w:rsidP="00B3166C">
            <w:pPr>
              <w:jc w:val="both"/>
              <w:rPr>
                <w:sz w:val="20"/>
                <w:szCs w:val="20"/>
                <w:lang w:val="fr-CA"/>
              </w:rPr>
            </w:pPr>
            <w:r w:rsidRPr="00B3149D">
              <w:rPr>
                <w:sz w:val="20"/>
                <w:szCs w:val="20"/>
                <w:lang w:val="fr-CA"/>
              </w:rPr>
              <w:t>12 février 2015</w:t>
            </w:r>
          </w:p>
          <w:p w:rsidR="0082729A" w:rsidRPr="00B3149D" w:rsidRDefault="0082729A" w:rsidP="00B3166C">
            <w:pPr>
              <w:jc w:val="both"/>
              <w:rPr>
                <w:sz w:val="20"/>
                <w:szCs w:val="20"/>
                <w:lang w:val="fr-CA"/>
              </w:rPr>
            </w:pPr>
            <w:r w:rsidRPr="00B3149D">
              <w:rPr>
                <w:sz w:val="20"/>
                <w:szCs w:val="20"/>
                <w:lang w:val="fr-CA"/>
              </w:rPr>
              <w:t>Cour de justice de l’Ontario</w:t>
            </w:r>
          </w:p>
          <w:p w:rsidR="0082729A" w:rsidRPr="00B3149D" w:rsidRDefault="0082729A" w:rsidP="00B3166C">
            <w:pPr>
              <w:jc w:val="both"/>
              <w:rPr>
                <w:sz w:val="20"/>
                <w:szCs w:val="20"/>
                <w:lang w:val="fr-CA"/>
              </w:rPr>
            </w:pPr>
            <w:r w:rsidRPr="00B3149D">
              <w:rPr>
                <w:sz w:val="20"/>
                <w:szCs w:val="20"/>
                <w:lang w:val="fr-CA"/>
              </w:rPr>
              <w:t>(Juge O’Donnell)</w:t>
            </w:r>
          </w:p>
          <w:p w:rsidR="0082729A" w:rsidRPr="00B3149D" w:rsidRDefault="00E51866" w:rsidP="00B3166C">
            <w:pPr>
              <w:jc w:val="both"/>
              <w:rPr>
                <w:sz w:val="20"/>
                <w:szCs w:val="20"/>
                <w:lang w:val="fr-CA"/>
              </w:rPr>
            </w:pPr>
            <w:hyperlink r:id="rId31" w:history="1">
              <w:r w:rsidR="0082729A" w:rsidRPr="00B3149D">
                <w:rPr>
                  <w:rStyle w:val="Hyperlink"/>
                  <w:sz w:val="20"/>
                  <w:szCs w:val="20"/>
                  <w:lang w:val="fr-CA"/>
                </w:rPr>
                <w:t>2015 ONCJ 66</w:t>
              </w:r>
            </w:hyperlink>
          </w:p>
          <w:p w:rsidR="0082729A" w:rsidRPr="00B3149D" w:rsidRDefault="0082729A" w:rsidP="00B3166C">
            <w:pPr>
              <w:jc w:val="both"/>
              <w:rPr>
                <w:sz w:val="20"/>
                <w:szCs w:val="20"/>
                <w:lang w:val="fr-CA"/>
              </w:rPr>
            </w:pPr>
          </w:p>
        </w:tc>
        <w:tc>
          <w:tcPr>
            <w:tcW w:w="267" w:type="pct"/>
          </w:tcPr>
          <w:p w:rsidR="0082729A" w:rsidRPr="00B3149D" w:rsidRDefault="0082729A" w:rsidP="00B3166C">
            <w:pPr>
              <w:jc w:val="both"/>
              <w:rPr>
                <w:sz w:val="20"/>
                <w:szCs w:val="20"/>
                <w:lang w:val="fr-CA"/>
              </w:rPr>
            </w:pPr>
          </w:p>
        </w:tc>
        <w:tc>
          <w:tcPr>
            <w:tcW w:w="2366" w:type="pct"/>
            <w:gridSpan w:val="2"/>
            <w:hideMark/>
          </w:tcPr>
          <w:p w:rsidR="0082729A" w:rsidRPr="00B3149D" w:rsidRDefault="0082729A" w:rsidP="00B3166C">
            <w:pPr>
              <w:jc w:val="both"/>
              <w:rPr>
                <w:sz w:val="20"/>
                <w:szCs w:val="20"/>
                <w:lang w:val="fr-CA"/>
              </w:rPr>
            </w:pPr>
            <w:r w:rsidRPr="00B3149D">
              <w:rPr>
                <w:sz w:val="20"/>
                <w:szCs w:val="20"/>
                <w:lang w:val="fr-CA"/>
              </w:rPr>
              <w:t xml:space="preserve">Déclarations de culpabilité pour méfait et défaut de se conformer à une ordonnance de probation prononcées. </w:t>
            </w:r>
          </w:p>
        </w:tc>
      </w:tr>
      <w:tr w:rsidR="0082729A" w:rsidRPr="009873D4" w:rsidTr="00B3166C">
        <w:tblPrEx>
          <w:tblCellMar>
            <w:bottom w:w="0" w:type="dxa"/>
          </w:tblCellMar>
        </w:tblPrEx>
        <w:tc>
          <w:tcPr>
            <w:tcW w:w="2367" w:type="pct"/>
          </w:tcPr>
          <w:p w:rsidR="0082729A" w:rsidRPr="00B3149D" w:rsidRDefault="0082729A" w:rsidP="00B3166C">
            <w:pPr>
              <w:jc w:val="both"/>
              <w:rPr>
                <w:sz w:val="20"/>
                <w:szCs w:val="20"/>
                <w:lang w:val="fr-CA"/>
              </w:rPr>
            </w:pPr>
            <w:r w:rsidRPr="00B3149D">
              <w:rPr>
                <w:sz w:val="20"/>
                <w:szCs w:val="20"/>
                <w:lang w:val="fr-CA"/>
              </w:rPr>
              <w:t>22 décembre 2016</w:t>
            </w:r>
          </w:p>
          <w:p w:rsidR="0082729A" w:rsidRPr="00B3149D" w:rsidRDefault="0082729A" w:rsidP="00B3166C">
            <w:pPr>
              <w:jc w:val="both"/>
              <w:rPr>
                <w:sz w:val="20"/>
                <w:szCs w:val="20"/>
                <w:lang w:val="fr-CA"/>
              </w:rPr>
            </w:pPr>
            <w:r w:rsidRPr="00B3149D">
              <w:rPr>
                <w:sz w:val="20"/>
                <w:szCs w:val="20"/>
                <w:lang w:val="fr-CA"/>
              </w:rPr>
              <w:t>Cour supérieure de justice de l’Ontario</w:t>
            </w:r>
          </w:p>
          <w:p w:rsidR="0082729A" w:rsidRPr="00B3149D" w:rsidRDefault="0082729A" w:rsidP="00B3166C">
            <w:pPr>
              <w:jc w:val="both"/>
              <w:rPr>
                <w:sz w:val="20"/>
                <w:szCs w:val="20"/>
                <w:lang w:val="fr-CA"/>
              </w:rPr>
            </w:pPr>
            <w:r w:rsidRPr="00B3149D">
              <w:rPr>
                <w:sz w:val="20"/>
                <w:szCs w:val="20"/>
                <w:lang w:val="fr-CA"/>
              </w:rPr>
              <w:t>(Dunett J.)</w:t>
            </w:r>
          </w:p>
          <w:p w:rsidR="0082729A" w:rsidRPr="00B3149D" w:rsidRDefault="00E51866" w:rsidP="00B3166C">
            <w:pPr>
              <w:jc w:val="both"/>
              <w:rPr>
                <w:b/>
                <w:spacing w:val="-1"/>
                <w:sz w:val="20"/>
                <w:szCs w:val="20"/>
                <w:lang w:val="fr-CA"/>
              </w:rPr>
            </w:pPr>
            <w:hyperlink r:id="rId32" w:history="1">
              <w:r w:rsidR="0082729A" w:rsidRPr="00B3149D">
                <w:rPr>
                  <w:rStyle w:val="Hyperlink"/>
                  <w:sz w:val="20"/>
                  <w:szCs w:val="20"/>
                  <w:lang w:val="fr-CA"/>
                </w:rPr>
                <w:t>2016 ONSC 8078</w:t>
              </w:r>
            </w:hyperlink>
          </w:p>
          <w:p w:rsidR="0082729A" w:rsidRPr="00B3149D" w:rsidRDefault="0082729A" w:rsidP="00B3166C">
            <w:pPr>
              <w:jc w:val="both"/>
              <w:rPr>
                <w:sz w:val="20"/>
                <w:szCs w:val="20"/>
                <w:lang w:val="fr-CA"/>
              </w:rPr>
            </w:pPr>
          </w:p>
        </w:tc>
        <w:tc>
          <w:tcPr>
            <w:tcW w:w="267" w:type="pct"/>
          </w:tcPr>
          <w:p w:rsidR="0082729A" w:rsidRPr="00B3149D" w:rsidRDefault="0082729A" w:rsidP="00B3166C">
            <w:pPr>
              <w:jc w:val="both"/>
              <w:rPr>
                <w:sz w:val="20"/>
                <w:szCs w:val="20"/>
                <w:lang w:val="fr-CA"/>
              </w:rPr>
            </w:pPr>
          </w:p>
        </w:tc>
        <w:tc>
          <w:tcPr>
            <w:tcW w:w="2366" w:type="pct"/>
            <w:gridSpan w:val="2"/>
          </w:tcPr>
          <w:p w:rsidR="0082729A" w:rsidRPr="00B3149D" w:rsidRDefault="0082729A" w:rsidP="00B3166C">
            <w:pPr>
              <w:jc w:val="both"/>
              <w:rPr>
                <w:sz w:val="20"/>
                <w:szCs w:val="20"/>
                <w:lang w:val="fr-CA"/>
              </w:rPr>
            </w:pPr>
            <w:r w:rsidRPr="00B3149D">
              <w:rPr>
                <w:color w:val="000000"/>
                <w:sz w:val="20"/>
                <w:szCs w:val="20"/>
                <w:lang w:val="fr-CA"/>
              </w:rPr>
              <w:t>Appel du jugement sommaire rejeté.</w:t>
            </w:r>
          </w:p>
          <w:p w:rsidR="0082729A" w:rsidRPr="00B3149D" w:rsidRDefault="0082729A" w:rsidP="00B3166C">
            <w:pPr>
              <w:jc w:val="both"/>
              <w:rPr>
                <w:sz w:val="20"/>
                <w:szCs w:val="20"/>
                <w:lang w:val="fr-CA"/>
              </w:rPr>
            </w:pPr>
          </w:p>
        </w:tc>
      </w:tr>
      <w:tr w:rsidR="0082729A" w:rsidRPr="00B3149D" w:rsidTr="00B3166C">
        <w:tblPrEx>
          <w:tblCellMar>
            <w:bottom w:w="0" w:type="dxa"/>
          </w:tblCellMar>
        </w:tblPrEx>
        <w:tc>
          <w:tcPr>
            <w:tcW w:w="2367" w:type="pct"/>
          </w:tcPr>
          <w:p w:rsidR="0082729A" w:rsidRPr="00B3149D" w:rsidRDefault="0082729A" w:rsidP="00B3166C">
            <w:pPr>
              <w:jc w:val="both"/>
              <w:rPr>
                <w:sz w:val="20"/>
                <w:szCs w:val="20"/>
                <w:lang w:val="fr-CA"/>
              </w:rPr>
            </w:pPr>
            <w:r w:rsidRPr="00B3149D">
              <w:rPr>
                <w:sz w:val="20"/>
                <w:szCs w:val="20"/>
                <w:lang w:val="fr-CA"/>
              </w:rPr>
              <w:t>14 septembre 2020</w:t>
            </w:r>
          </w:p>
          <w:p w:rsidR="0082729A" w:rsidRPr="00B3149D" w:rsidRDefault="0082729A" w:rsidP="00B3166C">
            <w:pPr>
              <w:jc w:val="both"/>
              <w:rPr>
                <w:sz w:val="20"/>
                <w:szCs w:val="20"/>
                <w:lang w:val="fr-CA"/>
              </w:rPr>
            </w:pPr>
            <w:r w:rsidRPr="00B3149D">
              <w:rPr>
                <w:sz w:val="20"/>
                <w:szCs w:val="20"/>
                <w:lang w:val="fr-CA"/>
              </w:rPr>
              <w:t>Cour d’appel de l’Ontario</w:t>
            </w:r>
          </w:p>
          <w:p w:rsidR="0082729A" w:rsidRPr="00B3149D" w:rsidRDefault="0082729A" w:rsidP="00B3166C">
            <w:pPr>
              <w:jc w:val="both"/>
              <w:rPr>
                <w:sz w:val="20"/>
                <w:szCs w:val="20"/>
                <w:lang w:val="fr-CA"/>
              </w:rPr>
            </w:pPr>
            <w:r w:rsidRPr="00B3149D">
              <w:rPr>
                <w:sz w:val="20"/>
                <w:szCs w:val="20"/>
                <w:lang w:val="fr-CA"/>
              </w:rPr>
              <w:t>(Juges Tulloch, Paciocco, Young)</w:t>
            </w:r>
          </w:p>
          <w:p w:rsidR="0082729A" w:rsidRPr="00B3149D" w:rsidRDefault="0082729A" w:rsidP="00B3166C">
            <w:pPr>
              <w:jc w:val="both"/>
              <w:rPr>
                <w:rFonts w:ascii="Arial" w:hAnsi="Arial"/>
                <w:b/>
                <w:sz w:val="20"/>
                <w:szCs w:val="20"/>
                <w:lang w:val="fr-CA"/>
              </w:rPr>
            </w:pPr>
            <w:r w:rsidRPr="00B3149D">
              <w:rPr>
                <w:sz w:val="20"/>
                <w:szCs w:val="20"/>
                <w:lang w:val="fr-CA"/>
              </w:rPr>
              <w:t>M51709</w:t>
            </w:r>
          </w:p>
          <w:p w:rsidR="0082729A" w:rsidRPr="00B3149D" w:rsidRDefault="0082729A" w:rsidP="00B3166C">
            <w:pPr>
              <w:jc w:val="both"/>
              <w:rPr>
                <w:sz w:val="20"/>
                <w:szCs w:val="20"/>
                <w:lang w:val="fr-CA"/>
              </w:rPr>
            </w:pPr>
          </w:p>
        </w:tc>
        <w:tc>
          <w:tcPr>
            <w:tcW w:w="267" w:type="pct"/>
          </w:tcPr>
          <w:p w:rsidR="0082729A" w:rsidRPr="00B3149D" w:rsidRDefault="0082729A" w:rsidP="00B3166C">
            <w:pPr>
              <w:jc w:val="both"/>
              <w:rPr>
                <w:sz w:val="20"/>
                <w:szCs w:val="20"/>
                <w:lang w:val="fr-CA"/>
              </w:rPr>
            </w:pPr>
          </w:p>
        </w:tc>
        <w:tc>
          <w:tcPr>
            <w:tcW w:w="2366" w:type="pct"/>
            <w:gridSpan w:val="2"/>
          </w:tcPr>
          <w:p w:rsidR="0082729A" w:rsidRPr="00B3149D" w:rsidRDefault="0082729A" w:rsidP="00B3166C">
            <w:pPr>
              <w:jc w:val="both"/>
              <w:rPr>
                <w:sz w:val="20"/>
                <w:szCs w:val="20"/>
                <w:lang w:val="fr-CA"/>
              </w:rPr>
            </w:pPr>
            <w:r w:rsidRPr="00B3149D">
              <w:rPr>
                <w:sz w:val="20"/>
                <w:szCs w:val="20"/>
                <w:lang w:val="fr-CA"/>
              </w:rPr>
              <w:t>Demande d’autorisation d’appel rejetée.</w:t>
            </w:r>
          </w:p>
          <w:p w:rsidR="0082729A" w:rsidRPr="00B3149D" w:rsidRDefault="0082729A" w:rsidP="00B3166C">
            <w:pPr>
              <w:jc w:val="both"/>
              <w:rPr>
                <w:sz w:val="20"/>
                <w:szCs w:val="20"/>
                <w:lang w:val="fr-CA"/>
              </w:rPr>
            </w:pPr>
          </w:p>
        </w:tc>
      </w:tr>
      <w:tr w:rsidR="0082729A" w:rsidRPr="00B3149D" w:rsidTr="00B3166C">
        <w:tblPrEx>
          <w:tblCellMar>
            <w:bottom w:w="0" w:type="dxa"/>
          </w:tblCellMar>
        </w:tblPrEx>
        <w:tc>
          <w:tcPr>
            <w:tcW w:w="2367" w:type="pct"/>
            <w:hideMark/>
          </w:tcPr>
          <w:p w:rsidR="0082729A" w:rsidRPr="00B3149D" w:rsidRDefault="0082729A" w:rsidP="00B3166C">
            <w:pPr>
              <w:jc w:val="both"/>
              <w:rPr>
                <w:sz w:val="20"/>
                <w:szCs w:val="20"/>
                <w:lang w:val="fr-CA"/>
              </w:rPr>
            </w:pPr>
            <w:r w:rsidRPr="00B3149D">
              <w:rPr>
                <w:sz w:val="20"/>
                <w:szCs w:val="20"/>
                <w:lang w:val="fr-CA"/>
              </w:rPr>
              <w:t>12 novembre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67" w:type="pct"/>
          </w:tcPr>
          <w:p w:rsidR="0082729A" w:rsidRPr="00B3149D" w:rsidRDefault="0082729A" w:rsidP="00B3166C">
            <w:pPr>
              <w:jc w:val="both"/>
              <w:rPr>
                <w:sz w:val="20"/>
                <w:szCs w:val="20"/>
                <w:lang w:val="fr-CA"/>
              </w:rPr>
            </w:pPr>
          </w:p>
        </w:tc>
        <w:tc>
          <w:tcPr>
            <w:tcW w:w="2366" w:type="pct"/>
            <w:gridSpan w:val="2"/>
          </w:tcPr>
          <w:p w:rsidR="0082729A" w:rsidRPr="00B3149D" w:rsidRDefault="0082729A" w:rsidP="00B3166C">
            <w:pPr>
              <w:jc w:val="both"/>
              <w:rPr>
                <w:sz w:val="20"/>
                <w:szCs w:val="20"/>
                <w:lang w:val="fr-CA"/>
              </w:rPr>
            </w:pPr>
            <w:r w:rsidRPr="00B3149D">
              <w:rPr>
                <w:sz w:val="20"/>
                <w:szCs w:val="20"/>
                <w:lang w:val="fr-CA"/>
              </w:rPr>
              <w:t>Demande d’autorisation d’appel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45"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39345</w:t>
            </w: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Dan Kennedy v. Public Guardian and Trustee</w:t>
            </w:r>
          </w:p>
          <w:p w:rsidR="0082729A" w:rsidRPr="00B3149D" w:rsidRDefault="0082729A" w:rsidP="00B3166C">
            <w:pPr>
              <w:jc w:val="both"/>
              <w:rPr>
                <w:sz w:val="20"/>
                <w:szCs w:val="20"/>
              </w:rPr>
            </w:pPr>
            <w:r w:rsidRPr="00B3149D">
              <w:rPr>
                <w:sz w:val="20"/>
                <w:szCs w:val="20"/>
              </w:rPr>
              <w:t>(Ont.) (Civil) (By Leave)</w:t>
            </w:r>
          </w:p>
        </w:tc>
      </w:tr>
      <w:tr w:rsidR="00B22DD4" w:rsidRPr="00B3149D" w:rsidTr="00B3166C">
        <w:tc>
          <w:tcPr>
            <w:tcW w:w="5000" w:type="pct"/>
            <w:gridSpan w:val="4"/>
          </w:tcPr>
          <w:p w:rsidR="009D21BC" w:rsidRPr="00B3149D" w:rsidRDefault="009D21BC" w:rsidP="009D21BC">
            <w:pPr>
              <w:jc w:val="both"/>
              <w:rPr>
                <w:sz w:val="20"/>
                <w:szCs w:val="20"/>
              </w:rPr>
            </w:pPr>
            <w:r w:rsidRPr="00B3149D">
              <w:rPr>
                <w:sz w:val="20"/>
                <w:szCs w:val="20"/>
              </w:rPr>
              <w:t>The motion for an extension of time to serve and file the application for leave to appeal is granted. The application for leave to appeal from the judgment of the Court of Appeal for Ontario, Number C66421, 2019 ONCA 956, dated December 5, 2019, is dismissed with costs to the respondent.</w:t>
            </w:r>
          </w:p>
          <w:p w:rsidR="00B22DD4" w:rsidRPr="00B3149D" w:rsidRDefault="00B22DD4"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 xml:space="preserve">Civil procedure — Appeals — Property — Guardianship over property — Public Guardian and Trustee refusing to appoint applicant as statutory guardian of brother’s property — Application judge and Court of Appeal upholding refusal — Whether application judge erred in only relying on written evidence and failing to provide opportunity to admit fresh evidence — Whether application judge erred in referring to applicant’s mental health — Whether Court of Appeal erred in providing insufficient time to dispute contents of original ruling — Whether Court of Appeal erred in refusing to admit fresh evidence — Whether there was a misunderstanding of written evidence — </w:t>
            </w:r>
            <w:r w:rsidRPr="00B3149D">
              <w:rPr>
                <w:i/>
                <w:sz w:val="20"/>
                <w:szCs w:val="20"/>
              </w:rPr>
              <w:t>Substitute Decisions Act, 1992</w:t>
            </w:r>
            <w:r w:rsidRPr="00B3149D">
              <w:rPr>
                <w:sz w:val="20"/>
                <w:szCs w:val="20"/>
              </w:rPr>
              <w:t>, S.O. 1992, c. 30, ss. 17, 18.</w:t>
            </w:r>
          </w:p>
        </w:tc>
      </w:tr>
      <w:tr w:rsidR="0082729A" w:rsidRPr="00B3149D" w:rsidTr="00B3166C">
        <w:tc>
          <w:tcPr>
            <w:tcW w:w="5000" w:type="pct"/>
            <w:gridSpan w:val="4"/>
          </w:tcPr>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The respondent, the Public Guardian and Trustee (“PGT”) refused an application by the applicant, Mr. Daniel Kennedy, to become the statutory</w:t>
            </w:r>
            <w:r w:rsidRPr="00B3149D">
              <w:rPr>
                <w:sz w:val="20"/>
                <w:szCs w:val="20"/>
              </w:rPr>
              <w:noBreakHyphen/>
              <w:t xml:space="preserve">appointed guardian of his brother’s property. </w:t>
            </w:r>
          </w:p>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 xml:space="preserve">The PGT found that Mr. Kennedy was an “unsuitable” candidate to manage his brother’s property, and that he lacked a suitable property management plan. The PGT also noted the brother’s own objection to Mr. Kennedy’s proposed appointment as his guardian, and the objections of other family members and care providers. </w:t>
            </w:r>
          </w:p>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The PGT successfully obtained a court order approving the refusal to name Mr. Kennedy as guardian of his brother’s property. Mr. Kennedy was unsuccessful in his appeal of that order.</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lastRenderedPageBreak/>
              <w:t>December 19, 2017</w:t>
            </w:r>
          </w:p>
          <w:p w:rsidR="0082729A" w:rsidRPr="00B3149D" w:rsidRDefault="0082729A" w:rsidP="00B3166C">
            <w:pPr>
              <w:jc w:val="both"/>
              <w:rPr>
                <w:sz w:val="20"/>
                <w:szCs w:val="20"/>
              </w:rPr>
            </w:pPr>
            <w:r w:rsidRPr="00B3149D">
              <w:rPr>
                <w:sz w:val="20"/>
                <w:szCs w:val="20"/>
              </w:rPr>
              <w:t>Ontario Superior Court of Justice</w:t>
            </w:r>
          </w:p>
          <w:p w:rsidR="0082729A" w:rsidRPr="00B3149D" w:rsidRDefault="0082729A" w:rsidP="00B3166C">
            <w:pPr>
              <w:jc w:val="both"/>
              <w:rPr>
                <w:sz w:val="20"/>
                <w:szCs w:val="20"/>
              </w:rPr>
            </w:pPr>
            <w:r w:rsidRPr="00B3149D">
              <w:rPr>
                <w:sz w:val="20"/>
                <w:szCs w:val="20"/>
              </w:rPr>
              <w:t>(Templeton J.)</w:t>
            </w:r>
          </w:p>
          <w:p w:rsidR="0082729A" w:rsidRPr="00B3149D" w:rsidRDefault="0082729A" w:rsidP="00B3166C">
            <w:pPr>
              <w:jc w:val="both"/>
              <w:rPr>
                <w:sz w:val="20"/>
                <w:szCs w:val="20"/>
              </w:rPr>
            </w:pPr>
            <w:r w:rsidRPr="00B3149D">
              <w:rPr>
                <w:sz w:val="20"/>
                <w:szCs w:val="20"/>
              </w:rPr>
              <w:t>2017 ONSC 7599 (no CanLII link available)</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Public Guardian and Trustee’s refusal to appoint Mr. Kennedy as statutory guardian of property for his brother — confirmed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December 5, 2019</w:t>
            </w:r>
          </w:p>
          <w:p w:rsidR="0082729A" w:rsidRPr="00B3149D" w:rsidRDefault="0082729A" w:rsidP="00B3166C">
            <w:pPr>
              <w:jc w:val="both"/>
              <w:rPr>
                <w:sz w:val="20"/>
                <w:szCs w:val="20"/>
              </w:rPr>
            </w:pPr>
            <w:r w:rsidRPr="00B3149D">
              <w:rPr>
                <w:sz w:val="20"/>
                <w:szCs w:val="20"/>
              </w:rPr>
              <w:t>Court of Appeal for Ontario</w:t>
            </w:r>
          </w:p>
          <w:p w:rsidR="0082729A" w:rsidRPr="00B3149D" w:rsidRDefault="0082729A" w:rsidP="00B3166C">
            <w:pPr>
              <w:jc w:val="both"/>
              <w:rPr>
                <w:sz w:val="20"/>
                <w:szCs w:val="20"/>
              </w:rPr>
            </w:pPr>
            <w:r w:rsidRPr="00B3149D">
              <w:rPr>
                <w:sz w:val="20"/>
                <w:szCs w:val="20"/>
              </w:rPr>
              <w:t>(Lauwers, Paciocco and Fairburn JJ.A.)</w:t>
            </w:r>
          </w:p>
          <w:p w:rsidR="0082729A" w:rsidRPr="00B3149D" w:rsidRDefault="00E51866" w:rsidP="00B3166C">
            <w:pPr>
              <w:jc w:val="both"/>
              <w:rPr>
                <w:sz w:val="20"/>
                <w:szCs w:val="20"/>
              </w:rPr>
            </w:pPr>
            <w:hyperlink r:id="rId33" w:history="1">
              <w:r w:rsidR="0082729A" w:rsidRPr="00B3149D">
                <w:rPr>
                  <w:rStyle w:val="Hyperlink"/>
                  <w:sz w:val="20"/>
                  <w:szCs w:val="20"/>
                </w:rPr>
                <w:t>2019 ONCA 956</w:t>
              </w:r>
            </w:hyperlink>
            <w:r w:rsidR="0082729A" w:rsidRPr="00B3149D">
              <w:rPr>
                <w:sz w:val="20"/>
                <w:szCs w:val="20"/>
              </w:rPr>
              <w:t xml:space="preserve"> </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Mr. Kennedy’s appeal — dismissed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February 12, 2020</w:t>
            </w:r>
          </w:p>
          <w:p w:rsidR="0082729A" w:rsidRPr="00B3149D" w:rsidRDefault="0082729A" w:rsidP="00B3166C">
            <w:pPr>
              <w:jc w:val="both"/>
              <w:rPr>
                <w:sz w:val="20"/>
              </w:rPr>
            </w:pPr>
            <w:r w:rsidRPr="00B3149D">
              <w:rPr>
                <w:sz w:val="20"/>
                <w:szCs w:val="20"/>
              </w:rPr>
              <w:t>Supreme Court of Canada</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 by Mr. Kennedy</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December 21,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Motion filed for extension of time in which to serve and file application for leave to appeal</w:t>
            </w: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46"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39345</w:t>
            </w:r>
          </w:p>
        </w:tc>
        <w:tc>
          <w:tcPr>
            <w:tcW w:w="4457" w:type="pct"/>
            <w:gridSpan w:val="3"/>
          </w:tcPr>
          <w:p w:rsidR="0082729A" w:rsidRPr="00B3149D" w:rsidRDefault="0082729A" w:rsidP="00B3166C">
            <w:pPr>
              <w:pStyle w:val="SCCLsocParty"/>
              <w:jc w:val="both"/>
              <w:rPr>
                <w:b/>
                <w:sz w:val="20"/>
                <w:szCs w:val="20"/>
              </w:rPr>
            </w:pPr>
            <w:r w:rsidRPr="00B3149D">
              <w:rPr>
                <w:b/>
                <w:sz w:val="20"/>
                <w:szCs w:val="20"/>
              </w:rPr>
              <w:t>Dan Kennedy c. Tuteur et curateur public</w:t>
            </w:r>
          </w:p>
          <w:p w:rsidR="0082729A" w:rsidRPr="00B3149D" w:rsidRDefault="0082729A" w:rsidP="00B3166C">
            <w:pPr>
              <w:jc w:val="both"/>
              <w:rPr>
                <w:sz w:val="20"/>
                <w:szCs w:val="20"/>
                <w:lang w:val="fr-CA"/>
              </w:rPr>
            </w:pPr>
            <w:r w:rsidRPr="00B3149D">
              <w:rPr>
                <w:sz w:val="20"/>
                <w:szCs w:val="20"/>
                <w:lang w:val="fr-CA"/>
              </w:rPr>
              <w:t>(Ont.) (Civile) (Sur autorisation)</w:t>
            </w:r>
          </w:p>
        </w:tc>
      </w:tr>
      <w:tr w:rsidR="00B22DD4" w:rsidRPr="009873D4" w:rsidTr="00B3166C">
        <w:tc>
          <w:tcPr>
            <w:tcW w:w="5000" w:type="pct"/>
            <w:gridSpan w:val="4"/>
          </w:tcPr>
          <w:p w:rsidR="00B22DD4" w:rsidRPr="00B3149D" w:rsidRDefault="009D21BC" w:rsidP="00B3166C">
            <w:pPr>
              <w:jc w:val="both"/>
              <w:rPr>
                <w:sz w:val="20"/>
                <w:szCs w:val="20"/>
                <w:lang w:val="fr-CA"/>
              </w:rPr>
            </w:pPr>
            <w:r w:rsidRPr="00B3149D">
              <w:rPr>
                <w:sz w:val="20"/>
                <w:szCs w:val="20"/>
                <w:lang w:val="fr-CA"/>
              </w:rPr>
              <w:t>La requête en prorogation du délai de signification et de dépôt de la demande d’autorisation d’appel est accueillie. La demande d’autorisation d’appel de l’arrêt de la Cour d’appel de l’Ontario, numéro C66421, 2019 ONCA 956, daté du 5 décembre 2019, est rejetée avec dépens en faveur de l’intimé.</w:t>
            </w:r>
          </w:p>
          <w:p w:rsidR="009D21BC" w:rsidRPr="00B3149D" w:rsidRDefault="009D21BC"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Procédure civile — Appels — Biens — Tutelle aux biens — Refus du Tuteur et curateur public de nommer le demandeur à titre de tuteur légal aux biens de son frère — La juge saisie de la demande et la Cour d’appel confirment le refus — La juge saisie de la demande a</w:t>
            </w:r>
            <w:r w:rsidRPr="00B3149D">
              <w:rPr>
                <w:sz w:val="20"/>
                <w:szCs w:val="20"/>
                <w:lang w:val="fr-CA"/>
              </w:rPr>
              <w:noBreakHyphen/>
              <w:t>t</w:t>
            </w:r>
            <w:r w:rsidRPr="00B3149D">
              <w:rPr>
                <w:sz w:val="20"/>
                <w:szCs w:val="20"/>
                <w:lang w:val="fr-CA"/>
              </w:rPr>
              <w:noBreakHyphen/>
              <w:t>elle commis une erreur en s’appuyant uniquement sur la preuve écrite et en ne donnant pas l’occasion d’admettre de nouveaux éléments de preuve ? — La juge saisie de la demande a</w:t>
            </w:r>
            <w:r w:rsidRPr="00B3149D">
              <w:rPr>
                <w:sz w:val="20"/>
                <w:szCs w:val="20"/>
                <w:lang w:val="fr-CA"/>
              </w:rPr>
              <w:noBreakHyphen/>
              <w:t>t</w:t>
            </w:r>
            <w:r w:rsidRPr="00B3149D">
              <w:rPr>
                <w:sz w:val="20"/>
                <w:szCs w:val="20"/>
                <w:lang w:val="fr-CA"/>
              </w:rPr>
              <w:noBreakHyphen/>
              <w:t>elle commis une erreur en faisant référence à la santé mentale du demandeur ? — La Cour d’appel a</w:t>
            </w:r>
            <w:r w:rsidRPr="00B3149D">
              <w:rPr>
                <w:sz w:val="20"/>
                <w:szCs w:val="20"/>
                <w:lang w:val="fr-CA"/>
              </w:rPr>
              <w:noBreakHyphen/>
              <w:t>t</w:t>
            </w:r>
            <w:r w:rsidRPr="00B3149D">
              <w:rPr>
                <w:sz w:val="20"/>
                <w:szCs w:val="20"/>
                <w:lang w:val="fr-CA"/>
              </w:rPr>
              <w:noBreakHyphen/>
              <w:t>elle commis une erreur en n’accordant pas suffisamment de temps afin de contester le contenu de la décision initiale ? — La Cour d’appel a</w:t>
            </w:r>
            <w:r w:rsidRPr="00B3149D">
              <w:rPr>
                <w:sz w:val="20"/>
                <w:szCs w:val="20"/>
                <w:lang w:val="fr-CA"/>
              </w:rPr>
              <w:noBreakHyphen/>
              <w:t>t</w:t>
            </w:r>
            <w:r w:rsidRPr="00B3149D">
              <w:rPr>
                <w:sz w:val="20"/>
                <w:szCs w:val="20"/>
                <w:lang w:val="fr-CA"/>
              </w:rPr>
              <w:noBreakHyphen/>
              <w:t>elle commis une erreur en refusant d’admettre de nouveaux éléments de preuve ? — Y a</w:t>
            </w:r>
            <w:r w:rsidRPr="00B3149D">
              <w:rPr>
                <w:sz w:val="20"/>
                <w:szCs w:val="20"/>
                <w:lang w:val="fr-CA"/>
              </w:rPr>
              <w:noBreakHyphen/>
              <w:t>t</w:t>
            </w:r>
            <w:r w:rsidRPr="00B3149D">
              <w:rPr>
                <w:sz w:val="20"/>
                <w:szCs w:val="20"/>
                <w:lang w:val="fr-CA"/>
              </w:rPr>
              <w:noBreakHyphen/>
              <w:t xml:space="preserve">il eu compréhension erronée de la preuve écrite ? — </w:t>
            </w:r>
            <w:r w:rsidRPr="00B3149D">
              <w:rPr>
                <w:i/>
                <w:sz w:val="20"/>
                <w:szCs w:val="20"/>
                <w:lang w:val="fr-CA"/>
              </w:rPr>
              <w:t>Loi de 1992 sur la prise de décisions au nom d’autrui</w:t>
            </w:r>
            <w:r w:rsidRPr="00B3149D">
              <w:rPr>
                <w:sz w:val="20"/>
                <w:szCs w:val="20"/>
                <w:lang w:val="fr-CA"/>
              </w:rPr>
              <w:t>, L.O. 1992, c. 30, art. 17, 18.</w:t>
            </w:r>
          </w:p>
        </w:tc>
      </w:tr>
      <w:tr w:rsidR="0082729A" w:rsidRPr="009873D4" w:rsidTr="00B3166C">
        <w:tc>
          <w:tcPr>
            <w:tcW w:w="5000" w:type="pct"/>
            <w:gridSpan w:val="4"/>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 xml:space="preserve">L’intimé, le Tuteur et curateur public (« TCP »), a refusé la demande présentée par le demandeur, M. Daniel Kennedy, en vue de devenir tuteur légal aux biens de son frère. </w:t>
            </w:r>
          </w:p>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 xml:space="preserve">Le TCP a conclu que M. Kennedy [traduction] « ne convenait pas » comme candidat aux fins de gestion des biens de son frère, et qu’il n’avait pas établi un plan de gestion des biens adéquat. Le TCP a également souligné l’opposition même du frère à la proposition de nomination de M. Kennedy comme son tuteur, ainsi que l’opposition d’autres membres de la famille et des prestataires de soins. </w:t>
            </w:r>
          </w:p>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Le TCP a obtenu une ordonnance judiciaire approuvant le refus de la nomination de M. Kennedy à titre de tuteur aux biens de son frère. M. Kennedy n’a pas eu gain de cause lorsqu’il a fait appel de cette ordonnance.</w:t>
            </w:r>
          </w:p>
        </w:tc>
      </w:tr>
      <w:tr w:rsidR="0082729A" w:rsidRPr="009873D4" w:rsidTr="00B3166C">
        <w:tc>
          <w:tcPr>
            <w:tcW w:w="5000" w:type="pct"/>
            <w:gridSpan w:val="4"/>
          </w:tcPr>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19 décembre 2017</w:t>
            </w:r>
          </w:p>
          <w:p w:rsidR="0082729A" w:rsidRPr="00B3149D" w:rsidRDefault="0082729A" w:rsidP="00B3166C">
            <w:pPr>
              <w:jc w:val="both"/>
              <w:rPr>
                <w:sz w:val="20"/>
                <w:szCs w:val="20"/>
                <w:lang w:val="fr-CA"/>
              </w:rPr>
            </w:pPr>
            <w:r w:rsidRPr="00B3149D">
              <w:rPr>
                <w:sz w:val="20"/>
                <w:szCs w:val="20"/>
                <w:lang w:val="fr-CA"/>
              </w:rPr>
              <w:t>Cour supérieure de justice de l’Ontario</w:t>
            </w:r>
          </w:p>
          <w:p w:rsidR="0082729A" w:rsidRPr="00B3149D" w:rsidRDefault="0082729A" w:rsidP="00B3166C">
            <w:pPr>
              <w:jc w:val="both"/>
              <w:rPr>
                <w:sz w:val="20"/>
                <w:szCs w:val="20"/>
                <w:lang w:val="fr-CA"/>
              </w:rPr>
            </w:pPr>
            <w:r w:rsidRPr="00B3149D">
              <w:rPr>
                <w:sz w:val="20"/>
                <w:szCs w:val="20"/>
                <w:lang w:val="fr-CA"/>
              </w:rPr>
              <w:t>(Juge Templeton)</w:t>
            </w:r>
          </w:p>
          <w:p w:rsidR="0082729A" w:rsidRPr="00B3149D" w:rsidRDefault="0082729A" w:rsidP="00B3166C">
            <w:pPr>
              <w:jc w:val="both"/>
              <w:rPr>
                <w:sz w:val="20"/>
                <w:szCs w:val="20"/>
                <w:lang w:val="fr-CA"/>
              </w:rPr>
            </w:pPr>
            <w:r w:rsidRPr="00B3149D">
              <w:rPr>
                <w:sz w:val="20"/>
                <w:szCs w:val="20"/>
                <w:lang w:val="fr-CA"/>
              </w:rPr>
              <w:t>2017 ONSC 7599 (aucun lien CanLII n’est disponible)</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Le refus du Tuteur et curateur public de nommer le demandeur à titre de tuteur légal aux biens de son frère est confirmé.</w:t>
            </w:r>
          </w:p>
          <w:p w:rsidR="0082729A" w:rsidRPr="00B3149D" w:rsidRDefault="0082729A"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lastRenderedPageBreak/>
              <w:t>5 décembre 2019</w:t>
            </w:r>
          </w:p>
          <w:p w:rsidR="0082729A" w:rsidRPr="00B3149D" w:rsidRDefault="0082729A" w:rsidP="00B3166C">
            <w:pPr>
              <w:jc w:val="both"/>
              <w:rPr>
                <w:sz w:val="20"/>
                <w:szCs w:val="20"/>
                <w:lang w:val="fr-CA"/>
              </w:rPr>
            </w:pPr>
            <w:r w:rsidRPr="00B3149D">
              <w:rPr>
                <w:sz w:val="20"/>
                <w:szCs w:val="20"/>
                <w:lang w:val="fr-CA"/>
              </w:rPr>
              <w:t>Cour d’appel de l’Ontario</w:t>
            </w:r>
          </w:p>
          <w:p w:rsidR="0082729A" w:rsidRPr="00B3149D" w:rsidRDefault="0082729A" w:rsidP="00B3166C">
            <w:pPr>
              <w:jc w:val="both"/>
              <w:rPr>
                <w:sz w:val="20"/>
                <w:szCs w:val="20"/>
                <w:lang w:val="fr-CA"/>
              </w:rPr>
            </w:pPr>
            <w:r w:rsidRPr="00B3149D">
              <w:rPr>
                <w:sz w:val="20"/>
                <w:szCs w:val="20"/>
                <w:lang w:val="fr-CA"/>
              </w:rPr>
              <w:t>(Juges Lauwers, Paciocco et Fairburn)</w:t>
            </w:r>
          </w:p>
          <w:p w:rsidR="0082729A" w:rsidRPr="00B3149D" w:rsidRDefault="00E51866" w:rsidP="00B3166C">
            <w:pPr>
              <w:jc w:val="both"/>
              <w:rPr>
                <w:sz w:val="20"/>
                <w:szCs w:val="20"/>
                <w:lang w:val="fr-CA"/>
              </w:rPr>
            </w:pPr>
            <w:hyperlink r:id="rId34" w:history="1">
              <w:r w:rsidR="0082729A" w:rsidRPr="00B3149D">
                <w:rPr>
                  <w:rStyle w:val="Hyperlink"/>
                  <w:sz w:val="20"/>
                  <w:szCs w:val="20"/>
                  <w:lang w:val="fr-CA"/>
                </w:rPr>
                <w:t>2019 ONCA 956</w:t>
              </w:r>
            </w:hyperlink>
            <w:r w:rsidR="0082729A" w:rsidRPr="00B3149D">
              <w:rPr>
                <w:sz w:val="20"/>
                <w:szCs w:val="20"/>
                <w:lang w:val="fr-CA"/>
              </w:rPr>
              <w:t xml:space="preserve"> </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L’appel de M. Kennedy est rejeté.</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12 février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 par M. Kennedy.</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21 décembre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requête en prorogation du délai de signification et de dépôt de la demande d’autorisation d’appel est présentée.</w:t>
            </w: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47" style="width:2in;height:1pt" o:hrpct="0" o:hralign="center" o:hrstd="t" o:hrnoshade="t" o:hr="t" fillcolor="black [3213]" stroked="f"/>
        </w:pict>
      </w:r>
    </w:p>
    <w:p w:rsidR="0082729A" w:rsidRPr="00B3149D" w:rsidRDefault="0082729A" w:rsidP="0082729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39348</w:t>
            </w:r>
          </w:p>
        </w:tc>
        <w:tc>
          <w:tcPr>
            <w:tcW w:w="4457" w:type="pct"/>
            <w:gridSpan w:val="3"/>
          </w:tcPr>
          <w:p w:rsidR="0082729A" w:rsidRPr="00B3149D" w:rsidRDefault="0082729A" w:rsidP="00B3166C">
            <w:pPr>
              <w:pStyle w:val="SCCLsocParty"/>
              <w:jc w:val="both"/>
              <w:rPr>
                <w:b/>
                <w:sz w:val="20"/>
                <w:szCs w:val="20"/>
                <w:lang w:val="en-CA"/>
              </w:rPr>
            </w:pPr>
            <w:r w:rsidRPr="00B3149D">
              <w:rPr>
                <w:b/>
                <w:sz w:val="20"/>
                <w:szCs w:val="20"/>
                <w:lang w:val="en-CA"/>
              </w:rPr>
              <w:t>E.W. v. M.R.</w:t>
            </w:r>
          </w:p>
          <w:p w:rsidR="0082729A" w:rsidRPr="00B3149D" w:rsidRDefault="0082729A" w:rsidP="00B3166C">
            <w:pPr>
              <w:jc w:val="both"/>
              <w:rPr>
                <w:sz w:val="20"/>
                <w:szCs w:val="20"/>
              </w:rPr>
            </w:pPr>
            <w:r w:rsidRPr="00B3149D">
              <w:rPr>
                <w:sz w:val="20"/>
                <w:szCs w:val="20"/>
              </w:rPr>
              <w:t>(Que.) (Civil) (By Leave)</w:t>
            </w:r>
          </w:p>
        </w:tc>
      </w:tr>
      <w:tr w:rsidR="00B22DD4" w:rsidRPr="00B3149D" w:rsidTr="00B3166C">
        <w:tc>
          <w:tcPr>
            <w:tcW w:w="5000" w:type="pct"/>
            <w:gridSpan w:val="4"/>
          </w:tcPr>
          <w:p w:rsidR="003F1FF7" w:rsidRPr="00B3149D" w:rsidRDefault="003F1FF7" w:rsidP="003F1FF7">
            <w:pPr>
              <w:jc w:val="both"/>
              <w:rPr>
                <w:sz w:val="20"/>
                <w:szCs w:val="20"/>
              </w:rPr>
            </w:pPr>
            <w:r w:rsidRPr="00B3149D">
              <w:rPr>
                <w:sz w:val="20"/>
                <w:szCs w:val="20"/>
              </w:rPr>
              <w:t>The application for leave to appeal from the judgment of the Court of Appeal of Quebec (Montréal), Number 500-09-028339-190,  2020 QCCA 868, dated July 2, 2020, is dismissed.</w:t>
            </w:r>
          </w:p>
          <w:p w:rsidR="00B22DD4" w:rsidRPr="00B3149D" w:rsidRDefault="00B22DD4" w:rsidP="00B3166C">
            <w:pPr>
              <w:pStyle w:val="SCCBanSummary0"/>
              <w:rPr>
                <w:smallCaps w:val="0"/>
                <w:sz w:val="20"/>
                <w:szCs w:val="20"/>
              </w:rPr>
            </w:pPr>
          </w:p>
        </w:tc>
      </w:tr>
      <w:tr w:rsidR="0082729A" w:rsidRPr="00B3149D" w:rsidTr="00B3166C">
        <w:tc>
          <w:tcPr>
            <w:tcW w:w="5000" w:type="pct"/>
            <w:gridSpan w:val="4"/>
          </w:tcPr>
          <w:p w:rsidR="0082729A" w:rsidRPr="00B3149D" w:rsidRDefault="0082729A" w:rsidP="00B3166C">
            <w:pPr>
              <w:pStyle w:val="SCCBanSummary0"/>
              <w:rPr>
                <w:sz w:val="20"/>
                <w:szCs w:val="20"/>
              </w:rPr>
            </w:pPr>
            <w:r w:rsidRPr="00B3149D">
              <w:rPr>
                <w:sz w:val="20"/>
                <w:szCs w:val="20"/>
              </w:rPr>
              <w:t>(Publication Ban in Case) (Publication Ban on Party) (Court file contains information that is not available for inspection by the public)</w:t>
            </w:r>
          </w:p>
          <w:p w:rsidR="0082729A" w:rsidRPr="00B3149D" w:rsidRDefault="0082729A"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 xml:space="preserve">Family law — Compensatory allowance — Partnership of acquests — Whether increase in value of shares of property management company held by one spouse prior to marriage must be considered partitionable acquest — </w:t>
            </w:r>
            <w:r w:rsidRPr="00B3149D">
              <w:rPr>
                <w:i/>
                <w:sz w:val="20"/>
                <w:szCs w:val="20"/>
              </w:rPr>
              <w:t>Civil Code of Québec</w:t>
            </w:r>
            <w:r w:rsidRPr="00B3149D">
              <w:rPr>
                <w:sz w:val="20"/>
                <w:szCs w:val="20"/>
              </w:rPr>
              <w:t>, CQLR, c. CCQ</w:t>
            </w:r>
            <w:r w:rsidRPr="00B3149D">
              <w:rPr>
                <w:sz w:val="20"/>
                <w:szCs w:val="20"/>
              </w:rPr>
              <w:noBreakHyphen/>
              <w:t>1991, art. 457.</w:t>
            </w:r>
          </w:p>
          <w:p w:rsidR="0082729A" w:rsidRPr="00B3149D" w:rsidRDefault="0082729A"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The parties divorced after eight years of marriage. The respondent had owned a property management company since before the marriage. During their relationship, the parties had purchased, renovated and sold several residences. The applicant sought to have the value of the shares held by the respondent included in the partition of acquests. The Superior Court granted the parties a divorce and ruled on the corollary relief. It found that the applicant had a claim in the partition of the family patrimony and in the partition of acquests. However, it refused to include the increase in the value of the respondent’s shares in that claim, finding that he had owned his management company since before the parties were in a relationship and that the shares were therefore private property. It awarded the applicant a compensatory allowance as compensation for her contributions, in time and services, to the renovation projects</w:t>
            </w:r>
            <w:r w:rsidRPr="00B3149D">
              <w:rPr>
                <w:color w:val="000000"/>
                <w:sz w:val="20"/>
                <w:szCs w:val="20"/>
              </w:rPr>
              <w:t>. The Court of Appeal allowed the respondent’s principal appeal in part for the sole purpose of correcting an error and reducing the applicant’s claim in the partition of acquests by effecting compensation. It rejected the applicant’s ground of incidental appeal concerning the inclusion in the acquests of the increase in value, during the marriage, of the shares the respondent had owned at the time of the marriage. However, it accepted the alternative ground of appeal by which the applicant sought to increase the value of the other claims against the respondent with respect to the compensatory allowance and the lump sum</w:t>
            </w:r>
            <w:r w:rsidRPr="00B3149D">
              <w:rPr>
                <w:sz w:val="20"/>
                <w:szCs w:val="20"/>
              </w:rPr>
              <w:t>.</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April 11, 2019</w:t>
            </w:r>
          </w:p>
          <w:p w:rsidR="0082729A" w:rsidRPr="00B3149D" w:rsidRDefault="0082729A" w:rsidP="00B3166C">
            <w:pPr>
              <w:jc w:val="both"/>
              <w:rPr>
                <w:sz w:val="20"/>
                <w:szCs w:val="20"/>
              </w:rPr>
            </w:pPr>
            <w:r w:rsidRPr="00B3149D">
              <w:rPr>
                <w:sz w:val="20"/>
                <w:szCs w:val="20"/>
              </w:rPr>
              <w:t>Quebec Superior Court</w:t>
            </w:r>
          </w:p>
          <w:p w:rsidR="0082729A" w:rsidRPr="00B3149D" w:rsidRDefault="0082729A" w:rsidP="00B3166C">
            <w:pPr>
              <w:jc w:val="both"/>
              <w:rPr>
                <w:sz w:val="20"/>
                <w:szCs w:val="20"/>
              </w:rPr>
            </w:pPr>
            <w:r w:rsidRPr="00B3149D">
              <w:rPr>
                <w:sz w:val="20"/>
                <w:szCs w:val="20"/>
              </w:rPr>
              <w:t>(Armstrong J.)</w:t>
            </w:r>
          </w:p>
          <w:p w:rsidR="0082729A" w:rsidRPr="00B3149D" w:rsidRDefault="0082729A" w:rsidP="00B3166C">
            <w:pPr>
              <w:jc w:val="both"/>
              <w:rPr>
                <w:sz w:val="20"/>
                <w:szCs w:val="20"/>
              </w:rPr>
            </w:pPr>
            <w:r w:rsidRPr="00B3149D">
              <w:rPr>
                <w:sz w:val="20"/>
                <w:szCs w:val="20"/>
              </w:rPr>
              <w:t>500</w:t>
            </w:r>
            <w:r w:rsidRPr="00B3149D">
              <w:rPr>
                <w:sz w:val="20"/>
                <w:szCs w:val="20"/>
              </w:rPr>
              <w:noBreakHyphen/>
              <w:t>12</w:t>
            </w:r>
            <w:r w:rsidRPr="00B3149D">
              <w:rPr>
                <w:sz w:val="20"/>
                <w:szCs w:val="20"/>
              </w:rPr>
              <w:noBreakHyphen/>
              <w:t>329459</w:t>
            </w:r>
            <w:r w:rsidRPr="00B3149D">
              <w:rPr>
                <w:sz w:val="20"/>
                <w:szCs w:val="20"/>
              </w:rPr>
              <w:noBreakHyphen/>
              <w:t xml:space="preserve">154 </w:t>
            </w:r>
          </w:p>
          <w:p w:rsidR="0082729A" w:rsidRPr="00B3149D" w:rsidRDefault="00E51866" w:rsidP="00B3166C">
            <w:pPr>
              <w:jc w:val="both"/>
              <w:rPr>
                <w:sz w:val="20"/>
                <w:szCs w:val="20"/>
              </w:rPr>
            </w:pPr>
            <w:hyperlink r:id="rId35" w:history="1">
              <w:r w:rsidR="0082729A" w:rsidRPr="00B3149D">
                <w:rPr>
                  <w:rStyle w:val="Hyperlink"/>
                  <w:sz w:val="20"/>
                  <w:szCs w:val="20"/>
                </w:rPr>
                <w:t>2019 QCCS 1353</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Divorce granted and corollary relief ordered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July 2, 2020</w:t>
            </w:r>
          </w:p>
          <w:p w:rsidR="0082729A" w:rsidRPr="00B3149D" w:rsidRDefault="0082729A" w:rsidP="00B3166C">
            <w:pPr>
              <w:jc w:val="both"/>
              <w:rPr>
                <w:sz w:val="20"/>
                <w:szCs w:val="20"/>
              </w:rPr>
            </w:pPr>
            <w:r w:rsidRPr="00B3149D">
              <w:rPr>
                <w:sz w:val="20"/>
                <w:szCs w:val="20"/>
              </w:rPr>
              <w:t>Quebec Court of Appeal (Montréal)</w:t>
            </w:r>
          </w:p>
          <w:p w:rsidR="0082729A" w:rsidRPr="00B3149D" w:rsidRDefault="0082729A" w:rsidP="00B3166C">
            <w:pPr>
              <w:jc w:val="both"/>
              <w:rPr>
                <w:sz w:val="20"/>
                <w:szCs w:val="20"/>
              </w:rPr>
            </w:pPr>
            <w:r w:rsidRPr="00B3149D">
              <w:rPr>
                <w:sz w:val="20"/>
                <w:szCs w:val="20"/>
              </w:rPr>
              <w:t>(Marcotte, Hamilton and Fournier JJ.A.)</w:t>
            </w:r>
          </w:p>
          <w:p w:rsidR="0082729A" w:rsidRPr="00B3149D" w:rsidRDefault="0082729A" w:rsidP="00B3166C">
            <w:pPr>
              <w:tabs>
                <w:tab w:val="left" w:pos="2335"/>
              </w:tabs>
              <w:jc w:val="both"/>
              <w:rPr>
                <w:sz w:val="20"/>
                <w:szCs w:val="20"/>
              </w:rPr>
            </w:pPr>
            <w:r w:rsidRPr="00B3149D">
              <w:rPr>
                <w:sz w:val="20"/>
                <w:szCs w:val="20"/>
              </w:rPr>
              <w:t>500</w:t>
            </w:r>
            <w:r w:rsidRPr="00B3149D">
              <w:rPr>
                <w:sz w:val="20"/>
                <w:szCs w:val="20"/>
              </w:rPr>
              <w:noBreakHyphen/>
              <w:t>09</w:t>
            </w:r>
            <w:r w:rsidRPr="00B3149D">
              <w:rPr>
                <w:sz w:val="20"/>
                <w:szCs w:val="20"/>
              </w:rPr>
              <w:noBreakHyphen/>
              <w:t>028339</w:t>
            </w:r>
            <w:r w:rsidRPr="00B3149D">
              <w:rPr>
                <w:sz w:val="20"/>
                <w:szCs w:val="20"/>
              </w:rPr>
              <w:noBreakHyphen/>
              <w:t>190</w:t>
            </w:r>
          </w:p>
          <w:p w:rsidR="0082729A" w:rsidRPr="00B3149D" w:rsidRDefault="00E51866" w:rsidP="00B3166C">
            <w:pPr>
              <w:tabs>
                <w:tab w:val="left" w:pos="2335"/>
              </w:tabs>
              <w:jc w:val="both"/>
              <w:rPr>
                <w:sz w:val="20"/>
                <w:szCs w:val="20"/>
              </w:rPr>
            </w:pPr>
            <w:hyperlink r:id="rId36" w:history="1">
              <w:r w:rsidR="0082729A" w:rsidRPr="00B3149D">
                <w:rPr>
                  <w:rStyle w:val="Hyperlink"/>
                  <w:sz w:val="20"/>
                  <w:szCs w:val="20"/>
                </w:rPr>
                <w:t>2020 QCCA 868</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 xml:space="preserve">Principal appeal allowed in part and incidental appeal allowed in part </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September 28,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48"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9873D4" w:rsidTr="00B3166C">
        <w:tc>
          <w:tcPr>
            <w:tcW w:w="543" w:type="pct"/>
          </w:tcPr>
          <w:p w:rsidR="0082729A" w:rsidRPr="00B3149D" w:rsidRDefault="0082729A" w:rsidP="00B3166C">
            <w:pPr>
              <w:jc w:val="both"/>
              <w:rPr>
                <w:sz w:val="20"/>
                <w:szCs w:val="20"/>
              </w:rPr>
            </w:pPr>
            <w:r w:rsidRPr="00B3149D">
              <w:rPr>
                <w:rStyle w:val="SCCFileNumberChar"/>
                <w:sz w:val="20"/>
                <w:szCs w:val="20"/>
              </w:rPr>
              <w:t>39348</w:t>
            </w:r>
          </w:p>
        </w:tc>
        <w:tc>
          <w:tcPr>
            <w:tcW w:w="4457" w:type="pct"/>
            <w:gridSpan w:val="3"/>
          </w:tcPr>
          <w:p w:rsidR="0082729A" w:rsidRPr="00B3149D" w:rsidRDefault="0082729A" w:rsidP="00B3166C">
            <w:pPr>
              <w:pStyle w:val="SCCLsocParty"/>
              <w:jc w:val="both"/>
              <w:rPr>
                <w:b/>
                <w:sz w:val="20"/>
                <w:szCs w:val="20"/>
              </w:rPr>
            </w:pPr>
            <w:r w:rsidRPr="00B3149D">
              <w:rPr>
                <w:b/>
                <w:sz w:val="20"/>
                <w:szCs w:val="20"/>
              </w:rPr>
              <w:t>E.W. c. M.R.</w:t>
            </w:r>
          </w:p>
          <w:p w:rsidR="0082729A" w:rsidRPr="00B3149D" w:rsidRDefault="0082729A" w:rsidP="00B3166C">
            <w:pPr>
              <w:jc w:val="both"/>
              <w:rPr>
                <w:sz w:val="20"/>
                <w:szCs w:val="20"/>
                <w:lang w:val="fr-CA"/>
              </w:rPr>
            </w:pPr>
            <w:r w:rsidRPr="00B3149D">
              <w:rPr>
                <w:sz w:val="20"/>
                <w:szCs w:val="20"/>
                <w:lang w:val="fr-CA"/>
              </w:rPr>
              <w:t>(Qc) (Civile) (Autorisation)</w:t>
            </w:r>
          </w:p>
        </w:tc>
      </w:tr>
      <w:tr w:rsidR="00B22DD4" w:rsidRPr="009873D4" w:rsidTr="00B3166C">
        <w:tc>
          <w:tcPr>
            <w:tcW w:w="5000" w:type="pct"/>
            <w:gridSpan w:val="4"/>
          </w:tcPr>
          <w:p w:rsidR="00B22DD4" w:rsidRPr="00B3149D" w:rsidRDefault="003F1FF7" w:rsidP="00B3166C">
            <w:pPr>
              <w:pStyle w:val="SCCBanSummary0"/>
              <w:rPr>
                <w:smallCaps w:val="0"/>
                <w:sz w:val="20"/>
                <w:szCs w:val="20"/>
                <w:lang w:val="fr-CA"/>
              </w:rPr>
            </w:pPr>
            <w:r w:rsidRPr="00B3149D">
              <w:rPr>
                <w:smallCaps w:val="0"/>
                <w:sz w:val="20"/>
                <w:szCs w:val="20"/>
                <w:lang w:val="fr-CA"/>
              </w:rPr>
              <w:t>La demande d’autorisation d’appel de l’arrêt de la Cour d’appel du Québec (Montréal), numéro 500-09-028339-190, 2020 QCCA 868, daté du 2 juillet 2020, est rejetée.</w:t>
            </w:r>
          </w:p>
          <w:p w:rsidR="003F1FF7" w:rsidRPr="00B3149D" w:rsidRDefault="003F1FF7" w:rsidP="003F1FF7">
            <w:pPr>
              <w:rPr>
                <w:lang w:val="fr-CA"/>
              </w:rPr>
            </w:pPr>
          </w:p>
        </w:tc>
      </w:tr>
      <w:tr w:rsidR="0082729A" w:rsidRPr="009873D4" w:rsidTr="00B3166C">
        <w:tc>
          <w:tcPr>
            <w:tcW w:w="5000" w:type="pct"/>
            <w:gridSpan w:val="4"/>
          </w:tcPr>
          <w:p w:rsidR="0082729A" w:rsidRPr="00B3149D" w:rsidRDefault="0082729A" w:rsidP="00B3166C">
            <w:pPr>
              <w:pStyle w:val="SCCBanSummary0"/>
              <w:rPr>
                <w:sz w:val="20"/>
                <w:szCs w:val="20"/>
                <w:lang w:val="fr-CA"/>
              </w:rPr>
            </w:pPr>
            <w:r w:rsidRPr="00B3149D">
              <w:rPr>
                <w:sz w:val="20"/>
                <w:szCs w:val="20"/>
                <w:lang w:val="fr-CA"/>
              </w:rPr>
              <w:t>(Ordonnance de non</w:t>
            </w:r>
            <w:r w:rsidRPr="00B3149D">
              <w:rPr>
                <w:sz w:val="20"/>
                <w:szCs w:val="20"/>
                <w:lang w:val="fr-CA"/>
              </w:rPr>
              <w:noBreakHyphen/>
              <w:t>publication dans le dossier) (Ordonnance de non</w:t>
            </w:r>
            <w:r w:rsidRPr="00B3149D">
              <w:rPr>
                <w:sz w:val="20"/>
                <w:szCs w:val="20"/>
                <w:lang w:val="fr-CA"/>
              </w:rPr>
              <w:noBreakHyphen/>
              <w:t>publication visant une partie) (Le dossier de la Cour renferme des données que le public n'est pas autorisé à consulter)</w:t>
            </w:r>
          </w:p>
          <w:p w:rsidR="0082729A" w:rsidRPr="00B3149D" w:rsidRDefault="0082729A"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Droit de la famille — Prestation compensatoire — Société d’acquêts — L’augmentation de la valeur des actions d’une société de gestion immobilière détenues par l’un des époux avant le mariage doit</w:t>
            </w:r>
            <w:r w:rsidRPr="00B3149D">
              <w:rPr>
                <w:sz w:val="20"/>
                <w:szCs w:val="20"/>
                <w:lang w:val="fr-CA"/>
              </w:rPr>
              <w:noBreakHyphen/>
              <w:t xml:space="preserve">elle être considérée un acquêt partageable ? — </w:t>
            </w:r>
            <w:r w:rsidRPr="00B3149D">
              <w:rPr>
                <w:i/>
                <w:sz w:val="20"/>
                <w:szCs w:val="20"/>
                <w:lang w:val="fr-CA"/>
              </w:rPr>
              <w:t>Code civil du Québec</w:t>
            </w:r>
            <w:r w:rsidRPr="00B3149D">
              <w:rPr>
                <w:sz w:val="20"/>
                <w:szCs w:val="20"/>
                <w:lang w:val="fr-CA"/>
              </w:rPr>
              <w:t>, RLRQ c CCQ</w:t>
            </w:r>
            <w:r w:rsidRPr="00B3149D">
              <w:rPr>
                <w:sz w:val="20"/>
                <w:szCs w:val="20"/>
                <w:lang w:val="fr-CA"/>
              </w:rPr>
              <w:noBreakHyphen/>
              <w:t>1991, art. 457.</w:t>
            </w:r>
          </w:p>
          <w:p w:rsidR="0082729A" w:rsidRPr="00B3149D" w:rsidRDefault="0082729A"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 xml:space="preserve">Les parties divorcent après 8 ans de mariage. Monsieur détient depuis avant le mariage une société de gestion immobilière. </w:t>
            </w:r>
            <w:r w:rsidRPr="00B3149D">
              <w:rPr>
                <w:color w:val="000000"/>
                <w:sz w:val="20"/>
                <w:szCs w:val="20"/>
                <w:lang w:val="fr-CA"/>
              </w:rPr>
              <w:t>Durant l’union, plusieurs résidences sont achetées, rénovées et vendues par les parties.</w:t>
            </w:r>
            <w:r w:rsidRPr="00B3149D">
              <w:rPr>
                <w:sz w:val="20"/>
                <w:szCs w:val="20"/>
                <w:lang w:val="fr-CA"/>
              </w:rPr>
              <w:t xml:space="preserve"> Madame demande que la valeur </w:t>
            </w:r>
            <w:r w:rsidRPr="00B3149D">
              <w:rPr>
                <w:color w:val="000000"/>
                <w:sz w:val="20"/>
                <w:szCs w:val="20"/>
                <w:lang w:val="fr-CA"/>
              </w:rPr>
              <w:t>des actions détenues par monsieur soit incluse au partage des acquêts. La Cour supérieure prononce le divorce des parties et statue sur les mesures accessoires. Elle reconnaît à madame une créance dans le partage du patrimoine familial ainsi que dans le partage des acquêts. Elle refuse toutefois d’y inclure l’augmentation de la valeur des actions de monsieur, retenant que monsieur possède sa compagnie de gestion depuis avant l’union des parties et qu’il s’agit donc de biens propres. Elle octroie à madame une prestation compensatoire afin de compenser les apports de madame en temps et en services dans les projets de rénovation. La Cour d’appel accueille l’appel principal de monsieur en partie, à la seule fin de corriger une erreur et de réduire la créance de madame dans partage des acquêts en opérant compensation. Elle rejette le moyen d’appel incident de madame quant à l’inclusion dans les acquêts de l’augmentation de la valeur pendant le mariage des actions dont monsieur était propriétaire lors du mariage. Elle fait cependant droit au moyen d’ap</w:t>
            </w:r>
            <w:r w:rsidRPr="00B3149D">
              <w:rPr>
                <w:sz w:val="20"/>
                <w:szCs w:val="20"/>
                <w:lang w:val="fr-CA"/>
              </w:rPr>
              <w:t>pel subsidiaire de madame par lequel elle demande l’augmentation de la valeur des autres créances de monsieur en ce qui concerne la prestation compensatoire et la somme globale.</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Le 11 avril 2019</w:t>
            </w:r>
          </w:p>
          <w:p w:rsidR="0082729A" w:rsidRPr="00B3149D" w:rsidRDefault="0082729A" w:rsidP="00B3166C">
            <w:pPr>
              <w:jc w:val="both"/>
              <w:rPr>
                <w:sz w:val="20"/>
                <w:szCs w:val="20"/>
                <w:lang w:val="fr-CA"/>
              </w:rPr>
            </w:pPr>
            <w:r w:rsidRPr="00B3149D">
              <w:rPr>
                <w:sz w:val="20"/>
                <w:szCs w:val="20"/>
                <w:lang w:val="fr-CA"/>
              </w:rPr>
              <w:t>Cour supérieure du Québec</w:t>
            </w:r>
          </w:p>
          <w:p w:rsidR="0082729A" w:rsidRPr="00B3149D" w:rsidRDefault="0082729A" w:rsidP="00B3166C">
            <w:pPr>
              <w:jc w:val="both"/>
              <w:rPr>
                <w:sz w:val="20"/>
                <w:szCs w:val="20"/>
              </w:rPr>
            </w:pPr>
            <w:r w:rsidRPr="00B3149D">
              <w:rPr>
                <w:sz w:val="20"/>
                <w:szCs w:val="20"/>
              </w:rPr>
              <w:t>(La juge Armstrong)</w:t>
            </w:r>
          </w:p>
          <w:p w:rsidR="0082729A" w:rsidRPr="00B3149D" w:rsidRDefault="0082729A" w:rsidP="00B3166C">
            <w:pPr>
              <w:jc w:val="both"/>
              <w:rPr>
                <w:sz w:val="20"/>
                <w:szCs w:val="20"/>
              </w:rPr>
            </w:pPr>
            <w:r w:rsidRPr="00B3149D">
              <w:rPr>
                <w:sz w:val="20"/>
                <w:szCs w:val="20"/>
              </w:rPr>
              <w:t>500</w:t>
            </w:r>
            <w:r w:rsidRPr="00B3149D">
              <w:rPr>
                <w:sz w:val="20"/>
                <w:szCs w:val="20"/>
              </w:rPr>
              <w:noBreakHyphen/>
              <w:t>12</w:t>
            </w:r>
            <w:r w:rsidRPr="00B3149D">
              <w:rPr>
                <w:sz w:val="20"/>
                <w:szCs w:val="20"/>
              </w:rPr>
              <w:noBreakHyphen/>
              <w:t>329459</w:t>
            </w:r>
            <w:r w:rsidRPr="00B3149D">
              <w:rPr>
                <w:sz w:val="20"/>
                <w:szCs w:val="20"/>
              </w:rPr>
              <w:noBreakHyphen/>
              <w:t xml:space="preserve">154 </w:t>
            </w:r>
          </w:p>
          <w:p w:rsidR="0082729A" w:rsidRPr="00B3149D" w:rsidRDefault="00E51866" w:rsidP="00B3166C">
            <w:pPr>
              <w:jc w:val="both"/>
              <w:rPr>
                <w:sz w:val="20"/>
                <w:szCs w:val="20"/>
              </w:rPr>
            </w:pPr>
            <w:hyperlink r:id="rId37" w:history="1">
              <w:r w:rsidR="0082729A" w:rsidRPr="00B3149D">
                <w:rPr>
                  <w:rStyle w:val="Hyperlink"/>
                  <w:sz w:val="20"/>
                  <w:szCs w:val="20"/>
                </w:rPr>
                <w:t>2019 QCCS 1353</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Divorce prononcé, mesures accessoires ordonnées.</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Le 2 juillet 2020</w:t>
            </w:r>
          </w:p>
          <w:p w:rsidR="0082729A" w:rsidRPr="00B3149D" w:rsidRDefault="0082729A" w:rsidP="00B3166C">
            <w:pPr>
              <w:jc w:val="both"/>
              <w:rPr>
                <w:sz w:val="20"/>
                <w:szCs w:val="20"/>
                <w:lang w:val="fr-CA"/>
              </w:rPr>
            </w:pPr>
            <w:r w:rsidRPr="00B3149D">
              <w:rPr>
                <w:sz w:val="20"/>
                <w:szCs w:val="20"/>
                <w:lang w:val="fr-CA"/>
              </w:rPr>
              <w:t>Cour d’appel du Québec (Montréal)</w:t>
            </w:r>
          </w:p>
          <w:p w:rsidR="0082729A" w:rsidRPr="00B3149D" w:rsidRDefault="0082729A" w:rsidP="00B3166C">
            <w:pPr>
              <w:jc w:val="both"/>
              <w:rPr>
                <w:sz w:val="20"/>
                <w:szCs w:val="20"/>
                <w:lang w:val="fr-CA"/>
              </w:rPr>
            </w:pPr>
            <w:r w:rsidRPr="00B3149D">
              <w:rPr>
                <w:sz w:val="20"/>
                <w:szCs w:val="20"/>
                <w:lang w:val="fr-CA"/>
              </w:rPr>
              <w:t>(Les juges Marcotte, Hamilton et Fournier)</w:t>
            </w:r>
          </w:p>
          <w:p w:rsidR="0082729A" w:rsidRPr="00B3149D" w:rsidRDefault="0082729A" w:rsidP="00B3166C">
            <w:pPr>
              <w:tabs>
                <w:tab w:val="left" w:pos="2335"/>
              </w:tabs>
              <w:jc w:val="both"/>
              <w:rPr>
                <w:sz w:val="20"/>
                <w:szCs w:val="20"/>
              </w:rPr>
            </w:pPr>
            <w:r w:rsidRPr="00B3149D">
              <w:rPr>
                <w:sz w:val="20"/>
                <w:szCs w:val="20"/>
              </w:rPr>
              <w:t>500</w:t>
            </w:r>
            <w:r w:rsidRPr="00B3149D">
              <w:rPr>
                <w:sz w:val="20"/>
                <w:szCs w:val="20"/>
              </w:rPr>
              <w:noBreakHyphen/>
              <w:t>09</w:t>
            </w:r>
            <w:r w:rsidRPr="00B3149D">
              <w:rPr>
                <w:sz w:val="20"/>
                <w:szCs w:val="20"/>
              </w:rPr>
              <w:noBreakHyphen/>
              <w:t>028339</w:t>
            </w:r>
            <w:r w:rsidRPr="00B3149D">
              <w:rPr>
                <w:sz w:val="20"/>
                <w:szCs w:val="20"/>
              </w:rPr>
              <w:noBreakHyphen/>
              <w:t>190</w:t>
            </w:r>
          </w:p>
          <w:p w:rsidR="0082729A" w:rsidRPr="00B3149D" w:rsidRDefault="00E51866" w:rsidP="00B3166C">
            <w:pPr>
              <w:tabs>
                <w:tab w:val="left" w:pos="2335"/>
              </w:tabs>
              <w:jc w:val="both"/>
              <w:rPr>
                <w:sz w:val="20"/>
                <w:szCs w:val="20"/>
              </w:rPr>
            </w:pPr>
            <w:hyperlink r:id="rId38" w:history="1">
              <w:r w:rsidR="0082729A" w:rsidRPr="00B3149D">
                <w:rPr>
                  <w:rStyle w:val="Hyperlink"/>
                  <w:sz w:val="20"/>
                  <w:szCs w:val="20"/>
                </w:rPr>
                <w:t>2020 QCCA 868</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 xml:space="preserve">Appel principal accueilli en partie, appel incident accueilli en partie. </w:t>
            </w:r>
          </w:p>
          <w:p w:rsidR="0082729A" w:rsidRPr="00B3149D" w:rsidRDefault="0082729A" w:rsidP="00B3166C">
            <w:pPr>
              <w:jc w:val="both"/>
              <w:rPr>
                <w:sz w:val="20"/>
                <w:szCs w:val="20"/>
                <w:lang w:val="fr-CA"/>
              </w:rPr>
            </w:pPr>
          </w:p>
        </w:tc>
      </w:tr>
      <w:tr w:rsidR="0082729A" w:rsidRPr="00B3149D"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Le 28 septembre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rPr>
            </w:pPr>
            <w:r w:rsidRPr="00B3149D">
              <w:rPr>
                <w:sz w:val="20"/>
                <w:szCs w:val="20"/>
              </w:rPr>
              <w:t>Demande d’autorisation d’appel déposée.</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szCs w:val="20"/>
        </w:rPr>
      </w:pPr>
      <w:r>
        <w:rPr>
          <w:sz w:val="20"/>
        </w:rPr>
        <w:pict>
          <v:rect id="_x0000_i1049"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p w:rsidR="00D84797" w:rsidRPr="00B3149D" w:rsidRDefault="00D84797">
      <w:r w:rsidRPr="00B3149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lastRenderedPageBreak/>
              <w:t>39460</w:t>
            </w: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Romeo V. Lim v. Minister of Justice, Minister of Citizenship and Immigration</w:t>
            </w:r>
          </w:p>
          <w:p w:rsidR="0082729A" w:rsidRPr="00B3149D" w:rsidRDefault="0082729A" w:rsidP="00B3166C">
            <w:pPr>
              <w:jc w:val="both"/>
              <w:rPr>
                <w:sz w:val="20"/>
                <w:szCs w:val="20"/>
              </w:rPr>
            </w:pPr>
            <w:r w:rsidRPr="00B3149D">
              <w:rPr>
                <w:sz w:val="20"/>
                <w:szCs w:val="20"/>
              </w:rPr>
              <w:t>(F</w:t>
            </w:r>
            <w:r w:rsidRPr="00B3149D">
              <w:rPr>
                <w:sz w:val="20"/>
              </w:rPr>
              <w:t>.</w:t>
            </w:r>
            <w:r w:rsidRPr="00B3149D">
              <w:rPr>
                <w:sz w:val="20"/>
                <w:szCs w:val="20"/>
              </w:rPr>
              <w:t>C</w:t>
            </w:r>
            <w:r w:rsidRPr="00B3149D">
              <w:rPr>
                <w:sz w:val="20"/>
              </w:rPr>
              <w:t>.</w:t>
            </w:r>
            <w:r w:rsidRPr="00B3149D">
              <w:rPr>
                <w:sz w:val="20"/>
                <w:szCs w:val="20"/>
              </w:rPr>
              <w:t>) (Civil) (By Leave)</w:t>
            </w:r>
          </w:p>
        </w:tc>
      </w:tr>
      <w:tr w:rsidR="00B22DD4" w:rsidRPr="00B3149D" w:rsidTr="00B3166C">
        <w:tc>
          <w:tcPr>
            <w:tcW w:w="5000" w:type="pct"/>
            <w:gridSpan w:val="4"/>
          </w:tcPr>
          <w:p w:rsidR="003F1FF7" w:rsidRPr="00B3149D" w:rsidRDefault="003F1FF7" w:rsidP="003F1FF7">
            <w:pPr>
              <w:jc w:val="both"/>
              <w:rPr>
                <w:sz w:val="20"/>
                <w:szCs w:val="20"/>
              </w:rPr>
            </w:pPr>
            <w:r w:rsidRPr="00B3149D">
              <w:rPr>
                <w:sz w:val="20"/>
                <w:szCs w:val="20"/>
              </w:rPr>
              <w:t>The application for leave to appeal from the judgment of the Federal Court of Appeal, Number 20-A-24, dated September 23, 2020, is dismissed.</w:t>
            </w:r>
          </w:p>
          <w:p w:rsidR="00B22DD4" w:rsidRPr="00B3149D" w:rsidRDefault="00B22DD4"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i/>
                <w:sz w:val="20"/>
                <w:szCs w:val="20"/>
              </w:rPr>
              <w:t>Charter of Rights</w:t>
            </w:r>
            <w:r w:rsidRPr="00B3149D">
              <w:rPr>
                <w:sz w:val="20"/>
                <w:szCs w:val="20"/>
              </w:rPr>
              <w:t xml:space="preserve"> – Right to liberty – Cruel and unusual treatment – Immigration - Inadmissibility and removal – Applicant removed from Canada for serious criminality seeking work permit in Canada - Whether lower courts misunderstood applicant’s case – Whether lower courts erred in determining applicant was required to seek leave to appeal  - Whether causing applicant, who has not been charged with, or convicted of, a violent crime, to remain or be jailed with other persons who have been charged with, or convicted of violent crime, breaches the applicant’s ss. 7 and 12 </w:t>
            </w:r>
            <w:r w:rsidRPr="00B3149D">
              <w:rPr>
                <w:i/>
                <w:sz w:val="20"/>
                <w:szCs w:val="20"/>
              </w:rPr>
              <w:t>Charter</w:t>
            </w:r>
            <w:r w:rsidRPr="00B3149D">
              <w:rPr>
                <w:sz w:val="20"/>
                <w:szCs w:val="20"/>
              </w:rPr>
              <w:t xml:space="preserve"> rights – Whether jurists who act unethically or wilfully issue rulings they know to be improper and jurists who cover up such misconduct bring the administration of justice into disrepute.</w:t>
            </w:r>
          </w:p>
        </w:tc>
      </w:tr>
      <w:tr w:rsidR="0082729A" w:rsidRPr="00B3149D" w:rsidTr="00B3166C">
        <w:tc>
          <w:tcPr>
            <w:tcW w:w="5000" w:type="pct"/>
            <w:gridSpan w:val="4"/>
          </w:tcPr>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 xml:space="preserve">On December 9, 2019, Mr. Lim was deported from Canada after having been found to be inadmissible for serious criminality under s. 36(1)(a) of the </w:t>
            </w:r>
            <w:r w:rsidRPr="00B3149D">
              <w:rPr>
                <w:i/>
                <w:sz w:val="20"/>
                <w:szCs w:val="20"/>
              </w:rPr>
              <w:t>Immigration and Refugee Protection Ac</w:t>
            </w:r>
            <w:r w:rsidRPr="00B3149D">
              <w:rPr>
                <w:sz w:val="20"/>
                <w:szCs w:val="20"/>
              </w:rPr>
              <w:t xml:space="preserve">t, S.C. 2001, c. 27, as a result of a criminal conviction.  He challenged the Minister of Citizenship and Immigration’s decision not to issue him a work permit.  He also sought a compelled apology for having breached his </w:t>
            </w:r>
            <w:r w:rsidRPr="00B3149D">
              <w:rPr>
                <w:i/>
                <w:sz w:val="20"/>
                <w:szCs w:val="20"/>
              </w:rPr>
              <w:t>Charter</w:t>
            </w:r>
            <w:r w:rsidRPr="00B3149D">
              <w:rPr>
                <w:sz w:val="20"/>
                <w:szCs w:val="20"/>
              </w:rPr>
              <w:t xml:space="preserve"> rights, a declaration that previous judicial decisions were unconscionable and costs of no less than $15,000. The Minister brought an application for an order to strike Mr. Lim’s application for a work permit on the basis that it was an abuse of process, was an attempt to circumvent s. 72(1) of the </w:t>
            </w:r>
            <w:r w:rsidRPr="00B3149D">
              <w:rPr>
                <w:i/>
                <w:sz w:val="20"/>
                <w:szCs w:val="20"/>
              </w:rPr>
              <w:t xml:space="preserve">IRPA </w:t>
            </w:r>
            <w:r w:rsidRPr="00B3149D">
              <w:rPr>
                <w:sz w:val="20"/>
                <w:szCs w:val="20"/>
              </w:rPr>
              <w:t xml:space="preserve">that required leave to commence an application for judicial review of any matter under the </w:t>
            </w:r>
            <w:r w:rsidRPr="00B3149D">
              <w:rPr>
                <w:i/>
                <w:sz w:val="20"/>
                <w:szCs w:val="20"/>
              </w:rPr>
              <w:t>IRPA</w:t>
            </w:r>
            <w:r w:rsidRPr="00B3149D">
              <w:rPr>
                <w:sz w:val="20"/>
                <w:szCs w:val="20"/>
              </w:rPr>
              <w:t>, and was moot.  The Prothonotary found that an order directing the Minister to reconsider Mr. Lim’s application for a work permit would serve no practical purpose.  She struck out Mr. Lim’s Notice of Application for judicial review without leave to amend.  The Federal Court dismissed his appeal and the Federal Court of Appeal dismissed his motion for an extension of time in which to file his notice of appeal.</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February 11, 2020</w:t>
            </w:r>
          </w:p>
          <w:p w:rsidR="0082729A" w:rsidRPr="00B3149D" w:rsidRDefault="0082729A" w:rsidP="00B3166C">
            <w:pPr>
              <w:jc w:val="both"/>
              <w:rPr>
                <w:sz w:val="20"/>
                <w:szCs w:val="20"/>
              </w:rPr>
            </w:pPr>
            <w:r w:rsidRPr="00B3149D">
              <w:rPr>
                <w:sz w:val="20"/>
                <w:szCs w:val="20"/>
              </w:rPr>
              <w:t>Federal Court</w:t>
            </w:r>
          </w:p>
          <w:p w:rsidR="0082729A" w:rsidRPr="00B3149D" w:rsidRDefault="0082729A" w:rsidP="00B3166C">
            <w:pPr>
              <w:jc w:val="both"/>
              <w:rPr>
                <w:sz w:val="20"/>
                <w:szCs w:val="20"/>
              </w:rPr>
            </w:pPr>
            <w:r w:rsidRPr="00B3149D">
              <w:rPr>
                <w:sz w:val="20"/>
                <w:szCs w:val="20"/>
              </w:rPr>
              <w:t>(Ring, Prothonotary)</w:t>
            </w:r>
          </w:p>
          <w:p w:rsidR="0082729A" w:rsidRPr="00B3149D" w:rsidRDefault="0082729A" w:rsidP="00B3166C">
            <w:pPr>
              <w:jc w:val="both"/>
              <w:rPr>
                <w:sz w:val="20"/>
                <w:szCs w:val="20"/>
              </w:rPr>
            </w:pPr>
            <w:r w:rsidRPr="00B3149D">
              <w:rPr>
                <w:sz w:val="20"/>
                <w:szCs w:val="20"/>
              </w:rPr>
              <w:t>Unreported</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Minister’s motion to strike applicant’s Notice of Application as an abuse or misuse of court’s process and as moot granted; Notice of Application struck without leave to amend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May 19, 2020</w:t>
            </w:r>
          </w:p>
          <w:p w:rsidR="0082729A" w:rsidRPr="00B3149D" w:rsidRDefault="0082729A" w:rsidP="00B3166C">
            <w:pPr>
              <w:jc w:val="both"/>
              <w:rPr>
                <w:sz w:val="20"/>
                <w:szCs w:val="20"/>
              </w:rPr>
            </w:pPr>
            <w:r w:rsidRPr="00B3149D">
              <w:rPr>
                <w:sz w:val="20"/>
                <w:szCs w:val="20"/>
              </w:rPr>
              <w:t>Federal Court</w:t>
            </w:r>
          </w:p>
          <w:p w:rsidR="0082729A" w:rsidRPr="00B3149D" w:rsidRDefault="0082729A" w:rsidP="00B3166C">
            <w:pPr>
              <w:jc w:val="both"/>
              <w:rPr>
                <w:sz w:val="20"/>
                <w:szCs w:val="20"/>
              </w:rPr>
            </w:pPr>
            <w:r w:rsidRPr="00B3149D">
              <w:rPr>
                <w:sz w:val="20"/>
                <w:szCs w:val="20"/>
              </w:rPr>
              <w:t>(Elliott J.)</w:t>
            </w:r>
          </w:p>
          <w:p w:rsidR="0082729A" w:rsidRPr="00B3149D" w:rsidRDefault="00E51866" w:rsidP="00B3166C">
            <w:pPr>
              <w:jc w:val="both"/>
              <w:rPr>
                <w:sz w:val="20"/>
                <w:szCs w:val="20"/>
              </w:rPr>
            </w:pPr>
            <w:hyperlink r:id="rId39" w:history="1">
              <w:r w:rsidR="0082729A" w:rsidRPr="00B3149D">
                <w:rPr>
                  <w:rStyle w:val="Hyperlink"/>
                  <w:sz w:val="20"/>
                  <w:szCs w:val="20"/>
                </w:rPr>
                <w:t>2020 FC 628</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Applicant’s appeal dismissed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September 23, 2020</w:t>
            </w:r>
          </w:p>
          <w:p w:rsidR="0082729A" w:rsidRPr="00B3149D" w:rsidRDefault="0082729A" w:rsidP="00B3166C">
            <w:pPr>
              <w:jc w:val="both"/>
              <w:rPr>
                <w:sz w:val="20"/>
                <w:szCs w:val="20"/>
              </w:rPr>
            </w:pPr>
            <w:r w:rsidRPr="00B3149D">
              <w:rPr>
                <w:sz w:val="20"/>
                <w:szCs w:val="20"/>
              </w:rPr>
              <w:t>Federal Court of Appeal</w:t>
            </w:r>
          </w:p>
          <w:p w:rsidR="0082729A" w:rsidRPr="00B3149D" w:rsidRDefault="0082729A" w:rsidP="00B3166C">
            <w:pPr>
              <w:jc w:val="both"/>
              <w:rPr>
                <w:sz w:val="20"/>
                <w:szCs w:val="20"/>
              </w:rPr>
            </w:pPr>
            <w:r w:rsidRPr="00B3149D">
              <w:rPr>
                <w:sz w:val="20"/>
                <w:szCs w:val="20"/>
              </w:rPr>
              <w:t>(de Montigny J.A.)</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 xml:space="preserve">Applicant’s motion for an extension of time for filing notice of appeal dismissed </w:t>
            </w:r>
          </w:p>
          <w:p w:rsidR="0082729A" w:rsidRPr="00B3149D" w:rsidRDefault="0082729A" w:rsidP="00B3166C">
            <w:pPr>
              <w:jc w:val="both"/>
              <w:rPr>
                <w:sz w:val="20"/>
                <w:szCs w:val="20"/>
              </w:rPr>
            </w:pP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October 15,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50"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9873D4"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39460</w:t>
            </w:r>
          </w:p>
        </w:tc>
        <w:tc>
          <w:tcPr>
            <w:tcW w:w="4457" w:type="pct"/>
            <w:gridSpan w:val="3"/>
          </w:tcPr>
          <w:p w:rsidR="0082729A" w:rsidRPr="00B3149D" w:rsidRDefault="0082729A" w:rsidP="00B3166C">
            <w:pPr>
              <w:pStyle w:val="SCCLsocParty"/>
              <w:jc w:val="both"/>
              <w:rPr>
                <w:b/>
                <w:sz w:val="20"/>
                <w:szCs w:val="20"/>
              </w:rPr>
            </w:pPr>
            <w:r w:rsidRPr="00B3149D">
              <w:rPr>
                <w:b/>
                <w:sz w:val="20"/>
                <w:szCs w:val="20"/>
              </w:rPr>
              <w:t>Romeo V. Lim c. Ministre de la Justice</w:t>
            </w:r>
            <w:r w:rsidR="003F1FF7" w:rsidRPr="00B3149D">
              <w:rPr>
                <w:b/>
                <w:sz w:val="20"/>
                <w:szCs w:val="20"/>
              </w:rPr>
              <w:t xml:space="preserve"> et</w:t>
            </w:r>
            <w:r w:rsidRPr="00B3149D">
              <w:rPr>
                <w:b/>
                <w:sz w:val="20"/>
                <w:szCs w:val="20"/>
              </w:rPr>
              <w:t xml:space="preserve"> Ministre de la Citoyenneté et de l’Immigration</w:t>
            </w:r>
          </w:p>
          <w:p w:rsidR="0082729A" w:rsidRPr="00B3149D" w:rsidRDefault="0082729A" w:rsidP="00B3166C">
            <w:pPr>
              <w:jc w:val="both"/>
              <w:rPr>
                <w:sz w:val="20"/>
                <w:szCs w:val="20"/>
                <w:lang w:val="fr-CA"/>
              </w:rPr>
            </w:pPr>
            <w:r w:rsidRPr="00B3149D">
              <w:rPr>
                <w:sz w:val="20"/>
                <w:szCs w:val="20"/>
                <w:lang w:val="fr-CA"/>
              </w:rPr>
              <w:t>(C</w:t>
            </w:r>
            <w:r w:rsidRPr="00B3149D">
              <w:rPr>
                <w:sz w:val="20"/>
                <w:lang w:val="fr-CA"/>
              </w:rPr>
              <w:t>.</w:t>
            </w:r>
            <w:r w:rsidRPr="00B3149D">
              <w:rPr>
                <w:sz w:val="20"/>
                <w:szCs w:val="20"/>
                <w:lang w:val="fr-CA"/>
              </w:rPr>
              <w:t>F</w:t>
            </w:r>
            <w:r w:rsidRPr="00B3149D">
              <w:rPr>
                <w:sz w:val="20"/>
                <w:lang w:val="fr-CA"/>
              </w:rPr>
              <w:t>.</w:t>
            </w:r>
            <w:r w:rsidRPr="00B3149D">
              <w:rPr>
                <w:sz w:val="20"/>
                <w:szCs w:val="20"/>
                <w:lang w:val="fr-CA"/>
              </w:rPr>
              <w:t>) (Civile) (Sur autorisation)</w:t>
            </w:r>
          </w:p>
        </w:tc>
      </w:tr>
      <w:tr w:rsidR="00B22DD4" w:rsidRPr="009873D4" w:rsidTr="00B3166C">
        <w:tc>
          <w:tcPr>
            <w:tcW w:w="5000" w:type="pct"/>
            <w:gridSpan w:val="4"/>
          </w:tcPr>
          <w:p w:rsidR="00B22DD4" w:rsidRPr="00B3149D" w:rsidRDefault="003F1FF7" w:rsidP="003F1FF7">
            <w:pPr>
              <w:tabs>
                <w:tab w:val="left" w:pos="1612"/>
              </w:tabs>
              <w:jc w:val="both"/>
              <w:rPr>
                <w:sz w:val="20"/>
                <w:szCs w:val="20"/>
                <w:lang w:val="fr-CA"/>
              </w:rPr>
            </w:pPr>
            <w:r w:rsidRPr="00B3149D">
              <w:rPr>
                <w:sz w:val="20"/>
                <w:szCs w:val="20"/>
                <w:lang w:val="fr-CA"/>
              </w:rPr>
              <w:t>La demande d’autorisation d’appel de l’arrêt de la Cour d’appel fédérale, numéro 20</w:t>
            </w:r>
            <w:r w:rsidRPr="00B3149D">
              <w:rPr>
                <w:sz w:val="20"/>
                <w:szCs w:val="20"/>
                <w:lang w:val="fr-CA"/>
              </w:rPr>
              <w:noBreakHyphen/>
              <w:t>A</w:t>
            </w:r>
            <w:r w:rsidRPr="00B3149D">
              <w:rPr>
                <w:sz w:val="20"/>
                <w:szCs w:val="20"/>
                <w:lang w:val="fr-CA"/>
              </w:rPr>
              <w:noBreakHyphen/>
              <w:t>24, daté du 23 septembre 2020, est rejetée.</w:t>
            </w:r>
          </w:p>
          <w:p w:rsidR="003F1FF7" w:rsidRPr="00B3149D" w:rsidRDefault="003F1FF7" w:rsidP="003F1FF7">
            <w:pPr>
              <w:tabs>
                <w:tab w:val="left" w:pos="1612"/>
              </w:tabs>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i/>
                <w:sz w:val="20"/>
                <w:szCs w:val="20"/>
                <w:lang w:val="fr-CA"/>
              </w:rPr>
              <w:lastRenderedPageBreak/>
              <w:t>Charte des droits</w:t>
            </w:r>
            <w:r w:rsidRPr="00B3149D">
              <w:rPr>
                <w:sz w:val="20"/>
                <w:szCs w:val="20"/>
                <w:lang w:val="fr-CA"/>
              </w:rPr>
              <w:t xml:space="preserve"> — Droit à la liberté — </w:t>
            </w:r>
            <w:r w:rsidRPr="00B3149D">
              <w:rPr>
                <w:iCs/>
                <w:sz w:val="20"/>
                <w:szCs w:val="20"/>
                <w:lang w:val="fr-CA"/>
              </w:rPr>
              <w:t>Traitements ou peines cruels et inusités</w:t>
            </w:r>
            <w:r w:rsidRPr="00B3149D">
              <w:rPr>
                <w:sz w:val="20"/>
                <w:szCs w:val="20"/>
                <w:lang w:val="fr-CA"/>
              </w:rPr>
              <w:t xml:space="preserve"> — Immigration — Interdiction de territoire et renvoi — Le demandeur, qui a été renvoyé du Canada pour grande criminalité, cherche à obtenir un permis de travail au Canada — Les juridictions inférieures ont</w:t>
            </w:r>
            <w:r w:rsidRPr="00B3149D">
              <w:rPr>
                <w:sz w:val="20"/>
                <w:szCs w:val="20"/>
                <w:lang w:val="fr-CA"/>
              </w:rPr>
              <w:noBreakHyphen/>
              <w:t>elles mal compris l’affaire du demandeur ? — Les juridictions inférieures ont</w:t>
            </w:r>
            <w:r w:rsidRPr="00B3149D">
              <w:rPr>
                <w:sz w:val="20"/>
                <w:szCs w:val="20"/>
                <w:lang w:val="fr-CA"/>
              </w:rPr>
              <w:noBreakHyphen/>
              <w:t>elles commis une erreur en concluant que le demandeur devait demander l’autorisation d’appel ? — Faire en sorte que le demandeur, qui n’a pas été accusé ou déclaré coupable d’un crime violent, doivent être emprisonné ou demeurer emprisonné avec d’autres personnes qui ont été accusées ou déclarées coupables d’un crime violent, porte</w:t>
            </w:r>
            <w:r w:rsidRPr="00B3149D">
              <w:rPr>
                <w:sz w:val="20"/>
                <w:szCs w:val="20"/>
                <w:lang w:val="fr-CA"/>
              </w:rPr>
              <w:noBreakHyphen/>
              <w:t>t</w:t>
            </w:r>
            <w:r w:rsidRPr="00B3149D">
              <w:rPr>
                <w:sz w:val="20"/>
                <w:szCs w:val="20"/>
                <w:lang w:val="fr-CA"/>
              </w:rPr>
              <w:noBreakHyphen/>
              <w:t xml:space="preserve">il atteinte aux droits du demandeur garantis par l’art. 7 et l’art. 12 de la </w:t>
            </w:r>
            <w:r w:rsidRPr="00B3149D">
              <w:rPr>
                <w:i/>
                <w:sz w:val="20"/>
                <w:szCs w:val="20"/>
                <w:lang w:val="fr-CA"/>
              </w:rPr>
              <w:t>Charte </w:t>
            </w:r>
            <w:r w:rsidRPr="00B3149D">
              <w:rPr>
                <w:sz w:val="20"/>
                <w:szCs w:val="20"/>
                <w:lang w:val="fr-CA"/>
              </w:rPr>
              <w:t>? — Les juristes qui agissent de façon contraire à l’éthique ou qui rendent sciemment des décisions sachant qu’elles sont inappropriées et les juristes qui dissimulent de telles inconduites sont</w:t>
            </w:r>
            <w:r w:rsidRPr="00B3149D">
              <w:rPr>
                <w:sz w:val="20"/>
                <w:szCs w:val="20"/>
                <w:lang w:val="fr-CA"/>
              </w:rPr>
              <w:noBreakHyphen/>
              <w:t>ils susceptibles de déconsidérer l’administration de la justice ?</w:t>
            </w:r>
          </w:p>
        </w:tc>
      </w:tr>
      <w:tr w:rsidR="0082729A" w:rsidRPr="009873D4" w:rsidTr="00B3166C">
        <w:tc>
          <w:tcPr>
            <w:tcW w:w="5000" w:type="pct"/>
            <w:gridSpan w:val="4"/>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 xml:space="preserve">Le 9 décembre 2019, M. Lim a été expulsé du Canada après avoir été déclaré interdit de territoire pour grande criminalité en vertu de l’al. 36(1)a) de la </w:t>
            </w:r>
            <w:r w:rsidRPr="00B3149D">
              <w:rPr>
                <w:i/>
                <w:sz w:val="20"/>
                <w:szCs w:val="20"/>
                <w:lang w:val="fr-CA"/>
              </w:rPr>
              <w:t>Loi sur l’immigration et la protection des réfugiés</w:t>
            </w:r>
            <w:r w:rsidRPr="00B3149D">
              <w:rPr>
                <w:sz w:val="20"/>
                <w:szCs w:val="20"/>
                <w:lang w:val="fr-CA"/>
              </w:rPr>
              <w:t>, L.C. 2001, c. 27 (« </w:t>
            </w:r>
            <w:r w:rsidRPr="00B3149D">
              <w:rPr>
                <w:i/>
                <w:sz w:val="20"/>
                <w:szCs w:val="20"/>
                <w:lang w:val="fr-CA"/>
              </w:rPr>
              <w:t>LIPR</w:t>
            </w:r>
            <w:r w:rsidRPr="00B3149D">
              <w:rPr>
                <w:sz w:val="20"/>
                <w:szCs w:val="20"/>
                <w:lang w:val="fr-CA"/>
              </w:rPr>
              <w:t xml:space="preserve"> »), par suite d’une condamnation criminelle. Il a contesté la décision du ministre de la Citoyenneté et de l’Immigration de ne pas lui délivrer un permis de travail. Il a également demandé des excuses imposées pour avoir violé les droits qui lui sont garantis par la </w:t>
            </w:r>
            <w:r w:rsidRPr="00B3149D">
              <w:rPr>
                <w:i/>
                <w:sz w:val="20"/>
                <w:szCs w:val="20"/>
                <w:lang w:val="fr-CA"/>
              </w:rPr>
              <w:t>Charte</w:t>
            </w:r>
            <w:r w:rsidRPr="00B3149D">
              <w:rPr>
                <w:sz w:val="20"/>
                <w:szCs w:val="20"/>
                <w:lang w:val="fr-CA"/>
              </w:rPr>
              <w:t xml:space="preserve">, un jugement déclaratoire </w:t>
            </w:r>
            <w:r w:rsidRPr="00B3149D">
              <w:rPr>
                <w:sz w:val="20"/>
                <w:szCs w:val="20"/>
                <w:lang w:val="fr-FR"/>
              </w:rPr>
              <w:t>portant que les décisions judiciaires précédentes</w:t>
            </w:r>
            <w:r w:rsidRPr="00B3149D">
              <w:rPr>
                <w:iCs/>
                <w:sz w:val="20"/>
                <w:szCs w:val="20"/>
                <w:lang w:val="fr-FR"/>
              </w:rPr>
              <w:t xml:space="preserve"> </w:t>
            </w:r>
            <w:r w:rsidRPr="00B3149D">
              <w:rPr>
                <w:sz w:val="20"/>
                <w:szCs w:val="20"/>
                <w:lang w:val="fr-FR"/>
              </w:rPr>
              <w:t xml:space="preserve">étaient déraisonnables, et des dépens </w:t>
            </w:r>
            <w:r w:rsidRPr="00B3149D">
              <w:rPr>
                <w:sz w:val="20"/>
                <w:szCs w:val="20"/>
                <w:lang w:val="fr-CA"/>
              </w:rPr>
              <w:t>d’au moins 15 000 $. Le ministre a présenté une demande sollicitant une ordonnance de radiation visant la demande d’un permis de travail présentée par M. Lim au motif qu’il s’agissait d’un abus de procédure,</w:t>
            </w:r>
            <w:r w:rsidRPr="00B3149D">
              <w:rPr>
                <w:sz w:val="20"/>
                <w:szCs w:val="20"/>
                <w:lang w:val="fr-FR"/>
              </w:rPr>
              <w:t xml:space="preserve"> d’une tentative de contourner le paragraphe 72(1) de la</w:t>
            </w:r>
            <w:r w:rsidRPr="00B3149D">
              <w:rPr>
                <w:i/>
                <w:sz w:val="20"/>
                <w:szCs w:val="20"/>
                <w:lang w:val="fr-CA"/>
              </w:rPr>
              <w:t xml:space="preserve"> LIPR</w:t>
            </w:r>
            <w:r w:rsidRPr="00B3149D">
              <w:rPr>
                <w:sz w:val="20"/>
                <w:szCs w:val="20"/>
                <w:lang w:val="fr-FR"/>
              </w:rPr>
              <w:t>, qui exige une autorisation pour introduire une demande de contrôle judiciaire de toute mesure prise dans le cadre de la</w:t>
            </w:r>
            <w:r w:rsidRPr="00B3149D">
              <w:rPr>
                <w:i/>
                <w:sz w:val="20"/>
                <w:szCs w:val="20"/>
                <w:lang w:val="fr-CA"/>
              </w:rPr>
              <w:t xml:space="preserve"> LIPR</w:t>
            </w:r>
            <w:r w:rsidRPr="00B3149D">
              <w:rPr>
                <w:sz w:val="20"/>
                <w:szCs w:val="20"/>
                <w:lang w:val="fr-CA"/>
              </w:rPr>
              <w:t>,</w:t>
            </w:r>
            <w:r w:rsidRPr="00B3149D">
              <w:rPr>
                <w:i/>
                <w:sz w:val="20"/>
                <w:szCs w:val="20"/>
                <w:lang w:val="fr-CA"/>
              </w:rPr>
              <w:t xml:space="preserve"> </w:t>
            </w:r>
            <w:r w:rsidRPr="00B3149D">
              <w:rPr>
                <w:sz w:val="20"/>
                <w:szCs w:val="20"/>
                <w:lang w:val="fr-CA"/>
              </w:rPr>
              <w:t>et que la demande était théorique. La protonotaire a conclu qu’</w:t>
            </w:r>
            <w:r w:rsidRPr="00B3149D">
              <w:rPr>
                <w:spacing w:val="-3"/>
                <w:sz w:val="20"/>
                <w:szCs w:val="20"/>
                <w:lang w:val="fr-FR"/>
              </w:rPr>
              <w:t>une ordonnance enjoignant au ministre d’examiner à nouveau la demande de permis de travail de M. Lim ne servirait à rien</w:t>
            </w:r>
            <w:r w:rsidRPr="00B3149D">
              <w:rPr>
                <w:sz w:val="20"/>
                <w:szCs w:val="20"/>
                <w:lang w:val="fr-FR"/>
              </w:rPr>
              <w:t xml:space="preserve">. Elle a radié l’avis de demande de contrôle judiciaire </w:t>
            </w:r>
            <w:r w:rsidRPr="00B3149D">
              <w:rPr>
                <w:sz w:val="20"/>
                <w:szCs w:val="20"/>
                <w:lang w:val="fr-CA"/>
              </w:rPr>
              <w:t>de M. Lim sans autorisation de le modifier. La Cour fédérale a rejeté son appel et la Cour d’appel fédérale a rejeté sa requête en prorogation du délai fixé pour le dépôt de l’avis d’appel.</w:t>
            </w:r>
          </w:p>
        </w:tc>
      </w:tr>
      <w:tr w:rsidR="0082729A" w:rsidRPr="009873D4" w:rsidTr="00B3166C">
        <w:tc>
          <w:tcPr>
            <w:tcW w:w="5000" w:type="pct"/>
            <w:gridSpan w:val="4"/>
          </w:tcPr>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11 février 2020</w:t>
            </w:r>
          </w:p>
          <w:p w:rsidR="0082729A" w:rsidRPr="00B3149D" w:rsidRDefault="0082729A" w:rsidP="00B3166C">
            <w:pPr>
              <w:jc w:val="both"/>
              <w:rPr>
                <w:sz w:val="20"/>
                <w:szCs w:val="20"/>
                <w:lang w:val="fr-CA"/>
              </w:rPr>
            </w:pPr>
            <w:r w:rsidRPr="00B3149D">
              <w:rPr>
                <w:sz w:val="20"/>
                <w:szCs w:val="20"/>
                <w:lang w:val="fr-CA"/>
              </w:rPr>
              <w:t>Cour fédérale</w:t>
            </w:r>
          </w:p>
          <w:p w:rsidR="0082729A" w:rsidRPr="00B3149D" w:rsidRDefault="0082729A" w:rsidP="00B3166C">
            <w:pPr>
              <w:jc w:val="both"/>
              <w:rPr>
                <w:sz w:val="20"/>
                <w:szCs w:val="20"/>
                <w:lang w:val="fr-CA"/>
              </w:rPr>
            </w:pPr>
            <w:r w:rsidRPr="00B3149D">
              <w:rPr>
                <w:sz w:val="20"/>
                <w:szCs w:val="20"/>
                <w:lang w:val="fr-CA"/>
              </w:rPr>
              <w:t>(Protonotaire Ring)</w:t>
            </w:r>
          </w:p>
          <w:p w:rsidR="0082729A" w:rsidRPr="00B3149D" w:rsidRDefault="0082729A" w:rsidP="00B3166C">
            <w:pPr>
              <w:jc w:val="both"/>
              <w:rPr>
                <w:sz w:val="20"/>
                <w:szCs w:val="20"/>
                <w:lang w:val="fr-CA"/>
              </w:rPr>
            </w:pPr>
            <w:r w:rsidRPr="00B3149D">
              <w:rPr>
                <w:sz w:val="20"/>
                <w:szCs w:val="20"/>
                <w:lang w:val="fr-CA"/>
              </w:rPr>
              <w:t>Non publié</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requête présentée par le ministre en radiation de l’avis de demande de contrôle judiciaire du demandeur au motif qu’il s’agissait d’abus de procédure ou d’utilisation abusive des procédures du tribunal et que la demande était théorique est accueillie; l’avis de demande de contrôle judiciaire est radié sans autorisation de le modifier.</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19 mai 2020</w:t>
            </w:r>
          </w:p>
          <w:p w:rsidR="0082729A" w:rsidRPr="00B3149D" w:rsidRDefault="0082729A" w:rsidP="00B3166C">
            <w:pPr>
              <w:jc w:val="both"/>
              <w:rPr>
                <w:sz w:val="20"/>
                <w:szCs w:val="20"/>
                <w:lang w:val="fr-CA"/>
              </w:rPr>
            </w:pPr>
            <w:r w:rsidRPr="00B3149D">
              <w:rPr>
                <w:sz w:val="20"/>
                <w:szCs w:val="20"/>
                <w:lang w:val="fr-CA"/>
              </w:rPr>
              <w:t>Cour fédérale</w:t>
            </w:r>
          </w:p>
          <w:p w:rsidR="0082729A" w:rsidRPr="00B3149D" w:rsidRDefault="0082729A" w:rsidP="00B3166C">
            <w:pPr>
              <w:jc w:val="both"/>
              <w:rPr>
                <w:sz w:val="20"/>
                <w:szCs w:val="20"/>
                <w:lang w:val="fr-CA"/>
              </w:rPr>
            </w:pPr>
            <w:r w:rsidRPr="00B3149D">
              <w:rPr>
                <w:sz w:val="20"/>
                <w:szCs w:val="20"/>
                <w:lang w:val="fr-CA"/>
              </w:rPr>
              <w:t>(Juge Elliott)</w:t>
            </w:r>
          </w:p>
          <w:p w:rsidR="0082729A" w:rsidRPr="00B3149D" w:rsidRDefault="0082729A" w:rsidP="00B3166C">
            <w:pPr>
              <w:jc w:val="both"/>
              <w:rPr>
                <w:rStyle w:val="Hyperlink"/>
                <w:sz w:val="20"/>
                <w:szCs w:val="20"/>
                <w:lang w:val="fr-CA"/>
              </w:rPr>
            </w:pPr>
            <w:r w:rsidRPr="00B3149D">
              <w:rPr>
                <w:rStyle w:val="Hyperlink"/>
                <w:sz w:val="20"/>
                <w:szCs w:val="20"/>
                <w:lang w:val="fr-CA"/>
              </w:rPr>
              <w:fldChar w:fldCharType="begin"/>
            </w:r>
            <w:r w:rsidRPr="00B3149D">
              <w:rPr>
                <w:rStyle w:val="Hyperlink"/>
                <w:sz w:val="20"/>
                <w:szCs w:val="20"/>
                <w:lang w:val="fr-CA"/>
              </w:rPr>
              <w:instrText xml:space="preserve"> HYPERLINK "https://www.canlii.org/fr/ca/cfpi/doc/2020/2020cf628/2020cf628.html" </w:instrText>
            </w:r>
            <w:r w:rsidRPr="00B3149D">
              <w:rPr>
                <w:rStyle w:val="Hyperlink"/>
                <w:sz w:val="20"/>
                <w:szCs w:val="20"/>
                <w:lang w:val="fr-CA"/>
              </w:rPr>
              <w:fldChar w:fldCharType="separate"/>
            </w:r>
            <w:r w:rsidRPr="00B3149D">
              <w:rPr>
                <w:rStyle w:val="Hyperlink"/>
                <w:sz w:val="20"/>
                <w:szCs w:val="20"/>
                <w:lang w:val="fr-CA"/>
              </w:rPr>
              <w:t>2020 CF 628</w:t>
            </w:r>
          </w:p>
          <w:p w:rsidR="0082729A" w:rsidRPr="00B3149D" w:rsidRDefault="0082729A" w:rsidP="00B3166C">
            <w:pPr>
              <w:jc w:val="both"/>
              <w:rPr>
                <w:sz w:val="20"/>
                <w:szCs w:val="20"/>
                <w:lang w:val="fr-CA"/>
              </w:rPr>
            </w:pPr>
            <w:r w:rsidRPr="00B3149D">
              <w:rPr>
                <w:rStyle w:val="Hyperlink"/>
                <w:sz w:val="20"/>
                <w:szCs w:val="20"/>
                <w:lang w:val="fr-CA"/>
              </w:rPr>
              <w:fldChar w:fldCharType="end"/>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L’appel du demandeur est rejeté.</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23 septembre 2020</w:t>
            </w:r>
          </w:p>
          <w:p w:rsidR="0082729A" w:rsidRPr="00B3149D" w:rsidRDefault="0082729A" w:rsidP="00B3166C">
            <w:pPr>
              <w:jc w:val="both"/>
              <w:rPr>
                <w:sz w:val="20"/>
                <w:szCs w:val="20"/>
                <w:lang w:val="fr-CA"/>
              </w:rPr>
            </w:pPr>
            <w:r w:rsidRPr="00B3149D">
              <w:rPr>
                <w:sz w:val="20"/>
                <w:szCs w:val="20"/>
                <w:lang w:val="fr-CA"/>
              </w:rPr>
              <w:t>Cour d’appel fédérale</w:t>
            </w:r>
          </w:p>
          <w:p w:rsidR="0082729A" w:rsidRPr="00B3149D" w:rsidRDefault="0082729A" w:rsidP="00B3166C">
            <w:pPr>
              <w:jc w:val="both"/>
              <w:rPr>
                <w:sz w:val="20"/>
                <w:szCs w:val="20"/>
                <w:lang w:val="fr-CA"/>
              </w:rPr>
            </w:pPr>
            <w:r w:rsidRPr="00B3149D">
              <w:rPr>
                <w:sz w:val="20"/>
                <w:szCs w:val="20"/>
                <w:lang w:val="fr-CA"/>
              </w:rPr>
              <w:t>(Juge de Montigny)</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 xml:space="preserve">La requête présentée par le demandeur en prorogation du délai fixé pour le dépôt de l’avis d’appel est rejetée. </w:t>
            </w:r>
          </w:p>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15 octobre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51"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39267</w:t>
            </w:r>
          </w:p>
        </w:tc>
        <w:tc>
          <w:tcPr>
            <w:tcW w:w="4457" w:type="pct"/>
            <w:gridSpan w:val="3"/>
          </w:tcPr>
          <w:p w:rsidR="0082729A" w:rsidRPr="00B3149D" w:rsidRDefault="0082729A" w:rsidP="00B3166C">
            <w:pPr>
              <w:pStyle w:val="SCCLsocParty"/>
              <w:jc w:val="both"/>
              <w:rPr>
                <w:b/>
                <w:sz w:val="20"/>
                <w:szCs w:val="20"/>
                <w:lang w:val="en-CA"/>
              </w:rPr>
            </w:pPr>
            <w:r w:rsidRPr="00B3149D">
              <w:rPr>
                <w:b/>
                <w:sz w:val="20"/>
                <w:szCs w:val="20"/>
                <w:lang w:val="en-CA"/>
              </w:rPr>
              <w:t>Her Majesty the Queen v. J.F.</w:t>
            </w:r>
          </w:p>
          <w:p w:rsidR="0082729A" w:rsidRPr="00B3149D" w:rsidRDefault="0082729A" w:rsidP="00B3166C">
            <w:pPr>
              <w:jc w:val="both"/>
              <w:rPr>
                <w:sz w:val="20"/>
                <w:szCs w:val="20"/>
              </w:rPr>
            </w:pPr>
            <w:r w:rsidRPr="00B3149D">
              <w:rPr>
                <w:sz w:val="20"/>
                <w:szCs w:val="20"/>
              </w:rPr>
              <w:t>(Que.) (Criminal) (By Leave)</w:t>
            </w:r>
          </w:p>
        </w:tc>
      </w:tr>
      <w:tr w:rsidR="00B22DD4" w:rsidRPr="00B3149D" w:rsidTr="00D37A41">
        <w:trPr>
          <w:trHeight w:val="710"/>
        </w:trPr>
        <w:tc>
          <w:tcPr>
            <w:tcW w:w="5000" w:type="pct"/>
            <w:gridSpan w:val="4"/>
          </w:tcPr>
          <w:p w:rsidR="00B22DD4" w:rsidRPr="00B3149D" w:rsidRDefault="00D37A41" w:rsidP="00B3166C">
            <w:pPr>
              <w:pStyle w:val="SCCBanSummary0"/>
              <w:rPr>
                <w:smallCaps w:val="0"/>
                <w:sz w:val="20"/>
                <w:szCs w:val="20"/>
              </w:rPr>
            </w:pPr>
            <w:r w:rsidRPr="00B3149D">
              <w:rPr>
                <w:smallCaps w:val="0"/>
                <w:sz w:val="20"/>
                <w:szCs w:val="20"/>
              </w:rPr>
              <w:t xml:space="preserve">The application for leave to appeal from the judgment of the </w:t>
            </w:r>
            <w:r w:rsidRPr="00B3149D">
              <w:rPr>
                <w:smallCaps w:val="0"/>
                <w:sz w:val="20"/>
                <w:szCs w:val="20"/>
                <w:lang w:val="en-US"/>
              </w:rPr>
              <w:t>Court of Appeal of Quebec (Montréal)</w:t>
            </w:r>
            <w:r w:rsidRPr="00B3149D">
              <w:rPr>
                <w:smallCaps w:val="0"/>
                <w:sz w:val="20"/>
                <w:szCs w:val="20"/>
              </w:rPr>
              <w:t xml:space="preserve">, Number </w:t>
            </w:r>
            <w:r w:rsidRPr="00B3149D">
              <w:rPr>
                <w:smallCaps w:val="0"/>
                <w:sz w:val="20"/>
                <w:szCs w:val="20"/>
                <w:lang w:val="en-US"/>
              </w:rPr>
              <w:t>500-10-007018-193</w:t>
            </w:r>
            <w:r w:rsidRPr="00B3149D">
              <w:rPr>
                <w:smallCaps w:val="0"/>
                <w:sz w:val="20"/>
                <w:szCs w:val="20"/>
              </w:rPr>
              <w:t xml:space="preserve">, </w:t>
            </w:r>
            <w:r w:rsidRPr="00B3149D">
              <w:rPr>
                <w:smallCaps w:val="0"/>
                <w:sz w:val="20"/>
                <w:szCs w:val="20"/>
                <w:lang w:val="en-US"/>
              </w:rPr>
              <w:t xml:space="preserve">2020 QCCA 666, </w:t>
            </w:r>
            <w:r w:rsidRPr="00B3149D">
              <w:rPr>
                <w:smallCaps w:val="0"/>
                <w:sz w:val="20"/>
                <w:szCs w:val="20"/>
              </w:rPr>
              <w:t xml:space="preserve">dated </w:t>
            </w:r>
            <w:r w:rsidRPr="00B3149D">
              <w:rPr>
                <w:smallCaps w:val="0"/>
                <w:sz w:val="20"/>
                <w:szCs w:val="20"/>
                <w:lang w:val="en-US"/>
              </w:rPr>
              <w:t>May 25, 2020,</w:t>
            </w:r>
            <w:r w:rsidRPr="00B3149D">
              <w:rPr>
                <w:smallCaps w:val="0"/>
                <w:sz w:val="20"/>
                <w:szCs w:val="20"/>
              </w:rPr>
              <w:t xml:space="preserve"> is granted.</w:t>
            </w:r>
          </w:p>
          <w:p w:rsidR="00D37A41" w:rsidRPr="00B3149D" w:rsidRDefault="00D37A41" w:rsidP="00D37A41"/>
        </w:tc>
      </w:tr>
      <w:tr w:rsidR="0082729A" w:rsidRPr="00B3149D" w:rsidTr="00B3166C">
        <w:tc>
          <w:tcPr>
            <w:tcW w:w="5000" w:type="pct"/>
            <w:gridSpan w:val="4"/>
          </w:tcPr>
          <w:p w:rsidR="0082729A" w:rsidRPr="00B3149D" w:rsidRDefault="0082729A" w:rsidP="00B3166C">
            <w:pPr>
              <w:pStyle w:val="SCCBanSummary0"/>
              <w:rPr>
                <w:sz w:val="20"/>
                <w:szCs w:val="20"/>
              </w:rPr>
            </w:pPr>
            <w:r w:rsidRPr="00B3149D">
              <w:rPr>
                <w:sz w:val="20"/>
                <w:szCs w:val="20"/>
              </w:rPr>
              <w:lastRenderedPageBreak/>
              <w:t>(Publication Ban in Case)</w:t>
            </w:r>
          </w:p>
          <w:p w:rsidR="0082729A" w:rsidRPr="00B3149D" w:rsidRDefault="0082729A"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 xml:space="preserve">Charter of Rights — Criminal law — Tried within reasonable time — Trial delay — Ceilings — Whether </w:t>
            </w:r>
            <w:r w:rsidRPr="00B3149D">
              <w:rPr>
                <w:i/>
                <w:sz w:val="20"/>
                <w:szCs w:val="20"/>
              </w:rPr>
              <w:t xml:space="preserve">Jordan </w:t>
            </w:r>
            <w:r w:rsidRPr="00B3149D">
              <w:rPr>
                <w:sz w:val="20"/>
                <w:szCs w:val="20"/>
              </w:rPr>
              <w:t xml:space="preserve">framework should be used to consider trial delay for previous trial, delay that is completely over and can no longer be remedied — Whether failure, at first trial or on appeal, to raise possible infringement of one’s right to be tried within reasonable time amounts to waiver of right to raise it during subsequent trial — </w:t>
            </w:r>
            <w:r w:rsidRPr="00B3149D">
              <w:rPr>
                <w:i/>
                <w:sz w:val="20"/>
                <w:szCs w:val="20"/>
              </w:rPr>
              <w:t>Canadian Charter of Rights and Freedoms</w:t>
            </w:r>
            <w:r w:rsidRPr="00B3149D">
              <w:rPr>
                <w:sz w:val="20"/>
                <w:szCs w:val="20"/>
              </w:rPr>
              <w:t>, s. 11(</w:t>
            </w:r>
            <w:r w:rsidRPr="00B3149D">
              <w:rPr>
                <w:i/>
                <w:sz w:val="20"/>
                <w:szCs w:val="20"/>
              </w:rPr>
              <w:t>b</w:t>
            </w:r>
            <w:r w:rsidRPr="00B3149D">
              <w:rPr>
                <w:sz w:val="20"/>
                <w:szCs w:val="20"/>
              </w:rPr>
              <w:t>).</w:t>
            </w:r>
          </w:p>
          <w:p w:rsidR="0082729A" w:rsidRPr="00B3149D" w:rsidRDefault="0082729A"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 xml:space="preserve">In February 2011, the accused was charged with several offences involving sexual acts committed between 1986 and 2001. While judgment was reserved, the Supreme Court rendered its decision in </w:t>
            </w:r>
            <w:r w:rsidRPr="00B3149D">
              <w:rPr>
                <w:i/>
                <w:sz w:val="20"/>
                <w:szCs w:val="20"/>
              </w:rPr>
              <w:t>R. v. Jordan</w:t>
            </w:r>
            <w:r w:rsidRPr="00B3149D">
              <w:rPr>
                <w:sz w:val="20"/>
                <w:szCs w:val="20"/>
              </w:rPr>
              <w:t>, 2016 SCC 27. Following the first trial, the accused was acquitted in February 2017. The total delay between the charges and the verdict was 72 months and 2 days. In June 2018, the Quebec Court of Appeal ordered a new trial because of errors of law in the trial judgment. The delay between that order and the anticipated end of the new trial was 10 months and 5 days. The accused filed a motion for a stay of proceedings under s. 11(</w:t>
            </w:r>
            <w:r w:rsidRPr="00B3149D">
              <w:rPr>
                <w:i/>
                <w:sz w:val="20"/>
                <w:szCs w:val="20"/>
              </w:rPr>
              <w:t>b</w:t>
            </w:r>
            <w:r w:rsidRPr="00B3149D">
              <w:rPr>
                <w:sz w:val="20"/>
                <w:szCs w:val="20"/>
              </w:rPr>
              <w:t xml:space="preserve">) of the </w:t>
            </w:r>
            <w:r w:rsidRPr="00B3149D">
              <w:rPr>
                <w:i/>
                <w:sz w:val="20"/>
                <w:szCs w:val="20"/>
              </w:rPr>
              <w:t>Charter</w:t>
            </w:r>
            <w:r w:rsidRPr="00B3149D">
              <w:rPr>
                <w:sz w:val="20"/>
                <w:szCs w:val="20"/>
              </w:rPr>
              <w:t xml:space="preserve"> in December 2018. The trial judge found that the delay for the first trial was unreasonable and that the accused had never waived his right to be tried within a reasonable time. She granted the motion and ordered a stay of proceedings in February 2019. In a unanimous judgment, the Court of Appeal upheld the trial judge’s order. </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March 15, 2019</w:t>
            </w:r>
          </w:p>
          <w:p w:rsidR="0082729A" w:rsidRPr="00B3149D" w:rsidRDefault="0082729A" w:rsidP="00B3166C">
            <w:pPr>
              <w:jc w:val="both"/>
              <w:rPr>
                <w:sz w:val="20"/>
                <w:szCs w:val="20"/>
              </w:rPr>
            </w:pPr>
            <w:r w:rsidRPr="00B3149D">
              <w:rPr>
                <w:sz w:val="20"/>
                <w:szCs w:val="20"/>
              </w:rPr>
              <w:t>Court of Québec</w:t>
            </w:r>
          </w:p>
          <w:p w:rsidR="0082729A" w:rsidRPr="00B3149D" w:rsidRDefault="0082729A" w:rsidP="00B3166C">
            <w:pPr>
              <w:jc w:val="both"/>
              <w:rPr>
                <w:sz w:val="20"/>
                <w:szCs w:val="20"/>
              </w:rPr>
            </w:pPr>
            <w:r w:rsidRPr="00B3149D">
              <w:rPr>
                <w:sz w:val="20"/>
                <w:szCs w:val="20"/>
              </w:rPr>
              <w:t>(Judge Roy)</w:t>
            </w:r>
          </w:p>
          <w:p w:rsidR="0082729A" w:rsidRPr="00B3149D" w:rsidRDefault="00E51866" w:rsidP="00B3166C">
            <w:pPr>
              <w:jc w:val="both"/>
              <w:rPr>
                <w:sz w:val="20"/>
                <w:szCs w:val="20"/>
              </w:rPr>
            </w:pPr>
            <w:hyperlink r:id="rId40" w:history="1">
              <w:r w:rsidR="0082729A" w:rsidRPr="00B3149D">
                <w:rPr>
                  <w:rStyle w:val="Hyperlink"/>
                  <w:sz w:val="20"/>
                  <w:szCs w:val="20"/>
                </w:rPr>
                <w:t>2019 QCCQ 1236</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Motion for stay of proceedings granted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May 25, 2020</w:t>
            </w:r>
          </w:p>
          <w:p w:rsidR="0082729A" w:rsidRPr="00B3149D" w:rsidRDefault="0082729A" w:rsidP="00B3166C">
            <w:pPr>
              <w:jc w:val="both"/>
              <w:rPr>
                <w:sz w:val="20"/>
                <w:szCs w:val="20"/>
              </w:rPr>
            </w:pPr>
            <w:r w:rsidRPr="00B3149D">
              <w:rPr>
                <w:sz w:val="20"/>
                <w:szCs w:val="20"/>
              </w:rPr>
              <w:t>Quebec Court of Appeal (Montréal)</w:t>
            </w:r>
          </w:p>
          <w:p w:rsidR="0082729A" w:rsidRPr="00B3149D" w:rsidRDefault="0082729A" w:rsidP="00B3166C">
            <w:pPr>
              <w:jc w:val="both"/>
              <w:rPr>
                <w:sz w:val="20"/>
                <w:szCs w:val="20"/>
                <w:lang w:val="fr-CA"/>
              </w:rPr>
            </w:pPr>
            <w:r w:rsidRPr="00B3149D">
              <w:rPr>
                <w:sz w:val="20"/>
                <w:szCs w:val="20"/>
                <w:lang w:val="fr-CA"/>
              </w:rPr>
              <w:t>(Lévesque, Hogue and Sansfaçon JJ.A.)</w:t>
            </w:r>
          </w:p>
          <w:p w:rsidR="0082729A" w:rsidRPr="00B3149D" w:rsidRDefault="00E51866" w:rsidP="00B3166C">
            <w:pPr>
              <w:jc w:val="both"/>
              <w:rPr>
                <w:sz w:val="20"/>
                <w:szCs w:val="20"/>
              </w:rPr>
            </w:pPr>
            <w:hyperlink r:id="rId41" w:history="1">
              <w:r w:rsidR="0082729A" w:rsidRPr="00B3149D">
                <w:rPr>
                  <w:rStyle w:val="Hyperlink"/>
                  <w:sz w:val="20"/>
                  <w:szCs w:val="20"/>
                </w:rPr>
                <w:t>2020 QCCA 666</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dismissed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August 4,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szCs w:val="20"/>
        </w:rPr>
      </w:pPr>
      <w:r>
        <w:rPr>
          <w:sz w:val="20"/>
        </w:rPr>
        <w:pict>
          <v:rect id="_x0000_i1052"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39267</w:t>
            </w:r>
          </w:p>
        </w:tc>
        <w:tc>
          <w:tcPr>
            <w:tcW w:w="4457" w:type="pct"/>
          </w:tcPr>
          <w:p w:rsidR="0082729A" w:rsidRPr="00B3149D" w:rsidRDefault="0082729A" w:rsidP="00B3166C">
            <w:pPr>
              <w:pStyle w:val="SCCLsocParty"/>
              <w:jc w:val="both"/>
              <w:rPr>
                <w:b/>
                <w:sz w:val="20"/>
                <w:szCs w:val="20"/>
              </w:rPr>
            </w:pPr>
            <w:r w:rsidRPr="00B3149D">
              <w:rPr>
                <w:b/>
                <w:sz w:val="20"/>
                <w:szCs w:val="20"/>
              </w:rPr>
              <w:t>Sa Majesté la Reine c. J.F.</w:t>
            </w:r>
          </w:p>
          <w:p w:rsidR="0082729A" w:rsidRPr="00B3149D" w:rsidRDefault="0082729A" w:rsidP="00B3166C">
            <w:pPr>
              <w:jc w:val="both"/>
              <w:rPr>
                <w:sz w:val="20"/>
                <w:szCs w:val="20"/>
              </w:rPr>
            </w:pPr>
            <w:r w:rsidRPr="00B3149D">
              <w:rPr>
                <w:sz w:val="20"/>
                <w:szCs w:val="20"/>
              </w:rPr>
              <w:t>(Qc) (Criminelle) (Autorisation)</w:t>
            </w:r>
          </w:p>
        </w:tc>
      </w:tr>
      <w:tr w:rsidR="00B22DD4" w:rsidRPr="009873D4" w:rsidTr="00B3166C">
        <w:tc>
          <w:tcPr>
            <w:tcW w:w="5000" w:type="pct"/>
            <w:gridSpan w:val="2"/>
          </w:tcPr>
          <w:p w:rsidR="00D37A41" w:rsidRPr="00B3149D" w:rsidRDefault="00D37A41" w:rsidP="00D37A41">
            <w:pPr>
              <w:jc w:val="both"/>
              <w:rPr>
                <w:sz w:val="20"/>
                <w:szCs w:val="20"/>
                <w:lang w:val="fr-CA"/>
              </w:rPr>
            </w:pPr>
            <w:r w:rsidRPr="00B3149D">
              <w:rPr>
                <w:sz w:val="20"/>
                <w:szCs w:val="20"/>
                <w:lang w:val="fr-CA"/>
              </w:rPr>
              <w:t>La demande d’autorisation d’appel de l’arrêt de la Cour d’appel du Québec (Montréal), numéro 500-10-007018-193, 2020 QCCA 666, daté du 25 mai 2020, est accueillie.</w:t>
            </w:r>
          </w:p>
          <w:p w:rsidR="00B22DD4" w:rsidRPr="00B3149D" w:rsidRDefault="00B22DD4" w:rsidP="00B3166C">
            <w:pPr>
              <w:pStyle w:val="SCCBanSummary0"/>
              <w:rPr>
                <w:smallCaps w:val="0"/>
                <w:sz w:val="20"/>
                <w:szCs w:val="20"/>
                <w:lang w:val="fr-CA"/>
              </w:rPr>
            </w:pPr>
          </w:p>
        </w:tc>
      </w:tr>
      <w:tr w:rsidR="0082729A" w:rsidRPr="009873D4" w:rsidTr="00B3166C">
        <w:tc>
          <w:tcPr>
            <w:tcW w:w="5000" w:type="pct"/>
            <w:gridSpan w:val="2"/>
          </w:tcPr>
          <w:p w:rsidR="0082729A" w:rsidRPr="00B3149D" w:rsidRDefault="0082729A" w:rsidP="00B3166C">
            <w:pPr>
              <w:pStyle w:val="SCCBanSummary0"/>
              <w:rPr>
                <w:sz w:val="20"/>
                <w:szCs w:val="20"/>
                <w:lang w:val="fr-CA"/>
              </w:rPr>
            </w:pPr>
            <w:r w:rsidRPr="00B3149D">
              <w:rPr>
                <w:sz w:val="20"/>
                <w:szCs w:val="20"/>
                <w:lang w:val="fr-CA"/>
              </w:rPr>
              <w:t>(Ordonnance de non</w:t>
            </w:r>
            <w:r w:rsidRPr="00B3149D">
              <w:rPr>
                <w:sz w:val="20"/>
                <w:szCs w:val="20"/>
                <w:lang w:val="fr-CA"/>
              </w:rPr>
              <w:noBreakHyphen/>
              <w:t>publication dans le dossier)</w:t>
            </w:r>
          </w:p>
          <w:p w:rsidR="0082729A" w:rsidRPr="00B3149D" w:rsidRDefault="0082729A" w:rsidP="00B3166C">
            <w:pPr>
              <w:jc w:val="both"/>
              <w:rPr>
                <w:sz w:val="20"/>
                <w:szCs w:val="20"/>
                <w:lang w:val="fr-CA"/>
              </w:rPr>
            </w:pPr>
          </w:p>
        </w:tc>
      </w:tr>
      <w:tr w:rsidR="0082729A" w:rsidRPr="009873D4" w:rsidTr="00B3166C">
        <w:tc>
          <w:tcPr>
            <w:tcW w:w="5000" w:type="pct"/>
            <w:gridSpan w:val="2"/>
          </w:tcPr>
          <w:p w:rsidR="0082729A" w:rsidRPr="00B3149D" w:rsidRDefault="0082729A" w:rsidP="00B3166C">
            <w:pPr>
              <w:jc w:val="both"/>
              <w:rPr>
                <w:sz w:val="20"/>
                <w:szCs w:val="20"/>
                <w:lang w:val="fr-CA"/>
              </w:rPr>
            </w:pPr>
            <w:r w:rsidRPr="00B3149D">
              <w:rPr>
                <w:i/>
                <w:sz w:val="20"/>
                <w:szCs w:val="20"/>
                <w:lang w:val="fr-CA"/>
              </w:rPr>
              <w:t>Charte des droits</w:t>
            </w:r>
            <w:r w:rsidRPr="00B3149D">
              <w:rPr>
                <w:sz w:val="20"/>
                <w:szCs w:val="20"/>
                <w:lang w:val="fr-CA"/>
              </w:rPr>
              <w:t xml:space="preserve"> — Droit criminel — Jugé dans un délai raisonnable — Délais judiciaires — Plafonds — Le cadre</w:t>
            </w:r>
            <w:r w:rsidRPr="00B3149D">
              <w:rPr>
                <w:i/>
                <w:sz w:val="20"/>
                <w:szCs w:val="20"/>
                <w:lang w:val="fr-CA"/>
              </w:rPr>
              <w:t xml:space="preserve"> Jordan</w:t>
            </w:r>
            <w:r w:rsidRPr="00B3149D">
              <w:rPr>
                <w:sz w:val="20"/>
                <w:szCs w:val="20"/>
                <w:lang w:val="fr-CA"/>
              </w:rPr>
              <w:t xml:space="preserve"> sert</w:t>
            </w:r>
            <w:r w:rsidRPr="00B3149D">
              <w:rPr>
                <w:sz w:val="20"/>
                <w:szCs w:val="20"/>
                <w:lang w:val="fr-CA"/>
              </w:rPr>
              <w:noBreakHyphen/>
              <w:t>il à l’examen des délais judiciaires d’un procès antérieur, complètement consommés et auxquels on ne peut plus remédier? — Le défaut de soulever, au premier procès ou pendant l’appel, la violation possible de son droit d’être jugé dans un délai raisonnable équivaut</w:t>
            </w:r>
            <w:r w:rsidRPr="00B3149D">
              <w:rPr>
                <w:sz w:val="20"/>
                <w:szCs w:val="20"/>
                <w:lang w:val="fr-CA"/>
              </w:rPr>
              <w:noBreakHyphen/>
              <w:t xml:space="preserve">il à une renonciation à l’invoquer lors d’un procès subséquent? — </w:t>
            </w:r>
            <w:r w:rsidRPr="00B3149D">
              <w:rPr>
                <w:i/>
                <w:sz w:val="20"/>
                <w:szCs w:val="20"/>
                <w:lang w:val="fr-CA"/>
              </w:rPr>
              <w:t>Charte canadienne des droits et libertés</w:t>
            </w:r>
            <w:r w:rsidRPr="00B3149D">
              <w:rPr>
                <w:sz w:val="20"/>
                <w:szCs w:val="20"/>
                <w:lang w:val="fr-CA"/>
              </w:rPr>
              <w:t>, art. 11</w:t>
            </w:r>
            <w:r w:rsidRPr="00B3149D">
              <w:rPr>
                <w:i/>
                <w:sz w:val="20"/>
                <w:szCs w:val="20"/>
                <w:lang w:val="fr-CA"/>
              </w:rPr>
              <w:t>b)</w:t>
            </w:r>
            <w:r w:rsidRPr="00B3149D">
              <w:rPr>
                <w:sz w:val="20"/>
                <w:szCs w:val="20"/>
                <w:lang w:val="fr-CA"/>
              </w:rPr>
              <w:t>.</w:t>
            </w:r>
          </w:p>
          <w:p w:rsidR="0082729A" w:rsidRPr="00B3149D" w:rsidRDefault="0082729A"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5000" w:type="pct"/>
            <w:gridSpan w:val="3"/>
          </w:tcPr>
          <w:p w:rsidR="0082729A" w:rsidRPr="00B3149D" w:rsidRDefault="0082729A" w:rsidP="00B3166C">
            <w:pPr>
              <w:jc w:val="both"/>
              <w:rPr>
                <w:sz w:val="20"/>
                <w:szCs w:val="20"/>
                <w:lang w:val="fr-CA"/>
              </w:rPr>
            </w:pPr>
            <w:r w:rsidRPr="00B3149D">
              <w:rPr>
                <w:sz w:val="20"/>
                <w:szCs w:val="20"/>
                <w:lang w:val="fr-CA"/>
              </w:rPr>
              <w:lastRenderedPageBreak/>
              <w:t xml:space="preserve">En février 2011, l’accusé est inculpé de plusieurs chefs d’accusation à l’égard de gestes à caractère sexuel commis entre 1986 et 2001. Pendant que l’affaire est en délibéré, la Cour suprême rend l’arrêt </w:t>
            </w:r>
            <w:r w:rsidRPr="00B3149D">
              <w:rPr>
                <w:i/>
                <w:sz w:val="20"/>
                <w:szCs w:val="20"/>
                <w:lang w:val="fr-CA"/>
              </w:rPr>
              <w:t>R. c.</w:t>
            </w:r>
            <w:r w:rsidRPr="00B3149D">
              <w:rPr>
                <w:sz w:val="20"/>
                <w:szCs w:val="20"/>
                <w:lang w:val="fr-CA"/>
              </w:rPr>
              <w:t xml:space="preserve"> </w:t>
            </w:r>
            <w:r w:rsidRPr="00B3149D">
              <w:rPr>
                <w:i/>
                <w:sz w:val="20"/>
                <w:szCs w:val="20"/>
                <w:lang w:val="fr-CA"/>
              </w:rPr>
              <w:t>Jordan</w:t>
            </w:r>
            <w:r w:rsidRPr="00B3149D">
              <w:rPr>
                <w:sz w:val="20"/>
                <w:szCs w:val="20"/>
                <w:lang w:val="fr-CA"/>
              </w:rPr>
              <w:t>, 2016 CSC 27. Au terme du premier procès, l’accusé est acquitté en février 2017. Le délai brut entre l’inculpation et le verdict est de 72 mois et 2 jours. En juin 2018, la Cour d’appel du Québec</w:t>
            </w:r>
            <w:r w:rsidRPr="00B3149D">
              <w:rPr>
                <w:sz w:val="20"/>
                <w:szCs w:val="20"/>
                <w:shd w:val="clear" w:color="auto" w:fill="FFFFFF"/>
                <w:lang w:val="fr-CA"/>
              </w:rPr>
              <w:t xml:space="preserve"> ordonne la tenue d’un nouveau procès en raison d’erreurs de droit contenues dans le jugement</w:t>
            </w:r>
            <w:bookmarkStart w:id="4" w:name="_Ref40186499"/>
            <w:bookmarkEnd w:id="4"/>
            <w:r w:rsidRPr="00B3149D">
              <w:rPr>
                <w:sz w:val="20"/>
                <w:szCs w:val="20"/>
                <w:shd w:val="clear" w:color="auto" w:fill="FFFFFF"/>
                <w:lang w:val="fr-CA"/>
              </w:rPr>
              <w:t xml:space="preserve"> de première instance. Le délai entre cette ordonnance et la fin anticipée du nouveau procès est de 10 mois et 5 jours. </w:t>
            </w:r>
            <w:r w:rsidRPr="00B3149D">
              <w:rPr>
                <w:sz w:val="20"/>
                <w:szCs w:val="20"/>
                <w:lang w:val="fr-CA"/>
              </w:rPr>
              <w:t>L’accusé dépose une requête en arrêt des procédures en vertu de l’al. 11</w:t>
            </w:r>
            <w:r w:rsidRPr="00B3149D">
              <w:rPr>
                <w:i/>
                <w:sz w:val="20"/>
                <w:szCs w:val="20"/>
                <w:lang w:val="fr-CA"/>
              </w:rPr>
              <w:t>b)</w:t>
            </w:r>
            <w:r w:rsidRPr="00B3149D">
              <w:rPr>
                <w:sz w:val="20"/>
                <w:szCs w:val="20"/>
                <w:lang w:val="fr-CA"/>
              </w:rPr>
              <w:t xml:space="preserve"> de la </w:t>
            </w:r>
            <w:r w:rsidRPr="00B3149D">
              <w:rPr>
                <w:i/>
                <w:sz w:val="20"/>
                <w:szCs w:val="20"/>
                <w:lang w:val="fr-CA"/>
              </w:rPr>
              <w:t xml:space="preserve">Charte </w:t>
            </w:r>
            <w:r w:rsidRPr="00B3149D">
              <w:rPr>
                <w:sz w:val="20"/>
                <w:szCs w:val="20"/>
                <w:lang w:val="fr-CA"/>
              </w:rPr>
              <w:t xml:space="preserve">en décembre 2018. La juge d’instance conclut que les délais du premier procès sont déraisonnables et que l’accusé n’a jamais renoncé à son droit d’être jugé dans un délai raisonnable. Elle accueille la requête et ordonne l’arrêt des procédures en février 2019. Dans un jugement unanime, la Cour d’appel confirme l’ordonnance de la juge d’instance. </w:t>
            </w:r>
          </w:p>
          <w:p w:rsidR="0082729A" w:rsidRPr="00B3149D" w:rsidRDefault="0082729A" w:rsidP="00B3166C">
            <w:pPr>
              <w:jc w:val="both"/>
              <w:rPr>
                <w:sz w:val="20"/>
                <w:szCs w:val="20"/>
                <w:lang w:val="fr-CA"/>
              </w:rPr>
            </w:pPr>
          </w:p>
        </w:tc>
      </w:tr>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t>Le 15 mars 2019</w:t>
            </w:r>
          </w:p>
          <w:p w:rsidR="0082729A" w:rsidRPr="00B3149D" w:rsidRDefault="0082729A" w:rsidP="00B3166C">
            <w:pPr>
              <w:jc w:val="both"/>
              <w:rPr>
                <w:sz w:val="20"/>
                <w:szCs w:val="20"/>
                <w:lang w:val="fr-CA"/>
              </w:rPr>
            </w:pPr>
            <w:r w:rsidRPr="00B3149D">
              <w:rPr>
                <w:sz w:val="20"/>
                <w:szCs w:val="20"/>
                <w:lang w:val="fr-CA"/>
              </w:rPr>
              <w:t>Cour du Québec</w:t>
            </w:r>
          </w:p>
          <w:p w:rsidR="0082729A" w:rsidRPr="00B3149D" w:rsidRDefault="0082729A" w:rsidP="00B3166C">
            <w:pPr>
              <w:jc w:val="both"/>
              <w:rPr>
                <w:sz w:val="20"/>
                <w:szCs w:val="20"/>
                <w:lang w:val="fr-CA"/>
              </w:rPr>
            </w:pPr>
            <w:r w:rsidRPr="00B3149D">
              <w:rPr>
                <w:sz w:val="20"/>
                <w:szCs w:val="20"/>
                <w:lang w:val="fr-CA"/>
              </w:rPr>
              <w:t>(La juge Roy)</w:t>
            </w:r>
          </w:p>
          <w:p w:rsidR="0082729A" w:rsidRPr="00B3149D" w:rsidRDefault="00E51866" w:rsidP="00B3166C">
            <w:pPr>
              <w:jc w:val="both"/>
              <w:rPr>
                <w:sz w:val="20"/>
                <w:szCs w:val="20"/>
              </w:rPr>
            </w:pPr>
            <w:hyperlink r:id="rId42" w:history="1">
              <w:r w:rsidR="0082729A" w:rsidRPr="00B3149D">
                <w:rPr>
                  <w:rStyle w:val="Hyperlink"/>
                  <w:sz w:val="20"/>
                  <w:szCs w:val="20"/>
                </w:rPr>
                <w:t>2019 QCCQ 1236</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lang w:val="fr-CA"/>
              </w:rPr>
            </w:pPr>
            <w:r w:rsidRPr="00B3149D">
              <w:rPr>
                <w:sz w:val="20"/>
                <w:szCs w:val="20"/>
                <w:lang w:val="fr-CA"/>
              </w:rPr>
              <w:t>Requête en arrêt des procédures accueillie</w:t>
            </w:r>
          </w:p>
          <w:p w:rsidR="0082729A" w:rsidRPr="00B3149D" w:rsidRDefault="0082729A" w:rsidP="00B3166C">
            <w:pPr>
              <w:jc w:val="both"/>
              <w:rPr>
                <w:sz w:val="20"/>
                <w:szCs w:val="20"/>
                <w:lang w:val="fr-CA"/>
              </w:rPr>
            </w:pPr>
          </w:p>
        </w:tc>
      </w:tr>
      <w:tr w:rsidR="0082729A" w:rsidRPr="00B3149D" w:rsidTr="00B3166C">
        <w:tc>
          <w:tcPr>
            <w:tcW w:w="2427" w:type="pct"/>
          </w:tcPr>
          <w:p w:rsidR="0082729A" w:rsidRPr="00B3149D" w:rsidRDefault="0082729A" w:rsidP="00B3166C">
            <w:pPr>
              <w:jc w:val="both"/>
              <w:rPr>
                <w:sz w:val="20"/>
                <w:szCs w:val="20"/>
                <w:lang w:val="fr-CA"/>
              </w:rPr>
            </w:pPr>
            <w:r w:rsidRPr="00B3149D">
              <w:rPr>
                <w:sz w:val="20"/>
                <w:szCs w:val="20"/>
                <w:lang w:val="fr-CA"/>
              </w:rPr>
              <w:t>Le 25 mai 2020</w:t>
            </w:r>
          </w:p>
          <w:p w:rsidR="0082729A" w:rsidRPr="00B3149D" w:rsidRDefault="0082729A" w:rsidP="00B3166C">
            <w:pPr>
              <w:jc w:val="both"/>
              <w:rPr>
                <w:sz w:val="20"/>
                <w:szCs w:val="20"/>
                <w:lang w:val="fr-CA"/>
              </w:rPr>
            </w:pPr>
            <w:r w:rsidRPr="00B3149D">
              <w:rPr>
                <w:sz w:val="20"/>
                <w:szCs w:val="20"/>
                <w:lang w:val="fr-CA"/>
              </w:rPr>
              <w:t>Cour d’appel du Québec (Montréal)</w:t>
            </w:r>
          </w:p>
          <w:p w:rsidR="0082729A" w:rsidRPr="00B3149D" w:rsidRDefault="0082729A" w:rsidP="00B3166C">
            <w:pPr>
              <w:jc w:val="both"/>
              <w:rPr>
                <w:sz w:val="20"/>
                <w:szCs w:val="20"/>
                <w:lang w:val="fr-CA"/>
              </w:rPr>
            </w:pPr>
            <w:r w:rsidRPr="00B3149D">
              <w:rPr>
                <w:sz w:val="20"/>
                <w:szCs w:val="20"/>
                <w:lang w:val="fr-CA"/>
              </w:rPr>
              <w:t>(Les juges Lévesque, Hogue et Sansfaçon)</w:t>
            </w:r>
          </w:p>
          <w:p w:rsidR="0082729A" w:rsidRPr="00B3149D" w:rsidRDefault="00E51866" w:rsidP="00B3166C">
            <w:pPr>
              <w:jc w:val="both"/>
              <w:rPr>
                <w:sz w:val="20"/>
                <w:szCs w:val="20"/>
              </w:rPr>
            </w:pPr>
            <w:hyperlink r:id="rId43" w:history="1">
              <w:r w:rsidR="0082729A" w:rsidRPr="00B3149D">
                <w:rPr>
                  <w:rStyle w:val="Hyperlink"/>
                  <w:sz w:val="20"/>
                  <w:szCs w:val="20"/>
                </w:rPr>
                <w:t>2020 QCCA 666</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Appel rejeté</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lang w:val="fr-CA"/>
              </w:rPr>
            </w:pPr>
            <w:r w:rsidRPr="00B3149D">
              <w:rPr>
                <w:sz w:val="20"/>
                <w:szCs w:val="20"/>
                <w:lang w:val="fr-CA"/>
              </w:rPr>
              <w:t>Le 4 août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rPr>
            </w:pPr>
            <w:r w:rsidRPr="00B3149D">
              <w:rPr>
                <w:sz w:val="20"/>
                <w:szCs w:val="20"/>
              </w:rPr>
              <w:t>Demande d’autorisation d’appel déposée</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szCs w:val="20"/>
        </w:rPr>
      </w:pPr>
      <w:r>
        <w:rPr>
          <w:sz w:val="20"/>
        </w:rPr>
        <w:pict>
          <v:rect id="_x0000_i1053"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39338</w:t>
            </w:r>
          </w:p>
        </w:tc>
        <w:tc>
          <w:tcPr>
            <w:tcW w:w="4457" w:type="pct"/>
          </w:tcPr>
          <w:p w:rsidR="0082729A" w:rsidRPr="00B3149D" w:rsidRDefault="0082729A" w:rsidP="00B3166C">
            <w:pPr>
              <w:pStyle w:val="SCCLsocParty"/>
              <w:jc w:val="both"/>
              <w:rPr>
                <w:b/>
                <w:sz w:val="20"/>
                <w:szCs w:val="20"/>
                <w:lang w:val="en-US"/>
              </w:rPr>
            </w:pPr>
            <w:r w:rsidRPr="00B3149D">
              <w:rPr>
                <w:b/>
                <w:sz w:val="20"/>
                <w:szCs w:val="20"/>
                <w:lang w:val="en-US"/>
              </w:rPr>
              <w:t>Jesse Dallas Hills v. Her Majesty The Queen</w:t>
            </w:r>
          </w:p>
          <w:p w:rsidR="0082729A" w:rsidRPr="00B3149D" w:rsidRDefault="0082729A" w:rsidP="00B3166C">
            <w:pPr>
              <w:jc w:val="both"/>
              <w:rPr>
                <w:sz w:val="20"/>
                <w:szCs w:val="20"/>
              </w:rPr>
            </w:pPr>
            <w:r w:rsidRPr="00B3149D">
              <w:rPr>
                <w:sz w:val="20"/>
                <w:szCs w:val="20"/>
              </w:rPr>
              <w:t>(Alta.) (Criminal) (By Leave)</w:t>
            </w:r>
          </w:p>
        </w:tc>
      </w:tr>
      <w:tr w:rsidR="00B22DD4" w:rsidRPr="00B3149D" w:rsidTr="00B3166C">
        <w:tc>
          <w:tcPr>
            <w:tcW w:w="5000" w:type="pct"/>
            <w:gridSpan w:val="2"/>
          </w:tcPr>
          <w:p w:rsidR="00D37A41" w:rsidRPr="00B3149D" w:rsidRDefault="00D37A41" w:rsidP="00D37A41">
            <w:pPr>
              <w:jc w:val="both"/>
              <w:rPr>
                <w:sz w:val="20"/>
                <w:szCs w:val="20"/>
              </w:rPr>
            </w:pPr>
            <w:r w:rsidRPr="00B3149D">
              <w:rPr>
                <w:sz w:val="20"/>
                <w:szCs w:val="20"/>
              </w:rPr>
              <w:t>The application for leave to appeal from the judgment of the Court of Appeal of Alberta (Calgary), Numbers 1801-0376-A and 1901-0064-A, 2020 ABCA 263, dated July 10, 2020, is granted.</w:t>
            </w:r>
          </w:p>
          <w:p w:rsidR="00B22DD4" w:rsidRPr="00B3149D" w:rsidRDefault="00B22DD4" w:rsidP="00D37A41">
            <w:pPr>
              <w:tabs>
                <w:tab w:val="left" w:pos="1723"/>
              </w:tabs>
              <w:jc w:val="both"/>
              <w:rPr>
                <w:sz w:val="20"/>
                <w:szCs w:val="20"/>
              </w:rPr>
            </w:pPr>
          </w:p>
        </w:tc>
      </w:tr>
      <w:tr w:rsidR="0082729A" w:rsidRPr="00B3149D" w:rsidTr="00B3166C">
        <w:tc>
          <w:tcPr>
            <w:tcW w:w="5000" w:type="pct"/>
            <w:gridSpan w:val="2"/>
          </w:tcPr>
          <w:p w:rsidR="0082729A" w:rsidRPr="00B3149D" w:rsidRDefault="0082729A" w:rsidP="00B3166C">
            <w:pPr>
              <w:jc w:val="both"/>
              <w:rPr>
                <w:sz w:val="20"/>
                <w:szCs w:val="20"/>
              </w:rPr>
            </w:pPr>
            <w:r w:rsidRPr="00B3149D">
              <w:rPr>
                <w:i/>
                <w:sz w:val="20"/>
                <w:szCs w:val="20"/>
              </w:rPr>
              <w:t>Charter of Rights</w:t>
            </w:r>
            <w:r w:rsidRPr="00B3149D">
              <w:rPr>
                <w:sz w:val="20"/>
                <w:szCs w:val="20"/>
              </w:rPr>
              <w:t xml:space="preserve"> — Criminal law — Sentencing — Mandatory minimum sentence — Whether the Alberta Court of Appeal erred in finding that s. 244.2(3)(b) of the </w:t>
            </w:r>
            <w:r w:rsidRPr="00B3149D">
              <w:rPr>
                <w:i/>
                <w:sz w:val="20"/>
                <w:szCs w:val="20"/>
              </w:rPr>
              <w:t>Criminal Code</w:t>
            </w:r>
            <w:r w:rsidRPr="00B3149D">
              <w:rPr>
                <w:sz w:val="20"/>
                <w:szCs w:val="20"/>
              </w:rPr>
              <w:t xml:space="preserve"> does not constitute cruel and unusual punishment that violates s. 12 of the </w:t>
            </w:r>
            <w:r w:rsidRPr="00B3149D">
              <w:rPr>
                <w:i/>
                <w:sz w:val="20"/>
                <w:szCs w:val="20"/>
              </w:rPr>
              <w:t xml:space="preserve">Charter </w:t>
            </w:r>
            <w:r w:rsidRPr="00B3149D">
              <w:rPr>
                <w:sz w:val="20"/>
                <w:szCs w:val="20"/>
              </w:rPr>
              <w:t>— Whether the Alberta Court of Appeal erred in failing to consider the applicant’s Métis status in re-sentencing him.</w:t>
            </w:r>
          </w:p>
          <w:p w:rsidR="0082729A" w:rsidRPr="00B3149D" w:rsidRDefault="0082729A" w:rsidP="00B3166C">
            <w:pPr>
              <w:jc w:val="both"/>
              <w:rPr>
                <w:sz w:val="20"/>
                <w:szCs w:val="20"/>
              </w:rPr>
            </w:pPr>
          </w:p>
        </w:tc>
      </w:tr>
      <w:tr w:rsidR="0082729A" w:rsidRPr="00B3149D" w:rsidTr="00B3166C">
        <w:tc>
          <w:tcPr>
            <w:tcW w:w="5000" w:type="pct"/>
            <w:gridSpan w:val="2"/>
          </w:tcPr>
          <w:p w:rsidR="0082729A" w:rsidRPr="00B3149D" w:rsidRDefault="0082729A" w:rsidP="00B3166C">
            <w:pPr>
              <w:jc w:val="both"/>
              <w:rPr>
                <w:sz w:val="20"/>
                <w:szCs w:val="20"/>
              </w:rPr>
            </w:pPr>
            <w:r w:rsidRPr="00B3149D">
              <w:rPr>
                <w:rFonts w:eastAsia="Times New Roman" w:cs="Times New Roman"/>
                <w:sz w:val="20"/>
                <w:szCs w:val="20"/>
                <w:lang w:eastAsia="en-CA"/>
              </w:rPr>
              <w:t xml:space="preserve">Mr. Hills pled guilty to four charges from an incident in May 2014 where he swung a baseball bat and fired a shot with his rifle at an occupied vehicle, smashed the window of a parked vehicle and shot a few rounds into an occupied family residence. One of the charges was the intentional discharging of a firearm into or at a place, knowing that or being reckless as to whether another person is present in the place under s. 244.2(1)(a) of the </w:t>
            </w:r>
            <w:r w:rsidRPr="00B3149D">
              <w:rPr>
                <w:rFonts w:eastAsia="Times New Roman" w:cs="Times New Roman"/>
                <w:i/>
                <w:sz w:val="20"/>
                <w:szCs w:val="20"/>
                <w:lang w:eastAsia="en-CA"/>
              </w:rPr>
              <w:t>Criminal Code</w:t>
            </w:r>
            <w:r w:rsidRPr="00B3149D">
              <w:rPr>
                <w:rFonts w:eastAsia="Times New Roman" w:cs="Times New Roman"/>
                <w:sz w:val="20"/>
                <w:szCs w:val="20"/>
                <w:lang w:eastAsia="en-CA"/>
              </w:rPr>
              <w:t>, which carries a minimum four</w:t>
            </w:r>
            <w:r w:rsidRPr="00B3149D">
              <w:rPr>
                <w:rFonts w:eastAsia="Times New Roman" w:cs="Times New Roman"/>
                <w:sz w:val="20"/>
                <w:szCs w:val="20"/>
                <w:lang w:eastAsia="en-CA"/>
              </w:rPr>
              <w:noBreakHyphen/>
              <w:t xml:space="preserve">year imprisonment sentence. Mr. Hills alleged that the minimum sentence under s. 244.2(3)(b) of the </w:t>
            </w:r>
            <w:r w:rsidRPr="00B3149D">
              <w:rPr>
                <w:rFonts w:eastAsia="Times New Roman" w:cs="Times New Roman"/>
                <w:i/>
                <w:sz w:val="20"/>
                <w:szCs w:val="20"/>
                <w:lang w:eastAsia="en-CA"/>
              </w:rPr>
              <w:t>Criminal Code</w:t>
            </w:r>
            <w:r w:rsidRPr="00B3149D">
              <w:rPr>
                <w:rFonts w:eastAsia="Times New Roman" w:cs="Times New Roman"/>
                <w:sz w:val="20"/>
                <w:szCs w:val="20"/>
                <w:lang w:eastAsia="en-CA"/>
              </w:rPr>
              <w:t xml:space="preserve"> violated </w:t>
            </w:r>
            <w:r w:rsidRPr="00B3149D">
              <w:rPr>
                <w:sz w:val="20"/>
                <w:szCs w:val="20"/>
              </w:rPr>
              <w:t xml:space="preserve">the constitutional right to not be subjected to any cruel and unusual treatment or punishment by virtue of s. 12 of the </w:t>
            </w:r>
            <w:r w:rsidRPr="00B3149D">
              <w:rPr>
                <w:i/>
                <w:sz w:val="20"/>
                <w:szCs w:val="20"/>
              </w:rPr>
              <w:t>Charter</w:t>
            </w:r>
            <w:r w:rsidRPr="00B3149D">
              <w:rPr>
                <w:sz w:val="20"/>
                <w:szCs w:val="20"/>
              </w:rPr>
              <w:t xml:space="preserve">. </w:t>
            </w:r>
            <w:r w:rsidRPr="00B3149D">
              <w:rPr>
                <w:sz w:val="20"/>
                <w:szCs w:val="20"/>
                <w:shd w:val="clear" w:color="auto" w:fill="FFFFFF"/>
              </w:rPr>
              <w:t xml:space="preserve">The trial judge found that the mandatory minimum sentence contravened s. 12 and could not be saved by s. 1 of the </w:t>
            </w:r>
            <w:r w:rsidRPr="00B3149D">
              <w:rPr>
                <w:i/>
                <w:sz w:val="20"/>
                <w:szCs w:val="20"/>
                <w:shd w:val="clear" w:color="auto" w:fill="FFFFFF"/>
              </w:rPr>
              <w:t>Charter</w:t>
            </w:r>
            <w:r w:rsidRPr="00B3149D">
              <w:rPr>
                <w:sz w:val="20"/>
                <w:szCs w:val="20"/>
                <w:shd w:val="clear" w:color="auto" w:fill="FFFFFF"/>
              </w:rPr>
              <w:t xml:space="preserve">. As a result, he declared s. 244.2(3)(b) of the </w:t>
            </w:r>
            <w:r w:rsidRPr="00B3149D">
              <w:rPr>
                <w:i/>
                <w:sz w:val="20"/>
                <w:szCs w:val="20"/>
                <w:shd w:val="clear" w:color="auto" w:fill="FFFFFF"/>
              </w:rPr>
              <w:t xml:space="preserve">Criminal Code </w:t>
            </w:r>
            <w:r w:rsidRPr="00B3149D">
              <w:rPr>
                <w:sz w:val="20"/>
                <w:szCs w:val="20"/>
                <w:shd w:val="clear" w:color="auto" w:fill="FFFFFF"/>
              </w:rPr>
              <w:t xml:space="preserve">to be of no force and effect. Mr. Hills was sentenced to a term of imprisonment of three and a half years. The Alberta Court of Appeal overturned the trial judge’s finding that the provision was unconstitutional and set aside the declaration of invalidity. </w:t>
            </w:r>
            <w:r w:rsidRPr="00B3149D">
              <w:rPr>
                <w:sz w:val="20"/>
                <w:szCs w:val="20"/>
              </w:rPr>
              <w:t>The appeal against the sentence for discharging a firearm was allowed and Mr. Hills’ sentence was increased to four years.</w:t>
            </w:r>
          </w:p>
          <w:p w:rsidR="0082729A" w:rsidRPr="00B3149D" w:rsidRDefault="0082729A" w:rsidP="00B3166C">
            <w:pPr>
              <w:jc w:val="both"/>
              <w:rPr>
                <w:sz w:val="20"/>
                <w:szCs w:val="20"/>
              </w:rPr>
            </w:pPr>
          </w:p>
        </w:tc>
      </w:tr>
    </w:tbl>
    <w:p w:rsidR="00D84797" w:rsidRPr="00B3149D" w:rsidRDefault="00D84797">
      <w:r w:rsidRPr="00B314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B3149D" w:rsidTr="00B3166C">
        <w:tc>
          <w:tcPr>
            <w:tcW w:w="2427" w:type="pct"/>
          </w:tcPr>
          <w:p w:rsidR="0082729A" w:rsidRPr="00B3149D" w:rsidRDefault="0082729A" w:rsidP="00B3166C">
            <w:pPr>
              <w:jc w:val="both"/>
              <w:rPr>
                <w:sz w:val="20"/>
                <w:szCs w:val="20"/>
              </w:rPr>
            </w:pPr>
            <w:r w:rsidRPr="00B3149D">
              <w:rPr>
                <w:sz w:val="20"/>
                <w:szCs w:val="20"/>
              </w:rPr>
              <w:lastRenderedPageBreak/>
              <w:t>November 20, 2018</w:t>
            </w:r>
          </w:p>
          <w:p w:rsidR="0082729A" w:rsidRPr="00B3149D" w:rsidRDefault="0082729A" w:rsidP="00B3166C">
            <w:pPr>
              <w:jc w:val="both"/>
              <w:rPr>
                <w:sz w:val="20"/>
                <w:szCs w:val="20"/>
              </w:rPr>
            </w:pPr>
            <w:r w:rsidRPr="00B3149D">
              <w:rPr>
                <w:sz w:val="20"/>
                <w:szCs w:val="20"/>
              </w:rPr>
              <w:t>Court of Queen’s Bench of Alberta</w:t>
            </w:r>
          </w:p>
          <w:p w:rsidR="0082729A" w:rsidRPr="00B3149D" w:rsidRDefault="0082729A" w:rsidP="00B3166C">
            <w:pPr>
              <w:jc w:val="both"/>
              <w:rPr>
                <w:sz w:val="20"/>
                <w:szCs w:val="20"/>
              </w:rPr>
            </w:pPr>
            <w:r w:rsidRPr="00B3149D">
              <w:rPr>
                <w:sz w:val="20"/>
                <w:szCs w:val="20"/>
              </w:rPr>
              <w:t>(Jerke J.)</w:t>
            </w:r>
          </w:p>
          <w:p w:rsidR="0082729A" w:rsidRPr="00B3149D" w:rsidRDefault="00E51866" w:rsidP="00B3166C">
            <w:pPr>
              <w:jc w:val="both"/>
              <w:rPr>
                <w:sz w:val="20"/>
                <w:szCs w:val="20"/>
              </w:rPr>
            </w:pPr>
            <w:hyperlink r:id="rId44" w:history="1">
              <w:r w:rsidR="0082729A" w:rsidRPr="00B3149D">
                <w:rPr>
                  <w:rStyle w:val="Hyperlink"/>
                  <w:sz w:val="20"/>
                  <w:szCs w:val="20"/>
                </w:rPr>
                <w:t>2018 ABQB 945</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 xml:space="preserve">Finding of constitutional invalidity of s. 244.2(3)(b) of the </w:t>
            </w:r>
            <w:r w:rsidRPr="00B3149D">
              <w:rPr>
                <w:i/>
                <w:sz w:val="20"/>
                <w:szCs w:val="20"/>
              </w:rPr>
              <w:t>Criminal Code</w:t>
            </w:r>
            <w:r w:rsidRPr="00B3149D">
              <w:rPr>
                <w:sz w:val="20"/>
                <w:szCs w:val="20"/>
              </w:rPr>
              <w:t>.</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February 8, 2019</w:t>
            </w:r>
          </w:p>
          <w:p w:rsidR="0082729A" w:rsidRPr="00B3149D" w:rsidRDefault="0082729A" w:rsidP="00B3166C">
            <w:pPr>
              <w:jc w:val="both"/>
              <w:rPr>
                <w:sz w:val="20"/>
                <w:szCs w:val="20"/>
              </w:rPr>
            </w:pPr>
            <w:r w:rsidRPr="00B3149D">
              <w:rPr>
                <w:sz w:val="20"/>
                <w:szCs w:val="20"/>
              </w:rPr>
              <w:t>Court of Queen’s Bench of Alberta</w:t>
            </w:r>
          </w:p>
          <w:p w:rsidR="0082729A" w:rsidRPr="00B3149D" w:rsidRDefault="0082729A" w:rsidP="00B3166C">
            <w:pPr>
              <w:jc w:val="both"/>
              <w:rPr>
                <w:sz w:val="20"/>
                <w:szCs w:val="20"/>
              </w:rPr>
            </w:pPr>
            <w:r w:rsidRPr="00B3149D">
              <w:rPr>
                <w:sz w:val="20"/>
                <w:szCs w:val="20"/>
              </w:rPr>
              <w:t>(Jerke J.)</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Sentence imposed: imprisonment for a term of three and a half years.</w:t>
            </w: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July 10, 2020</w:t>
            </w:r>
          </w:p>
          <w:p w:rsidR="0082729A" w:rsidRPr="00B3149D" w:rsidRDefault="0082729A" w:rsidP="00B3166C">
            <w:pPr>
              <w:jc w:val="both"/>
              <w:rPr>
                <w:sz w:val="20"/>
                <w:szCs w:val="20"/>
              </w:rPr>
            </w:pPr>
            <w:r w:rsidRPr="00B3149D">
              <w:rPr>
                <w:sz w:val="20"/>
                <w:szCs w:val="20"/>
              </w:rPr>
              <w:t>Court of Appeal of Alberta (Calgary)</w:t>
            </w:r>
          </w:p>
          <w:p w:rsidR="0082729A" w:rsidRPr="00B3149D" w:rsidRDefault="0082729A" w:rsidP="00B3166C">
            <w:pPr>
              <w:jc w:val="both"/>
              <w:rPr>
                <w:sz w:val="20"/>
                <w:szCs w:val="20"/>
              </w:rPr>
            </w:pPr>
            <w:r w:rsidRPr="00B3149D">
              <w:rPr>
                <w:sz w:val="20"/>
                <w:szCs w:val="20"/>
              </w:rPr>
              <w:t>(O’Ferrall, Wakeling and Antonio JJ.A.)</w:t>
            </w:r>
          </w:p>
          <w:p w:rsidR="0082729A" w:rsidRPr="00B3149D" w:rsidRDefault="00E51866" w:rsidP="00B3166C">
            <w:pPr>
              <w:jc w:val="both"/>
              <w:rPr>
                <w:sz w:val="20"/>
                <w:szCs w:val="20"/>
              </w:rPr>
            </w:pPr>
            <w:hyperlink r:id="rId45" w:history="1">
              <w:r w:rsidR="0082729A" w:rsidRPr="00B3149D">
                <w:rPr>
                  <w:rStyle w:val="Hyperlink"/>
                  <w:sz w:val="20"/>
                  <w:szCs w:val="20"/>
                </w:rPr>
                <w:t>2020 ABCA 263</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against sentence for discharging a firearm is allowed and increased to four years imprisonment. The declaration of constitutional invalidity is set aside.</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September 29,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54"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39338</w:t>
            </w:r>
          </w:p>
        </w:tc>
        <w:tc>
          <w:tcPr>
            <w:tcW w:w="4457" w:type="pct"/>
            <w:gridSpan w:val="3"/>
          </w:tcPr>
          <w:p w:rsidR="0082729A" w:rsidRPr="00B3149D" w:rsidRDefault="0082729A" w:rsidP="00B3166C">
            <w:pPr>
              <w:pStyle w:val="SCCLsocParty"/>
              <w:jc w:val="both"/>
              <w:rPr>
                <w:b/>
                <w:sz w:val="20"/>
                <w:szCs w:val="20"/>
              </w:rPr>
            </w:pPr>
            <w:r w:rsidRPr="00B3149D">
              <w:rPr>
                <w:b/>
                <w:sz w:val="20"/>
                <w:szCs w:val="20"/>
              </w:rPr>
              <w:t>Jesse Dallas Hills c. Sa Majesté la Reine</w:t>
            </w:r>
          </w:p>
          <w:p w:rsidR="0082729A" w:rsidRPr="00B3149D" w:rsidRDefault="0082729A" w:rsidP="00B3166C">
            <w:pPr>
              <w:jc w:val="both"/>
              <w:rPr>
                <w:sz w:val="20"/>
                <w:szCs w:val="20"/>
                <w:lang w:val="fr-CA"/>
              </w:rPr>
            </w:pPr>
            <w:r w:rsidRPr="00B3149D">
              <w:rPr>
                <w:sz w:val="20"/>
                <w:szCs w:val="20"/>
                <w:lang w:val="fr-CA"/>
              </w:rPr>
              <w:t>(Alb.) (Criminelle) (Sur autorisation)</w:t>
            </w:r>
          </w:p>
        </w:tc>
      </w:tr>
      <w:tr w:rsidR="00B22DD4" w:rsidRPr="009873D4" w:rsidTr="00B3166C">
        <w:tc>
          <w:tcPr>
            <w:tcW w:w="5000" w:type="pct"/>
            <w:gridSpan w:val="4"/>
          </w:tcPr>
          <w:p w:rsidR="00B22DD4" w:rsidRPr="00B3149D" w:rsidRDefault="00D37A41" w:rsidP="00B3166C">
            <w:pPr>
              <w:jc w:val="both"/>
              <w:rPr>
                <w:sz w:val="20"/>
                <w:szCs w:val="20"/>
                <w:lang w:val="fr-CA"/>
              </w:rPr>
            </w:pPr>
            <w:r w:rsidRPr="00B3149D">
              <w:rPr>
                <w:sz w:val="20"/>
                <w:szCs w:val="20"/>
                <w:lang w:val="fr-CA"/>
              </w:rPr>
              <w:t>La demande d’autorisation d’appel de l’arrêt de la Cour d’appel de l’Alberta (Calgary), numéros 1801-0376-A et 1901-0064-A, 2020 ABCA 263, daté du 10 juillet 2020, est accueillie.</w:t>
            </w:r>
          </w:p>
          <w:p w:rsidR="00D37A41" w:rsidRPr="00B3149D" w:rsidRDefault="00D37A41"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i/>
                <w:sz w:val="20"/>
                <w:szCs w:val="20"/>
                <w:lang w:val="fr-CA"/>
              </w:rPr>
              <w:t>Charte des droits</w:t>
            </w:r>
            <w:r w:rsidRPr="00B3149D">
              <w:rPr>
                <w:sz w:val="20"/>
                <w:szCs w:val="20"/>
                <w:lang w:val="fr-CA"/>
              </w:rPr>
              <w:t xml:space="preserve"> — Droit criminel — Détermination de la peine — Peine minimale obligatoire — La Cour d’appel de l’Alberta a</w:t>
            </w:r>
            <w:r w:rsidRPr="00B3149D">
              <w:rPr>
                <w:sz w:val="20"/>
                <w:szCs w:val="20"/>
                <w:lang w:val="fr-CA"/>
              </w:rPr>
              <w:noBreakHyphen/>
              <w:t>t</w:t>
            </w:r>
            <w:r w:rsidRPr="00B3149D">
              <w:rPr>
                <w:sz w:val="20"/>
                <w:szCs w:val="20"/>
                <w:lang w:val="fr-CA"/>
              </w:rPr>
              <w:noBreakHyphen/>
              <w:t xml:space="preserve">elle commis une erreur en concluant que l’al. 244.2(3)b) du </w:t>
            </w:r>
            <w:r w:rsidRPr="00B3149D">
              <w:rPr>
                <w:i/>
                <w:sz w:val="20"/>
                <w:szCs w:val="20"/>
                <w:lang w:val="fr-CA"/>
              </w:rPr>
              <w:t>Code criminel</w:t>
            </w:r>
            <w:r w:rsidRPr="00B3149D">
              <w:rPr>
                <w:sz w:val="20"/>
                <w:szCs w:val="20"/>
                <w:lang w:val="fr-CA"/>
              </w:rPr>
              <w:t xml:space="preserve"> ne constitue pas une peine cruelle et inusitée qui porte atteinte à l’art. 12 de la </w:t>
            </w:r>
            <w:r w:rsidRPr="00B3149D">
              <w:rPr>
                <w:i/>
                <w:sz w:val="20"/>
                <w:szCs w:val="20"/>
                <w:lang w:val="fr-CA"/>
              </w:rPr>
              <w:t>Charte </w:t>
            </w:r>
            <w:r w:rsidRPr="00B3149D">
              <w:rPr>
                <w:sz w:val="20"/>
                <w:szCs w:val="20"/>
                <w:lang w:val="fr-CA"/>
              </w:rPr>
              <w:t>?</w:t>
            </w:r>
            <w:r w:rsidRPr="00B3149D">
              <w:rPr>
                <w:i/>
                <w:sz w:val="20"/>
                <w:szCs w:val="20"/>
                <w:lang w:val="fr-CA"/>
              </w:rPr>
              <w:t xml:space="preserve"> </w:t>
            </w:r>
            <w:r w:rsidRPr="00B3149D">
              <w:rPr>
                <w:sz w:val="20"/>
                <w:szCs w:val="20"/>
                <w:lang w:val="fr-CA"/>
              </w:rPr>
              <w:t>— La Cour d’appel de l’Alberta a</w:t>
            </w:r>
            <w:r w:rsidRPr="00B3149D">
              <w:rPr>
                <w:sz w:val="20"/>
                <w:szCs w:val="20"/>
                <w:lang w:val="fr-CA"/>
              </w:rPr>
              <w:noBreakHyphen/>
              <w:t>t</w:t>
            </w:r>
            <w:r w:rsidRPr="00B3149D">
              <w:rPr>
                <w:sz w:val="20"/>
                <w:szCs w:val="20"/>
                <w:lang w:val="fr-CA"/>
              </w:rPr>
              <w:noBreakHyphen/>
              <w:t>elle commis une erreur en omettant de tenir compte du statut de Métis lorsqu’elle a procédé à nouveau à la détermination de sa peine ?</w:t>
            </w:r>
          </w:p>
          <w:p w:rsidR="0082729A" w:rsidRPr="00B3149D" w:rsidRDefault="0082729A"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rFonts w:eastAsia="Times New Roman" w:cs="Times New Roman"/>
                <w:sz w:val="20"/>
                <w:szCs w:val="20"/>
                <w:lang w:val="fr-CA" w:eastAsia="en-CA"/>
              </w:rPr>
              <w:t xml:space="preserve">M. Hills a plaidé coupable à quatre chefs d’accusation découlant d’un incident qui a eu lieu en mai 2014, lors duquel il tenté de frapper un véhicule avec un bâton de baseball et a tiré un coup de feu avec sa carabine en direction de ce véhicule dans lequel se trouvait un homme, a fracassé la fenêtre d’un véhicule stationné et a tiré quelques coups de fusil dans une résidence familiale dans laquelle se trouvaient des personnes. Un des chefs d’accusation porté contre lui était d’avoir </w:t>
            </w:r>
            <w:r w:rsidRPr="00B3149D">
              <w:rPr>
                <w:rFonts w:eastAsia="Times New Roman" w:cs="Times New Roman"/>
                <w:sz w:val="20"/>
                <w:szCs w:val="20"/>
                <w:lang w:val="fr-FR" w:eastAsia="en-CA"/>
              </w:rPr>
              <w:t>déchargé intentionnellement une arme à feu en direction d’un lieu, sachant qu’il s’y trouve une personne ou sans se soucier qu’il s’y trouve ou non une personne, en vertu de l’al.</w:t>
            </w:r>
            <w:r w:rsidRPr="00B3149D">
              <w:rPr>
                <w:rFonts w:eastAsia="Times New Roman" w:cs="Times New Roman"/>
                <w:sz w:val="20"/>
                <w:szCs w:val="20"/>
                <w:lang w:val="fr-CA" w:eastAsia="en-CA"/>
              </w:rPr>
              <w:t xml:space="preserve"> 244.2(1)a) du </w:t>
            </w:r>
            <w:r w:rsidRPr="00B3149D">
              <w:rPr>
                <w:rFonts w:eastAsia="Times New Roman" w:cs="Times New Roman"/>
                <w:i/>
                <w:sz w:val="20"/>
                <w:szCs w:val="20"/>
                <w:lang w:val="fr-CA" w:eastAsia="en-CA"/>
              </w:rPr>
              <w:t>Code criminel</w:t>
            </w:r>
            <w:r w:rsidRPr="00B3149D">
              <w:rPr>
                <w:rFonts w:eastAsia="Times New Roman" w:cs="Times New Roman"/>
                <w:sz w:val="20"/>
                <w:szCs w:val="20"/>
                <w:lang w:val="fr-CA" w:eastAsia="en-CA"/>
              </w:rPr>
              <w:t xml:space="preserve">, qui comporte une peine minimale d’emprisonnement de quatre ans. M. Hills a fait valoir que la peine minimale en vertu de l’al. 244.2(3)b) du </w:t>
            </w:r>
            <w:r w:rsidRPr="00B3149D">
              <w:rPr>
                <w:rFonts w:eastAsia="Times New Roman" w:cs="Times New Roman"/>
                <w:i/>
                <w:sz w:val="20"/>
                <w:szCs w:val="20"/>
                <w:lang w:val="fr-CA" w:eastAsia="en-CA"/>
              </w:rPr>
              <w:t>Code criminel</w:t>
            </w:r>
            <w:r w:rsidRPr="00B3149D">
              <w:rPr>
                <w:rFonts w:eastAsia="Times New Roman" w:cs="Times New Roman"/>
                <w:sz w:val="20"/>
                <w:szCs w:val="20"/>
                <w:lang w:val="fr-CA" w:eastAsia="en-CA"/>
              </w:rPr>
              <w:t xml:space="preserve"> violait le droit </w:t>
            </w:r>
            <w:r w:rsidRPr="00B3149D">
              <w:rPr>
                <w:sz w:val="20"/>
                <w:szCs w:val="20"/>
                <w:lang w:val="fr-CA"/>
              </w:rPr>
              <w:t xml:space="preserve">constitutionnel à la protection contre tous traitements et peines cruels ou inusités en vertu de l’art. 12 de la </w:t>
            </w:r>
            <w:r w:rsidRPr="00B3149D">
              <w:rPr>
                <w:i/>
                <w:sz w:val="20"/>
                <w:szCs w:val="20"/>
                <w:lang w:val="fr-CA"/>
              </w:rPr>
              <w:t>Charte</w:t>
            </w:r>
            <w:r w:rsidRPr="00B3149D">
              <w:rPr>
                <w:sz w:val="20"/>
                <w:szCs w:val="20"/>
                <w:lang w:val="fr-CA"/>
              </w:rPr>
              <w:t>. Le juge de première instance a statué que la peine minimale obligatoire contrevenait à l’art</w:t>
            </w:r>
            <w:r w:rsidRPr="00B3149D">
              <w:rPr>
                <w:sz w:val="20"/>
                <w:szCs w:val="20"/>
                <w:shd w:val="clear" w:color="auto" w:fill="FFFFFF"/>
                <w:lang w:val="fr-CA"/>
              </w:rPr>
              <w:t xml:space="preserve">. 12 et ne pouvait être sauvegardée par l’article premier de la </w:t>
            </w:r>
            <w:r w:rsidRPr="00B3149D">
              <w:rPr>
                <w:i/>
                <w:sz w:val="20"/>
                <w:szCs w:val="20"/>
                <w:shd w:val="clear" w:color="auto" w:fill="FFFFFF"/>
                <w:lang w:val="fr-CA"/>
              </w:rPr>
              <w:t>Charte</w:t>
            </w:r>
            <w:r w:rsidRPr="00B3149D">
              <w:rPr>
                <w:sz w:val="20"/>
                <w:szCs w:val="20"/>
                <w:shd w:val="clear" w:color="auto" w:fill="FFFFFF"/>
                <w:lang w:val="fr-CA"/>
              </w:rPr>
              <w:t>. Par conséquent, il a déclaré que l’al. 244.2(3)b) du</w:t>
            </w:r>
            <w:r w:rsidRPr="00B3149D">
              <w:rPr>
                <w:i/>
                <w:sz w:val="20"/>
                <w:szCs w:val="20"/>
                <w:shd w:val="clear" w:color="auto" w:fill="FFFFFF"/>
                <w:lang w:val="fr-CA"/>
              </w:rPr>
              <w:t xml:space="preserve"> Code criminel</w:t>
            </w:r>
            <w:r w:rsidRPr="00B3149D">
              <w:rPr>
                <w:sz w:val="20"/>
                <w:szCs w:val="20"/>
                <w:shd w:val="clear" w:color="auto" w:fill="FFFFFF"/>
                <w:lang w:val="fr-CA"/>
              </w:rPr>
              <w:t xml:space="preserve"> était inopérant. M. Hills a été condamné à une peine d’emprisonnement de trois ans et demi. La Cour d’appel de l’Alberta a infirmé la décision du juge de première instance voulant que la disposition soit inconstitutionnelle et a annulé la déclaration d’invalidité. L’</w:t>
            </w:r>
            <w:r w:rsidRPr="00B3149D">
              <w:rPr>
                <w:sz w:val="20"/>
                <w:szCs w:val="20"/>
                <w:lang w:val="fr-CA"/>
              </w:rPr>
              <w:t>appel de la peine imposée pour avoir</w:t>
            </w:r>
            <w:r w:rsidRPr="00B3149D">
              <w:rPr>
                <w:rFonts w:eastAsia="Times New Roman" w:cs="Times New Roman"/>
                <w:sz w:val="20"/>
                <w:szCs w:val="20"/>
                <w:lang w:val="fr-FR" w:eastAsia="en-CA"/>
              </w:rPr>
              <w:t xml:space="preserve"> </w:t>
            </w:r>
            <w:r w:rsidRPr="00B3149D">
              <w:rPr>
                <w:sz w:val="20"/>
                <w:szCs w:val="20"/>
                <w:lang w:val="fr-FR"/>
              </w:rPr>
              <w:t>déchargé intentionnellement une arme à feu a été accueilli et la peine de M.</w:t>
            </w:r>
            <w:r w:rsidRPr="00B3149D">
              <w:rPr>
                <w:sz w:val="20"/>
                <w:szCs w:val="20"/>
                <w:lang w:val="fr-CA"/>
              </w:rPr>
              <w:t> Hills a été augmentée à quatre ans.</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20 novembre 2018</w:t>
            </w:r>
          </w:p>
          <w:p w:rsidR="0082729A" w:rsidRPr="00B3149D" w:rsidRDefault="0082729A" w:rsidP="00B3166C">
            <w:pPr>
              <w:jc w:val="both"/>
              <w:rPr>
                <w:sz w:val="20"/>
                <w:szCs w:val="20"/>
                <w:lang w:val="fr-CA"/>
              </w:rPr>
            </w:pPr>
            <w:r w:rsidRPr="00B3149D">
              <w:rPr>
                <w:sz w:val="20"/>
                <w:szCs w:val="20"/>
                <w:lang w:val="fr-CA"/>
              </w:rPr>
              <w:t>Cour du Banc de la Reine de l’Alberta</w:t>
            </w:r>
          </w:p>
          <w:p w:rsidR="0082729A" w:rsidRPr="00B3149D" w:rsidRDefault="0082729A" w:rsidP="00B3166C">
            <w:pPr>
              <w:jc w:val="both"/>
              <w:rPr>
                <w:sz w:val="20"/>
                <w:szCs w:val="20"/>
                <w:lang w:val="fr-CA"/>
              </w:rPr>
            </w:pPr>
            <w:r w:rsidRPr="00B3149D">
              <w:rPr>
                <w:sz w:val="20"/>
                <w:szCs w:val="20"/>
                <w:lang w:val="fr-CA"/>
              </w:rPr>
              <w:t>(Juge Jerke)</w:t>
            </w:r>
          </w:p>
          <w:p w:rsidR="0082729A" w:rsidRPr="00B3149D" w:rsidRDefault="00E51866" w:rsidP="00B3166C">
            <w:pPr>
              <w:jc w:val="both"/>
              <w:rPr>
                <w:sz w:val="20"/>
                <w:szCs w:val="20"/>
                <w:lang w:val="fr-CA"/>
              </w:rPr>
            </w:pPr>
            <w:hyperlink r:id="rId46" w:history="1">
              <w:r w:rsidR="0082729A" w:rsidRPr="00B3149D">
                <w:rPr>
                  <w:rStyle w:val="Hyperlink"/>
                  <w:sz w:val="20"/>
                  <w:szCs w:val="20"/>
                  <w:lang w:val="fr-CA"/>
                </w:rPr>
                <w:t>2018 ABQB 945</w:t>
              </w:r>
            </w:hyperlink>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Conclusion d’invalidité constitutionnelle de l’al. 244.2(3)b) du</w:t>
            </w:r>
            <w:r w:rsidRPr="00B3149D">
              <w:rPr>
                <w:i/>
                <w:sz w:val="20"/>
                <w:szCs w:val="20"/>
                <w:lang w:val="fr-CA"/>
              </w:rPr>
              <w:t xml:space="preserve"> Code criminel</w:t>
            </w:r>
            <w:r w:rsidRPr="00B3149D">
              <w:rPr>
                <w:sz w:val="20"/>
                <w:szCs w:val="20"/>
                <w:lang w:val="fr-CA"/>
              </w:rPr>
              <w:t>.</w:t>
            </w:r>
          </w:p>
          <w:p w:rsidR="0082729A" w:rsidRPr="00B3149D" w:rsidRDefault="0082729A"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lastRenderedPageBreak/>
              <w:t>8 février 2019</w:t>
            </w:r>
          </w:p>
          <w:p w:rsidR="0082729A" w:rsidRPr="00B3149D" w:rsidRDefault="0082729A" w:rsidP="00B3166C">
            <w:pPr>
              <w:jc w:val="both"/>
              <w:rPr>
                <w:sz w:val="20"/>
                <w:szCs w:val="20"/>
                <w:lang w:val="fr-CA"/>
              </w:rPr>
            </w:pPr>
            <w:r w:rsidRPr="00B3149D">
              <w:rPr>
                <w:sz w:val="20"/>
                <w:szCs w:val="20"/>
                <w:lang w:val="fr-CA"/>
              </w:rPr>
              <w:t>Cour du Banc de la Reine de l’Alberta</w:t>
            </w:r>
          </w:p>
          <w:p w:rsidR="0082729A" w:rsidRPr="00B3149D" w:rsidRDefault="0082729A" w:rsidP="00B3166C">
            <w:pPr>
              <w:jc w:val="both"/>
              <w:rPr>
                <w:sz w:val="20"/>
                <w:szCs w:val="20"/>
                <w:lang w:val="fr-CA"/>
              </w:rPr>
            </w:pPr>
            <w:r w:rsidRPr="00B3149D">
              <w:rPr>
                <w:sz w:val="20"/>
                <w:szCs w:val="20"/>
                <w:lang w:val="fr-CA"/>
              </w:rPr>
              <w:t>(Juge Jerke)</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Peine d’emprisonnement de trois ans et demi imposée.</w:t>
            </w:r>
          </w:p>
        </w:tc>
      </w:tr>
      <w:tr w:rsidR="0082729A" w:rsidRPr="00B3149D" w:rsidTr="00B3166C">
        <w:tc>
          <w:tcPr>
            <w:tcW w:w="2427" w:type="pct"/>
          </w:tcPr>
          <w:p w:rsidR="0082729A" w:rsidRPr="00B3149D" w:rsidRDefault="0082729A" w:rsidP="00B3166C">
            <w:pPr>
              <w:jc w:val="both"/>
              <w:rPr>
                <w:sz w:val="20"/>
                <w:szCs w:val="20"/>
                <w:lang w:val="fr-CA"/>
              </w:rPr>
            </w:pPr>
            <w:r w:rsidRPr="00B3149D">
              <w:rPr>
                <w:sz w:val="20"/>
                <w:szCs w:val="20"/>
                <w:lang w:val="fr-CA"/>
              </w:rPr>
              <w:t>July 10, 2020</w:t>
            </w:r>
          </w:p>
          <w:p w:rsidR="0082729A" w:rsidRPr="00B3149D" w:rsidRDefault="0082729A" w:rsidP="00B3166C">
            <w:pPr>
              <w:jc w:val="both"/>
              <w:rPr>
                <w:sz w:val="20"/>
                <w:szCs w:val="20"/>
                <w:lang w:val="fr-CA"/>
              </w:rPr>
            </w:pPr>
            <w:r w:rsidRPr="00B3149D">
              <w:rPr>
                <w:sz w:val="20"/>
                <w:szCs w:val="20"/>
                <w:lang w:val="fr-CA"/>
              </w:rPr>
              <w:t>Cour d’appel de l’Alberta (Calgary)</w:t>
            </w:r>
          </w:p>
          <w:p w:rsidR="0082729A" w:rsidRPr="00B3149D" w:rsidRDefault="0082729A" w:rsidP="00B3166C">
            <w:pPr>
              <w:jc w:val="both"/>
              <w:rPr>
                <w:sz w:val="20"/>
                <w:szCs w:val="20"/>
                <w:lang w:val="fr-CA"/>
              </w:rPr>
            </w:pPr>
            <w:r w:rsidRPr="00B3149D">
              <w:rPr>
                <w:sz w:val="20"/>
                <w:szCs w:val="20"/>
                <w:lang w:val="fr-CA"/>
              </w:rPr>
              <w:t>(Juges O’Ferrall, Wakeling et Antonio)</w:t>
            </w:r>
          </w:p>
          <w:p w:rsidR="0082729A" w:rsidRPr="00B3149D" w:rsidRDefault="00E51866" w:rsidP="00B3166C">
            <w:pPr>
              <w:jc w:val="both"/>
              <w:rPr>
                <w:sz w:val="20"/>
                <w:szCs w:val="20"/>
                <w:lang w:val="fr-CA"/>
              </w:rPr>
            </w:pPr>
            <w:hyperlink r:id="rId47" w:history="1">
              <w:r w:rsidR="0082729A" w:rsidRPr="00B3149D">
                <w:rPr>
                  <w:rStyle w:val="Hyperlink"/>
                  <w:sz w:val="20"/>
                  <w:szCs w:val="20"/>
                  <w:lang w:val="fr-CA"/>
                </w:rPr>
                <w:t>2020 ABCA 263</w:t>
              </w:r>
            </w:hyperlink>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Appel de la peine imposée pour avoir déchargé une arme à feu accueilli et peine d’emprisonnement augmentée à quatre ans. Déclaration d’invalidité constitutionnelle annulée.</w:t>
            </w:r>
          </w:p>
          <w:p w:rsidR="0082729A" w:rsidRPr="00B3149D" w:rsidRDefault="0082729A" w:rsidP="00B3166C">
            <w:pPr>
              <w:jc w:val="both"/>
              <w:rPr>
                <w:sz w:val="20"/>
                <w:szCs w:val="20"/>
                <w:lang w:val="fr-CA"/>
              </w:rPr>
            </w:pPr>
          </w:p>
        </w:tc>
      </w:tr>
      <w:tr w:rsidR="0082729A" w:rsidRPr="00B3149D" w:rsidTr="00B3166C">
        <w:tc>
          <w:tcPr>
            <w:tcW w:w="2427" w:type="pct"/>
          </w:tcPr>
          <w:p w:rsidR="0082729A" w:rsidRPr="00B3149D" w:rsidRDefault="0082729A" w:rsidP="00B3166C">
            <w:pPr>
              <w:jc w:val="both"/>
              <w:rPr>
                <w:sz w:val="20"/>
                <w:szCs w:val="20"/>
                <w:lang w:val="fr-CA"/>
              </w:rPr>
            </w:pPr>
            <w:r w:rsidRPr="00B3149D">
              <w:rPr>
                <w:sz w:val="20"/>
                <w:szCs w:val="20"/>
                <w:lang w:val="fr-CA"/>
              </w:rPr>
              <w:t>29 septembre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Demande d’autorisation d’appel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55"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39328</w:t>
            </w: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Timothy Aaron Barth v. Leah Faye Barth</w:t>
            </w:r>
          </w:p>
          <w:p w:rsidR="0082729A" w:rsidRPr="00B3149D" w:rsidRDefault="0082729A" w:rsidP="00B3166C">
            <w:pPr>
              <w:jc w:val="both"/>
              <w:rPr>
                <w:sz w:val="20"/>
                <w:szCs w:val="20"/>
              </w:rPr>
            </w:pPr>
            <w:r w:rsidRPr="00B3149D">
              <w:rPr>
                <w:sz w:val="20"/>
                <w:szCs w:val="20"/>
              </w:rPr>
              <w:t>(Sask.) (Civil) (By Leave)</w:t>
            </w:r>
          </w:p>
        </w:tc>
      </w:tr>
      <w:tr w:rsidR="00B22DD4" w:rsidRPr="00B3149D" w:rsidTr="00B3166C">
        <w:tc>
          <w:tcPr>
            <w:tcW w:w="5000" w:type="pct"/>
            <w:gridSpan w:val="4"/>
          </w:tcPr>
          <w:p w:rsidR="005156E4" w:rsidRPr="00B3149D" w:rsidRDefault="005156E4" w:rsidP="005156E4">
            <w:pPr>
              <w:jc w:val="both"/>
              <w:rPr>
                <w:sz w:val="20"/>
                <w:szCs w:val="20"/>
              </w:rPr>
            </w:pPr>
            <w:r w:rsidRPr="00B3149D">
              <w:rPr>
                <w:sz w:val="20"/>
                <w:szCs w:val="20"/>
              </w:rPr>
              <w:t>The application for leave to appeal from the judgment of the Court of Appeal for Saskatchewan, Numbers CACV3556 and CACV3568, dated February 21, 2020, is dismissed without costs.</w:t>
            </w:r>
          </w:p>
          <w:p w:rsidR="00B22DD4" w:rsidRPr="00B3149D" w:rsidRDefault="00B22DD4"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Family law — Custody — Status of Persons — Child protection — Law of professions —Barristers and solicitors — Conflict of interest — Mother awarded interim sole custody of child in custody and child protection proceedings — Father challenging ability of wife’s law firm to represent her on basis of lack of proper signature on court documents and conflict of interest —What are the legal bases of a signature needing to be signed on a legal document at the time it is deemed to be in force? — Whether a party’s former lawyer in a related case, who is later represented by firm also representing opposing party, is in a conflict of interest.</w:t>
            </w:r>
          </w:p>
        </w:tc>
      </w:tr>
      <w:tr w:rsidR="0082729A" w:rsidRPr="00B3149D" w:rsidTr="00B3166C">
        <w:tc>
          <w:tcPr>
            <w:tcW w:w="5000" w:type="pct"/>
            <w:gridSpan w:val="4"/>
          </w:tcPr>
          <w:p w:rsidR="0082729A" w:rsidRPr="00B3149D" w:rsidRDefault="0082729A" w:rsidP="00B3166C">
            <w:pPr>
              <w:jc w:val="both"/>
              <w:rPr>
                <w:sz w:val="20"/>
                <w:szCs w:val="20"/>
              </w:rPr>
            </w:pPr>
          </w:p>
          <w:p w:rsidR="0082729A" w:rsidRPr="00B3149D" w:rsidRDefault="0082729A" w:rsidP="00B3166C">
            <w:pPr>
              <w:jc w:val="both"/>
              <w:rPr>
                <w:sz w:val="20"/>
                <w:szCs w:val="20"/>
              </w:rPr>
            </w:pPr>
            <w:r w:rsidRPr="00B3149D">
              <w:rPr>
                <w:sz w:val="20"/>
                <w:szCs w:val="20"/>
              </w:rPr>
              <w:t xml:space="preserve">The parties are the parents of a child who will be six years of age in 2021. In October 2017 there was an interim order of the court establishing a regime of joint and shared parenting between the parties. In 2019, the Ministry of Social Services, in child protection proceedings, obtained orders eventually placing the child in the custody of the mother, with supervised access for Mr. Barth and his girlfriend. Also in 2019, in previously filed custody proceedings, Mr. Barth filed a series of applications. A number of those matters, as well as Ms. Barth’s application, were dealt with by fiat on separate appearances by two different Chambers Judges. The First Chambers Judge dismissed Mr. Barth’s applications, including his application to have the law firm representing Ms. Barth barred from representing her. That Judge found it unnecessary to deal with Mr. Barth’s contempt application on the basis that it had been previously dismissed by another Judge. The Second Chambers Judge Adjourned both Ms. Barth’s custody application and the child protection matter. She also dismissed Mr. Barth’s application to quash an affidavit filed by the Minister. Mr. Barth’s appeals from the two fiats were quashed with the exception of the contempt issue in the First Appeal.  </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January 3, 2020</w:t>
            </w:r>
          </w:p>
          <w:p w:rsidR="0082729A" w:rsidRPr="00B3149D" w:rsidRDefault="0082729A" w:rsidP="00B3166C">
            <w:pPr>
              <w:jc w:val="both"/>
              <w:rPr>
                <w:sz w:val="20"/>
                <w:szCs w:val="20"/>
              </w:rPr>
            </w:pPr>
            <w:r w:rsidRPr="00B3149D">
              <w:rPr>
                <w:sz w:val="20"/>
                <w:szCs w:val="20"/>
              </w:rPr>
              <w:t>Court of Queen’s Bench for Saskatchewan</w:t>
            </w:r>
          </w:p>
          <w:p w:rsidR="0082729A" w:rsidRPr="00B3149D" w:rsidRDefault="0082729A" w:rsidP="00B3166C">
            <w:pPr>
              <w:jc w:val="both"/>
              <w:rPr>
                <w:sz w:val="20"/>
                <w:szCs w:val="20"/>
              </w:rPr>
            </w:pPr>
            <w:r w:rsidRPr="00B3149D">
              <w:rPr>
                <w:sz w:val="20"/>
                <w:szCs w:val="20"/>
              </w:rPr>
              <w:t>Unreported</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Chambers Judge’s fiat dismissing several of applicant’s applications and granting his applications for access to certain documents</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January 20, 2020</w:t>
            </w:r>
          </w:p>
          <w:p w:rsidR="0082729A" w:rsidRPr="00B3149D" w:rsidRDefault="0082729A" w:rsidP="00B3166C">
            <w:pPr>
              <w:jc w:val="both"/>
              <w:rPr>
                <w:sz w:val="20"/>
                <w:szCs w:val="20"/>
              </w:rPr>
            </w:pPr>
            <w:r w:rsidRPr="00B3149D">
              <w:rPr>
                <w:sz w:val="20"/>
                <w:szCs w:val="20"/>
              </w:rPr>
              <w:t>Court of Queen’s Bench for Saskatchewan</w:t>
            </w:r>
          </w:p>
          <w:p w:rsidR="0082729A" w:rsidRPr="00B3149D" w:rsidRDefault="0082729A" w:rsidP="00B3166C">
            <w:pPr>
              <w:jc w:val="both"/>
              <w:rPr>
                <w:sz w:val="20"/>
                <w:szCs w:val="20"/>
              </w:rPr>
            </w:pPr>
            <w:r w:rsidRPr="00B3149D">
              <w:rPr>
                <w:sz w:val="20"/>
                <w:szCs w:val="20"/>
              </w:rPr>
              <w:t>(Crooks J.)</w:t>
            </w:r>
          </w:p>
          <w:p w:rsidR="0082729A" w:rsidRPr="00B3149D" w:rsidRDefault="0082729A" w:rsidP="00B3166C">
            <w:pPr>
              <w:jc w:val="both"/>
              <w:rPr>
                <w:sz w:val="20"/>
                <w:szCs w:val="20"/>
              </w:rPr>
            </w:pPr>
            <w:r w:rsidRPr="00B3149D">
              <w:rPr>
                <w:sz w:val="20"/>
                <w:szCs w:val="20"/>
              </w:rPr>
              <w:t>Unreported</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Chambers Judge’s fiat adjourning mother’s application to vary interim custody award and Minister’s child protection application; Father’s application to quash Minister’s witness’s affidavit quashed</w:t>
            </w:r>
          </w:p>
          <w:p w:rsidR="0082729A" w:rsidRPr="00B3149D" w:rsidRDefault="0082729A" w:rsidP="00B3166C">
            <w:pPr>
              <w:jc w:val="both"/>
              <w:rPr>
                <w:sz w:val="20"/>
                <w:szCs w:val="20"/>
              </w:rPr>
            </w:pPr>
          </w:p>
        </w:tc>
      </w:tr>
    </w:tbl>
    <w:p w:rsidR="00D84797" w:rsidRPr="00B3149D" w:rsidRDefault="00D84797">
      <w:r w:rsidRPr="00B314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B3149D" w:rsidTr="00B3166C">
        <w:tc>
          <w:tcPr>
            <w:tcW w:w="2427" w:type="pct"/>
          </w:tcPr>
          <w:p w:rsidR="0082729A" w:rsidRPr="00B3149D" w:rsidRDefault="0082729A" w:rsidP="00B3166C">
            <w:pPr>
              <w:jc w:val="both"/>
              <w:rPr>
                <w:sz w:val="20"/>
                <w:szCs w:val="20"/>
              </w:rPr>
            </w:pPr>
            <w:r w:rsidRPr="00B3149D">
              <w:rPr>
                <w:sz w:val="20"/>
                <w:szCs w:val="20"/>
              </w:rPr>
              <w:lastRenderedPageBreak/>
              <w:t>February 21, 2020</w:t>
            </w:r>
          </w:p>
          <w:p w:rsidR="0082729A" w:rsidRPr="00B3149D" w:rsidRDefault="0082729A" w:rsidP="00B3166C">
            <w:pPr>
              <w:jc w:val="both"/>
              <w:rPr>
                <w:sz w:val="20"/>
                <w:szCs w:val="20"/>
              </w:rPr>
            </w:pPr>
            <w:r w:rsidRPr="00B3149D">
              <w:rPr>
                <w:sz w:val="20"/>
                <w:szCs w:val="20"/>
              </w:rPr>
              <w:t>Court of Appeal for Saskatchewan</w:t>
            </w:r>
          </w:p>
          <w:p w:rsidR="0082729A" w:rsidRPr="00B3149D" w:rsidRDefault="0082729A" w:rsidP="00B3166C">
            <w:pPr>
              <w:jc w:val="both"/>
              <w:rPr>
                <w:sz w:val="20"/>
                <w:szCs w:val="20"/>
              </w:rPr>
            </w:pPr>
            <w:r w:rsidRPr="00B3149D">
              <w:rPr>
                <w:sz w:val="20"/>
                <w:szCs w:val="20"/>
              </w:rPr>
              <w:t xml:space="preserve">(Richards, Ottenbreit and Barrington-Foote </w:t>
            </w:r>
          </w:p>
          <w:p w:rsidR="0082729A" w:rsidRPr="00B3149D" w:rsidRDefault="0082729A" w:rsidP="00B3166C">
            <w:pPr>
              <w:jc w:val="both"/>
              <w:rPr>
                <w:sz w:val="20"/>
                <w:szCs w:val="20"/>
              </w:rPr>
            </w:pPr>
            <w:r w:rsidRPr="00B3149D">
              <w:rPr>
                <w:sz w:val="20"/>
                <w:szCs w:val="20"/>
              </w:rPr>
              <w:t>JJ.A.)</w:t>
            </w:r>
          </w:p>
          <w:p w:rsidR="0082729A" w:rsidRPr="00B3149D" w:rsidRDefault="0082729A" w:rsidP="00B3166C">
            <w:pPr>
              <w:jc w:val="both"/>
              <w:rPr>
                <w:sz w:val="20"/>
                <w:szCs w:val="20"/>
              </w:rPr>
            </w:pPr>
            <w:r w:rsidRPr="00B3149D">
              <w:rPr>
                <w:sz w:val="20"/>
                <w:szCs w:val="20"/>
              </w:rPr>
              <w:t>Unreported</w:t>
            </w:r>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Applicant’s appeals from two fiats issued by Court of Queen’s Bench pertaining to numerous applications quashed, with the exception of applicant’s contempt application.</w:t>
            </w:r>
          </w:p>
          <w:p w:rsidR="0082729A" w:rsidRPr="00B3149D" w:rsidRDefault="0082729A" w:rsidP="00B3166C">
            <w:pPr>
              <w:jc w:val="both"/>
              <w:rPr>
                <w:sz w:val="20"/>
                <w:szCs w:val="20"/>
              </w:rPr>
            </w:pPr>
          </w:p>
        </w:tc>
      </w:tr>
      <w:tr w:rsidR="0082729A" w:rsidRPr="00B3149D" w:rsidTr="00B3166C">
        <w:tc>
          <w:tcPr>
            <w:tcW w:w="2427" w:type="pct"/>
          </w:tcPr>
          <w:p w:rsidR="0082729A" w:rsidRPr="00B3149D" w:rsidRDefault="0082729A" w:rsidP="00B3166C">
            <w:pPr>
              <w:jc w:val="both"/>
              <w:rPr>
                <w:sz w:val="20"/>
                <w:szCs w:val="20"/>
              </w:rPr>
            </w:pPr>
            <w:r w:rsidRPr="00B3149D">
              <w:rPr>
                <w:sz w:val="20"/>
                <w:szCs w:val="20"/>
              </w:rPr>
              <w:t>April 20,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56"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t>39328</w:t>
            </w: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Timothy Aaron Barth c. Leah Faye Barth</w:t>
            </w:r>
          </w:p>
          <w:p w:rsidR="0082729A" w:rsidRPr="00B3149D" w:rsidRDefault="0082729A" w:rsidP="00B3166C">
            <w:pPr>
              <w:jc w:val="both"/>
              <w:rPr>
                <w:sz w:val="20"/>
                <w:szCs w:val="20"/>
                <w:lang w:val="fr-CA"/>
              </w:rPr>
            </w:pPr>
            <w:r w:rsidRPr="00B3149D">
              <w:rPr>
                <w:sz w:val="20"/>
                <w:szCs w:val="20"/>
                <w:lang w:val="fr-CA"/>
              </w:rPr>
              <w:t>(Sask.) (Civile) (Sur autorisation)</w:t>
            </w:r>
          </w:p>
        </w:tc>
      </w:tr>
      <w:tr w:rsidR="00B22DD4" w:rsidRPr="009873D4" w:rsidTr="00B3166C">
        <w:tc>
          <w:tcPr>
            <w:tcW w:w="5000" w:type="pct"/>
            <w:gridSpan w:val="4"/>
          </w:tcPr>
          <w:p w:rsidR="00B22DD4" w:rsidRPr="00B3149D" w:rsidRDefault="005156E4" w:rsidP="00B3166C">
            <w:pPr>
              <w:jc w:val="both"/>
              <w:rPr>
                <w:sz w:val="20"/>
                <w:szCs w:val="20"/>
                <w:lang w:val="fr-CA"/>
              </w:rPr>
            </w:pPr>
            <w:r w:rsidRPr="00B3149D">
              <w:rPr>
                <w:sz w:val="20"/>
                <w:szCs w:val="20"/>
                <w:lang w:val="fr-CA"/>
              </w:rPr>
              <w:t>La demande d’autorisation d’appel de l’arrêt de la Cour d’appel de la Saskatchewan, numéros CACV3556 et CACV3568, daté du 21 février 2020, est rejetée sans dépens.</w:t>
            </w:r>
          </w:p>
          <w:p w:rsidR="005156E4" w:rsidRPr="00B3149D" w:rsidRDefault="005156E4" w:rsidP="00B3166C">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Droit de la famille — Garde — Droit des personnes — Protection de l’enfance — Droit des professions — Avocats et procureurs — Conflit d’intérêts — La mère s’est vu accorder la garde exclusive provisoire de l’enfant à l’issue d’instances relatives à la garde et à la protection de l’enfant — Le père conteste la capacité du cabinet d’avocats de l’épouse de la représenter au motif que des documents judiciaires n’ont pas été dûment signés et qu’il y a un conflit d’intérêts — Quels sont les fondements juridiques d’une signature qui doit être apposée sur un document juridique au moment où il est tenu pour être en vigueur ? — L’ancien avocat d’une partie dans une cause connexe, qui est plus tard représenté par le cabinet d’avocats qui représente aussi la partie adverse se trouve</w:t>
            </w:r>
            <w:r w:rsidRPr="00B3149D">
              <w:rPr>
                <w:sz w:val="20"/>
                <w:szCs w:val="20"/>
                <w:lang w:val="fr-CA"/>
              </w:rPr>
              <w:noBreakHyphen/>
              <w:t>t</w:t>
            </w:r>
            <w:r w:rsidRPr="00B3149D">
              <w:rPr>
                <w:sz w:val="20"/>
                <w:szCs w:val="20"/>
                <w:lang w:val="fr-CA"/>
              </w:rPr>
              <w:noBreakHyphen/>
              <w:t>il en situation de conflit d’intérêts ?</w:t>
            </w:r>
          </w:p>
        </w:tc>
      </w:tr>
      <w:tr w:rsidR="0082729A" w:rsidRPr="009873D4" w:rsidTr="00B3166C">
        <w:tc>
          <w:tcPr>
            <w:tcW w:w="5000" w:type="pct"/>
            <w:gridSpan w:val="4"/>
          </w:tcPr>
          <w:p w:rsidR="0082729A" w:rsidRPr="00B3149D" w:rsidRDefault="0082729A" w:rsidP="00B3166C">
            <w:pPr>
              <w:jc w:val="both"/>
              <w:rPr>
                <w:sz w:val="20"/>
                <w:szCs w:val="20"/>
                <w:lang w:val="fr-CA"/>
              </w:rPr>
            </w:pPr>
          </w:p>
          <w:p w:rsidR="0082729A" w:rsidRPr="00B3149D" w:rsidRDefault="0082729A" w:rsidP="00B3166C">
            <w:pPr>
              <w:jc w:val="both"/>
              <w:rPr>
                <w:sz w:val="20"/>
                <w:szCs w:val="20"/>
                <w:lang w:val="fr-CA"/>
              </w:rPr>
            </w:pPr>
            <w:r w:rsidRPr="00B3149D">
              <w:rPr>
                <w:sz w:val="20"/>
                <w:szCs w:val="20"/>
                <w:lang w:val="fr-CA"/>
              </w:rPr>
              <w:t xml:space="preserve">Les parties sont les parents d’un enfant qui aura six ans en 2021. En octobre 2017, le tribunal a rendu une ordonnance provisoire établissant un régime de garde partagée entre les parties. En 2019, le ministère des Services sociaux, dans le cadre d’une instance relative à la protection de l’enfant, a obtenu des ordonnances accordant éventuellement la garde de l’enfant à la mère, avec droit de visite surveillée pour M. Barth et sa petite amie. La même année, dans le cadre d’une instance sur la garde précédemment intentée, M. Barth a présenté une série de demandes. Bon nombre de ces questions, ainsi que la demande de Mme Barth, ont été réglées par voie de décision judiciaire, lors de comparutions séparées, par deux différents juges en cabinet. Le premier juge a rejeté les demandes de M. Barth, notamment sa demande en vue d’empêcher le cabinet d’avocats qui représentait Mme Barth de la représenter. Ce même juge a conclu qu’il n’était pas nécessaire d’examiner la demande de M. Barth relative à l’action pour outrage au motif qu’elle avait été rejetée antérieurement par un autre juge. La deuxième juge en cabinet a ajourné la demande de garde de Mme Barth et l’affaire de protection de l’enfance. Elle a en outre rejeté la demande de M. Barth en vue d’annuler un affidavit déposé par le ministre. Les appels de M. Barth à l’égard des deux décisions judiciaires ont été annulés à l’exception de la question relative à l’action pour outrage dans le premier appel.  </w:t>
            </w:r>
          </w:p>
        </w:tc>
      </w:tr>
      <w:tr w:rsidR="0082729A" w:rsidRPr="009873D4" w:rsidTr="00B3166C">
        <w:tc>
          <w:tcPr>
            <w:tcW w:w="5000" w:type="pct"/>
            <w:gridSpan w:val="4"/>
          </w:tcPr>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3 janvier 2020</w:t>
            </w:r>
          </w:p>
          <w:p w:rsidR="0082729A" w:rsidRPr="00B3149D" w:rsidRDefault="0082729A" w:rsidP="00B3166C">
            <w:pPr>
              <w:jc w:val="both"/>
              <w:rPr>
                <w:sz w:val="20"/>
                <w:szCs w:val="20"/>
                <w:lang w:val="fr-CA"/>
              </w:rPr>
            </w:pPr>
            <w:r w:rsidRPr="00B3149D">
              <w:rPr>
                <w:sz w:val="20"/>
                <w:szCs w:val="20"/>
                <w:lang w:val="fr-CA"/>
              </w:rPr>
              <w:t>Cour du Banc de la Reine de la Saskatchewan</w:t>
            </w:r>
          </w:p>
          <w:p w:rsidR="0082729A" w:rsidRPr="00B3149D" w:rsidRDefault="0082729A" w:rsidP="00B3166C">
            <w:pPr>
              <w:jc w:val="both"/>
              <w:rPr>
                <w:sz w:val="20"/>
                <w:szCs w:val="20"/>
                <w:lang w:val="fr-CA"/>
              </w:rPr>
            </w:pPr>
            <w:r w:rsidRPr="00B3149D">
              <w:rPr>
                <w:sz w:val="20"/>
                <w:szCs w:val="20"/>
                <w:lang w:val="fr-CA"/>
              </w:rPr>
              <w:t>Non publié</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décision judiciaire du juge en cabinet rejetant plusieurs des demandes du demandeur et accueillant ses demandes d’accès à certains documents.</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20 janvier 2020</w:t>
            </w:r>
          </w:p>
          <w:p w:rsidR="0082729A" w:rsidRPr="00B3149D" w:rsidRDefault="0082729A" w:rsidP="00B3166C">
            <w:pPr>
              <w:jc w:val="both"/>
              <w:rPr>
                <w:sz w:val="20"/>
                <w:szCs w:val="20"/>
                <w:lang w:val="fr-CA"/>
              </w:rPr>
            </w:pPr>
            <w:r w:rsidRPr="00B3149D">
              <w:rPr>
                <w:sz w:val="20"/>
                <w:szCs w:val="20"/>
                <w:lang w:val="fr-CA"/>
              </w:rPr>
              <w:t>Cour du Banc de la Reine de la Saskatchewan</w:t>
            </w:r>
          </w:p>
          <w:p w:rsidR="0082729A" w:rsidRPr="00B3149D" w:rsidRDefault="0082729A" w:rsidP="00B3166C">
            <w:pPr>
              <w:jc w:val="both"/>
              <w:rPr>
                <w:sz w:val="20"/>
                <w:szCs w:val="20"/>
                <w:lang w:val="fr-CA"/>
              </w:rPr>
            </w:pPr>
            <w:r w:rsidRPr="00B3149D">
              <w:rPr>
                <w:sz w:val="20"/>
                <w:szCs w:val="20"/>
                <w:lang w:val="fr-CA"/>
              </w:rPr>
              <w:t>(Juge Crooks)</w:t>
            </w:r>
          </w:p>
          <w:p w:rsidR="0082729A" w:rsidRPr="00B3149D" w:rsidRDefault="0082729A" w:rsidP="00B3166C">
            <w:pPr>
              <w:jc w:val="both"/>
              <w:rPr>
                <w:sz w:val="20"/>
                <w:szCs w:val="20"/>
                <w:lang w:val="fr-CA"/>
              </w:rPr>
            </w:pPr>
            <w:r w:rsidRPr="00B3149D">
              <w:rPr>
                <w:sz w:val="20"/>
                <w:szCs w:val="20"/>
                <w:lang w:val="fr-CA"/>
              </w:rPr>
              <w:t>Non publié</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décision judiciaire de la juge en cabinet ajournant la demande de la mère en modification de l’ordonnance de garde provisoire et la demande de protection de l’enfance du ministre est rendue; la demande du père en annulation de l’affidavit d’un témoin présenté par le ministre est annulée.</w:t>
            </w:r>
          </w:p>
          <w:p w:rsidR="0082729A" w:rsidRPr="00B3149D" w:rsidRDefault="0082729A" w:rsidP="00B3166C">
            <w:pPr>
              <w:jc w:val="both"/>
              <w:rPr>
                <w:sz w:val="20"/>
                <w:szCs w:val="20"/>
                <w:lang w:val="fr-CA"/>
              </w:rPr>
            </w:pPr>
          </w:p>
        </w:tc>
      </w:tr>
    </w:tbl>
    <w:p w:rsidR="00D84797" w:rsidRPr="00B3149D" w:rsidRDefault="00D84797">
      <w:pPr>
        <w:rPr>
          <w:lang w:val="fr-CA"/>
        </w:rPr>
      </w:pPr>
      <w:r w:rsidRPr="00B314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729A" w:rsidRPr="009873D4" w:rsidTr="00B3166C">
        <w:tc>
          <w:tcPr>
            <w:tcW w:w="2427" w:type="pct"/>
          </w:tcPr>
          <w:p w:rsidR="0082729A" w:rsidRPr="00B3149D" w:rsidRDefault="0082729A" w:rsidP="00B3166C">
            <w:pPr>
              <w:jc w:val="both"/>
              <w:rPr>
                <w:sz w:val="20"/>
                <w:szCs w:val="20"/>
                <w:lang w:val="fr-CA"/>
              </w:rPr>
            </w:pPr>
            <w:r w:rsidRPr="00B3149D">
              <w:rPr>
                <w:sz w:val="20"/>
                <w:szCs w:val="20"/>
                <w:lang w:val="fr-CA"/>
              </w:rPr>
              <w:lastRenderedPageBreak/>
              <w:t>21 février 2020</w:t>
            </w:r>
          </w:p>
          <w:p w:rsidR="0082729A" w:rsidRPr="00B3149D" w:rsidRDefault="0082729A" w:rsidP="00B3166C">
            <w:pPr>
              <w:jc w:val="both"/>
              <w:rPr>
                <w:sz w:val="20"/>
                <w:szCs w:val="20"/>
                <w:lang w:val="fr-CA"/>
              </w:rPr>
            </w:pPr>
            <w:r w:rsidRPr="00B3149D">
              <w:rPr>
                <w:sz w:val="20"/>
                <w:szCs w:val="20"/>
                <w:lang w:val="fr-CA"/>
              </w:rPr>
              <w:t>Cour d’appel de la Saskatchewan</w:t>
            </w:r>
          </w:p>
          <w:p w:rsidR="0082729A" w:rsidRPr="00B3149D" w:rsidRDefault="0082729A" w:rsidP="00B3166C">
            <w:pPr>
              <w:jc w:val="both"/>
              <w:rPr>
                <w:sz w:val="20"/>
                <w:szCs w:val="20"/>
                <w:lang w:val="fr-CA"/>
              </w:rPr>
            </w:pPr>
            <w:r w:rsidRPr="00B3149D">
              <w:rPr>
                <w:sz w:val="20"/>
                <w:szCs w:val="20"/>
                <w:lang w:val="fr-CA"/>
              </w:rPr>
              <w:t>(Juges Richards, Ottenbreit et Barrington</w:t>
            </w:r>
            <w:r w:rsidRPr="00B3149D">
              <w:rPr>
                <w:sz w:val="20"/>
                <w:szCs w:val="20"/>
                <w:lang w:val="fr-CA"/>
              </w:rPr>
              <w:noBreakHyphen/>
              <w:t>Foote)</w:t>
            </w:r>
          </w:p>
          <w:p w:rsidR="0082729A" w:rsidRPr="00B3149D" w:rsidRDefault="0082729A" w:rsidP="00B3166C">
            <w:pPr>
              <w:jc w:val="both"/>
              <w:rPr>
                <w:sz w:val="20"/>
                <w:szCs w:val="20"/>
                <w:lang w:val="fr-CA"/>
              </w:rPr>
            </w:pPr>
            <w:r w:rsidRPr="00B3149D">
              <w:rPr>
                <w:sz w:val="20"/>
                <w:szCs w:val="20"/>
                <w:lang w:val="fr-CA"/>
              </w:rPr>
              <w:t>Non publié</w:t>
            </w:r>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Les appels du demandeur à l’égard des deux décisions judiciaires rendues par la Cour du Banc de la Reine portant sur de nombreuses demandes sont annulés, à l’exception de la demande relative à l’action pour outrage présentée par le demandeur.</w:t>
            </w:r>
          </w:p>
          <w:p w:rsidR="0082729A" w:rsidRPr="00B3149D" w:rsidRDefault="0082729A" w:rsidP="00B3166C">
            <w:pPr>
              <w:jc w:val="both"/>
              <w:rPr>
                <w:sz w:val="20"/>
                <w:szCs w:val="20"/>
                <w:lang w:val="fr-CA"/>
              </w:rPr>
            </w:pPr>
          </w:p>
        </w:tc>
      </w:tr>
      <w:tr w:rsidR="0082729A" w:rsidRPr="00B3149D" w:rsidTr="00B3166C">
        <w:tc>
          <w:tcPr>
            <w:tcW w:w="2427" w:type="pct"/>
          </w:tcPr>
          <w:p w:rsidR="0082729A" w:rsidRPr="00B3149D" w:rsidRDefault="0082729A" w:rsidP="00B3166C">
            <w:pPr>
              <w:jc w:val="both"/>
              <w:rPr>
                <w:sz w:val="20"/>
                <w:szCs w:val="20"/>
                <w:lang w:val="fr-CA"/>
              </w:rPr>
            </w:pPr>
            <w:r w:rsidRPr="00B3149D">
              <w:rPr>
                <w:sz w:val="20"/>
                <w:szCs w:val="20"/>
                <w:lang w:val="fr-CA"/>
              </w:rPr>
              <w:t>20 avril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Demande d’autorisation d’appel présentée.</w:t>
            </w:r>
          </w:p>
          <w:p w:rsidR="0082729A" w:rsidRPr="00B3149D" w:rsidRDefault="0082729A" w:rsidP="00B3166C">
            <w:pPr>
              <w:jc w:val="both"/>
              <w:rPr>
                <w:sz w:val="20"/>
                <w:szCs w:val="20"/>
                <w:lang w:val="fr-CA"/>
              </w:rPr>
            </w:pPr>
          </w:p>
        </w:tc>
      </w:tr>
    </w:tbl>
    <w:p w:rsidR="0082729A" w:rsidRPr="00B3149D" w:rsidRDefault="0082729A" w:rsidP="0082729A">
      <w:pPr>
        <w:jc w:val="both"/>
        <w:rPr>
          <w:sz w:val="20"/>
          <w:lang w:val="fr-CA"/>
        </w:rPr>
      </w:pPr>
    </w:p>
    <w:p w:rsidR="0082729A" w:rsidRPr="00B3149D" w:rsidRDefault="00E51866" w:rsidP="0082729A">
      <w:pPr>
        <w:jc w:val="both"/>
        <w:rPr>
          <w:sz w:val="20"/>
          <w:szCs w:val="20"/>
          <w:lang w:val="fr-CA"/>
        </w:rPr>
      </w:pPr>
      <w:r>
        <w:rPr>
          <w:sz w:val="20"/>
        </w:rPr>
        <w:pict>
          <v:rect id="_x0000_i1057" style="width:2in;height:1pt" o:hrpct="0" o:hralign="center" o:hrstd="t" o:hrnoshade="t" o:hr="t" fillcolor="black [3213]" stroked="f"/>
        </w:pict>
      </w:r>
    </w:p>
    <w:p w:rsidR="0082729A" w:rsidRPr="00B3149D" w:rsidRDefault="0082729A" w:rsidP="0082729A">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B3149D" w:rsidTr="00B3166C">
        <w:tc>
          <w:tcPr>
            <w:tcW w:w="543" w:type="pct"/>
          </w:tcPr>
          <w:p w:rsidR="0082729A" w:rsidRPr="00B3149D" w:rsidRDefault="0082729A" w:rsidP="00B3166C">
            <w:pPr>
              <w:jc w:val="both"/>
              <w:rPr>
                <w:sz w:val="20"/>
                <w:szCs w:val="20"/>
              </w:rPr>
            </w:pPr>
            <w:r w:rsidRPr="00B3149D">
              <w:rPr>
                <w:rStyle w:val="SCCFileNumberChar"/>
                <w:sz w:val="20"/>
                <w:szCs w:val="20"/>
              </w:rPr>
              <w:t>39368</w:t>
            </w:r>
          </w:p>
        </w:tc>
        <w:tc>
          <w:tcPr>
            <w:tcW w:w="4457" w:type="pct"/>
            <w:gridSpan w:val="3"/>
          </w:tcPr>
          <w:p w:rsidR="0082729A" w:rsidRPr="00B3149D" w:rsidRDefault="0082729A" w:rsidP="00B3166C">
            <w:pPr>
              <w:pStyle w:val="SCCLsocParty"/>
              <w:jc w:val="both"/>
              <w:rPr>
                <w:b/>
                <w:sz w:val="20"/>
                <w:szCs w:val="20"/>
                <w:lang w:val="en-US"/>
              </w:rPr>
            </w:pPr>
            <w:r w:rsidRPr="00B3149D">
              <w:rPr>
                <w:b/>
                <w:sz w:val="20"/>
                <w:szCs w:val="20"/>
                <w:lang w:val="en-US"/>
              </w:rPr>
              <w:t>Her Majesty the Queen v. Cameco Corporation</w:t>
            </w:r>
          </w:p>
          <w:p w:rsidR="0082729A" w:rsidRPr="00B3149D" w:rsidRDefault="0082729A" w:rsidP="00B3166C">
            <w:pPr>
              <w:jc w:val="both"/>
              <w:rPr>
                <w:sz w:val="20"/>
                <w:szCs w:val="20"/>
              </w:rPr>
            </w:pPr>
            <w:r w:rsidRPr="00B3149D">
              <w:rPr>
                <w:sz w:val="20"/>
                <w:szCs w:val="20"/>
              </w:rPr>
              <w:t>(F</w:t>
            </w:r>
            <w:r w:rsidRPr="00B3149D">
              <w:rPr>
                <w:sz w:val="20"/>
              </w:rPr>
              <w:t>.</w:t>
            </w:r>
            <w:r w:rsidRPr="00B3149D">
              <w:rPr>
                <w:sz w:val="20"/>
                <w:szCs w:val="20"/>
              </w:rPr>
              <w:t>C</w:t>
            </w:r>
            <w:r w:rsidRPr="00B3149D">
              <w:rPr>
                <w:sz w:val="20"/>
              </w:rPr>
              <w:t>.</w:t>
            </w:r>
            <w:r w:rsidRPr="00B3149D">
              <w:rPr>
                <w:sz w:val="20"/>
                <w:szCs w:val="20"/>
              </w:rPr>
              <w:t>) (Civil) (By Leave)</w:t>
            </w:r>
          </w:p>
        </w:tc>
      </w:tr>
      <w:tr w:rsidR="00B22DD4" w:rsidRPr="00B3149D" w:rsidTr="00B3166C">
        <w:tc>
          <w:tcPr>
            <w:tcW w:w="5000" w:type="pct"/>
            <w:gridSpan w:val="4"/>
          </w:tcPr>
          <w:p w:rsidR="00D84797" w:rsidRPr="00B3149D" w:rsidRDefault="00D84797" w:rsidP="00D84797">
            <w:pPr>
              <w:jc w:val="both"/>
              <w:rPr>
                <w:sz w:val="20"/>
                <w:szCs w:val="20"/>
              </w:rPr>
            </w:pPr>
            <w:r w:rsidRPr="00B3149D">
              <w:rPr>
                <w:sz w:val="20"/>
                <w:szCs w:val="20"/>
              </w:rPr>
              <w:t>The application for leave to appeal from the judgment of the Federal Court of Appeal, Numbers A-349-18 and A-193-19, 2020 FCA 112, dated June 26, 2020, is dismissed with costs.</w:t>
            </w:r>
          </w:p>
          <w:p w:rsidR="00D84797" w:rsidRPr="00B3149D" w:rsidRDefault="00D84797" w:rsidP="00D84797">
            <w:pPr>
              <w:jc w:val="both"/>
              <w:rPr>
                <w:sz w:val="20"/>
                <w:szCs w:val="20"/>
              </w:rPr>
            </w:pPr>
          </w:p>
          <w:p w:rsidR="00D84797" w:rsidRPr="00B3149D" w:rsidRDefault="00D84797" w:rsidP="00D84797">
            <w:pPr>
              <w:jc w:val="both"/>
              <w:rPr>
                <w:sz w:val="20"/>
                <w:szCs w:val="20"/>
              </w:rPr>
            </w:pPr>
            <w:r w:rsidRPr="00B3149D">
              <w:rPr>
                <w:sz w:val="20"/>
                <w:szCs w:val="20"/>
              </w:rPr>
              <w:t>Rowe J. took no part in the judgment.</w:t>
            </w:r>
          </w:p>
          <w:p w:rsidR="00B22DD4" w:rsidRPr="00B3149D" w:rsidRDefault="00B22DD4" w:rsidP="00D84797">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rPr>
              <w:t>Taxation — Corporate taxation — Assessments — Foreign Subsidiaries — Transfer pricing adjustment — What is the correct articulation of the transfer pricing regime which remains consistent with the internationally accepted arm’s length standard?</w:t>
            </w:r>
          </w:p>
          <w:p w:rsidR="0082729A" w:rsidRPr="00B3149D" w:rsidRDefault="0082729A" w:rsidP="00B3166C">
            <w:pPr>
              <w:jc w:val="both"/>
              <w:rPr>
                <w:sz w:val="20"/>
                <w:szCs w:val="20"/>
              </w:rPr>
            </w:pPr>
          </w:p>
        </w:tc>
      </w:tr>
      <w:tr w:rsidR="0082729A" w:rsidRPr="00B3149D" w:rsidTr="00B3166C">
        <w:tc>
          <w:tcPr>
            <w:tcW w:w="5000" w:type="pct"/>
            <w:gridSpan w:val="4"/>
          </w:tcPr>
          <w:p w:rsidR="0082729A" w:rsidRPr="00B3149D" w:rsidRDefault="0082729A" w:rsidP="00B3166C">
            <w:pPr>
              <w:jc w:val="both"/>
              <w:rPr>
                <w:sz w:val="20"/>
                <w:szCs w:val="20"/>
              </w:rPr>
            </w:pPr>
            <w:r w:rsidRPr="00B3149D">
              <w:rPr>
                <w:sz w:val="20"/>
                <w:szCs w:val="20"/>
                <w:lang w:val="en"/>
              </w:rPr>
              <w:t xml:space="preserve">Cameco Corporation, together with its subsidiaries, is a large uranium producer and supplier of the services that convert one form of uranium into another form. Cameco has facilities in Saskatchewan and Ontario along with subsidiaries which own assets in the United States. </w:t>
            </w:r>
            <w:r w:rsidRPr="00B3149D">
              <w:rPr>
                <w:sz w:val="20"/>
                <w:szCs w:val="20"/>
              </w:rPr>
              <w:t xml:space="preserve">In 1999, a subsidiary of Cameco, </w:t>
            </w:r>
            <w:r w:rsidRPr="00B3149D">
              <w:rPr>
                <w:sz w:val="20"/>
                <w:szCs w:val="20"/>
                <w:lang w:val="en"/>
              </w:rPr>
              <w:t xml:space="preserve">Cameco Europe S.A. (CESA), and other companies purchased Russian uranium that was formerly used in its nuclear arsenal. The uranium was provided for sale through a Russian state-owned company “Techsnabexport” (Tenex). Later in 1999, CESA entered into an agreement with Urenco Limited (Urenco) (a uranium enricher) and three of its subsidiaries to purchase uranium that Urenco would be receiving from Tenex. Cameco formed another subsidiary in Switzerland which changed its name in 2001 to Cameco Europe AG (SA, Ltd) (CEL). In 2002, CESA transferred its business to CEL. The profits realized by CEL from buying uranium from Tenex, Urenco, and Cameco and then selling it were substantial. </w:t>
            </w:r>
            <w:r w:rsidRPr="00B3149D">
              <w:rPr>
                <w:sz w:val="20"/>
                <w:szCs w:val="20"/>
              </w:rPr>
              <w:t>The Minister of National Revenue reassessed Cameco’s income for the taxation years 2003, 2005, and 2006. The Minister added more than $480 million for those taxation years due to transfer pricing adjustments. Cameco appealed the reassessment to the Tax Court of Canada who referred the reassessments back to the Minister for reconsideration. The Minister’s subsequent appeal was dismissed.</w:t>
            </w:r>
          </w:p>
        </w:tc>
      </w:tr>
      <w:tr w:rsidR="0082729A" w:rsidRPr="00B3149D" w:rsidTr="00B3166C">
        <w:tc>
          <w:tcPr>
            <w:tcW w:w="5000" w:type="pct"/>
            <w:gridSpan w:val="4"/>
          </w:tcPr>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September 26, 2018</w:t>
            </w:r>
          </w:p>
          <w:p w:rsidR="0082729A" w:rsidRPr="00B3149D" w:rsidRDefault="0082729A" w:rsidP="00B3166C">
            <w:pPr>
              <w:jc w:val="both"/>
              <w:rPr>
                <w:sz w:val="20"/>
                <w:szCs w:val="20"/>
              </w:rPr>
            </w:pPr>
            <w:r w:rsidRPr="00B3149D">
              <w:rPr>
                <w:sz w:val="20"/>
                <w:szCs w:val="20"/>
              </w:rPr>
              <w:t>Tax Court of Canada</w:t>
            </w:r>
          </w:p>
          <w:p w:rsidR="0082729A" w:rsidRPr="00B3149D" w:rsidRDefault="0082729A" w:rsidP="00B3166C">
            <w:pPr>
              <w:jc w:val="both"/>
              <w:rPr>
                <w:sz w:val="20"/>
                <w:szCs w:val="20"/>
              </w:rPr>
            </w:pPr>
            <w:r w:rsidRPr="00B3149D">
              <w:rPr>
                <w:sz w:val="20"/>
                <w:szCs w:val="20"/>
              </w:rPr>
              <w:t>(Owen J.)</w:t>
            </w:r>
          </w:p>
          <w:p w:rsidR="0082729A" w:rsidRPr="00B3149D" w:rsidRDefault="00E51866" w:rsidP="00B3166C">
            <w:pPr>
              <w:jc w:val="both"/>
              <w:rPr>
                <w:sz w:val="20"/>
                <w:szCs w:val="20"/>
              </w:rPr>
            </w:pPr>
            <w:hyperlink r:id="rId48" w:history="1">
              <w:r w:rsidR="0082729A" w:rsidRPr="00B3149D">
                <w:rPr>
                  <w:rStyle w:val="Hyperlink"/>
                  <w:sz w:val="20"/>
                  <w:szCs w:val="20"/>
                </w:rPr>
                <w:t>2018 TCC 195</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from Minister of National Revenue’s Assessments allowed; Reassessments referred back to Minister for reconsideration.</w:t>
            </w: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June 26, 2020</w:t>
            </w:r>
          </w:p>
          <w:p w:rsidR="0082729A" w:rsidRPr="00B3149D" w:rsidRDefault="0082729A" w:rsidP="00B3166C">
            <w:pPr>
              <w:jc w:val="both"/>
              <w:rPr>
                <w:sz w:val="20"/>
                <w:szCs w:val="20"/>
              </w:rPr>
            </w:pPr>
            <w:r w:rsidRPr="00B3149D">
              <w:rPr>
                <w:sz w:val="20"/>
                <w:szCs w:val="20"/>
              </w:rPr>
              <w:t>Federal Court of Appeal</w:t>
            </w:r>
          </w:p>
          <w:p w:rsidR="0082729A" w:rsidRPr="00B3149D" w:rsidRDefault="0082729A" w:rsidP="00B3166C">
            <w:pPr>
              <w:jc w:val="both"/>
              <w:rPr>
                <w:sz w:val="20"/>
                <w:szCs w:val="20"/>
              </w:rPr>
            </w:pPr>
            <w:r w:rsidRPr="00B3149D">
              <w:rPr>
                <w:sz w:val="20"/>
                <w:szCs w:val="20"/>
              </w:rPr>
              <w:t>(Webb, Rennie, and Mactavish JJ.A.)</w:t>
            </w:r>
          </w:p>
          <w:p w:rsidR="0082729A" w:rsidRPr="00B3149D" w:rsidRDefault="00E51866" w:rsidP="00B3166C">
            <w:pPr>
              <w:jc w:val="both"/>
              <w:rPr>
                <w:sz w:val="20"/>
                <w:szCs w:val="20"/>
              </w:rPr>
            </w:pPr>
            <w:hyperlink r:id="rId49" w:history="1">
              <w:r w:rsidR="0082729A" w:rsidRPr="00B3149D">
                <w:rPr>
                  <w:rStyle w:val="Hyperlink"/>
                  <w:sz w:val="20"/>
                  <w:szCs w:val="20"/>
                </w:rPr>
                <w:t>2020 FCA 112</w:t>
              </w:r>
            </w:hyperlink>
          </w:p>
          <w:p w:rsidR="0082729A" w:rsidRPr="00B3149D" w:rsidRDefault="0082729A" w:rsidP="00B3166C">
            <w:pPr>
              <w:jc w:val="both"/>
              <w:rPr>
                <w:sz w:val="20"/>
                <w:szCs w:val="20"/>
              </w:rPr>
            </w:pP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Appeal dismissed.</w:t>
            </w:r>
          </w:p>
          <w:p w:rsidR="0082729A" w:rsidRPr="00B3149D" w:rsidRDefault="0082729A" w:rsidP="00B3166C">
            <w:pPr>
              <w:jc w:val="both"/>
              <w:rPr>
                <w:sz w:val="20"/>
                <w:szCs w:val="20"/>
              </w:rPr>
            </w:pPr>
          </w:p>
        </w:tc>
      </w:tr>
      <w:tr w:rsidR="0082729A" w:rsidRPr="00B3149D" w:rsidTr="00B3166C">
        <w:tc>
          <w:tcPr>
            <w:tcW w:w="2427" w:type="pct"/>
            <w:gridSpan w:val="2"/>
          </w:tcPr>
          <w:p w:rsidR="0082729A" w:rsidRPr="00B3149D" w:rsidRDefault="0082729A" w:rsidP="00B3166C">
            <w:pPr>
              <w:jc w:val="both"/>
              <w:rPr>
                <w:sz w:val="20"/>
                <w:szCs w:val="20"/>
              </w:rPr>
            </w:pPr>
            <w:r w:rsidRPr="00B3149D">
              <w:rPr>
                <w:sz w:val="20"/>
                <w:szCs w:val="20"/>
              </w:rPr>
              <w:t>October 30, 2020</w:t>
            </w:r>
          </w:p>
          <w:p w:rsidR="0082729A" w:rsidRPr="00B3149D" w:rsidRDefault="0082729A" w:rsidP="00B3166C">
            <w:pPr>
              <w:jc w:val="both"/>
              <w:rPr>
                <w:sz w:val="20"/>
                <w:szCs w:val="20"/>
              </w:rPr>
            </w:pPr>
            <w:r w:rsidRPr="00B3149D">
              <w:rPr>
                <w:sz w:val="20"/>
                <w:szCs w:val="20"/>
              </w:rPr>
              <w:t>Supreme Court of Canada</w:t>
            </w:r>
          </w:p>
        </w:tc>
        <w:tc>
          <w:tcPr>
            <w:tcW w:w="243" w:type="pct"/>
          </w:tcPr>
          <w:p w:rsidR="0082729A" w:rsidRPr="00B3149D" w:rsidRDefault="0082729A" w:rsidP="00B3166C">
            <w:pPr>
              <w:jc w:val="both"/>
              <w:rPr>
                <w:sz w:val="20"/>
                <w:szCs w:val="20"/>
              </w:rPr>
            </w:pPr>
          </w:p>
        </w:tc>
        <w:tc>
          <w:tcPr>
            <w:tcW w:w="2330" w:type="pct"/>
          </w:tcPr>
          <w:p w:rsidR="0082729A" w:rsidRPr="00B3149D" w:rsidRDefault="0082729A" w:rsidP="00B3166C">
            <w:pPr>
              <w:jc w:val="both"/>
              <w:rPr>
                <w:sz w:val="20"/>
                <w:szCs w:val="20"/>
              </w:rPr>
            </w:pPr>
            <w:r w:rsidRPr="00B3149D">
              <w:rPr>
                <w:sz w:val="20"/>
                <w:szCs w:val="20"/>
              </w:rPr>
              <w:t>Application for leave to appeal filed</w:t>
            </w:r>
          </w:p>
          <w:p w:rsidR="0082729A" w:rsidRPr="00B3149D" w:rsidRDefault="0082729A" w:rsidP="00B3166C">
            <w:pPr>
              <w:jc w:val="both"/>
              <w:rPr>
                <w:sz w:val="20"/>
                <w:szCs w:val="20"/>
              </w:rPr>
            </w:pPr>
          </w:p>
        </w:tc>
      </w:tr>
    </w:tbl>
    <w:p w:rsidR="0082729A" w:rsidRPr="00B3149D" w:rsidRDefault="0082729A" w:rsidP="0082729A">
      <w:pPr>
        <w:jc w:val="both"/>
        <w:rPr>
          <w:sz w:val="20"/>
        </w:rPr>
      </w:pPr>
    </w:p>
    <w:p w:rsidR="0082729A" w:rsidRPr="00B3149D" w:rsidRDefault="00E51866" w:rsidP="0082729A">
      <w:pPr>
        <w:jc w:val="both"/>
        <w:rPr>
          <w:sz w:val="20"/>
        </w:rPr>
      </w:pPr>
      <w:r>
        <w:rPr>
          <w:sz w:val="20"/>
        </w:rPr>
        <w:pict>
          <v:rect id="_x0000_i1058" style="width:2in;height:1pt" o:hrpct="0" o:hralign="center" o:hrstd="t" o:hrnoshade="t" o:hr="t" fillcolor="black [3213]" stroked="f"/>
        </w:pict>
      </w:r>
    </w:p>
    <w:p w:rsidR="0082729A" w:rsidRPr="00B3149D" w:rsidRDefault="0082729A" w:rsidP="0082729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729A" w:rsidRPr="009873D4" w:rsidTr="00B3166C">
        <w:tc>
          <w:tcPr>
            <w:tcW w:w="543" w:type="pct"/>
          </w:tcPr>
          <w:p w:rsidR="0082729A" w:rsidRPr="00B3149D" w:rsidRDefault="0082729A" w:rsidP="00B3166C">
            <w:pPr>
              <w:jc w:val="both"/>
              <w:rPr>
                <w:sz w:val="20"/>
                <w:szCs w:val="20"/>
                <w:lang w:val="fr-CA"/>
              </w:rPr>
            </w:pPr>
            <w:r w:rsidRPr="00B3149D">
              <w:rPr>
                <w:rStyle w:val="SCCFileNumberChar"/>
                <w:sz w:val="20"/>
                <w:szCs w:val="20"/>
                <w:lang w:val="fr-CA"/>
              </w:rPr>
              <w:lastRenderedPageBreak/>
              <w:t>39368</w:t>
            </w:r>
          </w:p>
        </w:tc>
        <w:tc>
          <w:tcPr>
            <w:tcW w:w="4457" w:type="pct"/>
            <w:gridSpan w:val="3"/>
          </w:tcPr>
          <w:p w:rsidR="0082729A" w:rsidRPr="00B3149D" w:rsidRDefault="0082729A" w:rsidP="00B3166C">
            <w:pPr>
              <w:pStyle w:val="SCCLsocParty"/>
              <w:jc w:val="both"/>
              <w:rPr>
                <w:b/>
                <w:sz w:val="20"/>
                <w:szCs w:val="20"/>
              </w:rPr>
            </w:pPr>
            <w:r w:rsidRPr="00B3149D">
              <w:rPr>
                <w:b/>
                <w:sz w:val="20"/>
                <w:szCs w:val="20"/>
              </w:rPr>
              <w:t>Sa Majesté la Reine c. Cameco Corporation</w:t>
            </w:r>
          </w:p>
          <w:p w:rsidR="0082729A" w:rsidRPr="00B3149D" w:rsidRDefault="0082729A" w:rsidP="00B3166C">
            <w:pPr>
              <w:jc w:val="both"/>
              <w:rPr>
                <w:sz w:val="20"/>
                <w:szCs w:val="20"/>
                <w:lang w:val="fr-CA"/>
              </w:rPr>
            </w:pPr>
            <w:r w:rsidRPr="00B3149D">
              <w:rPr>
                <w:sz w:val="20"/>
                <w:szCs w:val="20"/>
                <w:lang w:val="fr-CA"/>
              </w:rPr>
              <w:t>(C</w:t>
            </w:r>
            <w:r w:rsidRPr="00B3149D">
              <w:rPr>
                <w:sz w:val="20"/>
                <w:lang w:val="fr-CA"/>
              </w:rPr>
              <w:t>.</w:t>
            </w:r>
            <w:r w:rsidRPr="00B3149D">
              <w:rPr>
                <w:sz w:val="20"/>
                <w:szCs w:val="20"/>
                <w:lang w:val="fr-CA"/>
              </w:rPr>
              <w:t>F</w:t>
            </w:r>
            <w:r w:rsidRPr="00B3149D">
              <w:rPr>
                <w:sz w:val="20"/>
                <w:lang w:val="fr-CA"/>
              </w:rPr>
              <w:t>.</w:t>
            </w:r>
            <w:r w:rsidRPr="00B3149D">
              <w:rPr>
                <w:sz w:val="20"/>
                <w:szCs w:val="20"/>
                <w:lang w:val="fr-CA"/>
              </w:rPr>
              <w:t>) (Civile) (Sur autorisation)</w:t>
            </w:r>
          </w:p>
        </w:tc>
      </w:tr>
      <w:tr w:rsidR="00B22DD4" w:rsidRPr="009873D4" w:rsidTr="00B3166C">
        <w:tc>
          <w:tcPr>
            <w:tcW w:w="5000" w:type="pct"/>
            <w:gridSpan w:val="4"/>
          </w:tcPr>
          <w:p w:rsidR="00D84797" w:rsidRPr="00B3149D" w:rsidRDefault="00D84797" w:rsidP="00D84797">
            <w:pPr>
              <w:jc w:val="both"/>
              <w:rPr>
                <w:sz w:val="20"/>
                <w:szCs w:val="20"/>
                <w:lang w:val="fr-CA"/>
              </w:rPr>
            </w:pPr>
            <w:r w:rsidRPr="00B3149D">
              <w:rPr>
                <w:sz w:val="20"/>
                <w:szCs w:val="20"/>
                <w:lang w:val="fr-CA"/>
              </w:rPr>
              <w:t>La demande d’autorisation d’appel de l’arrêt de la Cour d’appel fédérale, numéros A-349-18 et A-193-19, 2020 CAF 112, daté du 26 juin 2020, est rejetée avec dépens.</w:t>
            </w:r>
          </w:p>
          <w:p w:rsidR="00D84797" w:rsidRPr="00B3149D" w:rsidRDefault="00D84797" w:rsidP="00D84797">
            <w:pPr>
              <w:jc w:val="both"/>
              <w:rPr>
                <w:sz w:val="20"/>
                <w:szCs w:val="20"/>
                <w:lang w:val="fr-CA"/>
              </w:rPr>
            </w:pPr>
          </w:p>
          <w:p w:rsidR="00B22DD4" w:rsidRPr="00B3149D" w:rsidRDefault="00D84797" w:rsidP="00D84797">
            <w:pPr>
              <w:jc w:val="both"/>
              <w:rPr>
                <w:sz w:val="20"/>
                <w:szCs w:val="20"/>
                <w:lang w:val="fr-CA"/>
              </w:rPr>
            </w:pPr>
            <w:r w:rsidRPr="00B3149D">
              <w:rPr>
                <w:sz w:val="20"/>
                <w:szCs w:val="20"/>
                <w:lang w:val="fr-CA"/>
              </w:rPr>
              <w:t>Le juge Rowe n’a pas participé au jugement.</w:t>
            </w:r>
          </w:p>
          <w:p w:rsidR="00D84797" w:rsidRPr="00B3149D" w:rsidRDefault="00D84797" w:rsidP="00D84797">
            <w:pPr>
              <w:jc w:val="both"/>
              <w:rPr>
                <w:sz w:val="20"/>
                <w:szCs w:val="20"/>
                <w:lang w:val="fr-CA"/>
              </w:rPr>
            </w:pPr>
          </w:p>
        </w:tc>
      </w:tr>
      <w:tr w:rsidR="0082729A" w:rsidRPr="009873D4"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Droit fiscal — Fiscalité des entreprises — Cotisation — Filiales étrangères — Rajustement de la détermination du prix de transfert — Quelle est la bonne formulation du régime de détermination du prix de transfert qui demeure compatible avec la norme relative au lien de dépendance acceptée à l’échelle internationale ?</w:t>
            </w:r>
          </w:p>
          <w:p w:rsidR="0082729A" w:rsidRPr="00B3149D" w:rsidRDefault="0082729A" w:rsidP="00B3166C">
            <w:pPr>
              <w:jc w:val="both"/>
              <w:rPr>
                <w:sz w:val="20"/>
                <w:szCs w:val="20"/>
                <w:lang w:val="fr-CA"/>
              </w:rPr>
            </w:pPr>
          </w:p>
        </w:tc>
      </w:tr>
      <w:tr w:rsidR="0082729A" w:rsidRPr="00B3149D" w:rsidTr="00B3166C">
        <w:tc>
          <w:tcPr>
            <w:tcW w:w="5000" w:type="pct"/>
            <w:gridSpan w:val="4"/>
          </w:tcPr>
          <w:p w:rsidR="0082729A" w:rsidRPr="00B3149D" w:rsidRDefault="0082729A" w:rsidP="00B3166C">
            <w:pPr>
              <w:jc w:val="both"/>
              <w:rPr>
                <w:sz w:val="20"/>
                <w:szCs w:val="20"/>
                <w:lang w:val="fr-CA"/>
              </w:rPr>
            </w:pPr>
            <w:r w:rsidRPr="00B3149D">
              <w:rPr>
                <w:sz w:val="20"/>
                <w:szCs w:val="20"/>
                <w:lang w:val="fr-CA"/>
              </w:rPr>
              <w:t>Cameco Corporation, ainsi que ses filiales, est une grande entreprise qui produit de l’uranium et fournit les services qui convertissent l’uranium d’une forme à l’autre. Cameco a des installations en Saskatchewan et en Ontario, ainsi que des filiales qui détiennent des actifs aux États</w:t>
            </w:r>
            <w:r w:rsidRPr="00B3149D">
              <w:rPr>
                <w:sz w:val="20"/>
                <w:szCs w:val="20"/>
                <w:lang w:val="fr-CA"/>
              </w:rPr>
              <w:noBreakHyphen/>
              <w:t>Unis. En 1999, une filiale de Cameco, Cameco Europe S.A. (CESA), et d’autres sociétés ont acheté de l’uranium de la Russie qui avait antérieurement été utilisé dans le cadre de son arsenal nucléaire. L’uranium a été mis en vente par l’entremise d’une société d’État russe, « Techsnabexport » (Tenex). Plus tard en 1999, CESA a conclu une entente avec Urenco Limited (Urenco) (une société d’enrichissement de l’uranium) et trois de ses filiales afin d’acheter l’uranium qu’Urenco allait recevoir de la part de Tenex. Cameco a créé une autre filiale en Suisse qui a changé son nom en 2001 pour devenir Cameco Europe AG (SA, Ltd) (CEL). En 2002, CESA a transféré son entreprise à CEL. CEL a réalisé d’importants profits à partir de l’achat d’uranium de Tenex, d’Urenco et de Cameco et de sa revente subséquente. Le ministre du Revenu national a établi à l’égard du revenu de Cameco de nouvelles cotisations pour les années d’imposition 2003, 2005 et 2006. Le ministre a ajouté plus de 480 millions de dollars relativement à ces années d’imposition en raison de rajustements à la détermination du prix de transfert. Cameco a fait appel de la nouvelle cotisation à la Cour canadienne de l’impôt qui a renvoyé les nouvelles cotisations au ministre pour nouvel examen. L’appel subséquent du ministre a été rejeté.</w:t>
            </w:r>
          </w:p>
        </w:tc>
      </w:tr>
      <w:tr w:rsidR="0082729A" w:rsidRPr="00B3149D" w:rsidTr="00B3166C">
        <w:tc>
          <w:tcPr>
            <w:tcW w:w="5000" w:type="pct"/>
            <w:gridSpan w:val="4"/>
          </w:tcPr>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26 septembre 2018</w:t>
            </w:r>
          </w:p>
          <w:p w:rsidR="0082729A" w:rsidRPr="00B3149D" w:rsidRDefault="0082729A" w:rsidP="00B3166C">
            <w:pPr>
              <w:jc w:val="both"/>
              <w:rPr>
                <w:sz w:val="20"/>
                <w:szCs w:val="20"/>
                <w:lang w:val="fr-CA"/>
              </w:rPr>
            </w:pPr>
            <w:r w:rsidRPr="00B3149D">
              <w:rPr>
                <w:sz w:val="20"/>
                <w:szCs w:val="20"/>
                <w:lang w:val="fr-CA"/>
              </w:rPr>
              <w:t>Cour canadienne de l’impôt</w:t>
            </w:r>
          </w:p>
          <w:p w:rsidR="0082729A" w:rsidRPr="00B3149D" w:rsidRDefault="0082729A" w:rsidP="00B3166C">
            <w:pPr>
              <w:jc w:val="both"/>
              <w:rPr>
                <w:sz w:val="20"/>
                <w:szCs w:val="20"/>
                <w:lang w:val="fr-CA"/>
              </w:rPr>
            </w:pPr>
            <w:r w:rsidRPr="00B3149D">
              <w:rPr>
                <w:sz w:val="20"/>
                <w:szCs w:val="20"/>
                <w:lang w:val="fr-CA"/>
              </w:rPr>
              <w:t>(Juge Owen)</w:t>
            </w:r>
          </w:p>
          <w:p w:rsidR="0082729A" w:rsidRPr="00B3149D" w:rsidRDefault="00E51866" w:rsidP="00B3166C">
            <w:pPr>
              <w:jc w:val="both"/>
              <w:rPr>
                <w:sz w:val="20"/>
                <w:szCs w:val="20"/>
                <w:lang w:val="fr-CA"/>
              </w:rPr>
            </w:pPr>
            <w:hyperlink r:id="rId50" w:history="1">
              <w:r w:rsidR="0082729A" w:rsidRPr="00B3149D">
                <w:rPr>
                  <w:rStyle w:val="Hyperlink"/>
                  <w:sz w:val="20"/>
                  <w:szCs w:val="20"/>
                  <w:lang w:val="fr-CA"/>
                </w:rPr>
                <w:t>2018 TCC 195</w:t>
              </w:r>
            </w:hyperlink>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L’appel contre les nouvelles cotisations établies par le ministre du Revenu national est accueilli; les nouvelles cotisations sont renvoyées au ministre pour nouvel examen.</w:t>
            </w:r>
          </w:p>
        </w:tc>
      </w:tr>
      <w:tr w:rsidR="0082729A" w:rsidRPr="00B3149D"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26 juin 2020</w:t>
            </w:r>
          </w:p>
          <w:p w:rsidR="0082729A" w:rsidRPr="00B3149D" w:rsidRDefault="0082729A" w:rsidP="00B3166C">
            <w:pPr>
              <w:jc w:val="both"/>
              <w:rPr>
                <w:sz w:val="20"/>
                <w:szCs w:val="20"/>
                <w:lang w:val="fr-CA"/>
              </w:rPr>
            </w:pPr>
            <w:r w:rsidRPr="00B3149D">
              <w:rPr>
                <w:sz w:val="20"/>
                <w:szCs w:val="20"/>
                <w:lang w:val="fr-CA"/>
              </w:rPr>
              <w:t>Cour d’appel fédérale</w:t>
            </w:r>
          </w:p>
          <w:p w:rsidR="0082729A" w:rsidRPr="00B3149D" w:rsidRDefault="0082729A" w:rsidP="00B3166C">
            <w:pPr>
              <w:jc w:val="both"/>
              <w:rPr>
                <w:sz w:val="20"/>
                <w:szCs w:val="20"/>
                <w:lang w:val="fr-CA"/>
              </w:rPr>
            </w:pPr>
            <w:r w:rsidRPr="00B3149D">
              <w:rPr>
                <w:sz w:val="20"/>
                <w:szCs w:val="20"/>
                <w:lang w:val="fr-CA"/>
              </w:rPr>
              <w:t>(Webb, Rennie et Mactavish)</w:t>
            </w:r>
          </w:p>
          <w:p w:rsidR="0082729A" w:rsidRPr="00B3149D" w:rsidRDefault="00E51866" w:rsidP="00B3166C">
            <w:pPr>
              <w:jc w:val="both"/>
              <w:rPr>
                <w:sz w:val="20"/>
                <w:szCs w:val="20"/>
                <w:lang w:val="fr-CA"/>
              </w:rPr>
            </w:pPr>
            <w:hyperlink r:id="rId51" w:history="1">
              <w:r w:rsidR="0082729A" w:rsidRPr="00B3149D">
                <w:rPr>
                  <w:rStyle w:val="Hyperlink"/>
                  <w:sz w:val="20"/>
                  <w:szCs w:val="20"/>
                  <w:lang w:val="fr-CA"/>
                </w:rPr>
                <w:t>2020 FCA 112</w:t>
              </w:r>
            </w:hyperlink>
          </w:p>
          <w:p w:rsidR="0082729A" w:rsidRPr="00B3149D" w:rsidRDefault="0082729A" w:rsidP="00B3166C">
            <w:pPr>
              <w:jc w:val="both"/>
              <w:rPr>
                <w:sz w:val="20"/>
                <w:szCs w:val="20"/>
                <w:lang w:val="fr-CA"/>
              </w:rPr>
            </w:pP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L’appel est rejeté.</w:t>
            </w:r>
          </w:p>
          <w:p w:rsidR="0082729A" w:rsidRPr="00B3149D" w:rsidRDefault="0082729A" w:rsidP="00B3166C">
            <w:pPr>
              <w:jc w:val="both"/>
              <w:rPr>
                <w:sz w:val="20"/>
                <w:szCs w:val="20"/>
                <w:lang w:val="fr-CA"/>
              </w:rPr>
            </w:pPr>
          </w:p>
        </w:tc>
      </w:tr>
      <w:tr w:rsidR="0082729A" w:rsidRPr="009873D4" w:rsidTr="00B3166C">
        <w:tc>
          <w:tcPr>
            <w:tcW w:w="2427" w:type="pct"/>
            <w:gridSpan w:val="2"/>
          </w:tcPr>
          <w:p w:rsidR="0082729A" w:rsidRPr="00B3149D" w:rsidRDefault="0082729A" w:rsidP="00B3166C">
            <w:pPr>
              <w:jc w:val="both"/>
              <w:rPr>
                <w:sz w:val="20"/>
                <w:szCs w:val="20"/>
                <w:lang w:val="fr-CA"/>
              </w:rPr>
            </w:pPr>
            <w:r w:rsidRPr="00B3149D">
              <w:rPr>
                <w:sz w:val="20"/>
                <w:szCs w:val="20"/>
                <w:lang w:val="fr-CA"/>
              </w:rPr>
              <w:t>30 octobre 2020</w:t>
            </w:r>
          </w:p>
          <w:p w:rsidR="0082729A" w:rsidRPr="00B3149D" w:rsidRDefault="0082729A" w:rsidP="00B3166C">
            <w:pPr>
              <w:jc w:val="both"/>
              <w:rPr>
                <w:sz w:val="20"/>
                <w:szCs w:val="20"/>
                <w:lang w:val="fr-CA"/>
              </w:rPr>
            </w:pPr>
            <w:r w:rsidRPr="00B3149D">
              <w:rPr>
                <w:sz w:val="20"/>
                <w:szCs w:val="20"/>
                <w:lang w:val="fr-CA"/>
              </w:rPr>
              <w:t>Cour suprême du Canada</w:t>
            </w:r>
          </w:p>
        </w:tc>
        <w:tc>
          <w:tcPr>
            <w:tcW w:w="243" w:type="pct"/>
          </w:tcPr>
          <w:p w:rsidR="0082729A" w:rsidRPr="00B3149D" w:rsidRDefault="0082729A" w:rsidP="00B3166C">
            <w:pPr>
              <w:jc w:val="both"/>
              <w:rPr>
                <w:sz w:val="20"/>
                <w:szCs w:val="20"/>
                <w:lang w:val="fr-CA"/>
              </w:rPr>
            </w:pPr>
          </w:p>
        </w:tc>
        <w:tc>
          <w:tcPr>
            <w:tcW w:w="2330" w:type="pct"/>
          </w:tcPr>
          <w:p w:rsidR="0082729A" w:rsidRPr="00B3149D" w:rsidRDefault="0082729A" w:rsidP="00B3166C">
            <w:pPr>
              <w:jc w:val="both"/>
              <w:rPr>
                <w:sz w:val="20"/>
                <w:szCs w:val="20"/>
                <w:lang w:val="fr-CA"/>
              </w:rPr>
            </w:pPr>
            <w:r w:rsidRPr="00B3149D">
              <w:rPr>
                <w:sz w:val="20"/>
                <w:szCs w:val="20"/>
                <w:lang w:val="fr-CA"/>
              </w:rPr>
              <w:t>La demande d’autorisation d’appel est présentée.</w:t>
            </w:r>
          </w:p>
        </w:tc>
      </w:tr>
    </w:tbl>
    <w:p w:rsidR="004B2E86" w:rsidRPr="00B3149D" w:rsidRDefault="004B2E86" w:rsidP="004B2E86">
      <w:pPr>
        <w:jc w:val="both"/>
        <w:rPr>
          <w:sz w:val="20"/>
          <w:szCs w:val="20"/>
          <w:lang w:val="fr-CA"/>
        </w:rPr>
      </w:pPr>
    </w:p>
    <w:p w:rsidR="00102792" w:rsidRPr="00B3149D" w:rsidRDefault="00E51866" w:rsidP="004B2E86">
      <w:pPr>
        <w:jc w:val="both"/>
        <w:rPr>
          <w:sz w:val="20"/>
          <w:szCs w:val="20"/>
          <w:lang w:val="fr-CA"/>
        </w:rPr>
      </w:pPr>
      <w:r>
        <w:rPr>
          <w:sz w:val="20"/>
          <w:szCs w:val="20"/>
        </w:rPr>
        <w:pict>
          <v:rect id="_x0000_i1059" style="width:2in;height:1pt" o:hrpct="0" o:hralign="center" o:hrstd="t" o:hrnoshade="t" o:hr="t" fillcolor="black" stroked="f"/>
        </w:pict>
      </w:r>
    </w:p>
    <w:p w:rsidR="00E06F20" w:rsidRPr="00B3149D" w:rsidRDefault="00E06F20" w:rsidP="00102792">
      <w:pPr>
        <w:jc w:val="both"/>
        <w:rPr>
          <w:sz w:val="20"/>
          <w:lang w:val="fr-CA"/>
        </w:rPr>
      </w:pPr>
    </w:p>
    <w:p w:rsidR="00890FEB" w:rsidRPr="00B3149D" w:rsidRDefault="00890FEB" w:rsidP="008D292F">
      <w:pPr>
        <w:rPr>
          <w:sz w:val="20"/>
          <w:szCs w:val="20"/>
          <w:lang w:val="fr-CA"/>
        </w:rPr>
      </w:pPr>
    </w:p>
    <w:p w:rsidR="00890FEB" w:rsidRPr="00B3149D" w:rsidRDefault="00890FEB" w:rsidP="008D292F">
      <w:pPr>
        <w:rPr>
          <w:b/>
          <w:sz w:val="20"/>
          <w:szCs w:val="20"/>
          <w:lang w:val="fr-CA"/>
        </w:rPr>
        <w:sectPr w:rsidR="00890FEB" w:rsidRPr="00B3149D" w:rsidSect="008D292F">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p w:rsidR="00693C38" w:rsidRPr="00B3149D" w:rsidRDefault="00DD0BDC" w:rsidP="00567602">
      <w:pPr>
        <w:pStyle w:val="Header1StyleE"/>
        <w:pBdr>
          <w:bottom w:val="single" w:sz="12" w:space="1" w:color="auto"/>
        </w:pBdr>
        <w:rPr>
          <w:lang w:val="fr-CA"/>
        </w:rPr>
      </w:pPr>
      <w:bookmarkStart w:id="5" w:name="_Toc64628181"/>
      <w:r w:rsidRPr="00B3149D">
        <w:rPr>
          <w:lang w:val="fr-CA"/>
        </w:rPr>
        <w:lastRenderedPageBreak/>
        <w:t>Motions</w:t>
      </w:r>
      <w:r w:rsidR="00271E1E" w:rsidRPr="00B3149D">
        <w:rPr>
          <w:lang w:val="fr-CA"/>
        </w:rPr>
        <w:t xml:space="preserve"> / </w:t>
      </w:r>
      <w:r w:rsidR="00693C38" w:rsidRPr="00B3149D">
        <w:rPr>
          <w:lang w:val="fr-CA"/>
        </w:rPr>
        <w:br/>
      </w:r>
      <w:r w:rsidRPr="00B3149D">
        <w:rPr>
          <w:lang w:val="fr-CA"/>
        </w:rPr>
        <w:t>Requêtes</w:t>
      </w:r>
      <w:bookmarkEnd w:id="5"/>
    </w:p>
    <w:p w:rsidR="00890FEB" w:rsidRPr="00B3149D" w:rsidRDefault="00890FEB" w:rsidP="00890FEB">
      <w:pPr>
        <w:rPr>
          <w:sz w:val="20"/>
          <w:szCs w:val="20"/>
          <w:lang w:val="fr-CA"/>
        </w:rPr>
      </w:pPr>
    </w:p>
    <w:p w:rsidR="008859F1" w:rsidRPr="00B3149D" w:rsidRDefault="00C735A6" w:rsidP="008859F1">
      <w:pPr>
        <w:rPr>
          <w:b/>
          <w:sz w:val="20"/>
          <w:szCs w:val="20"/>
          <w:lang w:val="fr-CA"/>
        </w:rPr>
      </w:pPr>
      <w:r w:rsidRPr="00B3149D">
        <w:rPr>
          <w:b/>
          <w:sz w:val="20"/>
          <w:szCs w:val="20"/>
          <w:lang w:val="fr-CA"/>
        </w:rPr>
        <w:t>FEBRUARY</w:t>
      </w:r>
      <w:r w:rsidR="008859F1" w:rsidRPr="00B3149D">
        <w:rPr>
          <w:b/>
          <w:sz w:val="20"/>
          <w:szCs w:val="20"/>
          <w:lang w:val="fr-CA"/>
        </w:rPr>
        <w:t xml:space="preserve"> </w:t>
      </w:r>
      <w:r w:rsidR="00691D1D" w:rsidRPr="00B3149D">
        <w:rPr>
          <w:b/>
          <w:sz w:val="20"/>
          <w:szCs w:val="20"/>
          <w:lang w:val="fr-CA"/>
        </w:rPr>
        <w:t>1</w:t>
      </w:r>
      <w:r w:rsidRPr="00B3149D">
        <w:rPr>
          <w:b/>
          <w:sz w:val="20"/>
          <w:szCs w:val="20"/>
          <w:lang w:val="fr-CA"/>
        </w:rPr>
        <w:t>2</w:t>
      </w:r>
      <w:r w:rsidR="008859F1" w:rsidRPr="00B3149D">
        <w:rPr>
          <w:b/>
          <w:sz w:val="20"/>
          <w:szCs w:val="20"/>
          <w:lang w:val="fr-CA"/>
        </w:rPr>
        <w:t>, 20</w:t>
      </w:r>
      <w:r w:rsidR="005967EF" w:rsidRPr="00B3149D">
        <w:rPr>
          <w:b/>
          <w:sz w:val="20"/>
          <w:szCs w:val="20"/>
          <w:lang w:val="fr-CA"/>
        </w:rPr>
        <w:t>2</w:t>
      </w:r>
      <w:r w:rsidR="009B36BA" w:rsidRPr="00B3149D">
        <w:rPr>
          <w:b/>
          <w:sz w:val="20"/>
          <w:szCs w:val="20"/>
          <w:lang w:val="fr-CA"/>
        </w:rPr>
        <w:t>1</w:t>
      </w:r>
      <w:r w:rsidR="008859F1" w:rsidRPr="00B3149D">
        <w:rPr>
          <w:b/>
          <w:sz w:val="20"/>
          <w:szCs w:val="20"/>
          <w:lang w:val="fr-CA"/>
        </w:rPr>
        <w:t xml:space="preserve"> / LE </w:t>
      </w:r>
      <w:r w:rsidR="00691D1D" w:rsidRPr="00B3149D">
        <w:rPr>
          <w:b/>
          <w:sz w:val="20"/>
          <w:szCs w:val="20"/>
          <w:lang w:val="fr-CA"/>
        </w:rPr>
        <w:t>1</w:t>
      </w:r>
      <w:r w:rsidRPr="00B3149D">
        <w:rPr>
          <w:b/>
          <w:sz w:val="20"/>
          <w:szCs w:val="20"/>
          <w:lang w:val="fr-CA"/>
        </w:rPr>
        <w:t>2</w:t>
      </w:r>
      <w:r w:rsidR="008859F1" w:rsidRPr="00B3149D">
        <w:rPr>
          <w:b/>
          <w:sz w:val="20"/>
          <w:szCs w:val="20"/>
          <w:lang w:val="fr-CA"/>
        </w:rPr>
        <w:t xml:space="preserve"> </w:t>
      </w:r>
      <w:r w:rsidRPr="00B3149D">
        <w:rPr>
          <w:b/>
          <w:sz w:val="20"/>
          <w:szCs w:val="20"/>
          <w:lang w:val="fr-CA"/>
        </w:rPr>
        <w:t>FÉVRIER</w:t>
      </w:r>
      <w:r w:rsidR="008859F1" w:rsidRPr="00B3149D">
        <w:rPr>
          <w:b/>
          <w:sz w:val="20"/>
          <w:szCs w:val="20"/>
          <w:lang w:val="fr-CA"/>
        </w:rPr>
        <w:t xml:space="preserve"> 20</w:t>
      </w:r>
      <w:r w:rsidR="005967EF" w:rsidRPr="00B3149D">
        <w:rPr>
          <w:b/>
          <w:sz w:val="20"/>
          <w:szCs w:val="20"/>
          <w:lang w:val="fr-CA"/>
        </w:rPr>
        <w:t>2</w:t>
      </w:r>
      <w:r w:rsidR="009B36BA" w:rsidRPr="00B3149D">
        <w:rPr>
          <w:b/>
          <w:sz w:val="20"/>
          <w:szCs w:val="20"/>
          <w:lang w:val="fr-CA"/>
        </w:rPr>
        <w:t>1</w:t>
      </w:r>
    </w:p>
    <w:p w:rsidR="00102792" w:rsidRPr="00B3149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3149D" w:rsidTr="00691D1D">
        <w:tc>
          <w:tcPr>
            <w:tcW w:w="4410" w:type="dxa"/>
            <w:tcBorders>
              <w:top w:val="nil"/>
              <w:left w:val="nil"/>
              <w:bottom w:val="nil"/>
              <w:right w:val="nil"/>
            </w:tcBorders>
          </w:tcPr>
          <w:p w:rsidR="00D93A6C" w:rsidRPr="00B3149D" w:rsidRDefault="00D93A6C" w:rsidP="00691D1D">
            <w:pPr>
              <w:jc w:val="both"/>
              <w:rPr>
                <w:rFonts w:cs="Times New Roman"/>
                <w:b/>
                <w:bCs/>
                <w:sz w:val="20"/>
                <w:szCs w:val="20"/>
                <w:lang w:val="en-US"/>
              </w:rPr>
            </w:pPr>
            <w:r w:rsidRPr="00B3149D">
              <w:rPr>
                <w:rFonts w:eastAsia="Times New Roman" w:cs="Times New Roman"/>
                <w:b/>
                <w:sz w:val="20"/>
                <w:szCs w:val="20"/>
                <w:lang w:val="en-US" w:eastAsia="en-CA"/>
              </w:rPr>
              <w:t xml:space="preserve">Motion </w:t>
            </w:r>
            <w:r w:rsidR="00C735A6" w:rsidRPr="00B3149D">
              <w:rPr>
                <w:rFonts w:eastAsia="Times New Roman" w:cs="Times New Roman"/>
                <w:b/>
                <w:sz w:val="20"/>
                <w:szCs w:val="20"/>
                <w:lang w:val="en-US" w:eastAsia="en-CA"/>
              </w:rPr>
              <w:t>for a stay of execution</w:t>
            </w:r>
          </w:p>
        </w:tc>
        <w:tc>
          <w:tcPr>
            <w:tcW w:w="810" w:type="dxa"/>
            <w:tcBorders>
              <w:top w:val="nil"/>
              <w:left w:val="nil"/>
              <w:bottom w:val="nil"/>
              <w:right w:val="nil"/>
            </w:tcBorders>
          </w:tcPr>
          <w:p w:rsidR="00D93A6C" w:rsidRPr="00B3149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3149D" w:rsidRDefault="00D93A6C" w:rsidP="00691D1D">
            <w:pPr>
              <w:jc w:val="both"/>
              <w:rPr>
                <w:rFonts w:cs="Times New Roman"/>
                <w:b/>
                <w:bCs/>
                <w:sz w:val="20"/>
                <w:szCs w:val="20"/>
                <w:lang w:val="fr-CA"/>
              </w:rPr>
            </w:pPr>
            <w:r w:rsidRPr="00B3149D">
              <w:rPr>
                <w:rFonts w:eastAsia="Times New Roman" w:cs="Times New Roman"/>
                <w:b/>
                <w:sz w:val="20"/>
                <w:szCs w:val="20"/>
                <w:lang w:val="fr-CA" w:eastAsia="en-CA"/>
              </w:rPr>
              <w:t xml:space="preserve">Requête </w:t>
            </w:r>
            <w:r w:rsidR="00C735A6" w:rsidRPr="00B3149D">
              <w:rPr>
                <w:rFonts w:eastAsia="Times New Roman" w:cs="Times New Roman"/>
                <w:b/>
                <w:sz w:val="20"/>
                <w:szCs w:val="20"/>
                <w:lang w:val="fr-CA" w:eastAsia="en-CA"/>
              </w:rPr>
              <w:t>en sursis d'exécution</w:t>
            </w:r>
          </w:p>
        </w:tc>
      </w:tr>
    </w:tbl>
    <w:p w:rsidR="00D93A6C" w:rsidRPr="00B3149D" w:rsidRDefault="00D93A6C" w:rsidP="00102792">
      <w:pPr>
        <w:tabs>
          <w:tab w:val="left" w:pos="-1440"/>
          <w:tab w:val="left" w:pos="-720"/>
        </w:tabs>
        <w:jc w:val="both"/>
        <w:rPr>
          <w:rFonts w:eastAsia="Times New Roman" w:cs="Times New Roman"/>
          <w:sz w:val="20"/>
          <w:szCs w:val="20"/>
          <w:lang w:val="fr-CA" w:eastAsia="en-CA"/>
        </w:rPr>
      </w:pPr>
    </w:p>
    <w:p w:rsidR="00D93A6C" w:rsidRPr="00B3149D" w:rsidRDefault="00D93A6C" w:rsidP="00102792">
      <w:pPr>
        <w:tabs>
          <w:tab w:val="left" w:pos="-1440"/>
          <w:tab w:val="left" w:pos="-720"/>
        </w:tabs>
        <w:jc w:val="both"/>
        <w:rPr>
          <w:rFonts w:eastAsia="Times New Roman" w:cs="Times New Roman"/>
          <w:sz w:val="20"/>
          <w:szCs w:val="20"/>
          <w:lang w:val="fr-CA" w:eastAsia="en-CA"/>
        </w:rPr>
      </w:pPr>
    </w:p>
    <w:p w:rsidR="00C735A6" w:rsidRPr="00B3149D" w:rsidRDefault="00C735A6" w:rsidP="00C735A6">
      <w:pPr>
        <w:rPr>
          <w:rFonts w:cs="Times New Roman"/>
          <w:b/>
          <w:bCs/>
          <w:sz w:val="20"/>
          <w:szCs w:val="20"/>
        </w:rPr>
      </w:pPr>
      <w:r w:rsidRPr="00B3149D">
        <w:rPr>
          <w:rFonts w:cs="Times New Roman"/>
          <w:b/>
          <w:bCs/>
          <w:caps/>
          <w:sz w:val="20"/>
          <w:szCs w:val="20"/>
        </w:rPr>
        <w:t>Ashley Suzanne Barendregt</w:t>
      </w:r>
      <w:r w:rsidRPr="00B3149D">
        <w:rPr>
          <w:rFonts w:cs="Times New Roman"/>
          <w:b/>
          <w:bCs/>
          <w:sz w:val="20"/>
          <w:szCs w:val="20"/>
        </w:rPr>
        <w:t xml:space="preserve"> v. </w:t>
      </w:r>
      <w:r w:rsidRPr="00B3149D">
        <w:rPr>
          <w:rFonts w:cs="Times New Roman"/>
          <w:b/>
          <w:bCs/>
          <w:caps/>
          <w:sz w:val="20"/>
          <w:szCs w:val="20"/>
        </w:rPr>
        <w:t>Geoff Bradley Grebliunas</w:t>
      </w:r>
    </w:p>
    <w:p w:rsidR="00C735A6" w:rsidRPr="00B3149D" w:rsidRDefault="00C735A6" w:rsidP="00C735A6">
      <w:pPr>
        <w:rPr>
          <w:rFonts w:cs="Times New Roman"/>
          <w:bCs/>
          <w:sz w:val="20"/>
          <w:szCs w:val="20"/>
        </w:rPr>
      </w:pPr>
      <w:r w:rsidRPr="00B3149D">
        <w:rPr>
          <w:rFonts w:cs="Times New Roman"/>
          <w:bCs/>
          <w:sz w:val="20"/>
          <w:szCs w:val="20"/>
        </w:rPr>
        <w:t>(B.C.) (39533)</w:t>
      </w:r>
    </w:p>
    <w:p w:rsidR="00C735A6" w:rsidRPr="00B3149D" w:rsidRDefault="00C735A6" w:rsidP="00C735A6">
      <w:pPr>
        <w:rPr>
          <w:rFonts w:cs="Times New Roman"/>
          <w:sz w:val="20"/>
          <w:szCs w:val="20"/>
        </w:rPr>
      </w:pPr>
    </w:p>
    <w:p w:rsidR="00C735A6" w:rsidRPr="00B3149D" w:rsidRDefault="00C735A6" w:rsidP="00C735A6">
      <w:pPr>
        <w:rPr>
          <w:rFonts w:cs="Times New Roman"/>
          <w:sz w:val="20"/>
          <w:szCs w:val="20"/>
        </w:rPr>
      </w:pPr>
      <w:r w:rsidRPr="00B3149D">
        <w:rPr>
          <w:rFonts w:cs="Times New Roman"/>
          <w:b/>
          <w:bCs/>
          <w:sz w:val="20"/>
          <w:szCs w:val="20"/>
          <w:u w:val="single"/>
        </w:rPr>
        <w:t>KARAKATSANIS J.</w:t>
      </w:r>
      <w:r w:rsidRPr="00B3149D">
        <w:rPr>
          <w:rFonts w:cs="Times New Roman"/>
          <w:b/>
          <w:bCs/>
          <w:sz w:val="20"/>
          <w:szCs w:val="20"/>
        </w:rPr>
        <w:t>:</w:t>
      </w:r>
    </w:p>
    <w:p w:rsidR="00C735A6" w:rsidRPr="00B3149D" w:rsidRDefault="00C735A6" w:rsidP="00C735A6">
      <w:pPr>
        <w:rPr>
          <w:rFonts w:cs="Times New Roman"/>
          <w:sz w:val="20"/>
          <w:szCs w:val="20"/>
        </w:rPr>
      </w:pPr>
    </w:p>
    <w:p w:rsidR="00C735A6" w:rsidRPr="00B3149D" w:rsidRDefault="00C735A6" w:rsidP="00C735A6">
      <w:pPr>
        <w:rPr>
          <w:rFonts w:cs="Times New Roman"/>
          <w:sz w:val="20"/>
          <w:szCs w:val="20"/>
        </w:rPr>
      </w:pPr>
      <w:r w:rsidRPr="00B3149D">
        <w:rPr>
          <w:rFonts w:cs="Times New Roman"/>
          <w:b/>
          <w:bCs/>
          <w:sz w:val="20"/>
          <w:szCs w:val="20"/>
        </w:rPr>
        <w:t xml:space="preserve">UPON APPLICATION </w:t>
      </w:r>
      <w:r w:rsidRPr="00B3149D">
        <w:rPr>
          <w:rFonts w:cs="Times New Roman"/>
          <w:sz w:val="20"/>
          <w:szCs w:val="20"/>
        </w:rPr>
        <w:t xml:space="preserve">by the applicant, pursuant to section 65.1 (1) of the </w:t>
      </w:r>
      <w:r w:rsidRPr="00B3149D">
        <w:rPr>
          <w:rFonts w:cs="Times New Roman"/>
          <w:i/>
          <w:sz w:val="20"/>
          <w:szCs w:val="20"/>
        </w:rPr>
        <w:t>Supreme Court Act</w:t>
      </w:r>
      <w:r w:rsidRPr="00B3149D">
        <w:rPr>
          <w:rFonts w:cs="Times New Roman"/>
          <w:sz w:val="20"/>
          <w:szCs w:val="20"/>
        </w:rPr>
        <w:t xml:space="preserve"> and Rule 62 of the </w:t>
      </w:r>
      <w:r w:rsidRPr="00B3149D">
        <w:rPr>
          <w:rFonts w:cs="Times New Roman"/>
          <w:i/>
          <w:sz w:val="20"/>
          <w:szCs w:val="20"/>
        </w:rPr>
        <w:t>Rules of the Supreme Court of Canada</w:t>
      </w:r>
      <w:r w:rsidRPr="00B3149D">
        <w:rPr>
          <w:rFonts w:cs="Times New Roman"/>
          <w:sz w:val="20"/>
          <w:szCs w:val="20"/>
        </w:rPr>
        <w:t>, for a stay of execution of the judgment of the Court of Appeal for British Columbia, Number CA46634, 2021 BCCA 11, dated January 13, 2021, until the application for leave to appeal is dismissed or, if leave to appeal is granted, until the appeal is disposed of, and for an order to expedite the motion for a stay of execution;</w:t>
      </w:r>
    </w:p>
    <w:p w:rsidR="00C735A6" w:rsidRPr="00B3149D" w:rsidRDefault="00C735A6" w:rsidP="00C735A6">
      <w:pPr>
        <w:spacing w:line="233" w:lineRule="auto"/>
        <w:rPr>
          <w:rFonts w:cs="Times New Roman"/>
          <w:sz w:val="20"/>
          <w:szCs w:val="20"/>
        </w:rPr>
      </w:pPr>
    </w:p>
    <w:p w:rsidR="00C735A6" w:rsidRPr="00B3149D" w:rsidRDefault="00C735A6" w:rsidP="00C735A6">
      <w:pPr>
        <w:spacing w:line="233" w:lineRule="auto"/>
        <w:rPr>
          <w:rFonts w:cs="Times New Roman"/>
          <w:sz w:val="20"/>
          <w:szCs w:val="20"/>
        </w:rPr>
      </w:pPr>
      <w:r w:rsidRPr="00B3149D">
        <w:rPr>
          <w:rFonts w:cs="Times New Roman"/>
          <w:b/>
          <w:bCs/>
          <w:sz w:val="20"/>
          <w:szCs w:val="20"/>
        </w:rPr>
        <w:t>AND THE MATERIAL FILED</w:t>
      </w:r>
      <w:r w:rsidRPr="00B3149D">
        <w:rPr>
          <w:rFonts w:cs="Times New Roman"/>
          <w:sz w:val="20"/>
          <w:szCs w:val="20"/>
        </w:rPr>
        <w:t xml:space="preserve"> having been read;</w:t>
      </w:r>
    </w:p>
    <w:p w:rsidR="00C735A6" w:rsidRPr="00B3149D" w:rsidRDefault="00C735A6" w:rsidP="00C735A6">
      <w:pPr>
        <w:spacing w:line="233" w:lineRule="auto"/>
        <w:rPr>
          <w:rFonts w:cs="Times New Roman"/>
          <w:sz w:val="20"/>
          <w:szCs w:val="20"/>
        </w:rPr>
      </w:pPr>
    </w:p>
    <w:p w:rsidR="00C735A6" w:rsidRPr="00B3149D" w:rsidRDefault="00C735A6" w:rsidP="00C735A6">
      <w:pPr>
        <w:spacing w:line="233" w:lineRule="auto"/>
        <w:rPr>
          <w:rFonts w:cs="Times New Roman"/>
          <w:b/>
          <w:bCs/>
          <w:sz w:val="20"/>
          <w:szCs w:val="20"/>
        </w:rPr>
      </w:pPr>
      <w:r w:rsidRPr="00B3149D">
        <w:rPr>
          <w:rFonts w:cs="Times New Roman"/>
          <w:b/>
          <w:bCs/>
          <w:sz w:val="20"/>
          <w:szCs w:val="20"/>
        </w:rPr>
        <w:t>IT IS HEREBY ORDERED THAT:</w:t>
      </w:r>
    </w:p>
    <w:p w:rsidR="00C735A6" w:rsidRPr="00B3149D" w:rsidRDefault="00C735A6" w:rsidP="00C735A6">
      <w:pPr>
        <w:spacing w:line="233" w:lineRule="auto"/>
        <w:rPr>
          <w:rFonts w:cs="Times New Roman"/>
          <w:sz w:val="20"/>
          <w:szCs w:val="20"/>
        </w:rPr>
      </w:pPr>
    </w:p>
    <w:p w:rsidR="00C735A6" w:rsidRPr="00B3149D" w:rsidRDefault="00C735A6" w:rsidP="00C735A6">
      <w:pPr>
        <w:rPr>
          <w:rFonts w:cs="Times New Roman"/>
          <w:sz w:val="20"/>
          <w:szCs w:val="20"/>
        </w:rPr>
      </w:pPr>
      <w:r w:rsidRPr="00B3149D">
        <w:rPr>
          <w:rFonts w:cs="Times New Roman"/>
          <w:sz w:val="20"/>
          <w:szCs w:val="20"/>
        </w:rPr>
        <w:t xml:space="preserve">The motion to expedite the motion for a stay of execution is granted. </w:t>
      </w:r>
    </w:p>
    <w:p w:rsidR="00C735A6" w:rsidRPr="00B3149D" w:rsidRDefault="00C735A6" w:rsidP="00C735A6">
      <w:pPr>
        <w:rPr>
          <w:rFonts w:cs="Times New Roman"/>
          <w:sz w:val="20"/>
          <w:szCs w:val="20"/>
        </w:rPr>
      </w:pPr>
    </w:p>
    <w:p w:rsidR="00C735A6" w:rsidRPr="00B3149D" w:rsidRDefault="00C735A6" w:rsidP="00C735A6">
      <w:pPr>
        <w:rPr>
          <w:rFonts w:cs="Times New Roman"/>
          <w:sz w:val="20"/>
          <w:szCs w:val="20"/>
        </w:rPr>
      </w:pPr>
      <w:r w:rsidRPr="00B3149D">
        <w:rPr>
          <w:rFonts w:cs="Times New Roman"/>
          <w:sz w:val="20"/>
          <w:szCs w:val="20"/>
        </w:rPr>
        <w:t>The motion for a stay of execution is granted. The disposition by Saunders J. of the Supreme Court of British Columbia dated December 18, 2019, regarding parenting time for the father, shall remain in effect.</w:t>
      </w:r>
    </w:p>
    <w:p w:rsidR="00C735A6" w:rsidRPr="00B3149D" w:rsidRDefault="00C735A6" w:rsidP="00C735A6">
      <w:pPr>
        <w:rPr>
          <w:rFonts w:cs="Times New Roman"/>
          <w:sz w:val="20"/>
          <w:szCs w:val="20"/>
        </w:rPr>
      </w:pPr>
    </w:p>
    <w:p w:rsidR="00C735A6" w:rsidRPr="00B3149D" w:rsidRDefault="00C735A6" w:rsidP="00C735A6">
      <w:pPr>
        <w:rPr>
          <w:rFonts w:cs="Times New Roman"/>
          <w:sz w:val="20"/>
          <w:szCs w:val="20"/>
        </w:rPr>
      </w:pPr>
      <w:r w:rsidRPr="00B3149D">
        <w:rPr>
          <w:rFonts w:cs="Times New Roman"/>
          <w:sz w:val="20"/>
          <w:szCs w:val="20"/>
        </w:rPr>
        <w:t>The consideration of the application for leave to appeal shall be expedited and the applicant shall serve and file the complete and compliant application for leave to appeal on or before March 1, 2021.</w:t>
      </w:r>
    </w:p>
    <w:p w:rsidR="00102792" w:rsidRPr="00B3149D" w:rsidRDefault="00102792" w:rsidP="00102792">
      <w:pPr>
        <w:spacing w:line="228" w:lineRule="auto"/>
        <w:rPr>
          <w:sz w:val="20"/>
        </w:rPr>
      </w:pPr>
    </w:p>
    <w:p w:rsidR="005967EF" w:rsidRPr="00B3149D" w:rsidRDefault="005967EF" w:rsidP="00102792">
      <w:pPr>
        <w:spacing w:line="228" w:lineRule="auto"/>
        <w:rPr>
          <w:sz w:val="20"/>
          <w:szCs w:val="20"/>
        </w:rPr>
      </w:pPr>
    </w:p>
    <w:p w:rsidR="00FC5519" w:rsidRPr="00B3149D" w:rsidRDefault="00FC5519" w:rsidP="00FC5519">
      <w:pPr>
        <w:rPr>
          <w:rFonts w:cs="Times New Roman"/>
          <w:sz w:val="20"/>
          <w:szCs w:val="20"/>
          <w:lang w:val="fr-CA"/>
        </w:rPr>
      </w:pPr>
      <w:r w:rsidRPr="00B3149D">
        <w:rPr>
          <w:rFonts w:cs="Times New Roman"/>
          <w:b/>
          <w:bCs/>
          <w:sz w:val="20"/>
          <w:szCs w:val="20"/>
          <w:lang w:val="fr-CA"/>
        </w:rPr>
        <w:t xml:space="preserve">À LA SUITE DE LA DEMANDE </w:t>
      </w:r>
      <w:r w:rsidRPr="00B3149D">
        <w:rPr>
          <w:rFonts w:cs="Times New Roman"/>
          <w:bCs/>
          <w:sz w:val="20"/>
          <w:szCs w:val="20"/>
          <w:lang w:val="fr-CA"/>
        </w:rPr>
        <w:t>présentée par la demanderesse</w:t>
      </w:r>
      <w:r w:rsidRPr="00B3149D">
        <w:rPr>
          <w:rFonts w:cs="Times New Roman"/>
          <w:sz w:val="20"/>
          <w:szCs w:val="20"/>
          <w:lang w:val="fr-CA"/>
        </w:rPr>
        <w:t xml:space="preserve">, en application du paragraphe 65.1 (1) de la </w:t>
      </w:r>
      <w:r w:rsidRPr="00B3149D">
        <w:rPr>
          <w:rFonts w:cs="Times New Roman"/>
          <w:i/>
          <w:iCs/>
          <w:sz w:val="20"/>
          <w:szCs w:val="20"/>
          <w:lang w:val="fr-CA"/>
        </w:rPr>
        <w:t>Loi sur la Cour suprême</w:t>
      </w:r>
      <w:r w:rsidRPr="00B3149D">
        <w:rPr>
          <w:rFonts w:cs="Times New Roman"/>
          <w:sz w:val="20"/>
          <w:szCs w:val="20"/>
          <w:lang w:val="fr-CA"/>
        </w:rPr>
        <w:t xml:space="preserve"> et de l’article 62 des </w:t>
      </w:r>
      <w:r w:rsidRPr="00B3149D">
        <w:rPr>
          <w:rFonts w:cs="Times New Roman"/>
          <w:i/>
          <w:sz w:val="20"/>
          <w:szCs w:val="20"/>
          <w:lang w:val="fr-CA"/>
        </w:rPr>
        <w:t>Règles de la Cour suprême du Canada</w:t>
      </w:r>
      <w:r w:rsidRPr="00B3149D">
        <w:rPr>
          <w:rFonts w:cs="Times New Roman"/>
          <w:sz w:val="20"/>
          <w:szCs w:val="20"/>
          <w:lang w:val="fr-CA"/>
        </w:rPr>
        <w:t>, en vue d’un sursis d’exécution du jugement de la Cour d’appel de la Colombie-Britannique, n</w:t>
      </w:r>
      <w:r w:rsidRPr="00B3149D">
        <w:rPr>
          <w:rFonts w:cs="Times New Roman"/>
          <w:sz w:val="20"/>
          <w:szCs w:val="20"/>
          <w:vertAlign w:val="superscript"/>
          <w:lang w:val="fr-CA"/>
        </w:rPr>
        <w:t>o</w:t>
      </w:r>
      <w:r w:rsidRPr="00B3149D">
        <w:rPr>
          <w:rFonts w:cs="Times New Roman"/>
          <w:sz w:val="20"/>
          <w:szCs w:val="20"/>
          <w:lang w:val="fr-CA"/>
        </w:rPr>
        <w:t> CA46634, 2021 BCCA 11, daté du 13 janvier 2021, en attendant le rejet de la demande d’autorisation d’appel ou, si l’autorisation d’appel est accordée, en attendant qu’il soit statué sur l’appel,</w:t>
      </w:r>
      <w:r w:rsidRPr="00B3149D">
        <w:rPr>
          <w:sz w:val="20"/>
          <w:szCs w:val="20"/>
          <w:lang w:val="fr-CA"/>
        </w:rPr>
        <w:t xml:space="preserve"> </w:t>
      </w:r>
      <w:r w:rsidRPr="00B3149D">
        <w:rPr>
          <w:rFonts w:cs="Times New Roman"/>
          <w:sz w:val="20"/>
          <w:szCs w:val="20"/>
          <w:lang w:val="fr-CA"/>
        </w:rPr>
        <w:t>et en vue du traitement accéléré de la requête en sursis d’exécution;</w:t>
      </w:r>
    </w:p>
    <w:p w:rsidR="00FC5519" w:rsidRPr="00B3149D" w:rsidRDefault="00FC5519" w:rsidP="00FC5519">
      <w:pPr>
        <w:spacing w:line="233" w:lineRule="auto"/>
        <w:rPr>
          <w:rFonts w:cs="Times New Roman"/>
          <w:sz w:val="20"/>
          <w:szCs w:val="20"/>
          <w:lang w:val="fr-CA"/>
        </w:rPr>
      </w:pPr>
    </w:p>
    <w:p w:rsidR="00FC5519" w:rsidRPr="00B3149D" w:rsidRDefault="00FC5519" w:rsidP="00FC5519">
      <w:pPr>
        <w:spacing w:line="233" w:lineRule="auto"/>
        <w:rPr>
          <w:rFonts w:cs="Times New Roman"/>
          <w:bCs/>
          <w:sz w:val="20"/>
          <w:szCs w:val="20"/>
          <w:lang w:val="fr-CA"/>
        </w:rPr>
      </w:pPr>
      <w:r w:rsidRPr="00B3149D">
        <w:rPr>
          <w:rFonts w:cs="Times New Roman"/>
          <w:b/>
          <w:bCs/>
          <w:sz w:val="20"/>
          <w:szCs w:val="20"/>
          <w:lang w:val="fr-CA"/>
        </w:rPr>
        <w:t xml:space="preserve">ET APRÈS EXAMEN </w:t>
      </w:r>
      <w:r w:rsidRPr="00B3149D">
        <w:rPr>
          <w:rFonts w:cs="Times New Roman"/>
          <w:bCs/>
          <w:sz w:val="20"/>
          <w:szCs w:val="20"/>
          <w:lang w:val="fr-CA"/>
        </w:rPr>
        <w:t>des documents déposés;</w:t>
      </w:r>
    </w:p>
    <w:p w:rsidR="00FC5519" w:rsidRPr="00B3149D" w:rsidRDefault="00FC5519" w:rsidP="00FC5519">
      <w:pPr>
        <w:spacing w:line="233" w:lineRule="auto"/>
        <w:rPr>
          <w:rFonts w:cs="Times New Roman"/>
          <w:bCs/>
          <w:sz w:val="20"/>
          <w:szCs w:val="20"/>
          <w:lang w:val="fr-CA"/>
        </w:rPr>
      </w:pPr>
    </w:p>
    <w:p w:rsidR="00FC5519" w:rsidRPr="00B3149D" w:rsidRDefault="00FC5519" w:rsidP="00FC5519">
      <w:pPr>
        <w:spacing w:line="233" w:lineRule="auto"/>
        <w:rPr>
          <w:rFonts w:cs="Times New Roman"/>
          <w:b/>
          <w:bCs/>
          <w:sz w:val="20"/>
          <w:szCs w:val="20"/>
          <w:lang w:val="fr-CA"/>
        </w:rPr>
      </w:pPr>
      <w:r w:rsidRPr="00B3149D">
        <w:rPr>
          <w:rFonts w:cs="Times New Roman"/>
          <w:b/>
          <w:bCs/>
          <w:sz w:val="20"/>
          <w:szCs w:val="20"/>
          <w:lang w:val="fr-CA"/>
        </w:rPr>
        <w:t>IL EST PAR LA PRÉSENTE ORDONNÉ CE QUI SUIT :</w:t>
      </w:r>
    </w:p>
    <w:p w:rsidR="00FC5519" w:rsidRPr="00B3149D" w:rsidRDefault="00FC5519" w:rsidP="00FC5519">
      <w:pPr>
        <w:spacing w:line="233" w:lineRule="auto"/>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La requête en vue du traitement accéléré de la requête en sursis d’exécution est accueillie.</w:t>
      </w:r>
    </w:p>
    <w:p w:rsidR="00FC5519" w:rsidRPr="00B3149D" w:rsidRDefault="00FC5519" w:rsidP="00FC5519">
      <w:pPr>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La requête en sursis d’exécution est accueillie. Les conclusions du juge Saunders de la Cour suprême de la Colombie-Britannique en date du 18 décembre 2019, à l’égard du temps de parentage accordé au père, demeureront en vigueur.</w:t>
      </w:r>
    </w:p>
    <w:p w:rsidR="00FC5519" w:rsidRPr="00B3149D" w:rsidRDefault="00FC5519" w:rsidP="00FC5519">
      <w:pPr>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L’examen de la demande d’autorisation d’appel sera accéléré et la demanderesse devra signifier et déposer une demande d’autorisation d’appel complète et conforme aux dispositions applicables au plus tard le 1</w:t>
      </w:r>
      <w:r w:rsidRPr="00B3149D">
        <w:rPr>
          <w:rFonts w:cs="Times New Roman"/>
          <w:sz w:val="20"/>
          <w:szCs w:val="20"/>
          <w:vertAlign w:val="superscript"/>
          <w:lang w:val="fr-CA"/>
        </w:rPr>
        <w:t>er</w:t>
      </w:r>
      <w:r w:rsidRPr="00B3149D">
        <w:rPr>
          <w:rFonts w:cs="Times New Roman"/>
          <w:sz w:val="20"/>
          <w:szCs w:val="20"/>
          <w:lang w:val="fr-CA"/>
        </w:rPr>
        <w:t xml:space="preserve"> mars 2021.</w:t>
      </w:r>
    </w:p>
    <w:p w:rsidR="00102792" w:rsidRPr="00B3149D" w:rsidRDefault="00102792" w:rsidP="00102792">
      <w:pPr>
        <w:spacing w:line="232" w:lineRule="auto"/>
        <w:rPr>
          <w:rFonts w:cs="Times New Roman"/>
          <w:sz w:val="20"/>
          <w:lang w:val="fr-CA"/>
        </w:rPr>
      </w:pPr>
    </w:p>
    <w:p w:rsidR="00102792" w:rsidRPr="00B3149D" w:rsidRDefault="00E51866"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5967EF" w:rsidRPr="00B3149D" w:rsidRDefault="005967EF" w:rsidP="00102792">
      <w:pPr>
        <w:rPr>
          <w:rFonts w:eastAsia="Times New Roman" w:cs="Times New Roman"/>
          <w:sz w:val="20"/>
          <w:szCs w:val="20"/>
          <w:lang w:val="fr-CA" w:eastAsia="en-CA"/>
        </w:rPr>
      </w:pPr>
    </w:p>
    <w:p w:rsidR="00102792" w:rsidRPr="00B3149D" w:rsidRDefault="00102792" w:rsidP="00102792">
      <w:pPr>
        <w:rPr>
          <w:rFonts w:eastAsia="Times New Roman" w:cs="Times New Roman"/>
          <w:sz w:val="20"/>
          <w:szCs w:val="20"/>
          <w:lang w:val="fr-CA" w:eastAsia="en-CA"/>
        </w:rPr>
      </w:pPr>
      <w:r w:rsidRPr="00B3149D">
        <w:rPr>
          <w:rFonts w:eastAsia="Times New Roman" w:cs="Times New Roman"/>
          <w:sz w:val="20"/>
          <w:szCs w:val="20"/>
          <w:lang w:val="fr-CA" w:eastAsia="en-CA"/>
        </w:rPr>
        <w:br w:type="page"/>
      </w:r>
    </w:p>
    <w:p w:rsidR="008859F1" w:rsidRPr="00B3149D" w:rsidRDefault="00FC5519" w:rsidP="008859F1">
      <w:pPr>
        <w:rPr>
          <w:b/>
          <w:sz w:val="20"/>
          <w:szCs w:val="20"/>
        </w:rPr>
      </w:pPr>
      <w:r w:rsidRPr="00B3149D">
        <w:rPr>
          <w:b/>
          <w:sz w:val="20"/>
          <w:szCs w:val="20"/>
        </w:rPr>
        <w:lastRenderedPageBreak/>
        <w:t>FEBRUARY</w:t>
      </w:r>
      <w:r w:rsidR="008859F1" w:rsidRPr="00B3149D">
        <w:rPr>
          <w:b/>
          <w:sz w:val="20"/>
          <w:szCs w:val="20"/>
        </w:rPr>
        <w:t xml:space="preserve"> </w:t>
      </w:r>
      <w:r w:rsidR="00691D1D" w:rsidRPr="00B3149D">
        <w:rPr>
          <w:b/>
          <w:sz w:val="20"/>
          <w:szCs w:val="20"/>
        </w:rPr>
        <w:t>1</w:t>
      </w:r>
      <w:r w:rsidR="009B36BA" w:rsidRPr="00B3149D">
        <w:rPr>
          <w:b/>
          <w:sz w:val="20"/>
          <w:szCs w:val="20"/>
        </w:rPr>
        <w:t>5</w:t>
      </w:r>
      <w:r w:rsidR="008859F1" w:rsidRPr="00B3149D">
        <w:rPr>
          <w:b/>
          <w:sz w:val="20"/>
          <w:szCs w:val="20"/>
        </w:rPr>
        <w:t>, 20</w:t>
      </w:r>
      <w:r w:rsidR="005967EF" w:rsidRPr="00B3149D">
        <w:rPr>
          <w:b/>
          <w:sz w:val="20"/>
          <w:szCs w:val="20"/>
        </w:rPr>
        <w:t>2</w:t>
      </w:r>
      <w:r w:rsidR="009B36BA" w:rsidRPr="00B3149D">
        <w:rPr>
          <w:b/>
          <w:sz w:val="20"/>
          <w:szCs w:val="20"/>
        </w:rPr>
        <w:t>1</w:t>
      </w:r>
      <w:r w:rsidR="008859F1" w:rsidRPr="00B3149D">
        <w:rPr>
          <w:b/>
          <w:sz w:val="20"/>
          <w:szCs w:val="20"/>
        </w:rPr>
        <w:t xml:space="preserve"> / LE </w:t>
      </w:r>
      <w:r w:rsidR="00691D1D" w:rsidRPr="00B3149D">
        <w:rPr>
          <w:b/>
          <w:sz w:val="20"/>
          <w:szCs w:val="20"/>
        </w:rPr>
        <w:t>1</w:t>
      </w:r>
      <w:r w:rsidR="009B36BA" w:rsidRPr="00B3149D">
        <w:rPr>
          <w:b/>
          <w:sz w:val="20"/>
          <w:szCs w:val="20"/>
        </w:rPr>
        <w:t>5</w:t>
      </w:r>
      <w:r w:rsidR="008859F1" w:rsidRPr="00B3149D">
        <w:rPr>
          <w:b/>
          <w:sz w:val="20"/>
          <w:szCs w:val="20"/>
        </w:rPr>
        <w:t xml:space="preserve"> </w:t>
      </w:r>
      <w:r w:rsidRPr="00B3149D">
        <w:rPr>
          <w:b/>
          <w:sz w:val="20"/>
          <w:szCs w:val="20"/>
        </w:rPr>
        <w:t>FÉVRIER</w:t>
      </w:r>
      <w:r w:rsidR="008859F1" w:rsidRPr="00B3149D">
        <w:rPr>
          <w:b/>
          <w:sz w:val="20"/>
          <w:szCs w:val="20"/>
        </w:rPr>
        <w:t xml:space="preserve"> 20</w:t>
      </w:r>
      <w:r w:rsidR="005967EF" w:rsidRPr="00B3149D">
        <w:rPr>
          <w:b/>
          <w:sz w:val="20"/>
          <w:szCs w:val="20"/>
        </w:rPr>
        <w:t>2</w:t>
      </w:r>
      <w:r w:rsidR="009B36BA" w:rsidRPr="00B3149D">
        <w:rPr>
          <w:b/>
          <w:sz w:val="20"/>
          <w:szCs w:val="20"/>
        </w:rPr>
        <w:t>1</w:t>
      </w:r>
    </w:p>
    <w:p w:rsidR="00102792" w:rsidRPr="00B3149D"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9873D4" w:rsidTr="00691D1D">
        <w:tc>
          <w:tcPr>
            <w:tcW w:w="4410" w:type="dxa"/>
            <w:tcBorders>
              <w:top w:val="nil"/>
              <w:left w:val="nil"/>
              <w:bottom w:val="nil"/>
              <w:right w:val="nil"/>
            </w:tcBorders>
          </w:tcPr>
          <w:p w:rsidR="00D93A6C" w:rsidRPr="00B3149D" w:rsidRDefault="00D93A6C" w:rsidP="00691D1D">
            <w:pPr>
              <w:jc w:val="both"/>
              <w:rPr>
                <w:rFonts w:cs="Times New Roman"/>
                <w:b/>
                <w:bCs/>
                <w:sz w:val="20"/>
                <w:szCs w:val="20"/>
                <w:lang w:val="en-US"/>
              </w:rPr>
            </w:pPr>
            <w:r w:rsidRPr="00B3149D">
              <w:rPr>
                <w:rFonts w:eastAsia="Times New Roman" w:cs="Times New Roman"/>
                <w:b/>
                <w:sz w:val="20"/>
                <w:szCs w:val="20"/>
                <w:lang w:val="en-US" w:eastAsia="en-CA"/>
              </w:rPr>
              <w:t xml:space="preserve">Motion </w:t>
            </w:r>
            <w:r w:rsidR="00FC5519" w:rsidRPr="00B3149D">
              <w:rPr>
                <w:rFonts w:eastAsia="Times New Roman" w:cs="Times New Roman"/>
                <w:b/>
                <w:sz w:val="20"/>
                <w:szCs w:val="20"/>
                <w:lang w:val="en-US" w:eastAsia="en-CA"/>
              </w:rPr>
              <w:t>to adjourn the hearing of the appeal</w:t>
            </w:r>
          </w:p>
        </w:tc>
        <w:tc>
          <w:tcPr>
            <w:tcW w:w="810" w:type="dxa"/>
            <w:tcBorders>
              <w:top w:val="nil"/>
              <w:left w:val="nil"/>
              <w:bottom w:val="nil"/>
              <w:right w:val="nil"/>
            </w:tcBorders>
          </w:tcPr>
          <w:p w:rsidR="00D93A6C" w:rsidRPr="00B3149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3149D" w:rsidRDefault="00D93A6C" w:rsidP="00691D1D">
            <w:pPr>
              <w:jc w:val="both"/>
              <w:rPr>
                <w:rFonts w:cs="Times New Roman"/>
                <w:b/>
                <w:bCs/>
                <w:sz w:val="20"/>
                <w:szCs w:val="20"/>
                <w:lang w:val="fr-CA"/>
              </w:rPr>
            </w:pPr>
            <w:r w:rsidRPr="00B3149D">
              <w:rPr>
                <w:rFonts w:eastAsia="Times New Roman" w:cs="Times New Roman"/>
                <w:b/>
                <w:sz w:val="20"/>
                <w:szCs w:val="20"/>
                <w:lang w:val="fr-CA" w:eastAsia="en-CA"/>
              </w:rPr>
              <w:t xml:space="preserve">Requête </w:t>
            </w:r>
            <w:r w:rsidR="00FC5519" w:rsidRPr="00B3149D">
              <w:rPr>
                <w:rFonts w:eastAsia="Times New Roman" w:cs="Times New Roman"/>
                <w:b/>
                <w:sz w:val="20"/>
                <w:szCs w:val="20"/>
                <w:lang w:val="fr-CA" w:eastAsia="en-CA"/>
              </w:rPr>
              <w:t>en ajournement d'audition d'appel</w:t>
            </w:r>
          </w:p>
        </w:tc>
      </w:tr>
    </w:tbl>
    <w:p w:rsidR="00102792" w:rsidRPr="00B3149D" w:rsidRDefault="00102792" w:rsidP="00102792">
      <w:pPr>
        <w:spacing w:line="232" w:lineRule="auto"/>
        <w:jc w:val="both"/>
        <w:rPr>
          <w:rFonts w:cs="Times New Roman"/>
          <w:sz w:val="20"/>
          <w:szCs w:val="24"/>
          <w:lang w:val="fr-CA"/>
        </w:rPr>
      </w:pPr>
    </w:p>
    <w:p w:rsidR="00E06F20" w:rsidRPr="00B3149D" w:rsidRDefault="00E06F20" w:rsidP="00102792">
      <w:pPr>
        <w:spacing w:line="232" w:lineRule="auto"/>
        <w:jc w:val="both"/>
        <w:rPr>
          <w:rFonts w:cs="Times New Roman"/>
          <w:sz w:val="20"/>
          <w:szCs w:val="20"/>
          <w:lang w:val="fr-CA"/>
        </w:rPr>
      </w:pPr>
    </w:p>
    <w:p w:rsidR="00FC5519" w:rsidRPr="00B3149D" w:rsidRDefault="00FC5519" w:rsidP="00FC5519">
      <w:pPr>
        <w:rPr>
          <w:rFonts w:cs="Times New Roman"/>
          <w:b/>
          <w:bCs/>
          <w:sz w:val="20"/>
          <w:szCs w:val="20"/>
        </w:rPr>
      </w:pPr>
      <w:r w:rsidRPr="00B3149D">
        <w:rPr>
          <w:rFonts w:cs="Times New Roman"/>
          <w:b/>
          <w:bCs/>
          <w:sz w:val="20"/>
          <w:szCs w:val="20"/>
        </w:rPr>
        <w:t>NORTHERN REGIONAL HEALTH AUTHORITY v. LINDA HORROCKS AND MANITOBA HUMAN RIGHTS COMMISSION</w:t>
      </w:r>
    </w:p>
    <w:p w:rsidR="00FC5519" w:rsidRPr="00B3149D" w:rsidRDefault="00FC5519" w:rsidP="00FC5519">
      <w:pPr>
        <w:rPr>
          <w:rFonts w:cs="Times New Roman"/>
          <w:sz w:val="20"/>
          <w:szCs w:val="20"/>
        </w:rPr>
      </w:pPr>
      <w:r w:rsidRPr="00B3149D">
        <w:rPr>
          <w:rFonts w:cs="Times New Roman"/>
          <w:sz w:val="20"/>
          <w:szCs w:val="20"/>
        </w:rPr>
        <w:t>(MAN.) (37878)</w:t>
      </w:r>
    </w:p>
    <w:p w:rsidR="00FC5519" w:rsidRPr="00B3149D" w:rsidRDefault="00FC5519" w:rsidP="00FC5519">
      <w:pPr>
        <w:rPr>
          <w:rFonts w:cs="Times New Roman"/>
          <w:sz w:val="20"/>
          <w:szCs w:val="20"/>
        </w:rPr>
      </w:pPr>
    </w:p>
    <w:p w:rsidR="00FC5519" w:rsidRPr="00B3149D" w:rsidRDefault="00FC5519" w:rsidP="00FC5519">
      <w:pPr>
        <w:rPr>
          <w:rFonts w:cs="Times New Roman"/>
          <w:b/>
          <w:bCs/>
          <w:sz w:val="20"/>
          <w:szCs w:val="20"/>
        </w:rPr>
      </w:pPr>
      <w:r w:rsidRPr="00B3149D">
        <w:rPr>
          <w:rFonts w:cs="Times New Roman"/>
          <w:b/>
          <w:bCs/>
          <w:sz w:val="20"/>
          <w:szCs w:val="20"/>
          <w:u w:val="single"/>
        </w:rPr>
        <w:t>THE CHIEF JUSTICE</w:t>
      </w:r>
      <w:r w:rsidRPr="00B3149D">
        <w:rPr>
          <w:rFonts w:cs="Times New Roman"/>
          <w:b/>
          <w:bCs/>
          <w:sz w:val="20"/>
          <w:szCs w:val="20"/>
        </w:rPr>
        <w:t>:</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r w:rsidRPr="00B3149D">
        <w:rPr>
          <w:rFonts w:eastAsia="Times New Roman" w:cs="Times New Roman"/>
          <w:b/>
          <w:bCs/>
          <w:sz w:val="20"/>
          <w:szCs w:val="20"/>
          <w:lang w:eastAsia="en-CA"/>
        </w:rPr>
        <w:t>UPON APPLICATION</w:t>
      </w:r>
      <w:r w:rsidRPr="00B3149D">
        <w:rPr>
          <w:rFonts w:cs="Times New Roman"/>
          <w:sz w:val="20"/>
          <w:szCs w:val="20"/>
        </w:rPr>
        <w:t xml:space="preserve"> by the appellant, Northern Regional Health Authority, for an adjournment of the hearing scheduled for February 16, 2021, pursuant to Rule 7 of the </w:t>
      </w:r>
      <w:r w:rsidRPr="00B3149D">
        <w:rPr>
          <w:rFonts w:cs="Times New Roman"/>
          <w:i/>
          <w:sz w:val="20"/>
          <w:szCs w:val="20"/>
        </w:rPr>
        <w:t xml:space="preserve">Rules of the Supreme Court of Canada, </w:t>
      </w:r>
      <w:r w:rsidRPr="00B3149D">
        <w:rPr>
          <w:rFonts w:cs="Times New Roman"/>
          <w:sz w:val="20"/>
          <w:szCs w:val="20"/>
        </w:rPr>
        <w:t>and for an order to expedite the motion to adjourn the hearing of the appeal;</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r w:rsidRPr="00B3149D">
        <w:rPr>
          <w:rFonts w:eastAsia="Times New Roman" w:cs="Times New Roman"/>
          <w:b/>
          <w:bCs/>
          <w:sz w:val="20"/>
          <w:szCs w:val="20"/>
          <w:lang w:eastAsia="en-CA"/>
        </w:rPr>
        <w:t>AND NOTING</w:t>
      </w:r>
      <w:r w:rsidRPr="00B3149D">
        <w:rPr>
          <w:b/>
          <w:bCs/>
          <w:sz w:val="20"/>
          <w:szCs w:val="20"/>
        </w:rPr>
        <w:t xml:space="preserve"> </w:t>
      </w:r>
      <w:r w:rsidRPr="00B3149D">
        <w:rPr>
          <w:rFonts w:cs="Times New Roman"/>
          <w:sz w:val="20"/>
          <w:szCs w:val="20"/>
        </w:rPr>
        <w:t>the consent of the respondents;</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r w:rsidRPr="00B3149D">
        <w:rPr>
          <w:rFonts w:eastAsia="Times New Roman" w:cs="Times New Roman"/>
          <w:b/>
          <w:bCs/>
          <w:sz w:val="20"/>
          <w:szCs w:val="20"/>
          <w:lang w:eastAsia="en-CA"/>
        </w:rPr>
        <w:t>AND THE MATERIAL FILED</w:t>
      </w:r>
      <w:r w:rsidRPr="00B3149D">
        <w:rPr>
          <w:rFonts w:cs="Times New Roman"/>
          <w:sz w:val="20"/>
          <w:szCs w:val="20"/>
        </w:rPr>
        <w:t xml:space="preserve"> having been read;</w:t>
      </w:r>
    </w:p>
    <w:p w:rsidR="00FC5519" w:rsidRPr="00B3149D" w:rsidRDefault="00FC5519" w:rsidP="00FC5519">
      <w:pPr>
        <w:rPr>
          <w:rFonts w:cs="Times New Roman"/>
          <w:sz w:val="20"/>
          <w:szCs w:val="20"/>
        </w:rPr>
      </w:pPr>
    </w:p>
    <w:p w:rsidR="00FC5519" w:rsidRPr="00B3149D" w:rsidRDefault="00FC5519" w:rsidP="00FC5519">
      <w:pPr>
        <w:rPr>
          <w:rFonts w:eastAsia="Times New Roman" w:cs="Times New Roman"/>
          <w:b/>
          <w:bCs/>
          <w:sz w:val="20"/>
          <w:szCs w:val="20"/>
          <w:lang w:eastAsia="en-CA"/>
        </w:rPr>
      </w:pPr>
      <w:r w:rsidRPr="00B3149D">
        <w:rPr>
          <w:rFonts w:eastAsia="Times New Roman" w:cs="Times New Roman"/>
          <w:b/>
          <w:bCs/>
          <w:sz w:val="20"/>
          <w:szCs w:val="20"/>
          <w:lang w:eastAsia="en-CA"/>
        </w:rPr>
        <w:t>IT IS HEREBY ORDERED THAT:</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r w:rsidRPr="00B3149D">
        <w:rPr>
          <w:rFonts w:cs="Times New Roman"/>
          <w:sz w:val="20"/>
          <w:szCs w:val="20"/>
        </w:rPr>
        <w:t>The motions are granted.</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r w:rsidRPr="00B3149D">
        <w:rPr>
          <w:rFonts w:cs="Times New Roman"/>
          <w:sz w:val="20"/>
          <w:szCs w:val="20"/>
        </w:rPr>
        <w:t xml:space="preserve">The hearing is adjourned and the appeal is traversed to the 2021 </w:t>
      </w:r>
      <w:proofErr w:type="gramStart"/>
      <w:r w:rsidRPr="00B3149D">
        <w:rPr>
          <w:rFonts w:cs="Times New Roman"/>
          <w:sz w:val="20"/>
          <w:szCs w:val="20"/>
        </w:rPr>
        <w:t>Spring</w:t>
      </w:r>
      <w:proofErr w:type="gramEnd"/>
      <w:r w:rsidRPr="00B3149D">
        <w:rPr>
          <w:rFonts w:cs="Times New Roman"/>
          <w:sz w:val="20"/>
          <w:szCs w:val="20"/>
        </w:rPr>
        <w:t xml:space="preserve"> session.</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lang w:val="fr-CA"/>
        </w:rPr>
      </w:pPr>
      <w:r w:rsidRPr="00B3149D">
        <w:rPr>
          <w:rFonts w:eastAsia="Times New Roman" w:cs="Times New Roman"/>
          <w:b/>
          <w:bCs/>
          <w:sz w:val="20"/>
          <w:szCs w:val="20"/>
          <w:lang w:val="fr-CA" w:eastAsia="en-CA"/>
        </w:rPr>
        <w:t xml:space="preserve">À LA SUITE DE LA DEMANDE </w:t>
      </w:r>
      <w:r w:rsidRPr="00B3149D">
        <w:rPr>
          <w:rFonts w:eastAsia="Times New Roman" w:cs="Times New Roman"/>
          <w:bCs/>
          <w:sz w:val="20"/>
          <w:szCs w:val="20"/>
          <w:lang w:val="fr-CA" w:eastAsia="en-CA"/>
        </w:rPr>
        <w:t>présentée par l’appelant, l’Office régional de la santé du Nord, en ajournement de l’audition de l’appel</w:t>
      </w:r>
      <w:r w:rsidRPr="00B3149D">
        <w:rPr>
          <w:rFonts w:cs="Times New Roman"/>
          <w:sz w:val="20"/>
          <w:szCs w:val="20"/>
          <w:lang w:val="fr-CA"/>
        </w:rPr>
        <w:t xml:space="preserve"> prévue le 16 février 2021, en application de l’art. 7 des </w:t>
      </w:r>
      <w:r w:rsidRPr="00B3149D">
        <w:rPr>
          <w:rFonts w:cs="Times New Roman"/>
          <w:i/>
          <w:sz w:val="20"/>
          <w:szCs w:val="20"/>
          <w:lang w:val="fr-CA"/>
        </w:rPr>
        <w:t xml:space="preserve">Règles de la Cour suprême du Canada, </w:t>
      </w:r>
      <w:r w:rsidRPr="00B3149D">
        <w:rPr>
          <w:rFonts w:cs="Times New Roman"/>
          <w:sz w:val="20"/>
          <w:szCs w:val="20"/>
          <w:lang w:val="fr-CA"/>
        </w:rPr>
        <w:t>et en vue du traitement accéléré de la requête en ajournement de l’audition de l’appel;</w:t>
      </w:r>
    </w:p>
    <w:p w:rsidR="00FC5519" w:rsidRPr="00B3149D" w:rsidRDefault="00FC5519" w:rsidP="00FC5519">
      <w:pPr>
        <w:rPr>
          <w:rFonts w:cs="Times New Roman"/>
          <w:sz w:val="20"/>
          <w:szCs w:val="20"/>
          <w:lang w:val="fr-CA"/>
        </w:rPr>
      </w:pPr>
    </w:p>
    <w:p w:rsidR="00FC5519" w:rsidRPr="00B3149D" w:rsidRDefault="00FC5519" w:rsidP="00FC5519">
      <w:pPr>
        <w:rPr>
          <w:rFonts w:cs="Times New Roman"/>
          <w:sz w:val="20"/>
          <w:szCs w:val="20"/>
          <w:lang w:val="fr-CA"/>
        </w:rPr>
      </w:pPr>
      <w:r w:rsidRPr="00B3149D">
        <w:rPr>
          <w:rFonts w:eastAsia="Times New Roman" w:cs="Times New Roman"/>
          <w:b/>
          <w:bCs/>
          <w:sz w:val="20"/>
          <w:szCs w:val="20"/>
          <w:lang w:val="fr-CA" w:eastAsia="en-CA"/>
        </w:rPr>
        <w:t xml:space="preserve">ET COMPTE TENU </w:t>
      </w:r>
      <w:r w:rsidRPr="00B3149D">
        <w:rPr>
          <w:rFonts w:eastAsia="Times New Roman" w:cs="Times New Roman"/>
          <w:bCs/>
          <w:sz w:val="20"/>
          <w:szCs w:val="20"/>
          <w:lang w:val="fr-CA" w:eastAsia="en-CA"/>
        </w:rPr>
        <w:t>du consentement des intimées</w:t>
      </w:r>
      <w:r w:rsidRPr="00B3149D">
        <w:rPr>
          <w:rFonts w:cs="Times New Roman"/>
          <w:sz w:val="20"/>
          <w:szCs w:val="20"/>
          <w:lang w:val="fr-CA"/>
        </w:rPr>
        <w:t>;</w:t>
      </w:r>
    </w:p>
    <w:p w:rsidR="00FC5519" w:rsidRPr="00B3149D" w:rsidRDefault="00FC5519" w:rsidP="00FC5519">
      <w:pPr>
        <w:rPr>
          <w:rFonts w:cs="Times New Roman"/>
          <w:sz w:val="20"/>
          <w:szCs w:val="20"/>
          <w:lang w:val="fr-CA"/>
        </w:rPr>
      </w:pPr>
    </w:p>
    <w:p w:rsidR="00FC5519" w:rsidRPr="00B3149D" w:rsidRDefault="00FC5519" w:rsidP="00FC5519">
      <w:pPr>
        <w:rPr>
          <w:rFonts w:eastAsia="Times New Roman" w:cs="Times New Roman"/>
          <w:b/>
          <w:bCs/>
          <w:sz w:val="20"/>
          <w:szCs w:val="20"/>
          <w:lang w:val="fr-CA" w:eastAsia="en-CA"/>
        </w:rPr>
      </w:pPr>
      <w:r w:rsidRPr="00B3149D">
        <w:rPr>
          <w:rFonts w:eastAsia="Times New Roman" w:cs="Times New Roman"/>
          <w:b/>
          <w:bCs/>
          <w:sz w:val="20"/>
          <w:szCs w:val="20"/>
          <w:lang w:val="fr-CA" w:eastAsia="en-CA"/>
        </w:rPr>
        <w:t xml:space="preserve">ET APRÈS EXAMEN </w:t>
      </w:r>
      <w:r w:rsidRPr="00B3149D">
        <w:rPr>
          <w:rFonts w:eastAsia="Times New Roman" w:cs="Times New Roman"/>
          <w:bCs/>
          <w:sz w:val="20"/>
          <w:szCs w:val="20"/>
          <w:lang w:val="fr-CA" w:eastAsia="en-CA"/>
        </w:rPr>
        <w:t>des documents déposés;</w:t>
      </w:r>
    </w:p>
    <w:p w:rsidR="00FC5519" w:rsidRPr="00B3149D" w:rsidRDefault="00FC5519" w:rsidP="00FC5519">
      <w:pPr>
        <w:rPr>
          <w:rFonts w:eastAsia="Times New Roman" w:cs="Times New Roman"/>
          <w:bCs/>
          <w:sz w:val="20"/>
          <w:szCs w:val="20"/>
          <w:lang w:val="fr-CA" w:eastAsia="en-CA"/>
        </w:rPr>
      </w:pPr>
    </w:p>
    <w:p w:rsidR="00FC5519" w:rsidRPr="00B3149D" w:rsidRDefault="00FC5519" w:rsidP="00FC5519">
      <w:pPr>
        <w:rPr>
          <w:rFonts w:eastAsia="Times New Roman" w:cs="Times New Roman"/>
          <w:b/>
          <w:bCs/>
          <w:sz w:val="20"/>
          <w:szCs w:val="20"/>
          <w:lang w:val="fr-CA" w:eastAsia="en-CA"/>
        </w:rPr>
      </w:pPr>
      <w:r w:rsidRPr="00B3149D">
        <w:rPr>
          <w:rFonts w:eastAsia="Times New Roman" w:cs="Times New Roman"/>
          <w:b/>
          <w:bCs/>
          <w:sz w:val="20"/>
          <w:szCs w:val="20"/>
          <w:lang w:val="fr-CA" w:eastAsia="en-CA"/>
        </w:rPr>
        <w:t>IL EST PAR LA PRÉSENTE ORDONNÉ CE QUI SUIT :</w:t>
      </w:r>
    </w:p>
    <w:p w:rsidR="00FC5519" w:rsidRPr="00B3149D" w:rsidRDefault="00FC5519" w:rsidP="00FC5519">
      <w:pPr>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Les requêtes sont accueillies.</w:t>
      </w:r>
    </w:p>
    <w:p w:rsidR="00FC5519" w:rsidRPr="00B3149D" w:rsidRDefault="00FC5519" w:rsidP="00FC5519">
      <w:pPr>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L’audition de l’appel est ajournée et l’appel est repoussé à la session du printemps 2021.</w:t>
      </w:r>
    </w:p>
    <w:p w:rsidR="00102792" w:rsidRPr="00B3149D" w:rsidRDefault="00102792" w:rsidP="00102792">
      <w:pPr>
        <w:widowControl w:val="0"/>
        <w:rPr>
          <w:rFonts w:eastAsia="Times New Roman" w:cs="Times New Roman"/>
          <w:sz w:val="20"/>
          <w:szCs w:val="20"/>
          <w:lang w:val="fr-CA" w:eastAsia="en-CA"/>
        </w:rPr>
      </w:pPr>
    </w:p>
    <w:p w:rsidR="00CA2DEA" w:rsidRPr="00B3149D" w:rsidRDefault="00E51866"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CA2DEA" w:rsidRPr="00B3149D" w:rsidRDefault="00CA2DEA" w:rsidP="00CA2DEA">
      <w:pPr>
        <w:widowControl w:val="0"/>
        <w:rPr>
          <w:rFonts w:eastAsia="Times New Roman" w:cs="Times New Roman"/>
          <w:sz w:val="20"/>
          <w:szCs w:val="20"/>
          <w:lang w:val="en-US" w:eastAsia="en-CA"/>
        </w:rPr>
      </w:pPr>
    </w:p>
    <w:p w:rsidR="00FC5519" w:rsidRPr="00B3149D" w:rsidRDefault="00FC5519">
      <w:pPr>
        <w:rPr>
          <w:rFonts w:eastAsia="Times New Roman" w:cs="Times New Roman"/>
          <w:sz w:val="20"/>
          <w:szCs w:val="20"/>
          <w:lang w:val="en-US" w:eastAsia="en-CA"/>
        </w:rPr>
      </w:pPr>
      <w:r w:rsidRPr="00B3149D">
        <w:rPr>
          <w:rFonts w:eastAsia="Times New Roman" w:cs="Times New Roman"/>
          <w:sz w:val="20"/>
          <w:szCs w:val="20"/>
          <w:lang w:val="en-US" w:eastAsia="en-CA"/>
        </w:rPr>
        <w:br w:type="page"/>
      </w:r>
    </w:p>
    <w:p w:rsidR="00FC5519" w:rsidRPr="00B3149D" w:rsidRDefault="00FC5519" w:rsidP="00FC5519">
      <w:pPr>
        <w:rPr>
          <w:b/>
          <w:sz w:val="20"/>
          <w:szCs w:val="20"/>
        </w:rPr>
      </w:pPr>
      <w:r w:rsidRPr="00B3149D">
        <w:rPr>
          <w:b/>
          <w:sz w:val="20"/>
          <w:szCs w:val="20"/>
        </w:rPr>
        <w:lastRenderedPageBreak/>
        <w:t>FEBRUARY 15, 2021 / LE 15 FÉVRIER 2021</w:t>
      </w:r>
    </w:p>
    <w:p w:rsidR="00FC5519" w:rsidRPr="00B3149D" w:rsidRDefault="00FC5519" w:rsidP="00FC5519">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FC5519" w:rsidRPr="009873D4" w:rsidTr="00FC5519">
        <w:tc>
          <w:tcPr>
            <w:tcW w:w="4410" w:type="dxa"/>
            <w:tcBorders>
              <w:top w:val="nil"/>
              <w:left w:val="nil"/>
              <w:bottom w:val="nil"/>
              <w:right w:val="nil"/>
            </w:tcBorders>
          </w:tcPr>
          <w:p w:rsidR="00FC5519" w:rsidRPr="00B3149D" w:rsidRDefault="00FC5519" w:rsidP="00FC5519">
            <w:pPr>
              <w:jc w:val="both"/>
              <w:rPr>
                <w:rFonts w:cs="Times New Roman"/>
                <w:b/>
                <w:bCs/>
                <w:sz w:val="20"/>
                <w:szCs w:val="20"/>
                <w:lang w:val="en-US"/>
              </w:rPr>
            </w:pPr>
            <w:r w:rsidRPr="00B3149D">
              <w:rPr>
                <w:rFonts w:eastAsia="Times New Roman" w:cs="Times New Roman"/>
                <w:b/>
                <w:sz w:val="20"/>
                <w:szCs w:val="20"/>
                <w:lang w:val="en-US" w:eastAsia="en-CA"/>
              </w:rPr>
              <w:t>Motion to expedite the applications for leave to appeal</w:t>
            </w:r>
          </w:p>
        </w:tc>
        <w:tc>
          <w:tcPr>
            <w:tcW w:w="810" w:type="dxa"/>
            <w:tcBorders>
              <w:top w:val="nil"/>
              <w:left w:val="nil"/>
              <w:bottom w:val="nil"/>
              <w:right w:val="nil"/>
            </w:tcBorders>
          </w:tcPr>
          <w:p w:rsidR="00FC5519" w:rsidRPr="00B3149D" w:rsidRDefault="00FC5519" w:rsidP="00FC5519">
            <w:pPr>
              <w:jc w:val="both"/>
              <w:rPr>
                <w:rFonts w:cs="Times New Roman"/>
                <w:b/>
                <w:bCs/>
                <w:sz w:val="20"/>
                <w:szCs w:val="20"/>
                <w:lang w:val="en-US"/>
              </w:rPr>
            </w:pPr>
          </w:p>
        </w:tc>
        <w:tc>
          <w:tcPr>
            <w:tcW w:w="4399" w:type="dxa"/>
            <w:tcBorders>
              <w:top w:val="nil"/>
              <w:left w:val="nil"/>
              <w:bottom w:val="nil"/>
              <w:right w:val="nil"/>
            </w:tcBorders>
          </w:tcPr>
          <w:p w:rsidR="00FC5519" w:rsidRPr="00B3149D" w:rsidRDefault="00FC5519" w:rsidP="00FC5519">
            <w:pPr>
              <w:jc w:val="both"/>
              <w:rPr>
                <w:rFonts w:cs="Times New Roman"/>
                <w:b/>
                <w:bCs/>
                <w:sz w:val="20"/>
                <w:szCs w:val="20"/>
                <w:lang w:val="fr-CA"/>
              </w:rPr>
            </w:pPr>
            <w:r w:rsidRPr="00B3149D">
              <w:rPr>
                <w:rFonts w:eastAsia="Times New Roman" w:cs="Times New Roman"/>
                <w:b/>
                <w:sz w:val="20"/>
                <w:szCs w:val="20"/>
                <w:lang w:val="fr-CA" w:eastAsia="en-CA"/>
              </w:rPr>
              <w:t>Requête pour accélérer les demandes d'autorisation d'appel</w:t>
            </w:r>
          </w:p>
        </w:tc>
      </w:tr>
    </w:tbl>
    <w:p w:rsidR="00FC5519" w:rsidRPr="00B3149D" w:rsidRDefault="00FC5519" w:rsidP="00FC5519">
      <w:pPr>
        <w:spacing w:line="232" w:lineRule="auto"/>
        <w:jc w:val="both"/>
        <w:rPr>
          <w:rFonts w:cs="Times New Roman"/>
          <w:sz w:val="20"/>
          <w:szCs w:val="20"/>
          <w:lang w:val="fr-CA"/>
        </w:rPr>
      </w:pPr>
    </w:p>
    <w:p w:rsidR="00FC5519" w:rsidRPr="00B3149D" w:rsidRDefault="00FC5519" w:rsidP="00FC5519">
      <w:pPr>
        <w:spacing w:line="232" w:lineRule="auto"/>
        <w:jc w:val="both"/>
        <w:rPr>
          <w:rFonts w:cs="Times New Roman"/>
          <w:sz w:val="20"/>
          <w:szCs w:val="20"/>
          <w:lang w:val="fr-CA"/>
        </w:rPr>
      </w:pPr>
    </w:p>
    <w:p w:rsidR="00FC5519" w:rsidRPr="00B3149D" w:rsidRDefault="00FC5519" w:rsidP="00FC5519">
      <w:pPr>
        <w:jc w:val="both"/>
        <w:rPr>
          <w:rFonts w:cs="Times New Roman"/>
          <w:b/>
          <w:bCs/>
          <w:caps/>
          <w:sz w:val="20"/>
          <w:szCs w:val="20"/>
        </w:rPr>
      </w:pPr>
      <w:r w:rsidRPr="00B3149D">
        <w:rPr>
          <w:rFonts w:cs="Times New Roman"/>
          <w:b/>
          <w:bCs/>
          <w:caps/>
          <w:sz w:val="20"/>
          <w:szCs w:val="20"/>
        </w:rPr>
        <w:t xml:space="preserve">BridgeMark Financial Corp., Jackson &amp; Company Professional Corp., Anthony Kevin Jackson and Kootenay Zinc Corp. </w:t>
      </w:r>
      <w:r w:rsidRPr="00B3149D">
        <w:rPr>
          <w:rFonts w:cs="Times New Roman"/>
          <w:b/>
          <w:bCs/>
          <w:sz w:val="20"/>
          <w:szCs w:val="20"/>
        </w:rPr>
        <w:t>v</w:t>
      </w:r>
      <w:r w:rsidRPr="00B3149D">
        <w:rPr>
          <w:rFonts w:cs="Times New Roman"/>
          <w:b/>
          <w:bCs/>
          <w:caps/>
          <w:sz w:val="20"/>
          <w:szCs w:val="20"/>
        </w:rPr>
        <w:t xml:space="preserve">. British Columbia Securities Commission, Executive Director of the British Columbia Securities Commission, Lukor Capital Corp., Justin Edgar Liu, Rockshore Advisors Ltd. (formerly known as Cam Paddock Enterprises Inc.), Cameron Robert Paddock, Simran Singh Gill, JCN Capital Corp., John Rosarino Bevilacqua, Essos Corporate Services Inc., Sway Capital Corp., Von Rowell Torres, David Matthew Schmidt, Detona Capital Corp., Danilen Villanueva,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Affinor Growers Inc., Beleave Inc., Liht Cannabis Corp. (formerly known as Marapharm Ventures Inc.), PreveCeutical Medical Inc., Speakeasy Cannabis Club Ltd., Abattis Bioceuticals Corp. </w:t>
      </w:r>
      <w:r w:rsidRPr="00B3149D">
        <w:rPr>
          <w:rFonts w:cs="Times New Roman"/>
          <w:b/>
          <w:bCs/>
          <w:sz w:val="20"/>
          <w:szCs w:val="20"/>
        </w:rPr>
        <w:t>AND</w:t>
      </w:r>
      <w:r w:rsidRPr="00B3149D">
        <w:rPr>
          <w:rFonts w:cs="Times New Roman"/>
          <w:b/>
          <w:bCs/>
          <w:caps/>
          <w:sz w:val="20"/>
          <w:szCs w:val="20"/>
        </w:rPr>
        <w:t xml:space="preserve"> Camp Fiorante Matthews Mogerman LLP</w:t>
      </w:r>
    </w:p>
    <w:p w:rsidR="00FC5519" w:rsidRPr="00B3149D" w:rsidRDefault="00FC5519" w:rsidP="00FC5519">
      <w:pPr>
        <w:rPr>
          <w:rFonts w:cs="Times New Roman"/>
          <w:b/>
          <w:bCs/>
          <w:caps/>
          <w:sz w:val="20"/>
          <w:szCs w:val="20"/>
        </w:rPr>
      </w:pPr>
      <w:r w:rsidRPr="00B3149D">
        <w:rPr>
          <w:rFonts w:cs="Times New Roman"/>
          <w:bCs/>
          <w:sz w:val="20"/>
          <w:szCs w:val="20"/>
        </w:rPr>
        <w:t xml:space="preserve">(B.C.) (39520) </w:t>
      </w:r>
    </w:p>
    <w:p w:rsidR="00FC5519" w:rsidRPr="00B3149D" w:rsidRDefault="00FC5519" w:rsidP="00FC5519">
      <w:pPr>
        <w:rPr>
          <w:rFonts w:cs="Times New Roman"/>
          <w:bCs/>
          <w:sz w:val="20"/>
          <w:szCs w:val="20"/>
        </w:rPr>
      </w:pPr>
    </w:p>
    <w:p w:rsidR="00FC5519" w:rsidRPr="00B3149D" w:rsidRDefault="00FC5519" w:rsidP="00FC5519">
      <w:pPr>
        <w:rPr>
          <w:rFonts w:cs="Times New Roman"/>
          <w:bCs/>
          <w:sz w:val="20"/>
          <w:szCs w:val="20"/>
        </w:rPr>
      </w:pPr>
      <w:proofErr w:type="gramStart"/>
      <w:r w:rsidRPr="00B3149D">
        <w:rPr>
          <w:rFonts w:cs="Times New Roman"/>
          <w:bCs/>
          <w:sz w:val="20"/>
          <w:szCs w:val="20"/>
        </w:rPr>
        <w:t>and</w:t>
      </w:r>
      <w:proofErr w:type="gramEnd"/>
    </w:p>
    <w:p w:rsidR="00FC5519" w:rsidRPr="00B3149D" w:rsidRDefault="00FC5519" w:rsidP="00FC5519">
      <w:pPr>
        <w:rPr>
          <w:rFonts w:cs="Times New Roman"/>
          <w:bCs/>
          <w:sz w:val="20"/>
          <w:szCs w:val="20"/>
        </w:rPr>
      </w:pPr>
    </w:p>
    <w:p w:rsidR="00FC5519" w:rsidRPr="00B3149D" w:rsidRDefault="00FC5519" w:rsidP="00FC5519">
      <w:pPr>
        <w:jc w:val="both"/>
        <w:rPr>
          <w:rFonts w:cs="Times New Roman"/>
          <w:b/>
          <w:bCs/>
          <w:caps/>
          <w:sz w:val="20"/>
          <w:szCs w:val="20"/>
        </w:rPr>
      </w:pPr>
      <w:r w:rsidRPr="00B3149D">
        <w:rPr>
          <w:rFonts w:cs="Times New Roman"/>
          <w:b/>
          <w:bCs/>
          <w:caps/>
          <w:sz w:val="20"/>
          <w:szCs w:val="20"/>
        </w:rPr>
        <w:t xml:space="preserve">Justin Edgar Liu </w:t>
      </w:r>
      <w:r w:rsidRPr="00B3149D">
        <w:rPr>
          <w:rFonts w:cs="Times New Roman"/>
          <w:b/>
          <w:bCs/>
          <w:sz w:val="20"/>
          <w:szCs w:val="20"/>
        </w:rPr>
        <w:t>AND</w:t>
      </w:r>
      <w:r w:rsidRPr="00B3149D">
        <w:rPr>
          <w:rFonts w:cs="Times New Roman"/>
          <w:b/>
          <w:bCs/>
          <w:caps/>
          <w:sz w:val="20"/>
          <w:szCs w:val="20"/>
        </w:rPr>
        <w:t xml:space="preserve"> Lukor Capital Corp. </w:t>
      </w:r>
      <w:r w:rsidRPr="00B3149D">
        <w:rPr>
          <w:rFonts w:cs="Times New Roman"/>
          <w:b/>
          <w:bCs/>
          <w:sz w:val="20"/>
          <w:szCs w:val="20"/>
        </w:rPr>
        <w:t>v.</w:t>
      </w:r>
      <w:r w:rsidRPr="00B3149D">
        <w:rPr>
          <w:rFonts w:cs="Times New Roman"/>
          <w:b/>
          <w:bCs/>
          <w:caps/>
          <w:sz w:val="20"/>
          <w:szCs w:val="20"/>
        </w:rPr>
        <w:t xml:space="preserve"> British Columbia Securities Commission, Executive Director of the British Columbia Securities Commission, Bridgemark Financial Corp., Jackson &amp; Company Professional Corp., Anthony Kevin Jackson, Rockshore Advisors Ltd. (Formerly known as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(Formerly known as Marapharm Ventures Inc.), Preveceutical Medical Inc., Speakeasy Cannabis Club Ltd., Abbatis Bioceuticals Corp. </w:t>
      </w:r>
      <w:r w:rsidRPr="00B3149D">
        <w:rPr>
          <w:rFonts w:cs="Times New Roman"/>
          <w:b/>
          <w:bCs/>
          <w:sz w:val="20"/>
          <w:szCs w:val="20"/>
        </w:rPr>
        <w:t xml:space="preserve">AND </w:t>
      </w:r>
      <w:r w:rsidRPr="00B3149D">
        <w:rPr>
          <w:rFonts w:cs="Times New Roman"/>
          <w:b/>
          <w:bCs/>
          <w:caps/>
          <w:sz w:val="20"/>
          <w:szCs w:val="20"/>
        </w:rPr>
        <w:t>Camp Fiorante Matthews Mogerman LLP</w:t>
      </w:r>
    </w:p>
    <w:p w:rsidR="00FC5519" w:rsidRPr="00B3149D" w:rsidRDefault="00FC5519" w:rsidP="00FC5519">
      <w:pPr>
        <w:rPr>
          <w:rFonts w:cs="Times New Roman"/>
          <w:bCs/>
          <w:sz w:val="20"/>
          <w:szCs w:val="20"/>
        </w:rPr>
      </w:pPr>
      <w:r w:rsidRPr="00B3149D">
        <w:rPr>
          <w:rFonts w:cs="Times New Roman"/>
          <w:bCs/>
          <w:sz w:val="20"/>
          <w:szCs w:val="20"/>
        </w:rPr>
        <w:t xml:space="preserve">(B.C.) (39528) </w:t>
      </w:r>
    </w:p>
    <w:p w:rsidR="00FC5519" w:rsidRPr="00B3149D" w:rsidRDefault="00FC5519" w:rsidP="00FC5519">
      <w:pPr>
        <w:rPr>
          <w:rFonts w:cs="Times New Roman"/>
          <w:bCs/>
          <w:sz w:val="20"/>
          <w:szCs w:val="20"/>
        </w:rPr>
      </w:pPr>
    </w:p>
    <w:p w:rsidR="00FC5519" w:rsidRPr="00B3149D" w:rsidRDefault="00FC5519" w:rsidP="00FC5519">
      <w:pPr>
        <w:rPr>
          <w:rFonts w:cs="Times New Roman"/>
          <w:sz w:val="20"/>
          <w:szCs w:val="20"/>
        </w:rPr>
      </w:pPr>
      <w:r w:rsidRPr="00B3149D">
        <w:rPr>
          <w:rFonts w:cs="Times New Roman"/>
          <w:b/>
          <w:bCs/>
          <w:sz w:val="20"/>
          <w:szCs w:val="20"/>
          <w:u w:val="single"/>
        </w:rPr>
        <w:t>ROWE J.</w:t>
      </w:r>
      <w:r w:rsidRPr="00B3149D">
        <w:rPr>
          <w:rFonts w:cs="Times New Roman"/>
          <w:b/>
          <w:bCs/>
          <w:sz w:val="20"/>
          <w:szCs w:val="20"/>
        </w:rPr>
        <w:t>:</w:t>
      </w:r>
    </w:p>
    <w:p w:rsidR="00FC5519" w:rsidRPr="00B3149D" w:rsidRDefault="00FC5519" w:rsidP="00FC5519">
      <w:pPr>
        <w:rPr>
          <w:rFonts w:cs="Times New Roman"/>
          <w:sz w:val="20"/>
          <w:szCs w:val="20"/>
        </w:rPr>
      </w:pPr>
    </w:p>
    <w:p w:rsidR="00FC5519" w:rsidRPr="00B3149D" w:rsidRDefault="00FC5519" w:rsidP="00FC5519">
      <w:pPr>
        <w:rPr>
          <w:rFonts w:eastAsia="Times New Roman" w:cs="Times New Roman"/>
          <w:i/>
          <w:sz w:val="20"/>
          <w:szCs w:val="20"/>
          <w:lang w:eastAsia="en-CA"/>
        </w:rPr>
      </w:pPr>
      <w:r w:rsidRPr="00B3149D">
        <w:rPr>
          <w:rFonts w:eastAsia="Times New Roman" w:cs="Times New Roman"/>
          <w:b/>
          <w:bCs/>
          <w:sz w:val="20"/>
          <w:szCs w:val="20"/>
          <w:lang w:eastAsia="en-CA"/>
        </w:rPr>
        <w:t>UPON APPLICATION</w:t>
      </w:r>
      <w:r w:rsidRPr="00B3149D">
        <w:rPr>
          <w:rFonts w:eastAsia="Times New Roman" w:cs="Times New Roman"/>
          <w:sz w:val="20"/>
          <w:szCs w:val="20"/>
          <w:lang w:eastAsia="en-CA"/>
        </w:rPr>
        <w:t xml:space="preserve"> by the respondent, Camp Fiorante Matthews Morgerman LLP, for an order to expedite the applications for leave to appeal, </w:t>
      </w:r>
    </w:p>
    <w:p w:rsidR="00FC5519" w:rsidRPr="00B3149D" w:rsidRDefault="00FC5519" w:rsidP="00FC5519">
      <w:pPr>
        <w:rPr>
          <w:rFonts w:eastAsia="Times New Roman" w:cs="Times New Roman"/>
          <w:i/>
          <w:sz w:val="20"/>
          <w:szCs w:val="20"/>
          <w:lang w:eastAsia="en-CA"/>
        </w:rPr>
      </w:pPr>
    </w:p>
    <w:p w:rsidR="00FC5519" w:rsidRPr="00B3149D" w:rsidRDefault="00FC5519" w:rsidP="00FC5519">
      <w:pPr>
        <w:spacing w:line="233" w:lineRule="auto"/>
        <w:rPr>
          <w:rFonts w:cs="Times New Roman"/>
          <w:sz w:val="20"/>
          <w:szCs w:val="20"/>
        </w:rPr>
      </w:pPr>
      <w:r w:rsidRPr="00B3149D">
        <w:rPr>
          <w:rFonts w:cs="Times New Roman"/>
          <w:b/>
          <w:bCs/>
          <w:sz w:val="20"/>
          <w:szCs w:val="20"/>
        </w:rPr>
        <w:t>AND THE MATERIAL FILED</w:t>
      </w:r>
      <w:r w:rsidRPr="00B3149D">
        <w:rPr>
          <w:rFonts w:cs="Times New Roman"/>
          <w:sz w:val="20"/>
          <w:szCs w:val="20"/>
        </w:rPr>
        <w:t xml:space="preserve"> having been read;</w:t>
      </w:r>
    </w:p>
    <w:p w:rsidR="00FC5519" w:rsidRPr="00B3149D" w:rsidRDefault="00FC5519" w:rsidP="00FC5519">
      <w:pPr>
        <w:spacing w:line="233" w:lineRule="auto"/>
        <w:rPr>
          <w:rFonts w:cs="Times New Roman"/>
          <w:sz w:val="20"/>
          <w:szCs w:val="20"/>
        </w:rPr>
      </w:pPr>
    </w:p>
    <w:p w:rsidR="00FC5519" w:rsidRPr="00B3149D" w:rsidRDefault="00FC5519" w:rsidP="00FC5519">
      <w:pPr>
        <w:spacing w:line="233" w:lineRule="auto"/>
        <w:rPr>
          <w:rFonts w:cs="Times New Roman"/>
          <w:b/>
          <w:bCs/>
          <w:sz w:val="20"/>
          <w:szCs w:val="20"/>
        </w:rPr>
      </w:pPr>
      <w:r w:rsidRPr="00B3149D">
        <w:rPr>
          <w:rFonts w:cs="Times New Roman"/>
          <w:b/>
          <w:bCs/>
          <w:sz w:val="20"/>
          <w:szCs w:val="20"/>
        </w:rPr>
        <w:t>IT IS HEREBY ORDERED THAT:</w:t>
      </w:r>
    </w:p>
    <w:p w:rsidR="00FC5519" w:rsidRPr="00B3149D" w:rsidRDefault="00FC5519" w:rsidP="00FC5519">
      <w:pPr>
        <w:spacing w:line="233" w:lineRule="auto"/>
        <w:rPr>
          <w:rFonts w:cs="Times New Roman"/>
          <w:sz w:val="20"/>
          <w:szCs w:val="20"/>
        </w:rPr>
      </w:pPr>
    </w:p>
    <w:p w:rsidR="00FC5519" w:rsidRPr="00B3149D" w:rsidRDefault="00FC5519" w:rsidP="00FC5519">
      <w:pPr>
        <w:spacing w:line="233" w:lineRule="auto"/>
        <w:rPr>
          <w:rFonts w:cs="Times New Roman"/>
          <w:sz w:val="20"/>
          <w:szCs w:val="20"/>
        </w:rPr>
      </w:pPr>
      <w:r w:rsidRPr="00B3149D">
        <w:rPr>
          <w:rFonts w:cs="Times New Roman"/>
          <w:sz w:val="20"/>
          <w:szCs w:val="20"/>
        </w:rPr>
        <w:t>The motion is granted.</w:t>
      </w:r>
    </w:p>
    <w:p w:rsidR="00FC5519" w:rsidRPr="00B3149D" w:rsidRDefault="00FC5519" w:rsidP="00FC5519">
      <w:pPr>
        <w:spacing w:line="233" w:lineRule="auto"/>
        <w:rPr>
          <w:rFonts w:cs="Times New Roman"/>
          <w:sz w:val="20"/>
          <w:szCs w:val="20"/>
        </w:rPr>
      </w:pPr>
    </w:p>
    <w:p w:rsidR="00FC5519" w:rsidRPr="00B3149D" w:rsidRDefault="00FC5519" w:rsidP="00FC5519">
      <w:pPr>
        <w:rPr>
          <w:rFonts w:cs="Times New Roman"/>
          <w:sz w:val="20"/>
          <w:szCs w:val="20"/>
        </w:rPr>
      </w:pPr>
      <w:r w:rsidRPr="00B3149D">
        <w:rPr>
          <w:rFonts w:cs="Times New Roman"/>
          <w:sz w:val="20"/>
          <w:szCs w:val="20"/>
        </w:rPr>
        <w:t xml:space="preserve">The consideration of the applications for leave to appeal shall be expedited. </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r w:rsidRPr="00B3149D">
        <w:rPr>
          <w:rFonts w:cs="Times New Roman"/>
          <w:sz w:val="20"/>
          <w:szCs w:val="20"/>
        </w:rPr>
        <w:t>The responses to the application for leave to appeal in file 39528 shall be served and filed on or before February 18, 2021, and the reply, if any, shall be served and filed on February 22, 2021.</w:t>
      </w:r>
    </w:p>
    <w:p w:rsidR="00FC5519" w:rsidRPr="00B3149D" w:rsidRDefault="00FC5519" w:rsidP="00FC5519">
      <w:pPr>
        <w:rPr>
          <w:rFonts w:cs="Times New Roman"/>
          <w:sz w:val="20"/>
          <w:szCs w:val="20"/>
        </w:rPr>
      </w:pPr>
    </w:p>
    <w:p w:rsidR="00FC5519" w:rsidRPr="00B3149D" w:rsidRDefault="00FC5519" w:rsidP="00FC5519">
      <w:pPr>
        <w:rPr>
          <w:rFonts w:cs="Times New Roman"/>
          <w:sz w:val="20"/>
          <w:szCs w:val="20"/>
        </w:rPr>
      </w:pPr>
    </w:p>
    <w:p w:rsidR="00FC5519" w:rsidRPr="00B3149D" w:rsidRDefault="00FC5519" w:rsidP="00FC5519">
      <w:pPr>
        <w:rPr>
          <w:rFonts w:eastAsia="Times New Roman" w:cs="Times New Roman"/>
          <w:i/>
          <w:sz w:val="20"/>
          <w:szCs w:val="20"/>
          <w:lang w:val="fr-CA" w:eastAsia="en-CA"/>
        </w:rPr>
      </w:pPr>
      <w:r w:rsidRPr="00B3149D">
        <w:rPr>
          <w:rFonts w:eastAsia="Times New Roman" w:cs="Times New Roman"/>
          <w:b/>
          <w:bCs/>
          <w:sz w:val="20"/>
          <w:szCs w:val="20"/>
          <w:lang w:val="fr-CA" w:eastAsia="en-CA"/>
        </w:rPr>
        <w:t xml:space="preserve">À LA SUITE DE LA DEMANDE </w:t>
      </w:r>
      <w:r w:rsidRPr="00B3149D">
        <w:rPr>
          <w:rFonts w:eastAsia="Times New Roman" w:cs="Times New Roman"/>
          <w:bCs/>
          <w:sz w:val="20"/>
          <w:szCs w:val="20"/>
          <w:lang w:val="fr-CA" w:eastAsia="en-CA"/>
        </w:rPr>
        <w:t>présentée par l’intimée</w:t>
      </w:r>
      <w:r w:rsidRPr="00B3149D">
        <w:rPr>
          <w:rFonts w:eastAsia="Times New Roman" w:cs="Times New Roman"/>
          <w:sz w:val="20"/>
          <w:szCs w:val="20"/>
          <w:lang w:val="fr-CA" w:eastAsia="en-CA"/>
        </w:rPr>
        <w:t xml:space="preserve">, Camp Fiorante Matthews Morgerman LLP, en vue du traitement accéléré des demandes d’autorisation d’appel; </w:t>
      </w:r>
    </w:p>
    <w:p w:rsidR="00FC5519" w:rsidRPr="00B3149D" w:rsidRDefault="00FC5519" w:rsidP="00FC5519">
      <w:pPr>
        <w:rPr>
          <w:rFonts w:eastAsia="Times New Roman" w:cs="Times New Roman"/>
          <w:i/>
          <w:sz w:val="20"/>
          <w:szCs w:val="20"/>
          <w:lang w:val="fr-CA" w:eastAsia="en-CA"/>
        </w:rPr>
      </w:pPr>
    </w:p>
    <w:p w:rsidR="00FC5519" w:rsidRPr="00B3149D" w:rsidRDefault="00FC5519" w:rsidP="00FC5519">
      <w:pPr>
        <w:spacing w:line="233" w:lineRule="auto"/>
        <w:rPr>
          <w:rFonts w:cs="Times New Roman"/>
          <w:b/>
          <w:bCs/>
          <w:sz w:val="20"/>
          <w:szCs w:val="20"/>
          <w:lang w:val="fr-CA"/>
        </w:rPr>
      </w:pPr>
      <w:r w:rsidRPr="00B3149D">
        <w:rPr>
          <w:rFonts w:cs="Times New Roman"/>
          <w:b/>
          <w:bCs/>
          <w:sz w:val="20"/>
          <w:szCs w:val="20"/>
          <w:lang w:val="fr-CA"/>
        </w:rPr>
        <w:t xml:space="preserve">ET APRÈS EXAMEN </w:t>
      </w:r>
      <w:r w:rsidRPr="00B3149D">
        <w:rPr>
          <w:rFonts w:cs="Times New Roman"/>
          <w:bCs/>
          <w:sz w:val="20"/>
          <w:szCs w:val="20"/>
          <w:lang w:val="fr-CA"/>
        </w:rPr>
        <w:t>des documents déposés;</w:t>
      </w:r>
    </w:p>
    <w:p w:rsidR="00FC5519" w:rsidRPr="00B3149D" w:rsidRDefault="00FC5519" w:rsidP="00FC5519">
      <w:pPr>
        <w:spacing w:line="233" w:lineRule="auto"/>
        <w:rPr>
          <w:rFonts w:cs="Times New Roman"/>
          <w:bCs/>
          <w:sz w:val="20"/>
          <w:szCs w:val="20"/>
          <w:lang w:val="fr-CA"/>
        </w:rPr>
      </w:pPr>
    </w:p>
    <w:p w:rsidR="00FC5519" w:rsidRPr="00B3149D" w:rsidRDefault="00FC5519" w:rsidP="00FC5519">
      <w:pPr>
        <w:spacing w:line="233" w:lineRule="auto"/>
        <w:rPr>
          <w:rFonts w:cs="Times New Roman"/>
          <w:b/>
          <w:bCs/>
          <w:sz w:val="20"/>
          <w:szCs w:val="20"/>
          <w:lang w:val="fr-CA"/>
        </w:rPr>
      </w:pPr>
      <w:r w:rsidRPr="00B3149D">
        <w:rPr>
          <w:rFonts w:cs="Times New Roman"/>
          <w:b/>
          <w:bCs/>
          <w:sz w:val="20"/>
          <w:szCs w:val="20"/>
          <w:lang w:val="fr-CA"/>
        </w:rPr>
        <w:t>IL EST PAR LA PRÉSENTE ORDONNÉ CE QUI SUIT :</w:t>
      </w:r>
    </w:p>
    <w:p w:rsidR="00FC5519" w:rsidRPr="00B3149D" w:rsidRDefault="00FC5519" w:rsidP="00FC5519">
      <w:pPr>
        <w:spacing w:line="233" w:lineRule="auto"/>
        <w:rPr>
          <w:rFonts w:cs="Times New Roman"/>
          <w:sz w:val="20"/>
          <w:szCs w:val="20"/>
          <w:lang w:val="fr-CA"/>
        </w:rPr>
      </w:pPr>
    </w:p>
    <w:p w:rsidR="00FC5519" w:rsidRPr="00B3149D" w:rsidRDefault="00FC5519" w:rsidP="00FC5519">
      <w:pPr>
        <w:spacing w:line="233" w:lineRule="auto"/>
        <w:rPr>
          <w:rFonts w:cs="Times New Roman"/>
          <w:sz w:val="20"/>
          <w:szCs w:val="20"/>
          <w:lang w:val="fr-CA"/>
        </w:rPr>
      </w:pPr>
      <w:r w:rsidRPr="00B3149D">
        <w:rPr>
          <w:rFonts w:cs="Times New Roman"/>
          <w:sz w:val="20"/>
          <w:szCs w:val="20"/>
          <w:lang w:val="fr-CA"/>
        </w:rPr>
        <w:t>La requête est accueillie.</w:t>
      </w:r>
    </w:p>
    <w:p w:rsidR="00FC5519" w:rsidRPr="00B3149D" w:rsidRDefault="00FC5519" w:rsidP="00FC5519">
      <w:pPr>
        <w:spacing w:line="233" w:lineRule="auto"/>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 xml:space="preserve">L’examen des demandes d’autorisation d’appel fera l’objet d’un traitement accéléré. </w:t>
      </w:r>
    </w:p>
    <w:p w:rsidR="00FC5519" w:rsidRPr="00B3149D" w:rsidRDefault="00FC5519" w:rsidP="00FC5519">
      <w:pPr>
        <w:rPr>
          <w:rFonts w:cs="Times New Roman"/>
          <w:sz w:val="20"/>
          <w:szCs w:val="20"/>
          <w:lang w:val="fr-CA"/>
        </w:rPr>
      </w:pPr>
    </w:p>
    <w:p w:rsidR="00FC5519" w:rsidRPr="00B3149D" w:rsidRDefault="00FC5519" w:rsidP="00FC5519">
      <w:pPr>
        <w:rPr>
          <w:rFonts w:cs="Times New Roman"/>
          <w:sz w:val="20"/>
          <w:szCs w:val="20"/>
          <w:lang w:val="fr-CA"/>
        </w:rPr>
      </w:pPr>
      <w:r w:rsidRPr="00B3149D">
        <w:rPr>
          <w:rFonts w:cs="Times New Roman"/>
          <w:sz w:val="20"/>
          <w:szCs w:val="20"/>
          <w:lang w:val="fr-CA"/>
        </w:rPr>
        <w:t>Les réponses à la demande d’autorisation d’appel dans le dossier 39528 devront être signifiées et déposées au plus tard le 18 février 2021, et la réplique, le cas échéant, devra être signifiée et déposée le 22 février 2021.</w:t>
      </w:r>
    </w:p>
    <w:p w:rsidR="00FC5519" w:rsidRPr="00B3149D" w:rsidRDefault="00FC5519" w:rsidP="00FC5519">
      <w:pPr>
        <w:widowControl w:val="0"/>
        <w:rPr>
          <w:rFonts w:eastAsia="Times New Roman" w:cs="Times New Roman"/>
          <w:sz w:val="20"/>
          <w:szCs w:val="20"/>
          <w:lang w:val="fr-CA" w:eastAsia="en-CA"/>
        </w:rPr>
      </w:pPr>
    </w:p>
    <w:p w:rsidR="00FC5519" w:rsidRPr="00B3149D" w:rsidRDefault="00E51866" w:rsidP="00FC5519">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FC5519" w:rsidRPr="00B3149D" w:rsidRDefault="00FC5519" w:rsidP="00CA2DEA">
      <w:pPr>
        <w:widowControl w:val="0"/>
        <w:rPr>
          <w:rFonts w:eastAsia="Times New Roman" w:cs="Times New Roman"/>
          <w:sz w:val="20"/>
          <w:szCs w:val="20"/>
          <w:lang w:val="en-US" w:eastAsia="en-CA"/>
        </w:rPr>
      </w:pPr>
    </w:p>
    <w:p w:rsidR="00FC5519" w:rsidRPr="00B3149D" w:rsidRDefault="00FC5519" w:rsidP="00CA2DEA">
      <w:pPr>
        <w:widowControl w:val="0"/>
        <w:rPr>
          <w:rFonts w:eastAsia="Times New Roman" w:cs="Times New Roman"/>
          <w:sz w:val="20"/>
          <w:szCs w:val="20"/>
          <w:lang w:val="en-US" w:eastAsia="en-CA"/>
        </w:rPr>
      </w:pPr>
    </w:p>
    <w:p w:rsidR="00B3149D" w:rsidRPr="00B3149D" w:rsidRDefault="00B3149D">
      <w:pPr>
        <w:rPr>
          <w:rFonts w:eastAsia="Times New Roman" w:cs="Times New Roman"/>
          <w:sz w:val="20"/>
          <w:szCs w:val="20"/>
          <w:lang w:val="en-US" w:eastAsia="en-CA"/>
        </w:rPr>
      </w:pPr>
      <w:r w:rsidRPr="00B3149D">
        <w:rPr>
          <w:rFonts w:eastAsia="Times New Roman" w:cs="Times New Roman"/>
          <w:sz w:val="20"/>
          <w:szCs w:val="20"/>
          <w:lang w:val="en-US" w:eastAsia="en-CA"/>
        </w:rPr>
        <w:br w:type="page"/>
      </w:r>
    </w:p>
    <w:p w:rsidR="00B3149D" w:rsidRPr="00B3149D" w:rsidRDefault="00B3149D" w:rsidP="00B3149D">
      <w:pPr>
        <w:rPr>
          <w:b/>
          <w:sz w:val="20"/>
          <w:szCs w:val="20"/>
        </w:rPr>
      </w:pPr>
      <w:r w:rsidRPr="00B3149D">
        <w:rPr>
          <w:b/>
          <w:sz w:val="20"/>
          <w:szCs w:val="20"/>
        </w:rPr>
        <w:lastRenderedPageBreak/>
        <w:t>FEBRUARY 16, 2021 / LE 16 FÉVRIER 2021</w:t>
      </w:r>
    </w:p>
    <w:p w:rsidR="00B3149D" w:rsidRPr="00B3149D" w:rsidRDefault="00B3149D" w:rsidP="00B3149D">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B3149D" w:rsidRPr="00B3149D" w:rsidTr="00565052">
        <w:tc>
          <w:tcPr>
            <w:tcW w:w="4410" w:type="dxa"/>
            <w:tcBorders>
              <w:top w:val="nil"/>
              <w:left w:val="nil"/>
              <w:bottom w:val="nil"/>
              <w:right w:val="nil"/>
            </w:tcBorders>
          </w:tcPr>
          <w:p w:rsidR="00B3149D" w:rsidRPr="00B3149D" w:rsidRDefault="00B3149D" w:rsidP="00B3149D">
            <w:pPr>
              <w:jc w:val="both"/>
              <w:rPr>
                <w:rFonts w:cs="Times New Roman"/>
                <w:b/>
                <w:bCs/>
                <w:sz w:val="20"/>
                <w:szCs w:val="20"/>
                <w:lang w:val="en-US"/>
              </w:rPr>
            </w:pPr>
            <w:r w:rsidRPr="00B3149D">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B3149D" w:rsidRPr="00B3149D" w:rsidRDefault="00B3149D" w:rsidP="00565052">
            <w:pPr>
              <w:jc w:val="both"/>
              <w:rPr>
                <w:rFonts w:cs="Times New Roman"/>
                <w:b/>
                <w:bCs/>
                <w:sz w:val="20"/>
                <w:szCs w:val="20"/>
                <w:lang w:val="en-US"/>
              </w:rPr>
            </w:pPr>
          </w:p>
        </w:tc>
        <w:tc>
          <w:tcPr>
            <w:tcW w:w="4399" w:type="dxa"/>
            <w:tcBorders>
              <w:top w:val="nil"/>
              <w:left w:val="nil"/>
              <w:bottom w:val="nil"/>
              <w:right w:val="nil"/>
            </w:tcBorders>
          </w:tcPr>
          <w:p w:rsidR="00B3149D" w:rsidRPr="00B3149D" w:rsidRDefault="00B3149D" w:rsidP="00565052">
            <w:pPr>
              <w:jc w:val="both"/>
              <w:rPr>
                <w:rFonts w:cs="Times New Roman"/>
                <w:b/>
                <w:bCs/>
                <w:sz w:val="20"/>
                <w:szCs w:val="20"/>
                <w:lang w:val="fr-CA"/>
              </w:rPr>
            </w:pPr>
            <w:r w:rsidRPr="00B3149D">
              <w:rPr>
                <w:rFonts w:eastAsia="Times New Roman" w:cs="Times New Roman"/>
                <w:b/>
                <w:sz w:val="20"/>
                <w:szCs w:val="20"/>
                <w:lang w:val="fr-CA" w:eastAsia="en-CA"/>
              </w:rPr>
              <w:t>Requête en autorisation d'intervention</w:t>
            </w:r>
          </w:p>
        </w:tc>
      </w:tr>
    </w:tbl>
    <w:p w:rsidR="00B3149D" w:rsidRPr="00B3149D" w:rsidRDefault="00B3149D" w:rsidP="00B3149D">
      <w:pPr>
        <w:spacing w:line="232" w:lineRule="auto"/>
        <w:jc w:val="both"/>
        <w:rPr>
          <w:rFonts w:cs="Times New Roman"/>
          <w:sz w:val="20"/>
          <w:szCs w:val="24"/>
          <w:lang w:val="fr-CA"/>
        </w:rPr>
      </w:pPr>
    </w:p>
    <w:p w:rsidR="00B3149D" w:rsidRPr="00B3149D" w:rsidRDefault="00B3149D" w:rsidP="00B3149D">
      <w:pPr>
        <w:spacing w:line="232" w:lineRule="auto"/>
        <w:jc w:val="both"/>
        <w:rPr>
          <w:rFonts w:cs="Times New Roman"/>
          <w:sz w:val="20"/>
          <w:szCs w:val="20"/>
          <w:lang w:val="fr-CA"/>
        </w:rPr>
      </w:pPr>
    </w:p>
    <w:p w:rsidR="00B3149D" w:rsidRPr="00B3149D" w:rsidRDefault="00B3149D" w:rsidP="00B3149D">
      <w:pPr>
        <w:pStyle w:val="scclsocparty1"/>
        <w:jc w:val="both"/>
        <w:rPr>
          <w:b/>
          <w:bCs/>
          <w:sz w:val="20"/>
          <w:szCs w:val="20"/>
        </w:rPr>
      </w:pPr>
      <w:r w:rsidRPr="00B3149D">
        <w:rPr>
          <w:b/>
          <w:bCs/>
          <w:caps/>
          <w:sz w:val="20"/>
          <w:szCs w:val="20"/>
        </w:rPr>
        <w:t xml:space="preserve">Trial Lawyers Association of British Columbia </w:t>
      </w:r>
      <w:r w:rsidRPr="00B3149D">
        <w:rPr>
          <w:b/>
          <w:bCs/>
          <w:sz w:val="20"/>
          <w:szCs w:val="20"/>
        </w:rPr>
        <w:t xml:space="preserve">v. </w:t>
      </w:r>
      <w:r w:rsidRPr="00B3149D">
        <w:rPr>
          <w:b/>
          <w:bCs/>
          <w:caps/>
          <w:sz w:val="20"/>
          <w:szCs w:val="20"/>
        </w:rPr>
        <w:t>Royal Sun Alliance Insurance Company of Canada</w:t>
      </w:r>
    </w:p>
    <w:p w:rsidR="00B3149D" w:rsidRPr="00B3149D" w:rsidRDefault="00B3149D" w:rsidP="00B3149D">
      <w:pPr>
        <w:rPr>
          <w:rFonts w:cs="Times New Roman"/>
          <w:bCs/>
          <w:sz w:val="20"/>
          <w:szCs w:val="20"/>
        </w:rPr>
      </w:pPr>
      <w:r w:rsidRPr="00B3149D">
        <w:rPr>
          <w:rFonts w:cs="Times New Roman"/>
          <w:bCs/>
          <w:sz w:val="20"/>
          <w:szCs w:val="20"/>
        </w:rPr>
        <w:t xml:space="preserve">(Ont.) (38949) </w:t>
      </w:r>
    </w:p>
    <w:p w:rsidR="00B3149D" w:rsidRPr="00B3149D" w:rsidRDefault="00B3149D" w:rsidP="00B3149D">
      <w:pPr>
        <w:rPr>
          <w:rFonts w:cs="Times New Roman"/>
          <w:sz w:val="20"/>
          <w:szCs w:val="20"/>
        </w:rPr>
      </w:pPr>
    </w:p>
    <w:p w:rsidR="00B3149D" w:rsidRPr="00B3149D" w:rsidRDefault="00B3149D" w:rsidP="00B3149D">
      <w:pPr>
        <w:rPr>
          <w:rFonts w:cs="Times New Roman"/>
          <w:sz w:val="20"/>
          <w:szCs w:val="20"/>
        </w:rPr>
      </w:pPr>
      <w:r w:rsidRPr="00B3149D">
        <w:rPr>
          <w:rFonts w:cs="Times New Roman"/>
          <w:b/>
          <w:bCs/>
          <w:sz w:val="20"/>
          <w:szCs w:val="20"/>
          <w:u w:val="single"/>
        </w:rPr>
        <w:t>MARTIN J.</w:t>
      </w:r>
      <w:r w:rsidRPr="00B3149D">
        <w:rPr>
          <w:rFonts w:cs="Times New Roman"/>
          <w:b/>
          <w:bCs/>
          <w:sz w:val="20"/>
          <w:szCs w:val="20"/>
        </w:rPr>
        <w:t>:</w:t>
      </w:r>
    </w:p>
    <w:p w:rsidR="00B3149D" w:rsidRPr="00B3149D" w:rsidRDefault="00B3149D" w:rsidP="00B3149D">
      <w:pPr>
        <w:rPr>
          <w:rFonts w:cs="Times New Roman"/>
          <w:sz w:val="20"/>
          <w:szCs w:val="20"/>
        </w:rPr>
      </w:pPr>
    </w:p>
    <w:p w:rsidR="00B3149D" w:rsidRPr="00B3149D" w:rsidRDefault="00B3149D" w:rsidP="00B3149D">
      <w:pPr>
        <w:rPr>
          <w:rFonts w:eastAsia="Times New Roman" w:cs="Times New Roman"/>
          <w:sz w:val="20"/>
          <w:szCs w:val="20"/>
          <w:lang w:eastAsia="en-CA"/>
        </w:rPr>
      </w:pPr>
      <w:r w:rsidRPr="00B3149D">
        <w:rPr>
          <w:rFonts w:eastAsia="Times New Roman" w:cs="Times New Roman"/>
          <w:b/>
          <w:bCs/>
          <w:sz w:val="20"/>
          <w:szCs w:val="20"/>
          <w:lang w:eastAsia="en-CA"/>
        </w:rPr>
        <w:t>UPON APPLICATION</w:t>
      </w:r>
      <w:r w:rsidRPr="00B3149D">
        <w:rPr>
          <w:rFonts w:eastAsia="Times New Roman" w:cs="Times New Roman"/>
          <w:sz w:val="20"/>
          <w:szCs w:val="20"/>
          <w:lang w:eastAsia="en-CA"/>
        </w:rPr>
        <w:t xml:space="preserve"> by the Ontario Trial Lawyers Association for leave to intervene in the above appeal;</w:t>
      </w:r>
    </w:p>
    <w:p w:rsidR="00B3149D" w:rsidRPr="00B3149D" w:rsidRDefault="00B3149D" w:rsidP="00B3149D">
      <w:pPr>
        <w:rPr>
          <w:rFonts w:eastAsia="Times New Roman" w:cs="Times New Roman"/>
          <w:sz w:val="20"/>
          <w:szCs w:val="20"/>
          <w:lang w:eastAsia="en-CA"/>
        </w:rPr>
      </w:pPr>
    </w:p>
    <w:p w:rsidR="00B3149D" w:rsidRPr="00B3149D" w:rsidRDefault="00B3149D" w:rsidP="00B3149D">
      <w:pPr>
        <w:spacing w:line="233" w:lineRule="auto"/>
        <w:rPr>
          <w:rFonts w:cs="Times New Roman"/>
          <w:sz w:val="20"/>
          <w:szCs w:val="20"/>
        </w:rPr>
      </w:pPr>
      <w:r w:rsidRPr="00B3149D">
        <w:rPr>
          <w:rFonts w:cs="Times New Roman"/>
          <w:b/>
          <w:bCs/>
          <w:sz w:val="20"/>
          <w:szCs w:val="20"/>
        </w:rPr>
        <w:t>AND THE MATERIAL FILED</w:t>
      </w:r>
      <w:r w:rsidRPr="00B3149D">
        <w:rPr>
          <w:rFonts w:cs="Times New Roman"/>
          <w:sz w:val="20"/>
          <w:szCs w:val="20"/>
        </w:rPr>
        <w:t xml:space="preserve"> having been read;</w:t>
      </w:r>
    </w:p>
    <w:p w:rsidR="00B3149D" w:rsidRPr="00B3149D" w:rsidRDefault="00B3149D" w:rsidP="00B3149D">
      <w:pPr>
        <w:spacing w:line="233" w:lineRule="auto"/>
        <w:rPr>
          <w:rFonts w:cs="Times New Roman"/>
          <w:sz w:val="20"/>
          <w:szCs w:val="20"/>
        </w:rPr>
      </w:pPr>
    </w:p>
    <w:p w:rsidR="00B3149D" w:rsidRPr="00B3149D" w:rsidRDefault="00B3149D" w:rsidP="00B3149D">
      <w:pPr>
        <w:spacing w:line="233" w:lineRule="auto"/>
        <w:rPr>
          <w:rFonts w:cs="Times New Roman"/>
          <w:b/>
          <w:bCs/>
          <w:sz w:val="20"/>
          <w:szCs w:val="20"/>
        </w:rPr>
      </w:pPr>
      <w:r w:rsidRPr="00B3149D">
        <w:rPr>
          <w:rFonts w:cs="Times New Roman"/>
          <w:b/>
          <w:bCs/>
          <w:sz w:val="20"/>
          <w:szCs w:val="20"/>
        </w:rPr>
        <w:t>IT IS HEREBY ORDERED THAT:</w:t>
      </w:r>
    </w:p>
    <w:p w:rsidR="00B3149D" w:rsidRPr="00B3149D" w:rsidRDefault="00B3149D" w:rsidP="00B3149D">
      <w:pPr>
        <w:spacing w:line="233" w:lineRule="auto"/>
        <w:rPr>
          <w:rFonts w:cs="Times New Roman"/>
          <w:sz w:val="20"/>
          <w:szCs w:val="20"/>
        </w:rPr>
      </w:pPr>
    </w:p>
    <w:p w:rsidR="00B3149D" w:rsidRPr="00B3149D" w:rsidRDefault="00B3149D" w:rsidP="00B3149D">
      <w:pPr>
        <w:spacing w:line="233" w:lineRule="auto"/>
        <w:rPr>
          <w:rFonts w:cs="Times New Roman"/>
          <w:sz w:val="20"/>
          <w:szCs w:val="20"/>
        </w:rPr>
      </w:pPr>
      <w:r w:rsidRPr="00B3149D">
        <w:rPr>
          <w:rFonts w:cs="Times New Roman"/>
          <w:sz w:val="20"/>
          <w:szCs w:val="20"/>
        </w:rPr>
        <w:t xml:space="preserve">The motion for leave to intervene </w:t>
      </w:r>
      <w:r w:rsidRPr="00B3149D">
        <w:rPr>
          <w:rFonts w:eastAsia="Times New Roman" w:cs="Times New Roman"/>
          <w:sz w:val="20"/>
          <w:szCs w:val="20"/>
          <w:lang w:eastAsia="en-CA"/>
        </w:rPr>
        <w:t>is</w:t>
      </w:r>
      <w:r w:rsidRPr="00B3149D">
        <w:rPr>
          <w:rFonts w:cs="Times New Roman"/>
          <w:sz w:val="20"/>
          <w:szCs w:val="20"/>
        </w:rPr>
        <w:t xml:space="preserve"> granted and the said intervener shall be entitled to serve and file a single factum not to exceed ten (10) pages in length, and book of authorities, if any, on or before March 30, 2021. </w:t>
      </w:r>
    </w:p>
    <w:p w:rsidR="00B3149D" w:rsidRPr="00B3149D" w:rsidRDefault="00B3149D" w:rsidP="00B3149D">
      <w:pPr>
        <w:spacing w:line="233" w:lineRule="auto"/>
        <w:rPr>
          <w:rFonts w:cs="Times New Roman"/>
          <w:sz w:val="20"/>
          <w:szCs w:val="20"/>
        </w:rPr>
      </w:pPr>
    </w:p>
    <w:p w:rsidR="00B3149D" w:rsidRPr="00B3149D" w:rsidRDefault="00B3149D" w:rsidP="00B3149D">
      <w:pPr>
        <w:rPr>
          <w:rFonts w:cs="Times New Roman"/>
          <w:sz w:val="20"/>
          <w:szCs w:val="20"/>
        </w:rPr>
      </w:pPr>
      <w:r w:rsidRPr="00B3149D">
        <w:rPr>
          <w:rFonts w:cs="Times New Roman"/>
          <w:sz w:val="20"/>
          <w:szCs w:val="20"/>
        </w:rPr>
        <w:t>The said intervener is granted permission to present oral argument not exceeding five (5) minutes at the hearing of the appeal.</w:t>
      </w:r>
    </w:p>
    <w:p w:rsidR="00B3149D" w:rsidRPr="00B3149D" w:rsidRDefault="00B3149D" w:rsidP="00B3149D">
      <w:pPr>
        <w:rPr>
          <w:rFonts w:cs="Times New Roman"/>
          <w:sz w:val="20"/>
          <w:szCs w:val="20"/>
        </w:rPr>
      </w:pPr>
    </w:p>
    <w:p w:rsidR="00B3149D" w:rsidRPr="00B3149D" w:rsidRDefault="00B3149D" w:rsidP="00B3149D">
      <w:pPr>
        <w:spacing w:line="233" w:lineRule="auto"/>
        <w:rPr>
          <w:rFonts w:cs="Times New Roman"/>
          <w:b/>
          <w:sz w:val="20"/>
          <w:szCs w:val="20"/>
        </w:rPr>
      </w:pPr>
      <w:r w:rsidRPr="00B3149D">
        <w:rPr>
          <w:rFonts w:cs="Times New Roman"/>
          <w:b/>
          <w:sz w:val="20"/>
          <w:szCs w:val="20"/>
        </w:rPr>
        <w:t xml:space="preserve">The intervener is not entitled to raise new issues or to adduce further evidence or otherwise to supplement the record of the parties. </w:t>
      </w:r>
    </w:p>
    <w:p w:rsidR="00B3149D" w:rsidRPr="00B3149D" w:rsidRDefault="00B3149D" w:rsidP="00B3149D">
      <w:pPr>
        <w:spacing w:line="233" w:lineRule="auto"/>
        <w:rPr>
          <w:rFonts w:cs="Times New Roman"/>
          <w:sz w:val="20"/>
          <w:szCs w:val="20"/>
        </w:rPr>
      </w:pPr>
    </w:p>
    <w:p w:rsidR="00B3149D" w:rsidRPr="00B3149D" w:rsidRDefault="00B3149D" w:rsidP="00B3149D">
      <w:pPr>
        <w:spacing w:line="233" w:lineRule="auto"/>
        <w:rPr>
          <w:rFonts w:cs="Times New Roman"/>
          <w:sz w:val="20"/>
          <w:szCs w:val="20"/>
        </w:rPr>
      </w:pPr>
      <w:r w:rsidRPr="00B3149D">
        <w:rPr>
          <w:rFonts w:cs="Times New Roman"/>
          <w:sz w:val="20"/>
          <w:szCs w:val="20"/>
        </w:rPr>
        <w:t>Pursuant to Rule 59(1</w:t>
      </w:r>
      <w:proofErr w:type="gramStart"/>
      <w:r w:rsidRPr="00B3149D">
        <w:rPr>
          <w:rFonts w:cs="Times New Roman"/>
          <w:sz w:val="20"/>
          <w:szCs w:val="20"/>
        </w:rPr>
        <w:t>)(</w:t>
      </w:r>
      <w:proofErr w:type="gramEnd"/>
      <w:r w:rsidRPr="00B3149D">
        <w:rPr>
          <w:rFonts w:cs="Times New Roman"/>
          <w:i/>
          <w:iCs/>
          <w:sz w:val="20"/>
          <w:szCs w:val="20"/>
        </w:rPr>
        <w:t>a</w:t>
      </w:r>
      <w:r w:rsidRPr="00B3149D">
        <w:rPr>
          <w:rFonts w:cs="Times New Roman"/>
          <w:sz w:val="20"/>
          <w:szCs w:val="20"/>
        </w:rPr>
        <w:t xml:space="preserve">) of the </w:t>
      </w:r>
      <w:r w:rsidRPr="00B3149D">
        <w:rPr>
          <w:rFonts w:cs="Times New Roman"/>
          <w:i/>
          <w:iCs/>
          <w:sz w:val="20"/>
          <w:szCs w:val="20"/>
        </w:rPr>
        <w:t>Rules of the Supreme Court of Canada</w:t>
      </w:r>
      <w:r w:rsidRPr="00B3149D">
        <w:rPr>
          <w:rFonts w:cs="Times New Roman"/>
          <w:sz w:val="20"/>
          <w:szCs w:val="20"/>
        </w:rPr>
        <w:t xml:space="preserve"> the intervener shall pay to the appellant and respondent any additional disbursements resulting from its intervention.</w:t>
      </w:r>
    </w:p>
    <w:p w:rsidR="00B3149D" w:rsidRPr="00B3149D" w:rsidRDefault="00B3149D" w:rsidP="00B3149D">
      <w:pPr>
        <w:rPr>
          <w:rFonts w:cs="Times New Roman"/>
          <w:sz w:val="20"/>
          <w:szCs w:val="20"/>
        </w:rPr>
      </w:pPr>
    </w:p>
    <w:p w:rsidR="00B3149D" w:rsidRPr="00B3149D" w:rsidRDefault="00B3149D" w:rsidP="00B3149D">
      <w:pPr>
        <w:rPr>
          <w:rFonts w:cs="Times New Roman"/>
          <w:sz w:val="20"/>
          <w:szCs w:val="20"/>
        </w:rPr>
      </w:pPr>
    </w:p>
    <w:p w:rsidR="00B3149D" w:rsidRPr="00B3149D" w:rsidRDefault="00B3149D" w:rsidP="00B3149D">
      <w:pPr>
        <w:rPr>
          <w:rFonts w:eastAsia="Times New Roman" w:cs="Times New Roman"/>
          <w:sz w:val="20"/>
          <w:szCs w:val="20"/>
          <w:lang w:val="fr-CA" w:eastAsia="en-CA"/>
        </w:rPr>
      </w:pPr>
      <w:r w:rsidRPr="00B3149D">
        <w:rPr>
          <w:rFonts w:cs="Times New Roman"/>
          <w:b/>
          <w:bCs/>
          <w:sz w:val="20"/>
          <w:szCs w:val="20"/>
          <w:lang w:val="fr-CA"/>
        </w:rPr>
        <w:t xml:space="preserve">À LA SUITE DE LA DEMANDE </w:t>
      </w:r>
      <w:r w:rsidRPr="00B3149D">
        <w:rPr>
          <w:rFonts w:cs="Times New Roman"/>
          <w:sz w:val="20"/>
          <w:szCs w:val="20"/>
          <w:lang w:val="fr-CA"/>
        </w:rPr>
        <w:t>d’autorisation d’intervenir dans l’appel présentée</w:t>
      </w:r>
      <w:r w:rsidRPr="00B3149D">
        <w:rPr>
          <w:rFonts w:cs="Times New Roman"/>
          <w:bCs/>
          <w:sz w:val="20"/>
          <w:szCs w:val="20"/>
          <w:lang w:val="fr-CA"/>
        </w:rPr>
        <w:t xml:space="preserve"> par l’</w:t>
      </w:r>
      <w:r w:rsidRPr="00B3149D">
        <w:rPr>
          <w:rFonts w:cs="Times New Roman"/>
          <w:sz w:val="20"/>
          <w:szCs w:val="20"/>
          <w:lang w:val="fr-CA"/>
        </w:rPr>
        <w:t>Ontario Trial Lawyers Association</w:t>
      </w:r>
      <w:r w:rsidRPr="00B3149D">
        <w:rPr>
          <w:rFonts w:eastAsia="Times New Roman" w:cs="Times New Roman"/>
          <w:sz w:val="20"/>
          <w:szCs w:val="20"/>
          <w:lang w:val="fr-CA" w:eastAsia="en-CA"/>
        </w:rPr>
        <w:t>;</w:t>
      </w:r>
    </w:p>
    <w:p w:rsidR="00B3149D" w:rsidRPr="00B3149D" w:rsidRDefault="00B3149D" w:rsidP="00B3149D">
      <w:pPr>
        <w:rPr>
          <w:rFonts w:eastAsia="Times New Roman" w:cs="Times New Roman"/>
          <w:sz w:val="20"/>
          <w:szCs w:val="20"/>
          <w:lang w:val="fr-CA" w:eastAsia="en-CA"/>
        </w:rPr>
      </w:pPr>
    </w:p>
    <w:p w:rsidR="00B3149D" w:rsidRPr="00B3149D" w:rsidRDefault="00B3149D" w:rsidP="00B3149D">
      <w:pPr>
        <w:spacing w:line="233" w:lineRule="auto"/>
        <w:rPr>
          <w:rFonts w:cs="Times New Roman"/>
          <w:bCs/>
          <w:sz w:val="20"/>
          <w:szCs w:val="20"/>
          <w:lang w:val="fr-CA"/>
        </w:rPr>
      </w:pPr>
      <w:r w:rsidRPr="00B3149D">
        <w:rPr>
          <w:rFonts w:cs="Times New Roman"/>
          <w:b/>
          <w:bCs/>
          <w:sz w:val="20"/>
          <w:szCs w:val="20"/>
          <w:lang w:val="fr-CA"/>
        </w:rPr>
        <w:t xml:space="preserve">ET APRÈS EXAMEN </w:t>
      </w:r>
      <w:r w:rsidRPr="00B3149D">
        <w:rPr>
          <w:rFonts w:cs="Times New Roman"/>
          <w:bCs/>
          <w:sz w:val="20"/>
          <w:szCs w:val="20"/>
          <w:lang w:val="fr-CA"/>
        </w:rPr>
        <w:t>des documents déposés;</w:t>
      </w:r>
    </w:p>
    <w:p w:rsidR="00B3149D" w:rsidRPr="00B3149D" w:rsidRDefault="00B3149D" w:rsidP="00B3149D">
      <w:pPr>
        <w:spacing w:line="233" w:lineRule="auto"/>
        <w:rPr>
          <w:rFonts w:cs="Times New Roman"/>
          <w:b/>
          <w:bCs/>
          <w:sz w:val="20"/>
          <w:szCs w:val="20"/>
          <w:lang w:val="fr-CA"/>
        </w:rPr>
      </w:pPr>
    </w:p>
    <w:p w:rsidR="00B3149D" w:rsidRPr="00B3149D" w:rsidRDefault="00B3149D" w:rsidP="00B3149D">
      <w:pPr>
        <w:spacing w:line="233" w:lineRule="auto"/>
        <w:rPr>
          <w:rFonts w:cs="Times New Roman"/>
          <w:b/>
          <w:bCs/>
          <w:sz w:val="20"/>
          <w:szCs w:val="20"/>
          <w:lang w:val="fr-CA"/>
        </w:rPr>
      </w:pPr>
      <w:r w:rsidRPr="00B3149D">
        <w:rPr>
          <w:rFonts w:cs="Times New Roman"/>
          <w:b/>
          <w:bCs/>
          <w:sz w:val="20"/>
          <w:szCs w:val="20"/>
          <w:lang w:val="fr-CA"/>
        </w:rPr>
        <w:t>IL EST PAR LA PRÉSENTE ORDONNÉ CE QUI SUIT :</w:t>
      </w:r>
    </w:p>
    <w:p w:rsidR="00B3149D" w:rsidRPr="00B3149D" w:rsidRDefault="00B3149D" w:rsidP="00B3149D">
      <w:pPr>
        <w:spacing w:line="233" w:lineRule="auto"/>
        <w:rPr>
          <w:rFonts w:cs="Times New Roman"/>
          <w:sz w:val="20"/>
          <w:szCs w:val="20"/>
          <w:lang w:val="fr-CA"/>
        </w:rPr>
      </w:pPr>
    </w:p>
    <w:p w:rsidR="00B3149D" w:rsidRPr="00B3149D" w:rsidRDefault="00B3149D" w:rsidP="00B3149D">
      <w:pPr>
        <w:spacing w:line="233" w:lineRule="auto"/>
        <w:rPr>
          <w:rFonts w:cs="Times New Roman"/>
          <w:sz w:val="20"/>
          <w:szCs w:val="20"/>
          <w:lang w:val="fr-CA"/>
        </w:rPr>
      </w:pPr>
      <w:r w:rsidRPr="00B3149D">
        <w:rPr>
          <w:rFonts w:cs="Times New Roman"/>
          <w:sz w:val="20"/>
          <w:szCs w:val="20"/>
          <w:lang w:val="fr-CA"/>
        </w:rPr>
        <w:t>La requête en autorisation d’intervenir est accueillie et cette intervenante peut signifier et déposer un mémoire d’au plus dix (10) pages, ainsi qu’un recueil de sources, le cas échéant, au plus tard le 30 mars 2021.</w:t>
      </w:r>
    </w:p>
    <w:p w:rsidR="00B3149D" w:rsidRPr="00B3149D" w:rsidRDefault="00B3149D" w:rsidP="00B3149D">
      <w:pPr>
        <w:spacing w:line="233" w:lineRule="auto"/>
        <w:rPr>
          <w:rFonts w:cs="Times New Roman"/>
          <w:sz w:val="20"/>
          <w:szCs w:val="20"/>
          <w:lang w:val="fr-CA"/>
        </w:rPr>
      </w:pPr>
    </w:p>
    <w:p w:rsidR="00B3149D" w:rsidRPr="00B3149D" w:rsidRDefault="00B3149D" w:rsidP="00B3149D">
      <w:pPr>
        <w:rPr>
          <w:rFonts w:cs="Times New Roman"/>
          <w:sz w:val="20"/>
          <w:szCs w:val="20"/>
          <w:lang w:val="fr-CA"/>
        </w:rPr>
      </w:pPr>
      <w:r w:rsidRPr="00B3149D">
        <w:rPr>
          <w:rFonts w:cs="Times New Roman"/>
          <w:sz w:val="20"/>
          <w:szCs w:val="20"/>
          <w:lang w:val="fr-CA"/>
        </w:rPr>
        <w:t>Cette intervenante peut présenter une plaidoirie orale d’au plus cinq (5) minutes lors de l’audition de l’appel.</w:t>
      </w:r>
    </w:p>
    <w:p w:rsidR="00B3149D" w:rsidRPr="00B3149D" w:rsidRDefault="00B3149D" w:rsidP="00B3149D">
      <w:pPr>
        <w:rPr>
          <w:rFonts w:cs="Times New Roman"/>
          <w:sz w:val="20"/>
          <w:szCs w:val="20"/>
          <w:lang w:val="fr-CA"/>
        </w:rPr>
      </w:pPr>
    </w:p>
    <w:p w:rsidR="00B3149D" w:rsidRPr="00B3149D" w:rsidRDefault="00B3149D" w:rsidP="00B3149D">
      <w:pPr>
        <w:rPr>
          <w:rFonts w:cs="Times New Roman"/>
          <w:b/>
          <w:sz w:val="20"/>
          <w:szCs w:val="20"/>
          <w:lang w:val="fr-CA"/>
        </w:rPr>
      </w:pPr>
      <w:r w:rsidRPr="00B3149D">
        <w:rPr>
          <w:rFonts w:cs="Times New Roman"/>
          <w:b/>
          <w:sz w:val="20"/>
          <w:szCs w:val="20"/>
        </w:rPr>
        <w:fldChar w:fldCharType="begin"/>
      </w:r>
      <w:r w:rsidRPr="00B3149D">
        <w:rPr>
          <w:rFonts w:cs="Times New Roman"/>
          <w:b/>
          <w:sz w:val="20"/>
          <w:szCs w:val="20"/>
          <w:lang w:val="fr-CA"/>
        </w:rPr>
        <w:instrText xml:space="preserve"> SEQ CHAPTER \h \r 1</w:instrText>
      </w:r>
      <w:r w:rsidRPr="00B3149D">
        <w:rPr>
          <w:rFonts w:cs="Times New Roman"/>
          <w:b/>
          <w:sz w:val="20"/>
          <w:szCs w:val="20"/>
        </w:rPr>
        <w:fldChar w:fldCharType="end"/>
      </w:r>
      <w:r w:rsidRPr="00B3149D">
        <w:rPr>
          <w:rFonts w:cs="Times New Roman"/>
          <w:b/>
          <w:sz w:val="20"/>
          <w:szCs w:val="20"/>
          <w:lang w:val="fr-CA"/>
        </w:rPr>
        <w:fldChar w:fldCharType="begin"/>
      </w:r>
      <w:r w:rsidRPr="00B3149D">
        <w:rPr>
          <w:rFonts w:cs="Times New Roman"/>
          <w:b/>
          <w:sz w:val="20"/>
          <w:szCs w:val="20"/>
          <w:lang w:val="fr-CA"/>
        </w:rPr>
        <w:instrText xml:space="preserve"> SEQ CHAPTER \h \r 1</w:instrText>
      </w:r>
      <w:r w:rsidRPr="00B3149D">
        <w:rPr>
          <w:rFonts w:cs="Times New Roman"/>
          <w:b/>
          <w:sz w:val="20"/>
          <w:szCs w:val="20"/>
          <w:lang w:val="fr-CA"/>
        </w:rPr>
        <w:fldChar w:fldCharType="end"/>
      </w:r>
      <w:r w:rsidRPr="00B3149D">
        <w:rPr>
          <w:rFonts w:cs="Times New Roman"/>
          <w:b/>
          <w:sz w:val="20"/>
          <w:szCs w:val="20"/>
          <w:lang w:val="fr-CA"/>
        </w:rPr>
        <w:t>L’intervenante n’a pas le droit de soulever de nouvelles questions, de produire d’autres éléments de preuve, ni de compléter de quelque autre façon le dossier des parties.</w:t>
      </w:r>
    </w:p>
    <w:p w:rsidR="00B3149D" w:rsidRPr="00B3149D" w:rsidRDefault="00B3149D" w:rsidP="00B3149D">
      <w:pPr>
        <w:spacing w:line="233" w:lineRule="auto"/>
        <w:rPr>
          <w:rFonts w:cs="Times New Roman"/>
          <w:sz w:val="20"/>
          <w:szCs w:val="20"/>
          <w:lang w:val="fr-CA"/>
        </w:rPr>
      </w:pPr>
    </w:p>
    <w:p w:rsidR="00B3149D" w:rsidRPr="00B3149D" w:rsidRDefault="00B3149D" w:rsidP="00B3149D">
      <w:pPr>
        <w:rPr>
          <w:rFonts w:cs="Times New Roman"/>
          <w:sz w:val="20"/>
          <w:szCs w:val="20"/>
          <w:lang w:val="fr-CA"/>
        </w:rPr>
      </w:pPr>
      <w:r w:rsidRPr="00B3149D">
        <w:rPr>
          <w:rFonts w:cs="Times New Roman"/>
          <w:sz w:val="20"/>
          <w:szCs w:val="20"/>
          <w:lang w:val="fr-CA"/>
        </w:rPr>
        <w:t xml:space="preserve">Conformément à l’alinéa 59(1)a) des </w:t>
      </w:r>
      <w:r w:rsidRPr="00B3149D">
        <w:rPr>
          <w:rFonts w:cs="Times New Roman"/>
          <w:i/>
          <w:sz w:val="20"/>
          <w:szCs w:val="20"/>
          <w:lang w:val="fr-CA"/>
        </w:rPr>
        <w:t>Règles de la Cour suprême du Canada</w:t>
      </w:r>
      <w:r w:rsidRPr="00B3149D">
        <w:rPr>
          <w:rFonts w:cs="Times New Roman"/>
          <w:sz w:val="20"/>
          <w:szCs w:val="20"/>
          <w:lang w:val="fr-CA"/>
        </w:rPr>
        <w:t>, l’intervenante paiera à l’appelante et à l’intimée tous débours supplémentaires résultant de son intervention.</w:t>
      </w:r>
    </w:p>
    <w:p w:rsidR="00B3149D" w:rsidRPr="00B3149D" w:rsidRDefault="00B3149D" w:rsidP="00CA2DEA">
      <w:pPr>
        <w:widowControl w:val="0"/>
        <w:rPr>
          <w:rFonts w:eastAsia="Times New Roman" w:cs="Times New Roman"/>
          <w:sz w:val="20"/>
          <w:szCs w:val="20"/>
          <w:lang w:val="fr-CA" w:eastAsia="en-CA"/>
        </w:rPr>
      </w:pPr>
    </w:p>
    <w:p w:rsidR="00B3149D" w:rsidRPr="00B3149D" w:rsidRDefault="00E51866"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CA2DEA" w:rsidRPr="00B3149D" w:rsidRDefault="00CA2DEA" w:rsidP="0010587F">
      <w:pPr>
        <w:tabs>
          <w:tab w:val="left" w:pos="-1440"/>
          <w:tab w:val="left" w:pos="-720"/>
        </w:tabs>
        <w:jc w:val="both"/>
        <w:rPr>
          <w:sz w:val="20"/>
          <w:szCs w:val="20"/>
          <w:lang w:val="fr-CA"/>
        </w:rPr>
      </w:pPr>
    </w:p>
    <w:p w:rsidR="00B3149D" w:rsidRPr="00B3149D" w:rsidRDefault="00B3149D" w:rsidP="0010587F">
      <w:pPr>
        <w:tabs>
          <w:tab w:val="left" w:pos="-1440"/>
          <w:tab w:val="left" w:pos="-720"/>
        </w:tabs>
        <w:jc w:val="both"/>
        <w:rPr>
          <w:sz w:val="20"/>
          <w:szCs w:val="20"/>
          <w:lang w:val="fr-CA"/>
        </w:rPr>
      </w:pPr>
    </w:p>
    <w:p w:rsidR="00B3149D" w:rsidRPr="00B3149D" w:rsidRDefault="00B3149D">
      <w:pPr>
        <w:rPr>
          <w:sz w:val="20"/>
          <w:szCs w:val="20"/>
          <w:lang w:val="fr-CA"/>
        </w:rPr>
      </w:pPr>
      <w:r w:rsidRPr="00B3149D">
        <w:rPr>
          <w:sz w:val="20"/>
          <w:szCs w:val="20"/>
          <w:lang w:val="fr-CA"/>
        </w:rPr>
        <w:br w:type="page"/>
      </w:r>
    </w:p>
    <w:p w:rsidR="00B3149D" w:rsidRPr="00B3149D" w:rsidRDefault="00B3149D" w:rsidP="00B3149D">
      <w:pPr>
        <w:rPr>
          <w:b/>
          <w:sz w:val="20"/>
          <w:szCs w:val="20"/>
        </w:rPr>
      </w:pPr>
      <w:r w:rsidRPr="00B3149D">
        <w:rPr>
          <w:b/>
          <w:sz w:val="20"/>
          <w:szCs w:val="20"/>
        </w:rPr>
        <w:lastRenderedPageBreak/>
        <w:t>FEBRUARY 17, 2021 / LE 17 FÉVRIER 2021</w:t>
      </w:r>
    </w:p>
    <w:p w:rsidR="00B3149D" w:rsidRPr="00B3149D" w:rsidRDefault="00B3149D" w:rsidP="00B3149D">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B3149D" w:rsidRPr="009873D4" w:rsidTr="00565052">
        <w:tc>
          <w:tcPr>
            <w:tcW w:w="4410" w:type="dxa"/>
            <w:tcBorders>
              <w:top w:val="nil"/>
              <w:left w:val="nil"/>
              <w:bottom w:val="nil"/>
              <w:right w:val="nil"/>
            </w:tcBorders>
          </w:tcPr>
          <w:p w:rsidR="00B3149D" w:rsidRPr="00B3149D" w:rsidRDefault="00B3149D" w:rsidP="00565052">
            <w:pPr>
              <w:jc w:val="both"/>
              <w:rPr>
                <w:rFonts w:cs="Times New Roman"/>
                <w:b/>
                <w:bCs/>
                <w:sz w:val="20"/>
                <w:szCs w:val="20"/>
                <w:lang w:val="en-US"/>
              </w:rPr>
            </w:pPr>
            <w:r w:rsidRPr="00B3149D">
              <w:rPr>
                <w:rFonts w:eastAsia="Times New Roman" w:cs="Times New Roman"/>
                <w:b/>
                <w:sz w:val="20"/>
                <w:szCs w:val="20"/>
                <w:lang w:val="en-US" w:eastAsia="en-CA"/>
              </w:rPr>
              <w:t>Motion to file a reply factum and supplementary record</w:t>
            </w:r>
          </w:p>
        </w:tc>
        <w:tc>
          <w:tcPr>
            <w:tcW w:w="810" w:type="dxa"/>
            <w:tcBorders>
              <w:top w:val="nil"/>
              <w:left w:val="nil"/>
              <w:bottom w:val="nil"/>
              <w:right w:val="nil"/>
            </w:tcBorders>
          </w:tcPr>
          <w:p w:rsidR="00B3149D" w:rsidRPr="00B3149D" w:rsidRDefault="00B3149D" w:rsidP="00565052">
            <w:pPr>
              <w:jc w:val="both"/>
              <w:rPr>
                <w:rFonts w:cs="Times New Roman"/>
                <w:b/>
                <w:bCs/>
                <w:sz w:val="20"/>
                <w:szCs w:val="20"/>
                <w:lang w:val="en-US"/>
              </w:rPr>
            </w:pPr>
          </w:p>
        </w:tc>
        <w:tc>
          <w:tcPr>
            <w:tcW w:w="4399" w:type="dxa"/>
            <w:tcBorders>
              <w:top w:val="nil"/>
              <w:left w:val="nil"/>
              <w:bottom w:val="nil"/>
              <w:right w:val="nil"/>
            </w:tcBorders>
          </w:tcPr>
          <w:p w:rsidR="00B3149D" w:rsidRPr="00B3149D" w:rsidRDefault="00B3149D" w:rsidP="00565052">
            <w:pPr>
              <w:jc w:val="both"/>
              <w:rPr>
                <w:rFonts w:cs="Times New Roman"/>
                <w:b/>
                <w:bCs/>
                <w:sz w:val="20"/>
                <w:szCs w:val="20"/>
                <w:lang w:val="fr-CA"/>
              </w:rPr>
            </w:pPr>
            <w:r w:rsidRPr="00B3149D">
              <w:rPr>
                <w:rFonts w:eastAsia="Times New Roman" w:cs="Times New Roman"/>
                <w:b/>
                <w:sz w:val="20"/>
                <w:szCs w:val="20"/>
                <w:lang w:val="fr-CA" w:eastAsia="en-CA"/>
              </w:rPr>
              <w:t>Requête pour déposer un mémoire en réplique sur appel et dossier supplémentaire</w:t>
            </w:r>
          </w:p>
        </w:tc>
      </w:tr>
    </w:tbl>
    <w:p w:rsidR="00B3149D" w:rsidRPr="00B3149D" w:rsidRDefault="00B3149D" w:rsidP="00B3149D">
      <w:pPr>
        <w:spacing w:line="232" w:lineRule="auto"/>
        <w:jc w:val="both"/>
        <w:rPr>
          <w:rFonts w:cs="Times New Roman"/>
          <w:sz w:val="20"/>
          <w:szCs w:val="24"/>
          <w:lang w:val="fr-CA"/>
        </w:rPr>
      </w:pPr>
    </w:p>
    <w:p w:rsidR="00B3149D" w:rsidRPr="00B3149D" w:rsidRDefault="00B3149D" w:rsidP="00B3149D">
      <w:pPr>
        <w:spacing w:line="232" w:lineRule="auto"/>
        <w:jc w:val="both"/>
        <w:rPr>
          <w:rFonts w:cs="Times New Roman"/>
          <w:sz w:val="20"/>
          <w:szCs w:val="20"/>
          <w:lang w:val="fr-CA"/>
        </w:rPr>
      </w:pPr>
    </w:p>
    <w:p w:rsidR="00B3149D" w:rsidRPr="00B3149D" w:rsidRDefault="00B3149D" w:rsidP="00B3149D">
      <w:pPr>
        <w:rPr>
          <w:rFonts w:cs="Times New Roman"/>
          <w:b/>
          <w:bCs/>
          <w:sz w:val="20"/>
          <w:szCs w:val="20"/>
        </w:rPr>
      </w:pPr>
      <w:r w:rsidRPr="00B3149D">
        <w:rPr>
          <w:rFonts w:cs="Times New Roman"/>
          <w:b/>
          <w:bCs/>
          <w:sz w:val="20"/>
          <w:szCs w:val="20"/>
        </w:rPr>
        <w:t>GRANT THORNTON LLP AND KENT M. OSTRIDGE v. PROVINCE OF NEW BRUNSWICK</w:t>
      </w:r>
    </w:p>
    <w:p w:rsidR="00B3149D" w:rsidRPr="00B3149D" w:rsidRDefault="00B3149D" w:rsidP="00B3149D">
      <w:pPr>
        <w:rPr>
          <w:rFonts w:cs="Times New Roman"/>
          <w:b/>
          <w:bCs/>
          <w:sz w:val="20"/>
          <w:szCs w:val="20"/>
        </w:rPr>
      </w:pPr>
    </w:p>
    <w:p w:rsidR="00B3149D" w:rsidRPr="00B3149D" w:rsidRDefault="00B3149D" w:rsidP="00B3149D">
      <w:pPr>
        <w:rPr>
          <w:rFonts w:cs="Times New Roman"/>
          <w:b/>
          <w:bCs/>
          <w:sz w:val="20"/>
          <w:szCs w:val="20"/>
        </w:rPr>
      </w:pPr>
      <w:r w:rsidRPr="00B3149D">
        <w:rPr>
          <w:rFonts w:cs="Times New Roman"/>
          <w:b/>
          <w:bCs/>
          <w:sz w:val="20"/>
          <w:szCs w:val="20"/>
        </w:rPr>
        <w:t>-</w:t>
      </w:r>
      <w:proofErr w:type="gramStart"/>
      <w:r w:rsidRPr="00B3149D">
        <w:rPr>
          <w:rFonts w:cs="Times New Roman"/>
          <w:b/>
          <w:bCs/>
          <w:sz w:val="20"/>
          <w:szCs w:val="20"/>
        </w:rPr>
        <w:t>and</w:t>
      </w:r>
      <w:proofErr w:type="gramEnd"/>
      <w:r w:rsidRPr="00B3149D">
        <w:rPr>
          <w:rFonts w:cs="Times New Roman"/>
          <w:b/>
          <w:bCs/>
          <w:sz w:val="20"/>
          <w:szCs w:val="20"/>
        </w:rPr>
        <w:t xml:space="preserve"> between-</w:t>
      </w:r>
    </w:p>
    <w:p w:rsidR="00B3149D" w:rsidRPr="00B3149D" w:rsidRDefault="00B3149D" w:rsidP="00B3149D">
      <w:pPr>
        <w:rPr>
          <w:rFonts w:cs="Times New Roman"/>
          <w:b/>
          <w:bCs/>
          <w:sz w:val="20"/>
          <w:szCs w:val="20"/>
        </w:rPr>
      </w:pPr>
    </w:p>
    <w:p w:rsidR="00B3149D" w:rsidRPr="00B3149D" w:rsidRDefault="00B3149D" w:rsidP="00B3149D">
      <w:pPr>
        <w:rPr>
          <w:rFonts w:cs="Times New Roman"/>
          <w:b/>
          <w:bCs/>
          <w:sz w:val="20"/>
          <w:szCs w:val="20"/>
        </w:rPr>
      </w:pPr>
      <w:r w:rsidRPr="00B3149D">
        <w:rPr>
          <w:rFonts w:cs="Times New Roman"/>
          <w:b/>
          <w:bCs/>
          <w:sz w:val="20"/>
          <w:szCs w:val="20"/>
        </w:rPr>
        <w:t>GRANT THORNTON INTERNATIONAL LTD. v. PROVINCE OF NEW BRUNSWICK</w:t>
      </w:r>
    </w:p>
    <w:p w:rsidR="00B3149D" w:rsidRPr="00B3149D" w:rsidRDefault="00B3149D" w:rsidP="00B3149D">
      <w:pPr>
        <w:rPr>
          <w:rFonts w:cs="Times New Roman"/>
          <w:sz w:val="20"/>
          <w:szCs w:val="20"/>
        </w:rPr>
      </w:pPr>
      <w:r w:rsidRPr="00B3149D">
        <w:rPr>
          <w:rFonts w:cs="Times New Roman"/>
          <w:sz w:val="20"/>
          <w:szCs w:val="20"/>
        </w:rPr>
        <w:t>(N.B.) (39182)</w:t>
      </w:r>
    </w:p>
    <w:p w:rsidR="00B3149D" w:rsidRPr="00B3149D" w:rsidRDefault="00B3149D" w:rsidP="00B3149D">
      <w:pPr>
        <w:rPr>
          <w:rFonts w:cs="Times New Roman"/>
          <w:sz w:val="20"/>
          <w:szCs w:val="20"/>
        </w:rPr>
      </w:pPr>
    </w:p>
    <w:p w:rsidR="00B3149D" w:rsidRPr="00B3149D" w:rsidRDefault="00B3149D" w:rsidP="00B3149D">
      <w:pPr>
        <w:spacing w:line="232" w:lineRule="auto"/>
        <w:rPr>
          <w:rFonts w:cs="Times New Roman"/>
          <w:sz w:val="20"/>
          <w:szCs w:val="20"/>
        </w:rPr>
      </w:pPr>
      <w:r w:rsidRPr="00B3149D">
        <w:rPr>
          <w:rFonts w:cs="Times New Roman"/>
          <w:b/>
          <w:bCs/>
          <w:sz w:val="20"/>
          <w:szCs w:val="20"/>
          <w:u w:val="single"/>
        </w:rPr>
        <w:t>MARTIN J.</w:t>
      </w:r>
      <w:r w:rsidRPr="00B3149D">
        <w:rPr>
          <w:rFonts w:cs="Times New Roman"/>
          <w:b/>
          <w:bCs/>
          <w:sz w:val="20"/>
          <w:szCs w:val="20"/>
        </w:rPr>
        <w:t>:</w:t>
      </w:r>
    </w:p>
    <w:p w:rsidR="00B3149D" w:rsidRPr="00B3149D" w:rsidRDefault="00B3149D" w:rsidP="00B3149D">
      <w:pPr>
        <w:rPr>
          <w:rFonts w:cs="Times New Roman"/>
          <w:sz w:val="20"/>
          <w:szCs w:val="20"/>
        </w:rPr>
      </w:pPr>
    </w:p>
    <w:p w:rsidR="00B3149D" w:rsidRPr="00B3149D" w:rsidRDefault="00B3149D" w:rsidP="00B3149D">
      <w:pPr>
        <w:pStyle w:val="scclsocparty1"/>
        <w:jc w:val="both"/>
        <w:rPr>
          <w:b/>
          <w:sz w:val="20"/>
          <w:szCs w:val="20"/>
          <w:lang w:val="en-CA"/>
        </w:rPr>
      </w:pPr>
      <w:r w:rsidRPr="00B3149D">
        <w:rPr>
          <w:b/>
          <w:sz w:val="20"/>
          <w:szCs w:val="20"/>
        </w:rPr>
        <w:t xml:space="preserve">UPON APPLICATION </w:t>
      </w:r>
      <w:r w:rsidRPr="00B3149D">
        <w:rPr>
          <w:sz w:val="20"/>
          <w:szCs w:val="20"/>
        </w:rPr>
        <w:t xml:space="preserve">by </w:t>
      </w:r>
      <w:r w:rsidRPr="00B3149D">
        <w:rPr>
          <w:sz w:val="20"/>
          <w:szCs w:val="20"/>
          <w:lang w:val="en-CA"/>
        </w:rPr>
        <w:t xml:space="preserve">the appellants, </w:t>
      </w:r>
      <w:r w:rsidRPr="00B3149D">
        <w:rPr>
          <w:sz w:val="20"/>
          <w:szCs w:val="20"/>
        </w:rPr>
        <w:t>Grant Thornton LLP and Kent M. Ostridge,</w:t>
      </w:r>
      <w:r w:rsidRPr="00B3149D">
        <w:rPr>
          <w:sz w:val="20"/>
          <w:szCs w:val="20"/>
          <w:lang w:val="en-CA"/>
        </w:rPr>
        <w:t xml:space="preserve"> for an order granting permission to file a reply factum and supplementary record; </w:t>
      </w:r>
    </w:p>
    <w:p w:rsidR="00B3149D" w:rsidRPr="00B3149D" w:rsidRDefault="00B3149D" w:rsidP="00B3149D">
      <w:pPr>
        <w:spacing w:line="233" w:lineRule="auto"/>
        <w:rPr>
          <w:rFonts w:cs="Times New Roman"/>
          <w:sz w:val="20"/>
          <w:szCs w:val="20"/>
        </w:rPr>
      </w:pPr>
    </w:p>
    <w:p w:rsidR="00B3149D" w:rsidRPr="00B3149D" w:rsidRDefault="00B3149D" w:rsidP="00B3149D">
      <w:pPr>
        <w:spacing w:line="233" w:lineRule="auto"/>
        <w:rPr>
          <w:rFonts w:cs="Times New Roman"/>
          <w:sz w:val="20"/>
          <w:szCs w:val="20"/>
        </w:rPr>
      </w:pPr>
      <w:r w:rsidRPr="00B3149D">
        <w:rPr>
          <w:rFonts w:cs="Times New Roman"/>
          <w:b/>
          <w:bCs/>
          <w:sz w:val="20"/>
          <w:szCs w:val="20"/>
        </w:rPr>
        <w:t>AND THE MATERIAL FILED</w:t>
      </w:r>
      <w:r w:rsidRPr="00B3149D">
        <w:rPr>
          <w:rFonts w:cs="Times New Roman"/>
          <w:sz w:val="20"/>
          <w:szCs w:val="20"/>
        </w:rPr>
        <w:t xml:space="preserve"> having been read;</w:t>
      </w:r>
    </w:p>
    <w:p w:rsidR="00B3149D" w:rsidRPr="00B3149D" w:rsidRDefault="00B3149D" w:rsidP="00B3149D">
      <w:pPr>
        <w:spacing w:line="233" w:lineRule="auto"/>
        <w:rPr>
          <w:rFonts w:cs="Times New Roman"/>
          <w:sz w:val="20"/>
          <w:szCs w:val="20"/>
        </w:rPr>
      </w:pPr>
    </w:p>
    <w:p w:rsidR="00B3149D" w:rsidRPr="00B3149D" w:rsidRDefault="00B3149D" w:rsidP="00B3149D">
      <w:pPr>
        <w:spacing w:line="233" w:lineRule="auto"/>
        <w:rPr>
          <w:rFonts w:cs="Times New Roman"/>
          <w:sz w:val="20"/>
          <w:szCs w:val="20"/>
        </w:rPr>
      </w:pPr>
      <w:r w:rsidRPr="00B3149D">
        <w:rPr>
          <w:rFonts w:cs="Times New Roman"/>
          <w:b/>
          <w:bCs/>
          <w:sz w:val="20"/>
          <w:szCs w:val="20"/>
        </w:rPr>
        <w:t>IT IS HEREBY ORDERED THAT:</w:t>
      </w:r>
    </w:p>
    <w:p w:rsidR="00B3149D" w:rsidRPr="00B3149D" w:rsidRDefault="00B3149D" w:rsidP="00B3149D">
      <w:pPr>
        <w:spacing w:line="233" w:lineRule="auto"/>
        <w:rPr>
          <w:rFonts w:cs="Times New Roman"/>
          <w:sz w:val="20"/>
          <w:szCs w:val="20"/>
        </w:rPr>
      </w:pPr>
    </w:p>
    <w:p w:rsidR="00B3149D" w:rsidRPr="00B3149D" w:rsidRDefault="00B3149D" w:rsidP="00B3149D">
      <w:pPr>
        <w:rPr>
          <w:rFonts w:cs="Times New Roman"/>
          <w:sz w:val="20"/>
          <w:szCs w:val="20"/>
        </w:rPr>
      </w:pPr>
      <w:r w:rsidRPr="00B3149D">
        <w:rPr>
          <w:rFonts w:cs="Times New Roman"/>
          <w:sz w:val="20"/>
          <w:szCs w:val="20"/>
        </w:rPr>
        <w:t>The motion is dismissed with costs to the respondent, Province of New Brunswick.</w:t>
      </w:r>
    </w:p>
    <w:p w:rsidR="00B3149D" w:rsidRPr="00B3149D" w:rsidRDefault="00B3149D" w:rsidP="00B3149D">
      <w:pPr>
        <w:rPr>
          <w:rFonts w:cs="Times New Roman"/>
          <w:sz w:val="20"/>
          <w:szCs w:val="20"/>
        </w:rPr>
      </w:pPr>
    </w:p>
    <w:p w:rsidR="00B3149D" w:rsidRPr="00B3149D" w:rsidRDefault="00B3149D" w:rsidP="00B3149D">
      <w:pPr>
        <w:rPr>
          <w:rFonts w:cs="Times New Roman"/>
          <w:sz w:val="20"/>
          <w:szCs w:val="20"/>
        </w:rPr>
      </w:pPr>
    </w:p>
    <w:p w:rsidR="00B3149D" w:rsidRPr="00B3149D" w:rsidRDefault="00B3149D" w:rsidP="00B3149D">
      <w:pPr>
        <w:pStyle w:val="scclsocparty1"/>
        <w:jc w:val="both"/>
        <w:rPr>
          <w:b/>
          <w:sz w:val="20"/>
          <w:szCs w:val="20"/>
          <w:lang w:val="fr-CA"/>
        </w:rPr>
      </w:pPr>
      <w:r w:rsidRPr="00B3149D">
        <w:rPr>
          <w:b/>
          <w:bCs/>
          <w:sz w:val="20"/>
          <w:szCs w:val="20"/>
          <w:lang w:val="fr-CA"/>
        </w:rPr>
        <w:t>À LA SUITE DE LA DEMANDE</w:t>
      </w:r>
      <w:r w:rsidRPr="00B3149D">
        <w:rPr>
          <w:b/>
          <w:sz w:val="20"/>
          <w:szCs w:val="20"/>
          <w:lang w:val="fr-CA"/>
        </w:rPr>
        <w:t xml:space="preserve"> </w:t>
      </w:r>
      <w:r w:rsidRPr="00B3149D">
        <w:rPr>
          <w:sz w:val="20"/>
          <w:szCs w:val="20"/>
          <w:lang w:val="fr-CA"/>
        </w:rPr>
        <w:t xml:space="preserve">présentée par les appelants, Grant Thornton LLP et Kent M. Ostridge, en autorisation de déposer un mémoire en réplique et un dossier supplémentaire; </w:t>
      </w:r>
    </w:p>
    <w:p w:rsidR="00B3149D" w:rsidRPr="00B3149D" w:rsidRDefault="00B3149D" w:rsidP="00B3149D">
      <w:pPr>
        <w:spacing w:line="233" w:lineRule="auto"/>
        <w:rPr>
          <w:rFonts w:cs="Times New Roman"/>
          <w:sz w:val="20"/>
          <w:szCs w:val="20"/>
          <w:lang w:val="fr-CA"/>
        </w:rPr>
      </w:pPr>
    </w:p>
    <w:p w:rsidR="00B3149D" w:rsidRPr="00B3149D" w:rsidRDefault="00B3149D" w:rsidP="00B3149D">
      <w:pPr>
        <w:spacing w:line="233" w:lineRule="auto"/>
        <w:rPr>
          <w:rFonts w:cs="Times New Roman"/>
          <w:sz w:val="20"/>
          <w:szCs w:val="20"/>
          <w:lang w:val="fr-CA"/>
        </w:rPr>
      </w:pPr>
      <w:r w:rsidRPr="00B3149D">
        <w:rPr>
          <w:rFonts w:cs="Times New Roman"/>
          <w:b/>
          <w:bCs/>
          <w:sz w:val="20"/>
          <w:szCs w:val="20"/>
          <w:lang w:val="fr-CA"/>
        </w:rPr>
        <w:t xml:space="preserve">ET APRÈS EXAMEN </w:t>
      </w:r>
      <w:r w:rsidRPr="00B3149D">
        <w:rPr>
          <w:rFonts w:cs="Times New Roman"/>
          <w:bCs/>
          <w:sz w:val="20"/>
          <w:szCs w:val="20"/>
          <w:lang w:val="fr-CA"/>
        </w:rPr>
        <w:t>des documents déposés</w:t>
      </w:r>
      <w:r w:rsidRPr="00B3149D">
        <w:rPr>
          <w:rFonts w:cs="Times New Roman"/>
          <w:sz w:val="20"/>
          <w:szCs w:val="20"/>
          <w:lang w:val="fr-CA"/>
        </w:rPr>
        <w:t>;</w:t>
      </w:r>
    </w:p>
    <w:p w:rsidR="00B3149D" w:rsidRPr="00B3149D" w:rsidRDefault="00B3149D" w:rsidP="00B3149D">
      <w:pPr>
        <w:spacing w:line="233" w:lineRule="auto"/>
        <w:rPr>
          <w:rFonts w:cs="Times New Roman"/>
          <w:sz w:val="20"/>
          <w:szCs w:val="20"/>
          <w:lang w:val="fr-CA"/>
        </w:rPr>
      </w:pPr>
    </w:p>
    <w:p w:rsidR="00B3149D" w:rsidRPr="00B3149D" w:rsidRDefault="00B3149D" w:rsidP="00B3149D">
      <w:pPr>
        <w:spacing w:line="233" w:lineRule="auto"/>
        <w:rPr>
          <w:rFonts w:cs="Times New Roman"/>
          <w:b/>
          <w:bCs/>
          <w:sz w:val="20"/>
          <w:szCs w:val="20"/>
          <w:lang w:val="fr-CA"/>
        </w:rPr>
      </w:pPr>
      <w:r w:rsidRPr="00B3149D">
        <w:rPr>
          <w:rFonts w:cs="Times New Roman"/>
          <w:b/>
          <w:bCs/>
          <w:sz w:val="20"/>
          <w:szCs w:val="20"/>
          <w:lang w:val="fr-CA"/>
        </w:rPr>
        <w:t>IL EST PAR LA PRÉSENTE ORDONNÉ CE QUI SUIT :</w:t>
      </w:r>
    </w:p>
    <w:p w:rsidR="00B3149D" w:rsidRPr="00B3149D" w:rsidRDefault="00B3149D" w:rsidP="00B3149D">
      <w:pPr>
        <w:spacing w:line="233" w:lineRule="auto"/>
        <w:rPr>
          <w:rFonts w:cs="Times New Roman"/>
          <w:sz w:val="20"/>
          <w:szCs w:val="20"/>
          <w:lang w:val="fr-CA"/>
        </w:rPr>
      </w:pPr>
    </w:p>
    <w:p w:rsidR="00B3149D" w:rsidRPr="00B3149D" w:rsidRDefault="00B3149D" w:rsidP="00B3149D">
      <w:pPr>
        <w:rPr>
          <w:rFonts w:cs="Times New Roman"/>
          <w:sz w:val="20"/>
          <w:szCs w:val="20"/>
          <w:lang w:val="fr-CA"/>
        </w:rPr>
      </w:pPr>
      <w:r w:rsidRPr="00B3149D">
        <w:rPr>
          <w:rFonts w:cs="Times New Roman"/>
          <w:sz w:val="20"/>
          <w:szCs w:val="20"/>
          <w:lang w:val="fr-CA"/>
        </w:rPr>
        <w:t>La requête est rejetée avec dépens en faveur de l’intimée, la province du Nouveau-Brunswick.</w:t>
      </w:r>
    </w:p>
    <w:p w:rsidR="00B3149D" w:rsidRPr="00B3149D" w:rsidRDefault="00B3149D" w:rsidP="00B3149D">
      <w:pPr>
        <w:widowControl w:val="0"/>
        <w:rPr>
          <w:rFonts w:eastAsia="Times New Roman" w:cs="Times New Roman"/>
          <w:sz w:val="20"/>
          <w:szCs w:val="20"/>
          <w:lang w:val="fr-CA" w:eastAsia="en-CA"/>
        </w:rPr>
      </w:pPr>
    </w:p>
    <w:p w:rsidR="00B3149D" w:rsidRPr="00B3149D" w:rsidRDefault="00E51866" w:rsidP="00B3149D">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B3149D" w:rsidRPr="00B3149D" w:rsidRDefault="00B3149D" w:rsidP="00B3149D">
      <w:pPr>
        <w:tabs>
          <w:tab w:val="left" w:pos="-1440"/>
          <w:tab w:val="left" w:pos="-720"/>
        </w:tabs>
        <w:jc w:val="both"/>
        <w:rPr>
          <w:sz w:val="20"/>
          <w:szCs w:val="20"/>
          <w:lang w:val="fr-CA"/>
        </w:rPr>
      </w:pPr>
    </w:p>
    <w:p w:rsidR="00B3149D" w:rsidRPr="00B3149D" w:rsidRDefault="00B3149D" w:rsidP="00B3149D">
      <w:pPr>
        <w:tabs>
          <w:tab w:val="left" w:pos="-1440"/>
          <w:tab w:val="left" w:pos="-720"/>
        </w:tabs>
        <w:jc w:val="both"/>
        <w:rPr>
          <w:sz w:val="20"/>
          <w:szCs w:val="20"/>
          <w:lang w:val="fr-CA"/>
        </w:rPr>
      </w:pPr>
    </w:p>
    <w:p w:rsidR="00890FEB" w:rsidRPr="00B3149D" w:rsidRDefault="00890FEB" w:rsidP="00831CA9">
      <w:pPr>
        <w:jc w:val="both"/>
        <w:rPr>
          <w:sz w:val="20"/>
          <w:szCs w:val="20"/>
          <w:lang w:val="fr-CA"/>
        </w:rPr>
      </w:pPr>
    </w:p>
    <w:p w:rsidR="00831CA9" w:rsidRPr="00B3149D" w:rsidRDefault="00831CA9" w:rsidP="00831CA9">
      <w:pPr>
        <w:jc w:val="both"/>
        <w:rPr>
          <w:sz w:val="20"/>
          <w:szCs w:val="20"/>
          <w:lang w:val="fr-CA"/>
        </w:rPr>
        <w:sectPr w:rsidR="00831CA9" w:rsidRPr="00B3149D" w:rsidSect="00831CA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567602" w:rsidRPr="00B3149D" w:rsidRDefault="001434B9" w:rsidP="00567602">
      <w:pPr>
        <w:pStyle w:val="Header1StyleE"/>
        <w:pBdr>
          <w:bottom w:val="single" w:sz="12" w:space="1" w:color="auto"/>
        </w:pBdr>
        <w:rPr>
          <w:lang w:val="fr-CA"/>
        </w:rPr>
      </w:pPr>
      <w:bookmarkStart w:id="6" w:name="_Toc64628182"/>
      <w:r w:rsidRPr="00B3149D">
        <w:rPr>
          <w:lang w:val="fr-CA"/>
        </w:rPr>
        <w:lastRenderedPageBreak/>
        <w:t>Appeals heard since the last issue and disposition</w:t>
      </w:r>
      <w:r w:rsidR="00271E1E" w:rsidRPr="00B3149D">
        <w:rPr>
          <w:lang w:val="fr-CA"/>
        </w:rPr>
        <w:t xml:space="preserve"> / </w:t>
      </w:r>
      <w:r w:rsidR="00567602" w:rsidRPr="00B3149D">
        <w:rPr>
          <w:lang w:val="fr-CA"/>
        </w:rPr>
        <w:br/>
      </w:r>
      <w:r w:rsidRPr="00B3149D">
        <w:rPr>
          <w:lang w:val="fr-CA"/>
        </w:rPr>
        <w:t>Appels entendus depuis la dernière parution et résultat</w:t>
      </w:r>
      <w:bookmarkEnd w:id="6"/>
    </w:p>
    <w:p w:rsidR="00567602" w:rsidRPr="00B3149D" w:rsidRDefault="00567602" w:rsidP="009B36BA">
      <w:pPr>
        <w:widowControl w:val="0"/>
        <w:jc w:val="both"/>
        <w:rPr>
          <w:sz w:val="20"/>
          <w:szCs w:val="20"/>
          <w:lang w:val="fr-CA"/>
        </w:rPr>
      </w:pPr>
    </w:p>
    <w:p w:rsidR="00717608" w:rsidRPr="00B3149D" w:rsidRDefault="00DE4CD7" w:rsidP="00717608">
      <w:pPr>
        <w:rPr>
          <w:b/>
          <w:sz w:val="20"/>
          <w:szCs w:val="20"/>
          <w:lang w:val="fr-CA"/>
        </w:rPr>
      </w:pPr>
      <w:r w:rsidRPr="00B3149D">
        <w:rPr>
          <w:b/>
          <w:sz w:val="20"/>
          <w:szCs w:val="20"/>
          <w:lang w:val="fr-CA"/>
        </w:rPr>
        <w:t>FEBRUARY</w:t>
      </w:r>
      <w:r w:rsidR="00717608" w:rsidRPr="00B3149D">
        <w:rPr>
          <w:b/>
          <w:sz w:val="20"/>
          <w:szCs w:val="20"/>
          <w:lang w:val="fr-CA"/>
        </w:rPr>
        <w:t xml:space="preserve"> </w:t>
      </w:r>
      <w:r w:rsidR="009B36BA" w:rsidRPr="00B3149D">
        <w:rPr>
          <w:b/>
          <w:sz w:val="20"/>
          <w:szCs w:val="20"/>
          <w:lang w:val="fr-CA"/>
        </w:rPr>
        <w:t>1</w:t>
      </w:r>
      <w:r w:rsidRPr="00B3149D">
        <w:rPr>
          <w:b/>
          <w:sz w:val="20"/>
          <w:szCs w:val="20"/>
          <w:lang w:val="fr-CA"/>
        </w:rPr>
        <w:t>5</w:t>
      </w:r>
      <w:r w:rsidR="00717608" w:rsidRPr="00B3149D">
        <w:rPr>
          <w:b/>
          <w:sz w:val="20"/>
          <w:szCs w:val="20"/>
          <w:lang w:val="fr-CA"/>
        </w:rPr>
        <w:t>, 20</w:t>
      </w:r>
      <w:r w:rsidR="00172473" w:rsidRPr="00B3149D">
        <w:rPr>
          <w:b/>
          <w:sz w:val="20"/>
          <w:szCs w:val="20"/>
          <w:lang w:val="fr-CA"/>
        </w:rPr>
        <w:t>2</w:t>
      </w:r>
      <w:r w:rsidR="009B36BA" w:rsidRPr="00B3149D">
        <w:rPr>
          <w:b/>
          <w:sz w:val="20"/>
          <w:szCs w:val="20"/>
          <w:lang w:val="fr-CA"/>
        </w:rPr>
        <w:t>1</w:t>
      </w:r>
      <w:r w:rsidR="00717608" w:rsidRPr="00B3149D">
        <w:rPr>
          <w:b/>
          <w:sz w:val="20"/>
          <w:szCs w:val="20"/>
          <w:lang w:val="fr-CA"/>
        </w:rPr>
        <w:t xml:space="preserve"> / LE </w:t>
      </w:r>
      <w:r w:rsidR="009B36BA" w:rsidRPr="00B3149D">
        <w:rPr>
          <w:b/>
          <w:sz w:val="20"/>
          <w:szCs w:val="20"/>
          <w:lang w:val="fr-CA"/>
        </w:rPr>
        <w:t>1</w:t>
      </w:r>
      <w:r w:rsidRPr="00B3149D">
        <w:rPr>
          <w:b/>
          <w:sz w:val="20"/>
          <w:szCs w:val="20"/>
          <w:lang w:val="fr-CA"/>
        </w:rPr>
        <w:t>5</w:t>
      </w:r>
      <w:r w:rsidR="00717608" w:rsidRPr="00B3149D">
        <w:rPr>
          <w:b/>
          <w:sz w:val="20"/>
          <w:szCs w:val="20"/>
          <w:lang w:val="fr-CA"/>
        </w:rPr>
        <w:t xml:space="preserve"> </w:t>
      </w:r>
      <w:r w:rsidRPr="00B3149D">
        <w:rPr>
          <w:b/>
          <w:sz w:val="20"/>
          <w:szCs w:val="20"/>
          <w:lang w:val="fr-CA"/>
        </w:rPr>
        <w:t xml:space="preserve">FÉVRIER </w:t>
      </w:r>
      <w:r w:rsidR="00717608" w:rsidRPr="00B3149D">
        <w:rPr>
          <w:b/>
          <w:sz w:val="20"/>
          <w:szCs w:val="20"/>
          <w:lang w:val="fr-CA"/>
        </w:rPr>
        <w:t>20</w:t>
      </w:r>
      <w:r w:rsidR="00172473" w:rsidRPr="00B3149D">
        <w:rPr>
          <w:b/>
          <w:sz w:val="20"/>
          <w:szCs w:val="20"/>
          <w:lang w:val="fr-CA"/>
        </w:rPr>
        <w:t>2</w:t>
      </w:r>
      <w:r w:rsidR="009B36BA" w:rsidRPr="00B3149D">
        <w:rPr>
          <w:b/>
          <w:sz w:val="20"/>
          <w:szCs w:val="20"/>
          <w:lang w:val="fr-CA"/>
        </w:rPr>
        <w:t>1</w:t>
      </w:r>
    </w:p>
    <w:p w:rsidR="00172473" w:rsidRPr="00B3149D" w:rsidRDefault="00172473" w:rsidP="00717608">
      <w:pPr>
        <w:rPr>
          <w:sz w:val="20"/>
          <w:szCs w:val="20"/>
          <w:lang w:val="fr-CA"/>
        </w:rPr>
      </w:pPr>
    </w:p>
    <w:p w:rsidR="00DE4CD7" w:rsidRPr="00B3149D" w:rsidRDefault="00DE4CD7" w:rsidP="00DE4CD7">
      <w:pPr>
        <w:widowControl w:val="0"/>
        <w:rPr>
          <w:sz w:val="20"/>
          <w:szCs w:val="20"/>
        </w:rPr>
      </w:pPr>
      <w:r w:rsidRPr="00B3149D">
        <w:rPr>
          <w:b/>
          <w:iCs/>
          <w:sz w:val="20"/>
          <w:szCs w:val="20"/>
          <w:lang w:val="fr-CA"/>
        </w:rPr>
        <w:t>Mike Ward v. Commission des droits de la personne et des droits de la jeunesse</w:t>
      </w:r>
      <w:r w:rsidRPr="00B3149D">
        <w:rPr>
          <w:iCs/>
          <w:sz w:val="20"/>
          <w:szCs w:val="20"/>
          <w:lang w:val="fr-CA"/>
        </w:rPr>
        <w:t xml:space="preserve"> (Que.) </w:t>
      </w:r>
      <w:r w:rsidRPr="00B3149D">
        <w:rPr>
          <w:iCs/>
          <w:sz w:val="20"/>
          <w:szCs w:val="20"/>
        </w:rPr>
        <w:t>(Civil) (By Leave)</w:t>
      </w:r>
      <w:r w:rsidRPr="00B3149D">
        <w:rPr>
          <w:color w:val="333333"/>
          <w:sz w:val="20"/>
          <w:szCs w:val="20"/>
        </w:rPr>
        <w:t xml:space="preserve"> </w:t>
      </w:r>
      <w:r w:rsidRPr="00B3149D">
        <w:rPr>
          <w:color w:val="333333"/>
          <w:sz w:val="20"/>
          <w:szCs w:val="20"/>
          <w:lang w:val="en-US"/>
        </w:rPr>
        <w:t>(</w:t>
      </w:r>
      <w:hyperlink r:id="rId64" w:history="1">
        <w:r w:rsidRPr="00B3149D">
          <w:rPr>
            <w:rStyle w:val="Hyperlink"/>
            <w:sz w:val="20"/>
            <w:szCs w:val="20"/>
            <w:lang w:val="en-US"/>
          </w:rPr>
          <w:t>39041</w:t>
        </w:r>
      </w:hyperlink>
      <w:r w:rsidRPr="00B3149D">
        <w:rPr>
          <w:color w:val="333333"/>
          <w:sz w:val="20"/>
          <w:szCs w:val="20"/>
          <w:lang w:val="en-US"/>
        </w:rPr>
        <w:t>)</w:t>
      </w:r>
    </w:p>
    <w:p w:rsidR="00DE4CD7" w:rsidRPr="00B3149D" w:rsidRDefault="00DE4CD7" w:rsidP="00DE4CD7">
      <w:pPr>
        <w:widowControl w:val="0"/>
        <w:ind w:left="1109" w:hanging="1109"/>
        <w:rPr>
          <w:sz w:val="20"/>
          <w:szCs w:val="20"/>
        </w:rPr>
      </w:pPr>
    </w:p>
    <w:p w:rsidR="00DE4CD7" w:rsidRPr="00B3149D" w:rsidRDefault="00DE4CD7" w:rsidP="00DE4CD7">
      <w:pPr>
        <w:widowControl w:val="0"/>
        <w:ind w:left="1109" w:hanging="1109"/>
        <w:rPr>
          <w:sz w:val="20"/>
          <w:szCs w:val="20"/>
        </w:rPr>
      </w:pPr>
      <w:r w:rsidRPr="00B3149D">
        <w:rPr>
          <w:sz w:val="20"/>
          <w:szCs w:val="20"/>
        </w:rPr>
        <w:t xml:space="preserve">Coram: </w:t>
      </w:r>
      <w:r w:rsidRPr="00B3149D">
        <w:rPr>
          <w:sz w:val="20"/>
          <w:szCs w:val="20"/>
        </w:rPr>
        <w:tab/>
        <w:t>Wagner C.J. and Abella, Moldaver, Karakatsanis, Côté, Brown, Rowe, Martin and Kasirer JJ.</w:t>
      </w:r>
    </w:p>
    <w:p w:rsidR="00DE4CD7" w:rsidRPr="00B3149D" w:rsidRDefault="00DE4CD7" w:rsidP="00DE4CD7">
      <w:pPr>
        <w:widowControl w:val="0"/>
        <w:ind w:left="1109" w:hanging="1109"/>
        <w:rPr>
          <w:sz w:val="20"/>
          <w:szCs w:val="20"/>
        </w:rPr>
      </w:pPr>
    </w:p>
    <w:p w:rsidR="00DE4CD7" w:rsidRPr="00B3149D" w:rsidRDefault="00DE4CD7" w:rsidP="00DE4CD7">
      <w:pPr>
        <w:widowControl w:val="0"/>
        <w:ind w:left="1109" w:hanging="1109"/>
        <w:rPr>
          <w:sz w:val="20"/>
          <w:szCs w:val="20"/>
        </w:rPr>
      </w:pPr>
      <w:r w:rsidRPr="00B3149D">
        <w:rPr>
          <w:b/>
          <w:sz w:val="20"/>
          <w:szCs w:val="20"/>
        </w:rPr>
        <w:t>RESERVED / EN DÉLIBÉRÉ</w:t>
      </w:r>
    </w:p>
    <w:p w:rsidR="00E06F20" w:rsidRPr="00B3149D" w:rsidRDefault="00E06F20" w:rsidP="00DE4CD7">
      <w:pPr>
        <w:ind w:left="1109" w:hanging="1109"/>
        <w:rPr>
          <w:bCs/>
          <w:color w:val="000000"/>
          <w:sz w:val="20"/>
          <w:szCs w:val="20"/>
        </w:rPr>
      </w:pPr>
    </w:p>
    <w:p w:rsidR="00E06F20" w:rsidRPr="00B3149D" w:rsidRDefault="00E51866" w:rsidP="00281DA2">
      <w:pPr>
        <w:jc w:val="center"/>
        <w:rPr>
          <w:color w:val="000000"/>
          <w:sz w:val="20"/>
          <w:szCs w:val="27"/>
        </w:rPr>
      </w:pPr>
      <w:r>
        <w:rPr>
          <w:sz w:val="20"/>
          <w:szCs w:val="20"/>
        </w:rPr>
        <w:pict>
          <v:rect id="_x0000_i1069" style="width:2in;height:1pt" o:hrpct="0" o:hralign="center" o:hrstd="t" o:hrnoshade="t" o:hr="t" fillcolor="black [3213]" stroked="f"/>
        </w:pict>
      </w:r>
    </w:p>
    <w:p w:rsidR="00102792" w:rsidRPr="00B3149D" w:rsidRDefault="00102792" w:rsidP="00102792">
      <w:pPr>
        <w:widowControl w:val="0"/>
        <w:rPr>
          <w:sz w:val="20"/>
          <w:szCs w:val="20"/>
        </w:rPr>
      </w:pPr>
    </w:p>
    <w:p w:rsidR="00DE4CD7" w:rsidRPr="00B3149D" w:rsidRDefault="00DE4CD7" w:rsidP="00DE4CD7">
      <w:pPr>
        <w:rPr>
          <w:b/>
          <w:sz w:val="20"/>
          <w:szCs w:val="20"/>
        </w:rPr>
      </w:pPr>
      <w:r w:rsidRPr="00B3149D">
        <w:rPr>
          <w:b/>
          <w:sz w:val="20"/>
          <w:szCs w:val="20"/>
        </w:rPr>
        <w:t>FEBRUARY 18, 2021 / LE 18 FÉVRIER 2021</w:t>
      </w:r>
    </w:p>
    <w:p w:rsidR="00DE4CD7" w:rsidRPr="00B3149D" w:rsidRDefault="00DE4CD7" w:rsidP="00DE4CD7">
      <w:pPr>
        <w:rPr>
          <w:sz w:val="20"/>
          <w:szCs w:val="20"/>
        </w:rPr>
      </w:pPr>
    </w:p>
    <w:p w:rsidR="00DE4CD7" w:rsidRPr="00B3149D" w:rsidRDefault="00DE4CD7" w:rsidP="00DE4CD7">
      <w:pPr>
        <w:widowControl w:val="0"/>
        <w:rPr>
          <w:sz w:val="20"/>
          <w:szCs w:val="20"/>
        </w:rPr>
      </w:pPr>
      <w:r w:rsidRPr="00B3149D">
        <w:rPr>
          <w:b/>
          <w:iCs/>
          <w:sz w:val="20"/>
          <w:szCs w:val="20"/>
        </w:rPr>
        <w:t>Peter Khill v. Her Majesty the Queen</w:t>
      </w:r>
      <w:r w:rsidRPr="00B3149D">
        <w:rPr>
          <w:iCs/>
          <w:sz w:val="20"/>
          <w:szCs w:val="20"/>
        </w:rPr>
        <w:t xml:space="preserve"> (Ont.) (Criminal) (By Leave)</w:t>
      </w:r>
      <w:r w:rsidRPr="00B3149D">
        <w:rPr>
          <w:color w:val="333333"/>
          <w:sz w:val="20"/>
          <w:szCs w:val="20"/>
        </w:rPr>
        <w:t xml:space="preserve"> </w:t>
      </w:r>
      <w:r w:rsidRPr="00B3149D">
        <w:rPr>
          <w:color w:val="333333"/>
          <w:sz w:val="20"/>
          <w:szCs w:val="20"/>
          <w:lang w:val="en-US"/>
        </w:rPr>
        <w:t>(</w:t>
      </w:r>
      <w:hyperlink r:id="rId65" w:history="1">
        <w:r w:rsidRPr="00B3149D">
          <w:rPr>
            <w:rStyle w:val="Hyperlink"/>
            <w:sz w:val="20"/>
            <w:szCs w:val="20"/>
            <w:lang w:val="en-US"/>
          </w:rPr>
          <w:t>39112</w:t>
        </w:r>
      </w:hyperlink>
      <w:r w:rsidRPr="00B3149D">
        <w:rPr>
          <w:color w:val="333333"/>
          <w:sz w:val="20"/>
          <w:szCs w:val="20"/>
          <w:lang w:val="en-US"/>
        </w:rPr>
        <w:t>)</w:t>
      </w:r>
    </w:p>
    <w:p w:rsidR="00DE4CD7" w:rsidRPr="00B3149D" w:rsidRDefault="00DE4CD7" w:rsidP="00DE4CD7">
      <w:pPr>
        <w:widowControl w:val="0"/>
        <w:ind w:left="1109" w:hanging="1109"/>
        <w:rPr>
          <w:sz w:val="20"/>
          <w:szCs w:val="20"/>
        </w:rPr>
      </w:pPr>
    </w:p>
    <w:p w:rsidR="00DE4CD7" w:rsidRPr="00B3149D" w:rsidRDefault="00DE4CD7" w:rsidP="00DE4CD7">
      <w:pPr>
        <w:widowControl w:val="0"/>
        <w:ind w:left="1109" w:hanging="1109"/>
        <w:rPr>
          <w:sz w:val="20"/>
          <w:szCs w:val="20"/>
        </w:rPr>
      </w:pPr>
      <w:r w:rsidRPr="00B3149D">
        <w:rPr>
          <w:sz w:val="20"/>
          <w:szCs w:val="20"/>
        </w:rPr>
        <w:t xml:space="preserve">Coram: </w:t>
      </w:r>
      <w:r w:rsidRPr="00B3149D">
        <w:rPr>
          <w:sz w:val="20"/>
          <w:szCs w:val="20"/>
        </w:rPr>
        <w:tab/>
        <w:t>Wagner C.J. and Abella, Moldaver, Karakatsanis, Côté, Brown, Rowe, Martin and Kasirer JJ.</w:t>
      </w:r>
    </w:p>
    <w:p w:rsidR="00DE4CD7" w:rsidRPr="00B3149D" w:rsidRDefault="00DE4CD7" w:rsidP="00DE4CD7">
      <w:pPr>
        <w:widowControl w:val="0"/>
        <w:ind w:left="1109" w:hanging="1109"/>
        <w:rPr>
          <w:sz w:val="20"/>
          <w:szCs w:val="20"/>
        </w:rPr>
      </w:pPr>
    </w:p>
    <w:p w:rsidR="00DE4CD7" w:rsidRPr="00B3149D" w:rsidRDefault="00DE4CD7" w:rsidP="00DE4CD7">
      <w:pPr>
        <w:widowControl w:val="0"/>
        <w:ind w:left="1109" w:hanging="1109"/>
        <w:rPr>
          <w:sz w:val="20"/>
          <w:szCs w:val="20"/>
        </w:rPr>
      </w:pPr>
      <w:r w:rsidRPr="00B3149D">
        <w:rPr>
          <w:b/>
          <w:sz w:val="20"/>
          <w:szCs w:val="20"/>
        </w:rPr>
        <w:t>RESERVED / EN DÉLIBÉRÉ</w:t>
      </w:r>
    </w:p>
    <w:p w:rsidR="00DE4CD7" w:rsidRPr="00B3149D" w:rsidRDefault="00E51866" w:rsidP="00DE4CD7">
      <w:pPr>
        <w:widowControl w:val="0"/>
        <w:rPr>
          <w:sz w:val="20"/>
          <w:szCs w:val="20"/>
          <w:lang w:val="fr-CA"/>
        </w:rPr>
      </w:pPr>
      <w:r>
        <w:rPr>
          <w:sz w:val="20"/>
          <w:szCs w:val="20"/>
        </w:rPr>
        <w:pict>
          <v:rect id="_x0000_i1070" style="width:2in;height:1pt" o:hrpct="0" o:hralign="center" o:hrstd="t" o:hrnoshade="t" o:hr="t" fillcolor="black [3213]" stroked="f"/>
        </w:pict>
      </w:r>
    </w:p>
    <w:p w:rsidR="00DE4CD7" w:rsidRPr="00B3149D" w:rsidRDefault="00DE4CD7" w:rsidP="00732DB7">
      <w:pPr>
        <w:widowControl w:val="0"/>
        <w:rPr>
          <w:sz w:val="20"/>
          <w:szCs w:val="20"/>
          <w:lang w:val="fr-CA"/>
        </w:rPr>
      </w:pPr>
    </w:p>
    <w:p w:rsidR="00DE4CD7" w:rsidRPr="009873D4" w:rsidRDefault="00DE4CD7" w:rsidP="00DE4CD7">
      <w:pPr>
        <w:rPr>
          <w:b/>
          <w:sz w:val="20"/>
          <w:szCs w:val="20"/>
        </w:rPr>
      </w:pPr>
      <w:r w:rsidRPr="009873D4">
        <w:rPr>
          <w:b/>
          <w:sz w:val="20"/>
          <w:szCs w:val="20"/>
        </w:rPr>
        <w:t>FEBRUARY 19, 2021 / LE 19 FÉVRIER 2021</w:t>
      </w:r>
    </w:p>
    <w:p w:rsidR="00DE4CD7" w:rsidRPr="009873D4" w:rsidRDefault="00DE4CD7" w:rsidP="00DE4CD7">
      <w:pPr>
        <w:rPr>
          <w:sz w:val="20"/>
          <w:szCs w:val="20"/>
        </w:rPr>
      </w:pPr>
    </w:p>
    <w:p w:rsidR="00DE4CD7" w:rsidRPr="009873D4" w:rsidRDefault="00DE4CD7" w:rsidP="00DE4CD7">
      <w:pPr>
        <w:widowControl w:val="0"/>
        <w:rPr>
          <w:sz w:val="20"/>
          <w:szCs w:val="20"/>
        </w:rPr>
      </w:pPr>
      <w:r w:rsidRPr="009873D4">
        <w:rPr>
          <w:b/>
          <w:iCs/>
          <w:sz w:val="20"/>
          <w:szCs w:val="20"/>
        </w:rPr>
        <w:t>W.O. v. Her Majesty the Queen</w:t>
      </w:r>
      <w:r w:rsidRPr="009873D4">
        <w:rPr>
          <w:iCs/>
          <w:sz w:val="20"/>
          <w:szCs w:val="20"/>
        </w:rPr>
        <w:t xml:space="preserve"> (Ont.) (Criminal) (As of Right)</w:t>
      </w:r>
      <w:r w:rsidRPr="009873D4">
        <w:rPr>
          <w:color w:val="333333"/>
          <w:sz w:val="20"/>
          <w:szCs w:val="20"/>
        </w:rPr>
        <w:t xml:space="preserve"> (</w:t>
      </w:r>
      <w:hyperlink r:id="rId66" w:history="1">
        <w:r w:rsidRPr="009873D4">
          <w:rPr>
            <w:rStyle w:val="Hyperlink"/>
            <w:sz w:val="20"/>
            <w:szCs w:val="20"/>
          </w:rPr>
          <w:t>39245</w:t>
        </w:r>
      </w:hyperlink>
      <w:r w:rsidRPr="009873D4">
        <w:rPr>
          <w:color w:val="333333"/>
          <w:sz w:val="20"/>
          <w:szCs w:val="20"/>
        </w:rPr>
        <w:t>)</w:t>
      </w:r>
    </w:p>
    <w:p w:rsidR="00DE4CD7" w:rsidRPr="009873D4" w:rsidRDefault="00DE4CD7" w:rsidP="00DE4CD7">
      <w:pPr>
        <w:widowControl w:val="0"/>
        <w:ind w:left="1109" w:hanging="1109"/>
        <w:rPr>
          <w:sz w:val="20"/>
          <w:szCs w:val="20"/>
        </w:rPr>
      </w:pPr>
      <w:r w:rsidRPr="009873D4">
        <w:rPr>
          <w:b/>
          <w:sz w:val="20"/>
          <w:szCs w:val="20"/>
        </w:rPr>
        <w:t xml:space="preserve">2021 SCC </w:t>
      </w:r>
      <w:r w:rsidR="00B3149D" w:rsidRPr="009873D4">
        <w:rPr>
          <w:b/>
          <w:sz w:val="20"/>
          <w:szCs w:val="20"/>
        </w:rPr>
        <w:t>8</w:t>
      </w:r>
      <w:r w:rsidRPr="009873D4">
        <w:rPr>
          <w:b/>
          <w:sz w:val="20"/>
          <w:szCs w:val="20"/>
        </w:rPr>
        <w:t xml:space="preserve"> / 2021 CSC </w:t>
      </w:r>
      <w:r w:rsidR="00B3149D" w:rsidRPr="009873D4">
        <w:rPr>
          <w:b/>
          <w:sz w:val="20"/>
          <w:szCs w:val="20"/>
        </w:rPr>
        <w:t>8</w:t>
      </w:r>
    </w:p>
    <w:p w:rsidR="00DE4CD7" w:rsidRPr="009873D4" w:rsidRDefault="00DE4CD7" w:rsidP="00DE4CD7">
      <w:pPr>
        <w:widowControl w:val="0"/>
        <w:ind w:left="1109" w:hanging="1109"/>
        <w:rPr>
          <w:sz w:val="20"/>
          <w:szCs w:val="20"/>
        </w:rPr>
      </w:pPr>
    </w:p>
    <w:p w:rsidR="00DE4CD7" w:rsidRPr="009873D4" w:rsidRDefault="00DE4CD7" w:rsidP="00DE4CD7">
      <w:pPr>
        <w:widowControl w:val="0"/>
        <w:ind w:left="1109" w:hanging="1109"/>
        <w:rPr>
          <w:sz w:val="20"/>
          <w:szCs w:val="20"/>
        </w:rPr>
      </w:pPr>
      <w:r w:rsidRPr="009873D4">
        <w:rPr>
          <w:sz w:val="20"/>
          <w:szCs w:val="20"/>
        </w:rPr>
        <w:t xml:space="preserve">Coram: </w:t>
      </w:r>
      <w:r w:rsidRPr="009873D4">
        <w:rPr>
          <w:sz w:val="20"/>
          <w:szCs w:val="20"/>
        </w:rPr>
        <w:tab/>
        <w:t>Côté, Brown, Rowe, Martin and Kasirer JJ.</w:t>
      </w:r>
    </w:p>
    <w:p w:rsidR="00DE4CD7" w:rsidRPr="009873D4" w:rsidRDefault="00DE4CD7" w:rsidP="00DE4CD7">
      <w:pPr>
        <w:widowControl w:val="0"/>
        <w:ind w:left="1109" w:hanging="1109"/>
        <w:rPr>
          <w:sz w:val="20"/>
          <w:szCs w:val="20"/>
        </w:rPr>
      </w:pPr>
    </w:p>
    <w:p w:rsidR="009873D4" w:rsidRPr="009873D4" w:rsidRDefault="009873D4" w:rsidP="009873D4">
      <w:pPr>
        <w:jc w:val="both"/>
        <w:rPr>
          <w:sz w:val="20"/>
          <w:szCs w:val="20"/>
        </w:rPr>
      </w:pPr>
      <w:r w:rsidRPr="009873D4">
        <w:rPr>
          <w:sz w:val="20"/>
          <w:szCs w:val="20"/>
        </w:rPr>
        <w:t xml:space="preserve">The appeal from the judgment of the Court of Appeal for Ontario, Number C64887, 2020 ONCA 392, dated June 17, 2020, was heard on February 19, 2021, and the Court on that day delivered the following judgment orally: </w:t>
      </w:r>
    </w:p>
    <w:p w:rsidR="009873D4" w:rsidRPr="009873D4" w:rsidRDefault="009873D4" w:rsidP="009873D4">
      <w:pPr>
        <w:jc w:val="both"/>
        <w:rPr>
          <w:smallCaps/>
          <w:sz w:val="20"/>
          <w:szCs w:val="20"/>
        </w:rPr>
      </w:pPr>
    </w:p>
    <w:p w:rsidR="009873D4" w:rsidRPr="009873D4" w:rsidRDefault="009873D4" w:rsidP="009873D4">
      <w:pPr>
        <w:jc w:val="both"/>
        <w:rPr>
          <w:sz w:val="20"/>
          <w:szCs w:val="20"/>
        </w:rPr>
      </w:pPr>
      <w:bookmarkStart w:id="7" w:name="_GoBack"/>
      <w:bookmarkEnd w:id="7"/>
      <w:r w:rsidRPr="009873D4">
        <w:rPr>
          <w:smallCaps/>
          <w:sz w:val="20"/>
          <w:szCs w:val="20"/>
        </w:rPr>
        <w:t>Côté J.</w:t>
      </w:r>
      <w:r w:rsidRPr="009873D4">
        <w:rPr>
          <w:sz w:val="20"/>
          <w:szCs w:val="20"/>
        </w:rPr>
        <w:t xml:space="preserve"> — </w:t>
      </w:r>
      <w:proofErr w:type="gramStart"/>
      <w:r w:rsidRPr="009873D4">
        <w:rPr>
          <w:sz w:val="20"/>
          <w:szCs w:val="20"/>
        </w:rPr>
        <w:t>We</w:t>
      </w:r>
      <w:proofErr w:type="gramEnd"/>
      <w:r w:rsidRPr="009873D4">
        <w:rPr>
          <w:sz w:val="20"/>
          <w:szCs w:val="20"/>
        </w:rPr>
        <w:t xml:space="preserve"> are all of the view that the appeal should be dismissed, substantially for the reasons of Hoy A.C.J.</w:t>
      </w:r>
    </w:p>
    <w:p w:rsidR="00DE4CD7" w:rsidRPr="009873D4" w:rsidRDefault="00DE4CD7" w:rsidP="00DE4CD7">
      <w:pPr>
        <w:jc w:val="both"/>
        <w:rPr>
          <w:sz w:val="20"/>
          <w:szCs w:val="20"/>
        </w:rPr>
      </w:pPr>
    </w:p>
    <w:p w:rsidR="009873D4" w:rsidRPr="009873D4" w:rsidRDefault="009873D4" w:rsidP="009873D4">
      <w:pPr>
        <w:jc w:val="both"/>
        <w:rPr>
          <w:sz w:val="20"/>
          <w:szCs w:val="20"/>
          <w:lang w:val="fr-CA"/>
        </w:rPr>
      </w:pPr>
      <w:r w:rsidRPr="009873D4">
        <w:rPr>
          <w:sz w:val="20"/>
          <w:szCs w:val="20"/>
          <w:lang w:val="fr-CA"/>
        </w:rPr>
        <w:t>L’appel interjeté contre l’arrêt de la Cour d’appel de l’Ontario, numéro C64887, 2020 ONCA 392, daté du 17 juin 2020, a été entendu le 19 février 2021 et la Cour a prononcé oralement le même jour le jugement suivant :</w:t>
      </w:r>
    </w:p>
    <w:p w:rsidR="009873D4" w:rsidRPr="009873D4" w:rsidRDefault="009873D4" w:rsidP="009873D4">
      <w:pPr>
        <w:jc w:val="both"/>
        <w:rPr>
          <w:sz w:val="20"/>
          <w:szCs w:val="20"/>
          <w:lang w:val="fr-CA"/>
        </w:rPr>
      </w:pPr>
    </w:p>
    <w:p w:rsidR="009873D4" w:rsidRPr="009873D4" w:rsidRDefault="009873D4" w:rsidP="009873D4">
      <w:pPr>
        <w:jc w:val="both"/>
        <w:rPr>
          <w:sz w:val="20"/>
          <w:szCs w:val="20"/>
          <w:lang w:val="fr-CA"/>
        </w:rPr>
      </w:pPr>
      <w:r w:rsidRPr="009873D4">
        <w:rPr>
          <w:sz w:val="20"/>
          <w:szCs w:val="20"/>
          <w:lang w:val="fr-CA"/>
        </w:rPr>
        <w:t>[</w:t>
      </w:r>
      <w:r w:rsidRPr="009873D4">
        <w:rPr>
          <w:smallCaps/>
          <w:sz w:val="20"/>
          <w:szCs w:val="20"/>
          <w:lang w:val="fr-CA"/>
        </w:rPr>
        <w:t>traduction</w:t>
      </w:r>
      <w:r w:rsidRPr="009873D4">
        <w:rPr>
          <w:sz w:val="20"/>
          <w:szCs w:val="20"/>
          <w:lang w:val="fr-CA"/>
        </w:rPr>
        <w:t>]</w:t>
      </w:r>
    </w:p>
    <w:p w:rsidR="009873D4" w:rsidRPr="009873D4" w:rsidRDefault="009873D4" w:rsidP="009873D4">
      <w:pPr>
        <w:jc w:val="both"/>
        <w:rPr>
          <w:sz w:val="20"/>
          <w:szCs w:val="20"/>
          <w:lang w:val="fr-CA"/>
        </w:rPr>
      </w:pPr>
      <w:r w:rsidRPr="009873D4">
        <w:rPr>
          <w:smallCaps/>
          <w:sz w:val="20"/>
          <w:szCs w:val="20"/>
          <w:lang w:val="fr-CA"/>
        </w:rPr>
        <w:t>La juge Côté</w:t>
      </w:r>
      <w:r w:rsidRPr="009873D4">
        <w:rPr>
          <w:sz w:val="20"/>
          <w:szCs w:val="20"/>
          <w:lang w:val="fr-CA"/>
        </w:rPr>
        <w:t xml:space="preserve"> — Nous sommes toutes et tous d’avis de rejeter l’appel, essentiellement pour les motifs exposés par la juge en chef adjointe Hoy.</w:t>
      </w:r>
    </w:p>
    <w:p w:rsidR="009873D4" w:rsidRPr="009873D4" w:rsidRDefault="009873D4" w:rsidP="00DE4CD7">
      <w:pPr>
        <w:jc w:val="both"/>
        <w:rPr>
          <w:sz w:val="20"/>
          <w:lang w:val="fr-CA"/>
        </w:rPr>
      </w:pPr>
    </w:p>
    <w:p w:rsidR="00DE4CD7" w:rsidRPr="00B3149D" w:rsidRDefault="00E51866" w:rsidP="00DE4CD7">
      <w:pPr>
        <w:widowControl w:val="0"/>
        <w:rPr>
          <w:sz w:val="20"/>
          <w:szCs w:val="20"/>
          <w:lang w:val="fr-CA"/>
        </w:rPr>
      </w:pPr>
      <w:r w:rsidRPr="009873D4">
        <w:rPr>
          <w:sz w:val="20"/>
          <w:szCs w:val="20"/>
        </w:rPr>
        <w:pict>
          <v:rect id="_x0000_i1071" style="width:2in;height:1pt" o:hrpct="0" o:hralign="center" o:hrstd="t" o:hrnoshade="t" o:hr="t" fillcolor="black [3213]" stroked="f"/>
        </w:pict>
      </w:r>
    </w:p>
    <w:p w:rsidR="00172473" w:rsidRPr="00B3149D" w:rsidRDefault="00172473" w:rsidP="00732DB7">
      <w:pPr>
        <w:widowControl w:val="0"/>
        <w:rPr>
          <w:sz w:val="20"/>
          <w:szCs w:val="20"/>
          <w:lang w:val="fr-CA"/>
        </w:rPr>
      </w:pPr>
    </w:p>
    <w:p w:rsidR="00732DB7" w:rsidRPr="00B3149D" w:rsidRDefault="00732DB7" w:rsidP="00732DB7">
      <w:pPr>
        <w:widowControl w:val="0"/>
        <w:rPr>
          <w:sz w:val="20"/>
          <w:szCs w:val="20"/>
          <w:lang w:val="fr-CA"/>
        </w:rPr>
      </w:pPr>
    </w:p>
    <w:p w:rsidR="00732DB7" w:rsidRPr="00B3149D" w:rsidRDefault="00732DB7" w:rsidP="00732DB7">
      <w:pPr>
        <w:widowControl w:val="0"/>
        <w:rPr>
          <w:sz w:val="20"/>
          <w:szCs w:val="20"/>
          <w:lang w:val="fr-CA"/>
        </w:rPr>
        <w:sectPr w:rsidR="00732DB7" w:rsidRPr="00B3149D" w:rsidSect="00732DB7">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0" w:gutter="0"/>
          <w:cols w:space="720"/>
          <w:titlePg/>
          <w:docGrid w:linePitch="326"/>
        </w:sectPr>
      </w:pPr>
    </w:p>
    <w:p w:rsidR="00113336" w:rsidRPr="00B3149D"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B3149D">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B3149D"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DECEMBER – DÉCEMBRE</w:t>
            </w:r>
          </w:p>
        </w:tc>
      </w:tr>
      <w:tr w:rsidR="00113336" w:rsidRPr="00B3149D"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4"/>
                <w:szCs w:val="14"/>
                <w:lang w:val="fr-FR"/>
              </w:rPr>
            </w:pPr>
            <w:r w:rsidRPr="00B3149D">
              <w:rPr>
                <w:rFonts w:ascii="Arial" w:hAnsi="Arial" w:cs="Arial"/>
                <w:b/>
                <w:sz w:val="14"/>
                <w:szCs w:val="14"/>
                <w:lang w:val="fr-FR"/>
              </w:rPr>
              <w:t>S</w:t>
            </w:r>
          </w:p>
          <w:p w:rsidR="00113336" w:rsidRPr="00B3149D" w:rsidRDefault="00113336" w:rsidP="009B36BA">
            <w:pPr>
              <w:tabs>
                <w:tab w:val="center" w:pos="5220"/>
                <w:tab w:val="right" w:pos="10440"/>
              </w:tabs>
              <w:jc w:val="center"/>
              <w:rPr>
                <w:rFonts w:ascii="Arial" w:hAnsi="Arial" w:cs="Arial"/>
                <w:b/>
                <w:sz w:val="14"/>
                <w:szCs w:val="14"/>
                <w:lang w:val="fr-FR"/>
              </w:rPr>
            </w:pPr>
            <w:r w:rsidRPr="00B3149D">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T</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W</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T</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F</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S</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S</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T</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W</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T</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F</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S</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S</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M</w:t>
            </w:r>
          </w:p>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lang w:val="fr-FR"/>
              </w:rPr>
            </w:pPr>
            <w:r w:rsidRPr="00B3149D">
              <w:rPr>
                <w:rFonts w:ascii="Arial" w:hAnsi="Arial" w:cs="Arial"/>
                <w:b/>
                <w:sz w:val="13"/>
                <w:szCs w:val="13"/>
                <w:lang w:val="fr-FR"/>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r>
      <w:tr w:rsidR="00113336" w:rsidRPr="00B3149D"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b/>
                <w:sz w:val="13"/>
                <w:szCs w:val="13"/>
              </w:rPr>
              <w:t>CC</w:t>
            </w:r>
            <w:r w:rsidRPr="00B3149D">
              <w:rPr>
                <w:rFonts w:ascii="Arial" w:hAnsi="Arial" w:cs="Arial"/>
                <w:sz w:val="13"/>
                <w:szCs w:val="13"/>
              </w:rPr>
              <w:t xml:space="preserve"> </w:t>
            </w:r>
          </w:p>
          <w:p w:rsidR="00113336" w:rsidRPr="00B3149D" w:rsidRDefault="00113336" w:rsidP="009B36BA">
            <w:pPr>
              <w:jc w:val="center"/>
              <w:rPr>
                <w:rFonts w:ascii="Arial" w:hAnsi="Arial" w:cs="Arial"/>
                <w:sz w:val="13"/>
                <w:szCs w:val="13"/>
              </w:rPr>
            </w:pPr>
            <w:r w:rsidRPr="00B3149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5</w:t>
            </w:r>
          </w:p>
        </w:tc>
      </w:tr>
      <w:tr w:rsidR="00113336" w:rsidRPr="00B3149D"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B3149D" w:rsidRDefault="00113336"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113336" w:rsidP="00113336">
            <w:pPr>
              <w:jc w:val="center"/>
              <w:rPr>
                <w:rFonts w:ascii="Arial" w:hAnsi="Arial" w:cs="Arial"/>
                <w:sz w:val="13"/>
                <w:szCs w:val="13"/>
              </w:rPr>
            </w:pPr>
            <w:r w:rsidRPr="00B3149D">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B3149D" w:rsidRDefault="005B2EA9" w:rsidP="009B36BA">
            <w:pPr>
              <w:jc w:val="center"/>
              <w:rPr>
                <w:rFonts w:ascii="Arial" w:hAnsi="Arial" w:cs="Arial"/>
                <w:b/>
                <w:sz w:val="13"/>
                <w:szCs w:val="13"/>
              </w:rPr>
            </w:pPr>
            <w:r w:rsidRPr="00B3149D">
              <w:rPr>
                <w:rFonts w:ascii="Arial" w:hAnsi="Arial" w:cs="Arial"/>
                <w:b/>
                <w:sz w:val="13"/>
                <w:szCs w:val="13"/>
              </w:rPr>
              <w:t>H</w:t>
            </w:r>
          </w:p>
          <w:p w:rsidR="00113336" w:rsidRPr="00B3149D" w:rsidRDefault="00113336" w:rsidP="009B36BA">
            <w:pPr>
              <w:jc w:val="center"/>
              <w:rPr>
                <w:rFonts w:ascii="Arial" w:hAnsi="Arial" w:cs="Arial"/>
                <w:sz w:val="13"/>
                <w:szCs w:val="13"/>
              </w:rPr>
            </w:pPr>
            <w:r w:rsidRPr="00B3149D">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113336">
            <w:pPr>
              <w:jc w:val="center"/>
              <w:rPr>
                <w:rFonts w:ascii="Arial" w:hAnsi="Arial" w:cs="Arial"/>
                <w:sz w:val="13"/>
                <w:szCs w:val="13"/>
              </w:rPr>
            </w:pPr>
            <w:r w:rsidRPr="00B3149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12</w:t>
            </w:r>
          </w:p>
        </w:tc>
      </w:tr>
      <w:tr w:rsidR="00B4618C" w:rsidRPr="00B3149D"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B3149D" w:rsidRDefault="00113336" w:rsidP="009B36BA">
            <w:pPr>
              <w:jc w:val="center"/>
              <w:rPr>
                <w:rFonts w:ascii="Arial" w:hAnsi="Arial" w:cs="Arial"/>
                <w:b/>
                <w:sz w:val="13"/>
                <w:szCs w:val="13"/>
              </w:rPr>
            </w:pPr>
            <w:r w:rsidRPr="00B3149D">
              <w:rPr>
                <w:rFonts w:ascii="Arial" w:hAnsi="Arial" w:cs="Arial"/>
                <w:b/>
                <w:sz w:val="13"/>
                <w:szCs w:val="13"/>
              </w:rPr>
              <w:t>H</w:t>
            </w:r>
          </w:p>
          <w:p w:rsidR="00113336" w:rsidRPr="00B3149D" w:rsidRDefault="00113336" w:rsidP="00113336">
            <w:pPr>
              <w:jc w:val="center"/>
              <w:rPr>
                <w:rFonts w:ascii="Arial" w:hAnsi="Arial" w:cs="Arial"/>
                <w:sz w:val="13"/>
                <w:szCs w:val="13"/>
              </w:rPr>
            </w:pPr>
            <w:r w:rsidRPr="00B3149D">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19</w:t>
            </w:r>
          </w:p>
        </w:tc>
      </w:tr>
      <w:tr w:rsidR="00113336" w:rsidRPr="00B3149D"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3149D" w:rsidRDefault="00113336" w:rsidP="009B36BA">
            <w:pPr>
              <w:jc w:val="center"/>
              <w:rPr>
                <w:rFonts w:ascii="Arial" w:hAnsi="Arial" w:cs="Arial"/>
                <w:sz w:val="13"/>
                <w:szCs w:val="13"/>
              </w:rPr>
            </w:pPr>
            <w:r w:rsidRPr="00B3149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3149D" w:rsidRDefault="005B2EA9" w:rsidP="009B36BA">
            <w:pPr>
              <w:jc w:val="center"/>
              <w:rPr>
                <w:rFonts w:ascii="Arial" w:hAnsi="Arial" w:cs="Arial"/>
                <w:b/>
                <w:sz w:val="13"/>
                <w:szCs w:val="13"/>
              </w:rPr>
            </w:pPr>
            <w:r w:rsidRPr="00B3149D">
              <w:rPr>
                <w:rFonts w:ascii="Arial" w:hAnsi="Arial" w:cs="Arial"/>
                <w:b/>
                <w:sz w:val="13"/>
                <w:szCs w:val="13"/>
              </w:rPr>
              <w:t>H</w:t>
            </w:r>
          </w:p>
          <w:p w:rsidR="00113336" w:rsidRPr="00B3149D" w:rsidRDefault="005B2EA9" w:rsidP="009B36BA">
            <w:pPr>
              <w:jc w:val="center"/>
              <w:rPr>
                <w:rFonts w:ascii="Arial" w:hAnsi="Arial" w:cs="Arial"/>
                <w:sz w:val="13"/>
                <w:szCs w:val="13"/>
              </w:rPr>
            </w:pPr>
            <w:r w:rsidRPr="00B3149D">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26</w:t>
            </w:r>
          </w:p>
        </w:tc>
      </w:tr>
      <w:tr w:rsidR="00113336" w:rsidRPr="00B3149D"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3149D" w:rsidRDefault="00113336" w:rsidP="00113336">
            <w:pPr>
              <w:jc w:val="center"/>
              <w:rPr>
                <w:rFonts w:ascii="Arial" w:hAnsi="Arial" w:cs="Arial"/>
                <w:sz w:val="13"/>
                <w:szCs w:val="13"/>
              </w:rPr>
            </w:pPr>
            <w:r w:rsidRPr="00B3149D">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r w:rsidRPr="00B3149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3149D" w:rsidRDefault="005B2EA9" w:rsidP="009B36BA">
            <w:pPr>
              <w:jc w:val="center"/>
              <w:rPr>
                <w:rFonts w:ascii="Arial" w:hAnsi="Arial" w:cs="Arial"/>
                <w:sz w:val="13"/>
                <w:szCs w:val="13"/>
              </w:rPr>
            </w:pPr>
            <w:r w:rsidRPr="00B3149D">
              <w:rPr>
                <w:rFonts w:ascii="Arial" w:hAnsi="Arial" w:cs="Arial"/>
                <w:b/>
                <w:sz w:val="13"/>
                <w:szCs w:val="13"/>
              </w:rPr>
              <w:t>CC</w:t>
            </w:r>
          </w:p>
          <w:p w:rsidR="00113336" w:rsidRPr="00B3149D" w:rsidRDefault="00113336" w:rsidP="009B36BA">
            <w:pPr>
              <w:jc w:val="center"/>
              <w:rPr>
                <w:rFonts w:ascii="Arial" w:hAnsi="Arial" w:cs="Arial"/>
                <w:sz w:val="13"/>
                <w:szCs w:val="13"/>
              </w:rPr>
            </w:pPr>
            <w:r w:rsidRPr="00B3149D">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3149D" w:rsidRDefault="005B2EA9" w:rsidP="009B36BA">
            <w:pPr>
              <w:jc w:val="center"/>
              <w:rPr>
                <w:rFonts w:ascii="Arial" w:hAnsi="Arial" w:cs="Arial"/>
                <w:b/>
                <w:sz w:val="13"/>
                <w:szCs w:val="13"/>
              </w:rPr>
            </w:pPr>
            <w:r w:rsidRPr="00B3149D">
              <w:rPr>
                <w:rFonts w:ascii="Arial" w:hAnsi="Arial" w:cs="Arial"/>
                <w:b/>
                <w:sz w:val="13"/>
                <w:szCs w:val="13"/>
              </w:rPr>
              <w:t>H</w:t>
            </w:r>
          </w:p>
          <w:p w:rsidR="00113336" w:rsidRPr="00B3149D" w:rsidRDefault="005B2EA9" w:rsidP="009B36BA">
            <w:pPr>
              <w:jc w:val="center"/>
              <w:rPr>
                <w:rFonts w:ascii="Arial" w:hAnsi="Arial" w:cs="Arial"/>
                <w:sz w:val="13"/>
                <w:szCs w:val="13"/>
              </w:rPr>
            </w:pPr>
            <w:r w:rsidRPr="00B3149D">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r>
    </w:tbl>
    <w:p w:rsidR="00113336" w:rsidRPr="00B3149D" w:rsidRDefault="00113336" w:rsidP="00113336">
      <w:pPr>
        <w:tabs>
          <w:tab w:val="center" w:pos="5220"/>
          <w:tab w:val="right" w:pos="10440"/>
        </w:tabs>
        <w:jc w:val="center"/>
        <w:rPr>
          <w:rFonts w:ascii="Arial" w:hAnsi="Arial" w:cs="Arial"/>
          <w:sz w:val="22"/>
        </w:rPr>
      </w:pPr>
      <w:r w:rsidRPr="00B3149D">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B3149D"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MARCH – MARS</w:t>
            </w:r>
          </w:p>
        </w:tc>
      </w:tr>
      <w:tr w:rsidR="00113336" w:rsidRPr="00B3149D"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r>
      <w:tr w:rsidR="00113336" w:rsidRPr="00B3149D"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B3149D" w:rsidRDefault="005B2EA9" w:rsidP="009B36BA">
            <w:pPr>
              <w:jc w:val="center"/>
              <w:rPr>
                <w:rFonts w:ascii="Arial" w:hAnsi="Arial" w:cs="Arial"/>
                <w:b/>
                <w:sz w:val="13"/>
                <w:szCs w:val="13"/>
              </w:rPr>
            </w:pPr>
            <w:r w:rsidRPr="00B3149D">
              <w:rPr>
                <w:rFonts w:ascii="Arial" w:hAnsi="Arial" w:cs="Arial"/>
                <w:b/>
                <w:sz w:val="13"/>
                <w:szCs w:val="13"/>
              </w:rPr>
              <w:t>H</w:t>
            </w:r>
          </w:p>
          <w:p w:rsidR="00113336" w:rsidRPr="00B3149D" w:rsidRDefault="005B2EA9" w:rsidP="009B36BA">
            <w:pPr>
              <w:jc w:val="center"/>
              <w:rPr>
                <w:rFonts w:ascii="Arial" w:hAnsi="Arial" w:cs="Arial"/>
                <w:sz w:val="13"/>
                <w:szCs w:val="13"/>
              </w:rPr>
            </w:pPr>
            <w:r w:rsidRPr="00B3149D">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6</w:t>
            </w:r>
          </w:p>
        </w:tc>
      </w:tr>
      <w:tr w:rsidR="00113336" w:rsidRPr="00B3149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B3149D" w:rsidRDefault="005B2EA9"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5B2EA9" w:rsidP="009B36BA">
            <w:pPr>
              <w:jc w:val="center"/>
              <w:rPr>
                <w:rFonts w:ascii="Arial" w:hAnsi="Arial" w:cs="Arial"/>
                <w:sz w:val="13"/>
                <w:szCs w:val="13"/>
              </w:rPr>
            </w:pPr>
            <w:r w:rsidRPr="00B3149D">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13</w:t>
            </w:r>
          </w:p>
        </w:tc>
      </w:tr>
      <w:tr w:rsidR="00113336" w:rsidRPr="00B3149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3149D" w:rsidRDefault="005B2EA9"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5B2EA9" w:rsidP="009B36BA">
            <w:pPr>
              <w:jc w:val="center"/>
              <w:rPr>
                <w:rFonts w:ascii="Arial" w:hAnsi="Arial" w:cs="Arial"/>
                <w:sz w:val="13"/>
                <w:szCs w:val="13"/>
              </w:rPr>
            </w:pPr>
            <w:r w:rsidRPr="00B3149D">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3149D" w:rsidRDefault="00D04577"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D04577" w:rsidP="009B36BA">
            <w:pPr>
              <w:jc w:val="center"/>
              <w:rPr>
                <w:rFonts w:ascii="Arial" w:hAnsi="Arial" w:cs="Arial"/>
                <w:sz w:val="13"/>
                <w:szCs w:val="13"/>
              </w:rPr>
            </w:pPr>
            <w:r w:rsidRPr="00B3149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20</w:t>
            </w:r>
          </w:p>
        </w:tc>
      </w:tr>
      <w:tr w:rsidR="00113336" w:rsidRPr="00B3149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27</w:t>
            </w:r>
          </w:p>
        </w:tc>
      </w:tr>
      <w:tr w:rsidR="00113336" w:rsidRPr="00B3149D"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B3149D" w:rsidRDefault="005B2EA9" w:rsidP="005B2EA9">
            <w:pPr>
              <w:rPr>
                <w:rFonts w:ascii="Arial" w:hAnsi="Arial" w:cs="Arial"/>
                <w:sz w:val="13"/>
                <w:szCs w:val="13"/>
              </w:rPr>
            </w:pPr>
            <w:r w:rsidRPr="00B3149D">
              <w:rPr>
                <w:rFonts w:ascii="Arial" w:hAnsi="Arial" w:cs="Arial"/>
                <w:sz w:val="13"/>
                <w:szCs w:val="13"/>
              </w:rPr>
              <w:t xml:space="preserve">24 </w:t>
            </w:r>
            <w:r w:rsidRPr="00B3149D">
              <w:rPr>
                <w:rFonts w:ascii="Arial" w:hAnsi="Arial" w:cs="Arial"/>
                <w:sz w:val="13"/>
                <w:szCs w:val="13"/>
                <w:lang w:val="en-US"/>
              </w:rPr>
              <w:t>/</w:t>
            </w:r>
          </w:p>
          <w:p w:rsidR="00113336" w:rsidRPr="00B3149D" w:rsidRDefault="005B2EA9" w:rsidP="005B2EA9">
            <w:pPr>
              <w:jc w:val="center"/>
              <w:rPr>
                <w:rFonts w:ascii="Arial" w:hAnsi="Arial" w:cs="Arial"/>
                <w:sz w:val="13"/>
                <w:szCs w:val="13"/>
              </w:rPr>
            </w:pPr>
            <w:r w:rsidRPr="00B3149D">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3149D" w:rsidRDefault="005B2EA9" w:rsidP="009B36BA">
            <w:pPr>
              <w:jc w:val="center"/>
              <w:rPr>
                <w:rFonts w:ascii="Arial" w:hAnsi="Arial" w:cs="Arial"/>
                <w:sz w:val="13"/>
                <w:szCs w:val="13"/>
              </w:rPr>
            </w:pPr>
            <w:r w:rsidRPr="00B3149D">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r>
      <w:tr w:rsidR="00113336" w:rsidRPr="00B3149D"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JUNE – JUIN</w:t>
            </w:r>
          </w:p>
        </w:tc>
      </w:tr>
      <w:tr w:rsidR="00113336" w:rsidRPr="00B3149D"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r>
      <w:tr w:rsidR="00113336" w:rsidRPr="00B3149D"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3149D" w:rsidRDefault="00D04577" w:rsidP="009B36BA">
            <w:pPr>
              <w:jc w:val="center"/>
              <w:rPr>
                <w:rFonts w:ascii="Arial" w:hAnsi="Arial" w:cs="Arial"/>
                <w:b/>
                <w:sz w:val="13"/>
                <w:szCs w:val="13"/>
              </w:rPr>
            </w:pPr>
            <w:r w:rsidRPr="00B3149D">
              <w:rPr>
                <w:rFonts w:ascii="Arial" w:hAnsi="Arial" w:cs="Arial"/>
                <w:b/>
                <w:sz w:val="13"/>
                <w:szCs w:val="13"/>
              </w:rPr>
              <w:t>H</w:t>
            </w:r>
          </w:p>
          <w:p w:rsidR="00113336" w:rsidRPr="00B3149D" w:rsidRDefault="00D04577" w:rsidP="009B36BA">
            <w:pPr>
              <w:jc w:val="center"/>
              <w:rPr>
                <w:rFonts w:ascii="Arial" w:hAnsi="Arial" w:cs="Arial"/>
                <w:sz w:val="13"/>
                <w:szCs w:val="13"/>
              </w:rPr>
            </w:pPr>
            <w:r w:rsidRPr="00B3149D">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5</w:t>
            </w:r>
          </w:p>
        </w:tc>
      </w:tr>
      <w:tr w:rsidR="00113336" w:rsidRPr="00B3149D"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3149D" w:rsidRDefault="00D04577" w:rsidP="009B36BA">
            <w:pPr>
              <w:jc w:val="center"/>
              <w:rPr>
                <w:rFonts w:ascii="Arial" w:hAnsi="Arial" w:cs="Arial"/>
                <w:b/>
                <w:sz w:val="13"/>
                <w:szCs w:val="13"/>
              </w:rPr>
            </w:pPr>
            <w:r w:rsidRPr="00B3149D">
              <w:rPr>
                <w:rFonts w:ascii="Arial" w:hAnsi="Arial" w:cs="Arial"/>
                <w:b/>
                <w:sz w:val="13"/>
                <w:szCs w:val="13"/>
              </w:rPr>
              <w:t>H</w:t>
            </w:r>
          </w:p>
          <w:p w:rsidR="00113336" w:rsidRPr="00B3149D" w:rsidRDefault="00D04577" w:rsidP="009B36BA">
            <w:pPr>
              <w:jc w:val="center"/>
              <w:rPr>
                <w:rFonts w:ascii="Arial" w:hAnsi="Arial" w:cs="Arial"/>
                <w:sz w:val="13"/>
                <w:szCs w:val="13"/>
              </w:rPr>
            </w:pPr>
            <w:r w:rsidRPr="00B3149D">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3149D" w:rsidRDefault="00D04577"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D04577" w:rsidP="009B36BA">
            <w:pPr>
              <w:jc w:val="center"/>
              <w:rPr>
                <w:rFonts w:ascii="Arial" w:hAnsi="Arial" w:cs="Arial"/>
                <w:sz w:val="13"/>
                <w:szCs w:val="13"/>
              </w:rPr>
            </w:pPr>
            <w:r w:rsidRPr="00B3149D">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12</w:t>
            </w:r>
          </w:p>
        </w:tc>
      </w:tr>
      <w:tr w:rsidR="00113336" w:rsidRPr="00B3149D"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3149D" w:rsidRDefault="00D04577"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D04577" w:rsidP="009B36BA">
            <w:pPr>
              <w:jc w:val="center"/>
              <w:rPr>
                <w:rFonts w:ascii="Arial" w:hAnsi="Arial" w:cs="Arial"/>
                <w:sz w:val="13"/>
                <w:szCs w:val="13"/>
              </w:rPr>
            </w:pPr>
            <w:r w:rsidRPr="00B3149D">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B3149D" w:rsidRDefault="00D04577" w:rsidP="009B36BA">
            <w:pPr>
              <w:jc w:val="center"/>
              <w:rPr>
                <w:rFonts w:ascii="Arial" w:hAnsi="Arial" w:cs="Arial"/>
                <w:b/>
                <w:sz w:val="13"/>
                <w:szCs w:val="13"/>
              </w:rPr>
            </w:pPr>
            <w:r w:rsidRPr="00B3149D">
              <w:rPr>
                <w:rFonts w:ascii="Arial" w:hAnsi="Arial" w:cs="Arial"/>
                <w:b/>
                <w:sz w:val="13"/>
                <w:szCs w:val="13"/>
              </w:rPr>
              <w:t>CC</w:t>
            </w:r>
          </w:p>
          <w:p w:rsidR="00113336" w:rsidRPr="00B3149D" w:rsidRDefault="00D04577" w:rsidP="009B36BA">
            <w:pPr>
              <w:jc w:val="center"/>
              <w:rPr>
                <w:rFonts w:ascii="Arial" w:hAnsi="Arial" w:cs="Arial"/>
                <w:sz w:val="13"/>
                <w:szCs w:val="13"/>
              </w:rPr>
            </w:pPr>
            <w:r w:rsidRPr="00B3149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19</w:t>
            </w:r>
          </w:p>
        </w:tc>
      </w:tr>
      <w:tr w:rsidR="00113336" w:rsidRPr="00B3149D"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26</w:t>
            </w:r>
          </w:p>
        </w:tc>
      </w:tr>
      <w:tr w:rsidR="00113336" w:rsidRPr="00B3149D"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b/>
                <w:sz w:val="13"/>
                <w:szCs w:val="13"/>
              </w:rPr>
            </w:pPr>
            <w:r w:rsidRPr="00B3149D">
              <w:rPr>
                <w:rFonts w:ascii="Arial" w:hAnsi="Arial" w:cs="Arial"/>
                <w:b/>
                <w:sz w:val="13"/>
                <w:szCs w:val="13"/>
              </w:rPr>
              <w:t>H</w:t>
            </w:r>
          </w:p>
          <w:p w:rsidR="00113336" w:rsidRPr="00B3149D" w:rsidRDefault="00D04577" w:rsidP="00D04577">
            <w:pPr>
              <w:jc w:val="center"/>
              <w:rPr>
                <w:rFonts w:ascii="Arial" w:hAnsi="Arial" w:cs="Arial"/>
                <w:sz w:val="13"/>
                <w:szCs w:val="13"/>
              </w:rPr>
            </w:pPr>
            <w:r w:rsidRPr="00B3149D">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3149D" w:rsidRDefault="00D04577" w:rsidP="00D04577">
            <w:pPr>
              <w:jc w:val="center"/>
              <w:rPr>
                <w:rFonts w:ascii="Arial" w:hAnsi="Arial" w:cs="Arial"/>
                <w:sz w:val="13"/>
                <w:szCs w:val="13"/>
              </w:rPr>
            </w:pPr>
            <w:r w:rsidRPr="00B3149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D04577" w:rsidP="009B36BA">
            <w:pPr>
              <w:jc w:val="center"/>
              <w:rPr>
                <w:rFonts w:ascii="Arial" w:hAnsi="Arial" w:cs="Arial"/>
                <w:sz w:val="13"/>
                <w:szCs w:val="13"/>
              </w:rPr>
            </w:pPr>
            <w:r w:rsidRPr="00B3149D">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r>
      <w:tr w:rsidR="00D04577" w:rsidRPr="00B3149D"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3149D"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r w:rsidRPr="00B3149D">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r w:rsidRPr="00B3149D">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3149D"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3149D"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3149D" w:rsidRDefault="00D04577" w:rsidP="009B36BA">
            <w:pPr>
              <w:jc w:val="center"/>
              <w:rPr>
                <w:rFonts w:ascii="Arial" w:hAnsi="Arial" w:cs="Arial"/>
                <w:sz w:val="13"/>
                <w:szCs w:val="13"/>
              </w:rPr>
            </w:pPr>
          </w:p>
        </w:tc>
      </w:tr>
      <w:tr w:rsidR="00113336" w:rsidRPr="00B3149D"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SEPTEMBER – SEPTEMBRE</w:t>
            </w:r>
          </w:p>
        </w:tc>
      </w:tr>
      <w:tr w:rsidR="00113336" w:rsidRPr="00B3149D"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6"/>
                <w:szCs w:val="16"/>
              </w:rPr>
            </w:pPr>
            <w:r w:rsidRPr="00B3149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3149D"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W</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T</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F</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p w:rsidR="00113336" w:rsidRPr="00B3149D" w:rsidRDefault="00113336" w:rsidP="009B36BA">
            <w:pPr>
              <w:tabs>
                <w:tab w:val="center" w:pos="5220"/>
                <w:tab w:val="right" w:pos="10440"/>
              </w:tabs>
              <w:jc w:val="center"/>
              <w:rPr>
                <w:rFonts w:ascii="Arial" w:hAnsi="Arial" w:cs="Arial"/>
                <w:b/>
                <w:sz w:val="13"/>
                <w:szCs w:val="13"/>
              </w:rPr>
            </w:pPr>
            <w:r w:rsidRPr="00B3149D">
              <w:rPr>
                <w:rFonts w:ascii="Arial" w:hAnsi="Arial" w:cs="Arial"/>
                <w:b/>
                <w:sz w:val="13"/>
                <w:szCs w:val="13"/>
              </w:rPr>
              <w:t>S</w:t>
            </w:r>
          </w:p>
        </w:tc>
      </w:tr>
      <w:tr w:rsidR="00113336" w:rsidRPr="00B3149D"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3149D" w:rsidRDefault="00A067B5" w:rsidP="009B36BA">
            <w:pPr>
              <w:jc w:val="center"/>
              <w:rPr>
                <w:rFonts w:ascii="Arial" w:hAnsi="Arial" w:cs="Arial"/>
                <w:b/>
                <w:sz w:val="13"/>
                <w:szCs w:val="13"/>
              </w:rPr>
            </w:pPr>
            <w:r w:rsidRPr="00B3149D">
              <w:rPr>
                <w:rFonts w:ascii="Arial" w:hAnsi="Arial" w:cs="Arial"/>
                <w:b/>
                <w:sz w:val="13"/>
                <w:szCs w:val="13"/>
              </w:rPr>
              <w:t>H</w:t>
            </w:r>
          </w:p>
          <w:p w:rsidR="00113336" w:rsidRPr="00B3149D" w:rsidRDefault="00A067B5" w:rsidP="009B36BA">
            <w:pPr>
              <w:jc w:val="center"/>
              <w:rPr>
                <w:rFonts w:ascii="Arial" w:hAnsi="Arial" w:cs="Arial"/>
                <w:sz w:val="13"/>
                <w:szCs w:val="13"/>
              </w:rPr>
            </w:pPr>
            <w:r w:rsidRPr="00B3149D">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3149D" w:rsidRDefault="00A067B5" w:rsidP="009B36BA">
            <w:pPr>
              <w:jc w:val="center"/>
              <w:rPr>
                <w:rFonts w:ascii="Arial" w:hAnsi="Arial" w:cs="Arial"/>
                <w:b/>
                <w:sz w:val="13"/>
                <w:szCs w:val="13"/>
              </w:rPr>
            </w:pPr>
            <w:r w:rsidRPr="00B3149D">
              <w:rPr>
                <w:rFonts w:ascii="Arial" w:hAnsi="Arial" w:cs="Arial"/>
                <w:b/>
                <w:sz w:val="13"/>
                <w:szCs w:val="13"/>
              </w:rPr>
              <w:t>H</w:t>
            </w:r>
          </w:p>
          <w:p w:rsidR="00113336" w:rsidRPr="00B3149D" w:rsidRDefault="00A067B5" w:rsidP="009B36BA">
            <w:pPr>
              <w:jc w:val="center"/>
              <w:rPr>
                <w:rFonts w:ascii="Arial" w:hAnsi="Arial" w:cs="Arial"/>
                <w:sz w:val="13"/>
                <w:szCs w:val="13"/>
              </w:rPr>
            </w:pPr>
            <w:r w:rsidRPr="00B3149D">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4</w:t>
            </w:r>
          </w:p>
        </w:tc>
      </w:tr>
      <w:tr w:rsidR="00113336" w:rsidRPr="00B3149D"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B3149D" w:rsidRDefault="00A067B5" w:rsidP="009B36BA">
            <w:pPr>
              <w:jc w:val="center"/>
              <w:rPr>
                <w:rFonts w:ascii="Arial" w:hAnsi="Arial" w:cs="Arial"/>
                <w:b/>
                <w:sz w:val="13"/>
                <w:szCs w:val="13"/>
              </w:rPr>
            </w:pPr>
            <w:r w:rsidRPr="00B3149D">
              <w:rPr>
                <w:rFonts w:ascii="Arial" w:hAnsi="Arial" w:cs="Arial"/>
                <w:b/>
                <w:sz w:val="13"/>
                <w:szCs w:val="13"/>
              </w:rPr>
              <w:t>H</w:t>
            </w:r>
          </w:p>
          <w:p w:rsidR="00113336" w:rsidRPr="00B3149D" w:rsidRDefault="00A067B5" w:rsidP="009B36BA">
            <w:pPr>
              <w:jc w:val="center"/>
              <w:rPr>
                <w:rFonts w:ascii="Arial" w:hAnsi="Arial" w:cs="Arial"/>
                <w:sz w:val="13"/>
                <w:szCs w:val="13"/>
              </w:rPr>
            </w:pPr>
            <w:r w:rsidRPr="00B3149D">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3149D" w:rsidRDefault="00A067B5" w:rsidP="009B36BA">
            <w:pPr>
              <w:jc w:val="center"/>
              <w:rPr>
                <w:rFonts w:ascii="Arial" w:hAnsi="Arial" w:cs="Arial"/>
                <w:b/>
                <w:sz w:val="13"/>
                <w:szCs w:val="13"/>
              </w:rPr>
            </w:pPr>
            <w:r w:rsidRPr="00B3149D">
              <w:rPr>
                <w:rFonts w:ascii="Arial" w:hAnsi="Arial" w:cs="Arial"/>
                <w:b/>
                <w:sz w:val="13"/>
                <w:szCs w:val="13"/>
              </w:rPr>
              <w:t>RH</w:t>
            </w:r>
          </w:p>
          <w:p w:rsidR="00113336" w:rsidRPr="00B3149D" w:rsidRDefault="00A067B5" w:rsidP="009B36BA">
            <w:pPr>
              <w:jc w:val="center"/>
              <w:rPr>
                <w:rFonts w:ascii="Arial" w:hAnsi="Arial" w:cs="Arial"/>
                <w:sz w:val="13"/>
                <w:szCs w:val="13"/>
              </w:rPr>
            </w:pPr>
            <w:r w:rsidRPr="00B3149D">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3149D" w:rsidRDefault="00A067B5" w:rsidP="009B36BA">
            <w:pPr>
              <w:jc w:val="center"/>
              <w:rPr>
                <w:rFonts w:ascii="Arial" w:hAnsi="Arial" w:cs="Arial"/>
                <w:b/>
                <w:sz w:val="13"/>
                <w:szCs w:val="13"/>
              </w:rPr>
            </w:pPr>
            <w:r w:rsidRPr="00B3149D">
              <w:rPr>
                <w:rFonts w:ascii="Arial" w:hAnsi="Arial" w:cs="Arial"/>
                <w:b/>
                <w:sz w:val="13"/>
                <w:szCs w:val="13"/>
              </w:rPr>
              <w:t>RH</w:t>
            </w:r>
          </w:p>
          <w:p w:rsidR="00113336" w:rsidRPr="00B3149D" w:rsidRDefault="00A067B5" w:rsidP="009B36BA">
            <w:pPr>
              <w:jc w:val="center"/>
              <w:rPr>
                <w:rFonts w:ascii="Arial" w:hAnsi="Arial" w:cs="Arial"/>
                <w:sz w:val="13"/>
                <w:szCs w:val="13"/>
              </w:rPr>
            </w:pPr>
            <w:r w:rsidRPr="00B3149D">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11</w:t>
            </w:r>
          </w:p>
        </w:tc>
      </w:tr>
      <w:tr w:rsidR="00113336" w:rsidRPr="00B3149D"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3149D" w:rsidRDefault="00A067B5" w:rsidP="009B36BA">
            <w:pPr>
              <w:jc w:val="center"/>
              <w:rPr>
                <w:rFonts w:ascii="Arial" w:hAnsi="Arial" w:cs="Arial"/>
                <w:b/>
                <w:sz w:val="13"/>
                <w:szCs w:val="13"/>
              </w:rPr>
            </w:pPr>
            <w:r w:rsidRPr="00B3149D">
              <w:rPr>
                <w:rFonts w:ascii="Arial" w:hAnsi="Arial" w:cs="Arial"/>
                <w:b/>
                <w:sz w:val="13"/>
                <w:szCs w:val="13"/>
              </w:rPr>
              <w:t>YK</w:t>
            </w:r>
          </w:p>
          <w:p w:rsidR="00113336" w:rsidRPr="00B3149D" w:rsidRDefault="00A067B5" w:rsidP="009B36BA">
            <w:pPr>
              <w:jc w:val="center"/>
              <w:rPr>
                <w:rFonts w:ascii="Arial" w:hAnsi="Arial" w:cs="Arial"/>
                <w:sz w:val="13"/>
                <w:szCs w:val="13"/>
              </w:rPr>
            </w:pPr>
            <w:r w:rsidRPr="00B3149D">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18</w:t>
            </w:r>
          </w:p>
        </w:tc>
      </w:tr>
      <w:tr w:rsidR="00113336" w:rsidRPr="00B3149D"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25</w:t>
            </w:r>
          </w:p>
        </w:tc>
      </w:tr>
      <w:tr w:rsidR="00113336" w:rsidRPr="00B3149D"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3149D" w:rsidRDefault="00A067B5" w:rsidP="00A067B5">
            <w:pPr>
              <w:jc w:val="center"/>
              <w:rPr>
                <w:rFonts w:ascii="Arial" w:hAnsi="Arial" w:cs="Arial"/>
                <w:sz w:val="13"/>
                <w:szCs w:val="13"/>
              </w:rPr>
            </w:pPr>
            <w:r w:rsidRPr="00B3149D">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A067B5">
            <w:pPr>
              <w:jc w:val="center"/>
              <w:rPr>
                <w:rFonts w:ascii="Arial" w:hAnsi="Arial" w:cs="Arial"/>
                <w:sz w:val="13"/>
                <w:szCs w:val="13"/>
              </w:rPr>
            </w:pPr>
            <w:r w:rsidRPr="00B3149D">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A067B5">
            <w:pPr>
              <w:jc w:val="center"/>
              <w:rPr>
                <w:rFonts w:ascii="Arial" w:hAnsi="Arial" w:cs="Arial"/>
                <w:sz w:val="13"/>
                <w:szCs w:val="13"/>
              </w:rPr>
            </w:pPr>
            <w:r w:rsidRPr="00B3149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3149D"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3149D"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A067B5" w:rsidP="009B36BA">
            <w:pPr>
              <w:jc w:val="center"/>
              <w:rPr>
                <w:rFonts w:ascii="Arial" w:hAnsi="Arial" w:cs="Arial"/>
                <w:sz w:val="13"/>
                <w:szCs w:val="13"/>
              </w:rPr>
            </w:pPr>
            <w:r w:rsidRPr="00B3149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3149D" w:rsidRDefault="00113336" w:rsidP="009B36BA">
            <w:pPr>
              <w:jc w:val="center"/>
              <w:rPr>
                <w:rFonts w:ascii="Arial" w:hAnsi="Arial" w:cs="Arial"/>
                <w:sz w:val="13"/>
                <w:szCs w:val="13"/>
              </w:rPr>
            </w:pPr>
          </w:p>
        </w:tc>
      </w:tr>
    </w:tbl>
    <w:p w:rsidR="00113336" w:rsidRPr="00B3149D"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B3149D" w:rsidTr="00B4618C">
        <w:trPr>
          <w:trHeight w:val="445"/>
        </w:trPr>
        <w:tc>
          <w:tcPr>
            <w:tcW w:w="1890" w:type="dxa"/>
            <w:tcBorders>
              <w:top w:val="nil"/>
              <w:left w:val="nil"/>
              <w:bottom w:val="nil"/>
              <w:right w:val="single" w:sz="4" w:space="0" w:color="000000" w:themeColor="text1"/>
            </w:tcBorders>
            <w:vAlign w:val="center"/>
            <w:hideMark/>
          </w:tcPr>
          <w:p w:rsidR="00113336" w:rsidRPr="00B3149D" w:rsidRDefault="00113336" w:rsidP="009B36BA">
            <w:pPr>
              <w:rPr>
                <w:rFonts w:ascii="Arial" w:hAnsi="Arial" w:cs="Arial"/>
                <w:b/>
                <w:sz w:val="13"/>
                <w:szCs w:val="13"/>
              </w:rPr>
            </w:pPr>
            <w:r w:rsidRPr="00B3149D">
              <w:rPr>
                <w:rFonts w:ascii="Arial" w:hAnsi="Arial" w:cs="Arial"/>
                <w:b/>
                <w:sz w:val="13"/>
                <w:szCs w:val="13"/>
              </w:rPr>
              <w:t>Sitting of the Court /</w:t>
            </w:r>
          </w:p>
          <w:p w:rsidR="00113336" w:rsidRPr="00B3149D" w:rsidRDefault="00113336" w:rsidP="009B36BA">
            <w:pPr>
              <w:rPr>
                <w:rFonts w:ascii="Arial" w:hAnsi="Arial" w:cs="Arial"/>
                <w:b/>
                <w:sz w:val="13"/>
                <w:szCs w:val="13"/>
              </w:rPr>
            </w:pPr>
            <w:r w:rsidRPr="00B3149D">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B3149D"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B3149D" w:rsidRDefault="00113336" w:rsidP="009B36BA">
            <w:pPr>
              <w:tabs>
                <w:tab w:val="left" w:pos="203"/>
              </w:tabs>
              <w:spacing w:after="120"/>
              <w:rPr>
                <w:rFonts w:ascii="Arial" w:hAnsi="Arial" w:cs="Arial"/>
                <w:b/>
                <w:sz w:val="13"/>
                <w:szCs w:val="13"/>
                <w:lang w:val="fr-CA"/>
              </w:rPr>
            </w:pPr>
            <w:r w:rsidRPr="00B3149D">
              <w:rPr>
                <w:rFonts w:ascii="Arial" w:hAnsi="Arial" w:cs="Arial"/>
                <w:b/>
                <w:sz w:val="13"/>
                <w:szCs w:val="13"/>
                <w:lang w:val="fr-CA"/>
              </w:rPr>
              <w:t>18</w:t>
            </w:r>
            <w:r w:rsidRPr="00B3149D">
              <w:rPr>
                <w:rFonts w:ascii="Arial" w:hAnsi="Arial" w:cs="Arial"/>
                <w:b/>
                <w:sz w:val="13"/>
                <w:szCs w:val="13"/>
                <w:lang w:val="fr-CA"/>
              </w:rPr>
              <w:tab/>
              <w:t xml:space="preserve"> sitting weeks / semaines séances de la Cour</w:t>
            </w:r>
          </w:p>
          <w:p w:rsidR="00113336" w:rsidRPr="00B3149D" w:rsidRDefault="00113336" w:rsidP="00B4618C">
            <w:pPr>
              <w:tabs>
                <w:tab w:val="left" w:pos="203"/>
              </w:tabs>
              <w:rPr>
                <w:rFonts w:ascii="Arial" w:hAnsi="Arial" w:cs="Arial"/>
                <w:b/>
                <w:sz w:val="13"/>
                <w:szCs w:val="13"/>
                <w:lang w:val="fr-CA"/>
              </w:rPr>
            </w:pPr>
            <w:r w:rsidRPr="00B3149D">
              <w:rPr>
                <w:rFonts w:ascii="Arial" w:hAnsi="Arial" w:cs="Arial"/>
                <w:b/>
                <w:sz w:val="13"/>
                <w:szCs w:val="13"/>
                <w:lang w:val="fr-CA"/>
              </w:rPr>
              <w:t>8</w:t>
            </w:r>
            <w:r w:rsidR="00B4618C" w:rsidRPr="00B3149D">
              <w:rPr>
                <w:rFonts w:ascii="Arial" w:hAnsi="Arial" w:cs="Arial"/>
                <w:b/>
                <w:sz w:val="13"/>
                <w:szCs w:val="13"/>
                <w:lang w:val="fr-CA"/>
              </w:rPr>
              <w:t>8</w:t>
            </w:r>
            <w:r w:rsidRPr="00B3149D">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B3149D" w:rsidRDefault="00113336" w:rsidP="009B36BA">
            <w:pPr>
              <w:spacing w:after="120"/>
              <w:rPr>
                <w:rFonts w:ascii="Arial" w:hAnsi="Arial" w:cs="Arial"/>
                <w:b/>
                <w:sz w:val="13"/>
                <w:szCs w:val="13"/>
                <w:lang w:val="fr-FR"/>
              </w:rPr>
            </w:pPr>
            <w:r w:rsidRPr="00B3149D">
              <w:rPr>
                <w:rFonts w:ascii="Arial" w:hAnsi="Arial" w:cs="Arial"/>
                <w:b/>
                <w:sz w:val="13"/>
                <w:szCs w:val="13"/>
                <w:lang w:val="fr-FR"/>
              </w:rPr>
              <w:t>Rosh Hashanah / Nouvel An juif</w:t>
            </w:r>
          </w:p>
          <w:p w:rsidR="00113336" w:rsidRPr="00B3149D" w:rsidRDefault="00113336" w:rsidP="00B4618C">
            <w:pPr>
              <w:rPr>
                <w:rFonts w:ascii="Arial" w:hAnsi="Arial" w:cs="Arial"/>
                <w:b/>
                <w:sz w:val="13"/>
                <w:szCs w:val="13"/>
                <w:lang w:val="fr-CA"/>
              </w:rPr>
            </w:pPr>
            <w:r w:rsidRPr="00B3149D">
              <w:rPr>
                <w:rFonts w:ascii="Arial" w:hAnsi="Arial" w:cs="Arial"/>
                <w:b/>
                <w:sz w:val="13"/>
                <w:szCs w:val="13"/>
                <w:lang w:val="fr-FR"/>
              </w:rPr>
              <w:t>Yom Kippur / Yom Kippour</w:t>
            </w:r>
          </w:p>
        </w:tc>
        <w:tc>
          <w:tcPr>
            <w:tcW w:w="567" w:type="dxa"/>
            <w:hideMark/>
          </w:tcPr>
          <w:p w:rsidR="00113336" w:rsidRPr="00B3149D" w:rsidRDefault="00113336" w:rsidP="009B36BA">
            <w:pPr>
              <w:spacing w:after="120"/>
              <w:jc w:val="center"/>
              <w:rPr>
                <w:rFonts w:ascii="Arial" w:hAnsi="Arial" w:cs="Arial"/>
                <w:b/>
                <w:sz w:val="13"/>
                <w:szCs w:val="13"/>
                <w:lang w:val="fr-CA"/>
              </w:rPr>
            </w:pPr>
            <w:r w:rsidRPr="00B3149D">
              <w:rPr>
                <w:rFonts w:ascii="Arial" w:hAnsi="Arial" w:cs="Arial"/>
                <w:b/>
                <w:sz w:val="13"/>
                <w:szCs w:val="13"/>
                <w:lang w:val="fr-CA"/>
              </w:rPr>
              <w:t>RH</w:t>
            </w:r>
          </w:p>
          <w:p w:rsidR="00113336" w:rsidRPr="00B3149D" w:rsidRDefault="00113336" w:rsidP="009B36BA">
            <w:pPr>
              <w:jc w:val="center"/>
              <w:rPr>
                <w:rFonts w:ascii="Arial" w:hAnsi="Arial" w:cs="Arial"/>
                <w:b/>
                <w:sz w:val="13"/>
                <w:szCs w:val="13"/>
                <w:lang w:val="fr-CA"/>
              </w:rPr>
            </w:pPr>
            <w:r w:rsidRPr="00B3149D">
              <w:rPr>
                <w:rFonts w:ascii="Arial" w:hAnsi="Arial" w:cs="Arial"/>
                <w:b/>
                <w:sz w:val="13"/>
                <w:szCs w:val="13"/>
                <w:lang w:val="fr-CA"/>
              </w:rPr>
              <w:t>YK</w:t>
            </w:r>
          </w:p>
        </w:tc>
      </w:tr>
      <w:tr w:rsidR="00113336" w:rsidRPr="009873D4" w:rsidTr="00B4618C">
        <w:trPr>
          <w:trHeight w:val="390"/>
        </w:trPr>
        <w:tc>
          <w:tcPr>
            <w:tcW w:w="1890" w:type="dxa"/>
            <w:tcBorders>
              <w:top w:val="nil"/>
              <w:left w:val="nil"/>
              <w:bottom w:val="nil"/>
              <w:right w:val="double" w:sz="4" w:space="0" w:color="auto"/>
            </w:tcBorders>
            <w:vAlign w:val="center"/>
            <w:hideMark/>
          </w:tcPr>
          <w:p w:rsidR="00113336" w:rsidRPr="00B3149D" w:rsidRDefault="00113336" w:rsidP="009B36BA">
            <w:pPr>
              <w:spacing w:before="60"/>
              <w:rPr>
                <w:rFonts w:ascii="Arial" w:hAnsi="Arial" w:cs="Arial"/>
                <w:b/>
                <w:sz w:val="13"/>
                <w:szCs w:val="13"/>
                <w:lang w:val="fr-CA"/>
              </w:rPr>
            </w:pPr>
            <w:r w:rsidRPr="00B3149D">
              <w:rPr>
                <w:rFonts w:ascii="Arial" w:hAnsi="Arial" w:cs="Arial"/>
                <w:b/>
                <w:sz w:val="13"/>
                <w:szCs w:val="13"/>
                <w:lang w:val="fr-CA"/>
              </w:rPr>
              <w:t>Court conference /</w:t>
            </w:r>
          </w:p>
          <w:p w:rsidR="00113336" w:rsidRPr="00B3149D" w:rsidRDefault="00113336" w:rsidP="009B36BA">
            <w:pPr>
              <w:rPr>
                <w:rFonts w:ascii="Arial" w:hAnsi="Arial" w:cs="Arial"/>
                <w:b/>
                <w:sz w:val="13"/>
                <w:szCs w:val="13"/>
                <w:lang w:val="fr-CA"/>
              </w:rPr>
            </w:pPr>
            <w:r w:rsidRPr="00B3149D">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B3149D" w:rsidRDefault="00113336" w:rsidP="009B36BA">
            <w:pPr>
              <w:jc w:val="center"/>
              <w:rPr>
                <w:rFonts w:ascii="Arial" w:hAnsi="Arial" w:cs="Arial"/>
                <w:b/>
                <w:sz w:val="13"/>
                <w:szCs w:val="13"/>
                <w:lang w:val="fr-FR"/>
              </w:rPr>
            </w:pPr>
            <w:r w:rsidRPr="00B3149D">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B3149D" w:rsidRDefault="00113336" w:rsidP="009B36BA">
            <w:pPr>
              <w:tabs>
                <w:tab w:val="left" w:pos="203"/>
              </w:tabs>
              <w:spacing w:before="120"/>
              <w:rPr>
                <w:rFonts w:ascii="Arial" w:hAnsi="Arial" w:cs="Arial"/>
                <w:b/>
                <w:sz w:val="13"/>
                <w:szCs w:val="13"/>
                <w:lang w:val="fr-CA"/>
              </w:rPr>
            </w:pPr>
            <w:r w:rsidRPr="00B3149D">
              <w:rPr>
                <w:rFonts w:ascii="Arial" w:hAnsi="Arial" w:cs="Arial"/>
                <w:b/>
                <w:sz w:val="13"/>
                <w:szCs w:val="13"/>
                <w:lang w:val="fr-CA"/>
              </w:rPr>
              <w:t>9</w:t>
            </w:r>
            <w:r w:rsidRPr="00B3149D">
              <w:rPr>
                <w:rFonts w:ascii="Arial" w:hAnsi="Arial" w:cs="Arial"/>
                <w:b/>
                <w:sz w:val="13"/>
                <w:szCs w:val="13"/>
                <w:lang w:val="fr-CA"/>
              </w:rPr>
              <w:tab/>
              <w:t>Court conference days /</w:t>
            </w:r>
          </w:p>
          <w:p w:rsidR="00113336" w:rsidRPr="00B3149D" w:rsidRDefault="00113336" w:rsidP="00B4618C">
            <w:pPr>
              <w:tabs>
                <w:tab w:val="left" w:pos="203"/>
              </w:tabs>
              <w:rPr>
                <w:rFonts w:ascii="Arial" w:hAnsi="Arial" w:cs="Arial"/>
                <w:b/>
                <w:sz w:val="13"/>
                <w:szCs w:val="13"/>
                <w:lang w:val="fr-CA"/>
              </w:rPr>
            </w:pPr>
            <w:r w:rsidRPr="00B3149D">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B3149D" w:rsidRDefault="00113336" w:rsidP="009B36BA">
            <w:pPr>
              <w:rPr>
                <w:rFonts w:ascii="Arial" w:hAnsi="Arial" w:cs="Arial"/>
                <w:b/>
                <w:sz w:val="13"/>
                <w:szCs w:val="13"/>
                <w:lang w:val="fr-CA"/>
              </w:rPr>
            </w:pPr>
          </w:p>
        </w:tc>
        <w:tc>
          <w:tcPr>
            <w:tcW w:w="567" w:type="dxa"/>
          </w:tcPr>
          <w:p w:rsidR="00113336" w:rsidRPr="00B3149D"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B3149D" w:rsidRDefault="00113336" w:rsidP="009B36BA">
            <w:pPr>
              <w:rPr>
                <w:rFonts w:ascii="Arial" w:hAnsi="Arial" w:cs="Arial"/>
                <w:b/>
                <w:sz w:val="13"/>
                <w:szCs w:val="13"/>
              </w:rPr>
            </w:pPr>
            <w:r w:rsidRPr="00B3149D">
              <w:rPr>
                <w:rFonts w:ascii="Arial" w:hAnsi="Arial" w:cs="Arial"/>
                <w:b/>
                <w:sz w:val="13"/>
                <w:szCs w:val="13"/>
              </w:rPr>
              <w:t xml:space="preserve">Holiday / </w:t>
            </w:r>
            <w:r w:rsidRPr="00B3149D">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B3149D" w:rsidRDefault="00113336" w:rsidP="009B36BA">
            <w:pPr>
              <w:jc w:val="center"/>
              <w:rPr>
                <w:rFonts w:ascii="Arial" w:hAnsi="Arial" w:cs="Arial"/>
                <w:b/>
                <w:sz w:val="13"/>
                <w:szCs w:val="13"/>
              </w:rPr>
            </w:pPr>
            <w:r w:rsidRPr="00B3149D">
              <w:rPr>
                <w:rFonts w:ascii="Arial" w:hAnsi="Arial" w:cs="Arial"/>
                <w:b/>
                <w:sz w:val="13"/>
                <w:szCs w:val="13"/>
              </w:rPr>
              <w:t>H</w:t>
            </w:r>
          </w:p>
        </w:tc>
        <w:tc>
          <w:tcPr>
            <w:tcW w:w="3524" w:type="dxa"/>
            <w:tcBorders>
              <w:top w:val="nil"/>
              <w:left w:val="double" w:sz="4" w:space="0" w:color="auto"/>
              <w:bottom w:val="nil"/>
              <w:right w:val="nil"/>
            </w:tcBorders>
            <w:hideMark/>
          </w:tcPr>
          <w:p w:rsidR="00113336" w:rsidRPr="00B3149D" w:rsidRDefault="00B4618C" w:rsidP="009B36BA">
            <w:pPr>
              <w:tabs>
                <w:tab w:val="left" w:pos="203"/>
              </w:tabs>
              <w:spacing w:before="120"/>
              <w:rPr>
                <w:rFonts w:ascii="Arial" w:hAnsi="Arial" w:cs="Arial"/>
                <w:b/>
                <w:sz w:val="13"/>
                <w:szCs w:val="13"/>
              </w:rPr>
            </w:pPr>
            <w:r w:rsidRPr="00B3149D">
              <w:rPr>
                <w:rFonts w:ascii="Arial" w:hAnsi="Arial" w:cs="Arial"/>
                <w:b/>
                <w:sz w:val="13"/>
                <w:szCs w:val="13"/>
              </w:rPr>
              <w:t>2</w:t>
            </w:r>
            <w:r w:rsidR="00113336" w:rsidRPr="00B3149D">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B3149D">
              <w:rPr>
                <w:rFonts w:ascii="Arial" w:hAnsi="Arial" w:cs="Arial"/>
                <w:b/>
                <w:sz w:val="13"/>
                <w:szCs w:val="13"/>
              </w:rPr>
              <w:tab/>
            </w:r>
            <w:r w:rsidRPr="00B3149D">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19" w:rsidRDefault="00FC5519" w:rsidP="00A87207">
      <w:r>
        <w:separator/>
      </w:r>
    </w:p>
  </w:endnote>
  <w:endnote w:type="continuationSeparator" w:id="0">
    <w:p w:rsidR="00FC5519" w:rsidRDefault="00FC551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rsidP="00A87207">
    <w:pPr>
      <w:pStyle w:val="Footer"/>
    </w:pPr>
    <w:r>
      <w:pict>
        <v:rect id="_x0000_i1030" style="width:480.95pt;height:1pt" o:hralign="center" o:hrstd="t" o:hrnoshade="t" o:hr="t" fillcolor="black [3213]" stroked="f"/>
      </w:pict>
    </w:r>
  </w:p>
  <w:p w:rsidR="00FC5519" w:rsidRPr="00B7374B" w:rsidRDefault="00FC551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rsidP="00732DB7">
    <w:r>
      <w:pict>
        <v:rect id="_x0000_i1072" style="width:480.95pt;height:1pt" o:hralign="center" o:hrstd="t" o:hrnoshade="t" o:hr="t" fillcolor="black" stroked="f"/>
      </w:pict>
    </w:r>
  </w:p>
  <w:p w:rsidR="00FC5519" w:rsidRDefault="00FC5519">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pPr>
      <w:pStyle w:val="Footer"/>
    </w:pPr>
    <w:r>
      <w:pict>
        <v:rect id="_x0000_i1073" style="width:480.95pt;height:1pt" o:hralign="center" o:hrstd="t" o:hrnoshade="t" o:hr="t" fillcolor="black" stroked="f"/>
      </w:pict>
    </w:r>
  </w:p>
  <w:p w:rsidR="00FC5519" w:rsidRPr="00283C52" w:rsidRDefault="00FC5519">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Pr="00924065" w:rsidRDefault="00FC551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rsidP="00755F22">
    <w:pPr>
      <w:tabs>
        <w:tab w:val="left" w:pos="-1440"/>
        <w:tab w:val="left" w:pos="-720"/>
      </w:tabs>
    </w:pPr>
    <w:r>
      <w:pict>
        <v:rect id="_x0000_i1031" style="width:480.95pt;height:1pt" o:hralign="center" o:hrstd="t" o:hrnoshade="t" o:hr="t" fillcolor="black [3213]" stroked="f"/>
      </w:pict>
    </w:r>
  </w:p>
  <w:p w:rsidR="00FC5519" w:rsidRPr="00954D22" w:rsidRDefault="00FC551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873D4">
      <w:rPr>
        <w:noProof/>
        <w:szCs w:val="24"/>
      </w:rPr>
      <w:t>1</w:t>
    </w:r>
    <w:r>
      <w:rPr>
        <w:szCs w:val="24"/>
      </w:rPr>
      <w:fldChar w:fldCharType="end"/>
    </w:r>
    <w:r w:rsidRPr="00954D22">
      <w:rPr>
        <w:szCs w:val="24"/>
      </w:rPr>
      <w:t xml:space="preserve"> -</w:t>
    </w:r>
  </w:p>
  <w:p w:rsidR="00FC5519" w:rsidRDefault="00FC5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5519" w:rsidRDefault="00FC551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FC5519" w:rsidRPr="0009648D" w:rsidRDefault="00FC5519" w:rsidP="00ED7E83">
    <w:pPr>
      <w:tabs>
        <w:tab w:val="center" w:pos="4680"/>
      </w:tabs>
    </w:pPr>
    <w:r>
      <w:tab/>
    </w:r>
    <w:r w:rsidRPr="0009648D">
      <w:t xml:space="preserve">- </w:t>
    </w:r>
    <w:r>
      <w:fldChar w:fldCharType="begin"/>
    </w:r>
    <w:r>
      <w:instrText xml:space="preserve"> PAGE   \* MERGEFORMAT </w:instrText>
    </w:r>
    <w:r>
      <w:fldChar w:fldCharType="separate"/>
    </w:r>
    <w:r w:rsidR="00E51866">
      <w:rPr>
        <w:noProof/>
      </w:rPr>
      <w:t>26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pPr>
      <w:pStyle w:val="Footer"/>
      <w:rPr>
        <w:lang w:val="fr-CA"/>
      </w:rPr>
    </w:pPr>
    <w:r>
      <w:rPr>
        <w:lang w:val="fr-CA"/>
      </w:rPr>
      <w:pict>
        <v:rect id="_x0000_i1061" style="width:480.95pt;height:1pt" o:hralign="center" o:hrstd="t" o:hrnoshade="t" o:hr="t" fillcolor="black [3213]" stroked="f"/>
      </w:pict>
    </w:r>
  </w:p>
  <w:p w:rsidR="00FC5519" w:rsidRDefault="00FC5519" w:rsidP="00245129">
    <w:pPr>
      <w:tabs>
        <w:tab w:val="center" w:pos="4680"/>
      </w:tabs>
    </w:pPr>
    <w:r>
      <w:tab/>
    </w:r>
    <w:r w:rsidRPr="0009648D">
      <w:t xml:space="preserve">- </w:t>
    </w:r>
    <w:r>
      <w:fldChar w:fldCharType="begin"/>
    </w:r>
    <w:r>
      <w:instrText xml:space="preserve"> PAGE   \* MERGEFORMAT </w:instrText>
    </w:r>
    <w:r>
      <w:fldChar w:fldCharType="separate"/>
    </w:r>
    <w:r w:rsidR="009873D4">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5519" w:rsidRDefault="00FC551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rsidP="00755F22">
    <w:pPr>
      <w:tabs>
        <w:tab w:val="left" w:pos="-1440"/>
        <w:tab w:val="left" w:pos="-720"/>
      </w:tabs>
    </w:pPr>
    <w:r>
      <w:pict>
        <v:rect id="_x0000_i1067" style="width:480.95pt;height:1pt" o:hralign="center" o:hrstd="t" o:hrnoshade="t" o:hr="t" fillcolor="black [3213]" stroked="f"/>
      </w:pict>
    </w:r>
  </w:p>
  <w:p w:rsidR="00FC5519" w:rsidRDefault="00FC5519" w:rsidP="00EB2B90">
    <w:pPr>
      <w:tabs>
        <w:tab w:val="center" w:pos="4680"/>
      </w:tabs>
    </w:pPr>
    <w:r>
      <w:tab/>
      <w:t xml:space="preserve">- </w:t>
    </w:r>
    <w:r>
      <w:fldChar w:fldCharType="begin"/>
    </w:r>
    <w:r>
      <w:instrText xml:space="preserve"> PAGE   \* MERGEFORMAT </w:instrText>
    </w:r>
    <w:r>
      <w:fldChar w:fldCharType="separate"/>
    </w:r>
    <w:r w:rsidR="00E51866">
      <w:rPr>
        <w:noProof/>
      </w:rPr>
      <w:t>32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E51866" w:rsidP="00EB2B90">
    <w:pPr>
      <w:tabs>
        <w:tab w:val="center" w:pos="4680"/>
      </w:tabs>
    </w:pPr>
    <w:r>
      <w:pict>
        <v:rect id="_x0000_i1068" style="width:480.95pt;height:1pt" o:hralign="center" o:hrstd="t" o:hrnoshade="t" o:hr="t" fillcolor="black [3213]" stroked="f"/>
      </w:pict>
    </w:r>
  </w:p>
  <w:p w:rsidR="00FC5519" w:rsidRPr="0031432F" w:rsidRDefault="00FC5519" w:rsidP="00EB2B90">
    <w:pPr>
      <w:tabs>
        <w:tab w:val="center" w:pos="4680"/>
      </w:tabs>
    </w:pPr>
    <w:r>
      <w:tab/>
      <w:t xml:space="preserve">- </w:t>
    </w:r>
    <w:r>
      <w:fldChar w:fldCharType="begin"/>
    </w:r>
    <w:r>
      <w:instrText xml:space="preserve"> PAGE   \* MERGEFORMAT </w:instrText>
    </w:r>
    <w:r>
      <w:fldChar w:fldCharType="separate"/>
    </w:r>
    <w:r w:rsidR="00E51866">
      <w:rPr>
        <w:noProof/>
      </w:rPr>
      <w:t>27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5519" w:rsidRDefault="00FC551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19" w:rsidRDefault="00FC5519" w:rsidP="00A87207">
      <w:r>
        <w:separator/>
      </w:r>
    </w:p>
  </w:footnote>
  <w:footnote w:type="continuationSeparator" w:id="0">
    <w:p w:rsidR="00FC5519" w:rsidRDefault="00FC551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C5519" w:rsidRPr="0044776A" w:rsidTr="00245129">
      <w:tc>
        <w:tcPr>
          <w:tcW w:w="4290" w:type="dxa"/>
          <w:tcMar>
            <w:left w:w="0" w:type="dxa"/>
            <w:right w:w="0" w:type="dxa"/>
          </w:tcMar>
        </w:tcPr>
        <w:p w:rsidR="00FC5519" w:rsidRPr="00D31809" w:rsidRDefault="00FC5519" w:rsidP="00D31809">
          <w:pPr>
            <w:keepNext/>
            <w:keepLines/>
            <w:rPr>
              <w:sz w:val="20"/>
              <w:szCs w:val="20"/>
              <w:lang w:val="en-US"/>
            </w:rPr>
          </w:pPr>
          <w:r w:rsidRPr="00D31809">
            <w:rPr>
              <w:sz w:val="20"/>
              <w:szCs w:val="20"/>
              <w:lang w:val="en-US"/>
            </w:rPr>
            <w:t>Applications for leave to appeal filed</w:t>
          </w:r>
        </w:p>
        <w:p w:rsidR="00FC5519" w:rsidRPr="00D31809" w:rsidRDefault="00FC5519" w:rsidP="00D31809">
          <w:pPr>
            <w:keepNext/>
            <w:keepLines/>
            <w:rPr>
              <w:sz w:val="20"/>
              <w:szCs w:val="20"/>
            </w:rPr>
          </w:pPr>
        </w:p>
      </w:tc>
      <w:tc>
        <w:tcPr>
          <w:tcW w:w="1200" w:type="dxa"/>
          <w:tcMar>
            <w:left w:w="0" w:type="dxa"/>
            <w:right w:w="0" w:type="dxa"/>
          </w:tcMar>
        </w:tcPr>
        <w:p w:rsidR="00FC5519" w:rsidRPr="00D31809" w:rsidRDefault="00FC5519" w:rsidP="002E2327">
          <w:pPr>
            <w:keepNext/>
            <w:keepLines/>
            <w:tabs>
              <w:tab w:val="left" w:pos="-1440"/>
              <w:tab w:val="left" w:pos="-720"/>
            </w:tabs>
            <w:jc w:val="center"/>
            <w:rPr>
              <w:sz w:val="20"/>
              <w:szCs w:val="20"/>
            </w:rPr>
          </w:pPr>
        </w:p>
      </w:tc>
      <w:tc>
        <w:tcPr>
          <w:tcW w:w="4320" w:type="dxa"/>
          <w:tcMar>
            <w:left w:w="0" w:type="dxa"/>
            <w:right w:w="0" w:type="dxa"/>
          </w:tcMar>
        </w:tcPr>
        <w:p w:rsidR="00FC5519" w:rsidRPr="00D31809" w:rsidRDefault="00FC5519" w:rsidP="002E2327">
          <w:pPr>
            <w:keepLines/>
            <w:rPr>
              <w:sz w:val="20"/>
              <w:szCs w:val="20"/>
              <w:lang w:val="fr-CA"/>
            </w:rPr>
          </w:pPr>
          <w:r w:rsidRPr="00D31809">
            <w:rPr>
              <w:sz w:val="20"/>
              <w:szCs w:val="20"/>
              <w:lang w:val="fr-CA"/>
            </w:rPr>
            <w:t>Demandes d’autorisation d’appel déposées</w:t>
          </w:r>
        </w:p>
      </w:tc>
    </w:tr>
  </w:tbl>
  <w:p w:rsidR="00FC5519" w:rsidRDefault="00FC55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5519" w:rsidRPr="009873D4" w:rsidTr="00245129">
      <w:tc>
        <w:tcPr>
          <w:tcW w:w="4200" w:type="dxa"/>
          <w:tcMar>
            <w:left w:w="0" w:type="dxa"/>
            <w:right w:w="0" w:type="dxa"/>
          </w:tcMar>
        </w:tcPr>
        <w:p w:rsidR="00FC5519" w:rsidRPr="00732DB7" w:rsidRDefault="00FC5519"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C5519" w:rsidRPr="00732DB7" w:rsidRDefault="00FC5519" w:rsidP="00732DB7">
          <w:pPr>
            <w:keepNext/>
            <w:keepLines/>
            <w:tabs>
              <w:tab w:val="left" w:pos="-1440"/>
              <w:tab w:val="left" w:pos="-720"/>
            </w:tabs>
            <w:jc w:val="center"/>
            <w:rPr>
              <w:sz w:val="20"/>
              <w:szCs w:val="20"/>
            </w:rPr>
          </w:pPr>
        </w:p>
        <w:p w:rsidR="00FC5519" w:rsidRPr="00732DB7" w:rsidRDefault="00FC5519" w:rsidP="00732DB7">
          <w:pPr>
            <w:keepNext/>
            <w:keepLines/>
            <w:tabs>
              <w:tab w:val="left" w:pos="-1440"/>
              <w:tab w:val="left" w:pos="-720"/>
            </w:tabs>
            <w:jc w:val="center"/>
            <w:rPr>
              <w:sz w:val="20"/>
              <w:szCs w:val="20"/>
            </w:rPr>
          </w:pPr>
        </w:p>
        <w:p w:rsidR="00FC5519" w:rsidRPr="00732DB7" w:rsidRDefault="00FC5519" w:rsidP="00732DB7">
          <w:pPr>
            <w:keepNext/>
            <w:keepLines/>
            <w:tabs>
              <w:tab w:val="left" w:pos="-1440"/>
              <w:tab w:val="left" w:pos="-720"/>
            </w:tabs>
            <w:jc w:val="center"/>
            <w:rPr>
              <w:sz w:val="20"/>
              <w:szCs w:val="20"/>
            </w:rPr>
          </w:pPr>
        </w:p>
      </w:tc>
      <w:tc>
        <w:tcPr>
          <w:tcW w:w="4080" w:type="dxa"/>
          <w:tcMar>
            <w:left w:w="0" w:type="dxa"/>
            <w:right w:w="0" w:type="dxa"/>
          </w:tcMar>
        </w:tcPr>
        <w:p w:rsidR="00FC5519" w:rsidRPr="00732DB7" w:rsidRDefault="00FC551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C5519" w:rsidRPr="00283C52" w:rsidRDefault="00FC551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5519" w:rsidRPr="009873D4">
      <w:tc>
        <w:tcPr>
          <w:tcW w:w="4200" w:type="dxa"/>
          <w:tcMar>
            <w:left w:w="0" w:type="dxa"/>
            <w:right w:w="0" w:type="dxa"/>
          </w:tcMar>
        </w:tcPr>
        <w:p w:rsidR="00FC5519" w:rsidRDefault="00FC55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5519" w:rsidRDefault="00FC55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5519" w:rsidRDefault="00FC55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5519" w:rsidRPr="00FF6BA5" w:rsidRDefault="00FC55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5519" w:rsidRPr="00FF6BA5"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5519" w:rsidRPr="00FF6BA5"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5519" w:rsidRPr="00FF6BA5"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C5519" w:rsidRPr="009873D4" w:rsidTr="00245129">
      <w:tc>
        <w:tcPr>
          <w:tcW w:w="4200" w:type="dxa"/>
          <w:tcMar>
            <w:left w:w="0" w:type="dxa"/>
            <w:right w:w="0" w:type="dxa"/>
          </w:tcMar>
        </w:tcPr>
        <w:p w:rsidR="00FC5519" w:rsidRPr="00634F42" w:rsidRDefault="00FC551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C5519" w:rsidRPr="00755F22" w:rsidRDefault="00FC551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5519" w:rsidRPr="00755F22" w:rsidRDefault="00FC551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5519" w:rsidRPr="00755F22" w:rsidRDefault="00FC55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C5519" w:rsidRPr="00FF6BA5" w:rsidRDefault="00FC551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C5519">
      <w:tc>
        <w:tcPr>
          <w:tcW w:w="4230" w:type="dxa"/>
          <w:tcMar>
            <w:left w:w="0" w:type="dxa"/>
            <w:right w:w="0" w:type="dxa"/>
          </w:tcMar>
        </w:tcPr>
        <w:p w:rsidR="00FC5519" w:rsidRDefault="00FC55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5519" w:rsidRDefault="00FC55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5519" w:rsidRDefault="00FC55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5519">
      <w:trPr>
        <w:gridAfter w:val="2"/>
        <w:wAfter w:w="5250" w:type="dxa"/>
      </w:trPr>
      <w:tc>
        <w:tcPr>
          <w:tcW w:w="4230" w:type="dxa"/>
          <w:tcMar>
            <w:left w:w="0" w:type="dxa"/>
            <w:right w:w="0" w:type="dxa"/>
          </w:tcMar>
        </w:tcPr>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5519"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C5519" w:rsidRPr="00755F22" w:rsidTr="00245129">
      <w:tc>
        <w:tcPr>
          <w:tcW w:w="4230" w:type="dxa"/>
          <w:tcMar>
            <w:left w:w="0" w:type="dxa"/>
            <w:right w:w="0" w:type="dxa"/>
          </w:tcMar>
        </w:tcPr>
        <w:p w:rsidR="00FC5519" w:rsidRPr="00755F22" w:rsidRDefault="00FC5519" w:rsidP="00831CA9">
          <w:pPr>
            <w:keepNext/>
            <w:keepLines/>
            <w:rPr>
              <w:sz w:val="20"/>
              <w:szCs w:val="20"/>
            </w:rPr>
          </w:pPr>
          <w:r w:rsidRPr="00755F22">
            <w:rPr>
              <w:sz w:val="20"/>
              <w:szCs w:val="20"/>
            </w:rPr>
            <w:t>Motions</w:t>
          </w:r>
        </w:p>
      </w:tc>
      <w:tc>
        <w:tcPr>
          <w:tcW w:w="1170" w:type="dxa"/>
          <w:tcMar>
            <w:left w:w="0" w:type="dxa"/>
            <w:right w:w="0" w:type="dxa"/>
          </w:tcMar>
        </w:tcPr>
        <w:p w:rsidR="00FC5519" w:rsidRPr="00755F22" w:rsidRDefault="00FC5519" w:rsidP="00831CA9">
          <w:pPr>
            <w:keepLines/>
            <w:jc w:val="center"/>
            <w:rPr>
              <w:sz w:val="20"/>
              <w:szCs w:val="20"/>
            </w:rPr>
          </w:pPr>
        </w:p>
        <w:p w:rsidR="00FC5519" w:rsidRPr="00755F22" w:rsidRDefault="00FC5519" w:rsidP="00831CA9">
          <w:pPr>
            <w:keepLines/>
            <w:tabs>
              <w:tab w:val="left" w:pos="-1440"/>
              <w:tab w:val="left" w:pos="-720"/>
            </w:tabs>
            <w:jc w:val="center"/>
            <w:rPr>
              <w:sz w:val="20"/>
              <w:szCs w:val="20"/>
            </w:rPr>
          </w:pPr>
        </w:p>
      </w:tc>
      <w:tc>
        <w:tcPr>
          <w:tcW w:w="4080" w:type="dxa"/>
          <w:tcMar>
            <w:left w:w="0" w:type="dxa"/>
            <w:right w:w="0" w:type="dxa"/>
          </w:tcMar>
        </w:tcPr>
        <w:p w:rsidR="00FC5519" w:rsidRPr="00BA6468" w:rsidRDefault="00FC5519" w:rsidP="00BA6468">
          <w:pPr>
            <w:keepLines/>
            <w:rPr>
              <w:sz w:val="20"/>
              <w:szCs w:val="20"/>
              <w:lang w:val="fr-CA"/>
            </w:rPr>
          </w:pPr>
          <w:r w:rsidRPr="00BA6468">
            <w:rPr>
              <w:sz w:val="20"/>
              <w:szCs w:val="20"/>
              <w:lang w:val="fr-CA"/>
            </w:rPr>
            <w:t>Requêtes</w:t>
          </w:r>
        </w:p>
      </w:tc>
    </w:tr>
  </w:tbl>
  <w:p w:rsidR="00FC5519" w:rsidRDefault="00FC551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19" w:rsidRDefault="00FC55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C5519" w:rsidRPr="009873D4">
      <w:tc>
        <w:tcPr>
          <w:tcW w:w="4200" w:type="dxa"/>
          <w:tcMar>
            <w:left w:w="0" w:type="dxa"/>
            <w:right w:w="0" w:type="dxa"/>
          </w:tcMar>
        </w:tcPr>
        <w:p w:rsidR="00FC5519" w:rsidRDefault="00FC55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C5519" w:rsidRDefault="00FC55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5519" w:rsidRPr="00283C52" w:rsidRDefault="00FC55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C5519" w:rsidRPr="00283C52"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5519" w:rsidRPr="00283C52" w:rsidRDefault="00FC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70DE"/>
    <w:multiLevelType w:val="hybridMultilevel"/>
    <w:tmpl w:val="6854D6B6"/>
    <w:lvl w:ilvl="0" w:tplc="83864E9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8"/>
  </w:num>
  <w:num w:numId="10">
    <w:abstractNumId w:val="12"/>
  </w:num>
  <w:num w:numId="11">
    <w:abstractNumId w:val="23"/>
  </w:num>
  <w:num w:numId="12">
    <w:abstractNumId w:val="41"/>
  </w:num>
  <w:num w:numId="13">
    <w:abstractNumId w:val="31"/>
  </w:num>
  <w:num w:numId="14">
    <w:abstractNumId w:val="15"/>
  </w:num>
  <w:num w:numId="15">
    <w:abstractNumId w:val="40"/>
  </w:num>
  <w:num w:numId="16">
    <w:abstractNumId w:val="5"/>
  </w:num>
  <w:num w:numId="17">
    <w:abstractNumId w:val="36"/>
  </w:num>
  <w:num w:numId="18">
    <w:abstractNumId w:val="18"/>
  </w:num>
  <w:num w:numId="19">
    <w:abstractNumId w:val="21"/>
  </w:num>
  <w:num w:numId="20">
    <w:abstractNumId w:val="29"/>
  </w:num>
  <w:num w:numId="21">
    <w:abstractNumId w:val="28"/>
  </w:num>
  <w:num w:numId="22">
    <w:abstractNumId w:val="33"/>
  </w:num>
  <w:num w:numId="23">
    <w:abstractNumId w:val="35"/>
  </w:num>
  <w:num w:numId="24">
    <w:abstractNumId w:val="6"/>
  </w:num>
  <w:num w:numId="25">
    <w:abstractNumId w:val="39"/>
  </w:num>
  <w:num w:numId="26">
    <w:abstractNumId w:val="25"/>
  </w:num>
  <w:num w:numId="27">
    <w:abstractNumId w:val="1"/>
  </w:num>
  <w:num w:numId="28">
    <w:abstractNumId w:val="0"/>
  </w:num>
  <w:num w:numId="29">
    <w:abstractNumId w:val="17"/>
  </w:num>
  <w:num w:numId="30">
    <w:abstractNumId w:val="34"/>
  </w:num>
  <w:num w:numId="31">
    <w:abstractNumId w:val="9"/>
  </w:num>
  <w:num w:numId="32">
    <w:abstractNumId w:val="32"/>
  </w:num>
  <w:num w:numId="33">
    <w:abstractNumId w:val="11"/>
  </w:num>
  <w:num w:numId="34">
    <w:abstractNumId w:val="16"/>
  </w:num>
  <w:num w:numId="35">
    <w:abstractNumId w:val="20"/>
  </w:num>
  <w:num w:numId="36">
    <w:abstractNumId w:val="3"/>
  </w:num>
  <w:num w:numId="37">
    <w:abstractNumId w:val="13"/>
  </w:num>
  <w:num w:numId="38">
    <w:abstractNumId w:val="27"/>
  </w:num>
  <w:num w:numId="39">
    <w:abstractNumId w:val="26"/>
  </w:num>
  <w:num w:numId="40">
    <w:abstractNumId w:val="37"/>
  </w:num>
  <w:num w:numId="41">
    <w:abstractNumId w:val="24"/>
  </w:num>
  <w:num w:numId="42">
    <w:abstractNumId w:val="30"/>
  </w:num>
  <w:num w:numId="43">
    <w:abstractNumId w:val="38"/>
  </w:num>
  <w:num w:numId="44">
    <w:abstractNumId w:val="7"/>
  </w:num>
  <w:num w:numId="45">
    <w:abstractNumId w:val="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65"/>
    <w:rsid w:val="00002704"/>
    <w:rsid w:val="00020DC3"/>
    <w:rsid w:val="000312BD"/>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1FF7"/>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56E4"/>
    <w:rsid w:val="00520F9E"/>
    <w:rsid w:val="0052229C"/>
    <w:rsid w:val="00527CC7"/>
    <w:rsid w:val="005430B8"/>
    <w:rsid w:val="00560DF1"/>
    <w:rsid w:val="0056248C"/>
    <w:rsid w:val="00564B09"/>
    <w:rsid w:val="00567602"/>
    <w:rsid w:val="00567680"/>
    <w:rsid w:val="00571CA4"/>
    <w:rsid w:val="00573AF2"/>
    <w:rsid w:val="00582136"/>
    <w:rsid w:val="00590488"/>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07134"/>
    <w:rsid w:val="00810620"/>
    <w:rsid w:val="008112A9"/>
    <w:rsid w:val="0081473A"/>
    <w:rsid w:val="00815B3C"/>
    <w:rsid w:val="0081610A"/>
    <w:rsid w:val="0082729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D085E"/>
    <w:rsid w:val="008D21F7"/>
    <w:rsid w:val="008D292F"/>
    <w:rsid w:val="008D3D4B"/>
    <w:rsid w:val="008E03DC"/>
    <w:rsid w:val="00902E51"/>
    <w:rsid w:val="009058B9"/>
    <w:rsid w:val="00924065"/>
    <w:rsid w:val="00930B8A"/>
    <w:rsid w:val="00930D68"/>
    <w:rsid w:val="00932DB4"/>
    <w:rsid w:val="009373A2"/>
    <w:rsid w:val="00941A4B"/>
    <w:rsid w:val="00946242"/>
    <w:rsid w:val="0095096B"/>
    <w:rsid w:val="00955827"/>
    <w:rsid w:val="00957556"/>
    <w:rsid w:val="00961C83"/>
    <w:rsid w:val="00970CD3"/>
    <w:rsid w:val="009723FA"/>
    <w:rsid w:val="00984546"/>
    <w:rsid w:val="00987365"/>
    <w:rsid w:val="009873D4"/>
    <w:rsid w:val="009921E9"/>
    <w:rsid w:val="00996510"/>
    <w:rsid w:val="009A75CF"/>
    <w:rsid w:val="009B36BA"/>
    <w:rsid w:val="009C4E23"/>
    <w:rsid w:val="009D1F15"/>
    <w:rsid w:val="009D21BC"/>
    <w:rsid w:val="009D555E"/>
    <w:rsid w:val="009F3024"/>
    <w:rsid w:val="009F39BA"/>
    <w:rsid w:val="00A0355E"/>
    <w:rsid w:val="00A067B5"/>
    <w:rsid w:val="00A234E1"/>
    <w:rsid w:val="00A242F4"/>
    <w:rsid w:val="00A375D1"/>
    <w:rsid w:val="00A41D2B"/>
    <w:rsid w:val="00A51D10"/>
    <w:rsid w:val="00A52A83"/>
    <w:rsid w:val="00A61252"/>
    <w:rsid w:val="00A6552C"/>
    <w:rsid w:val="00A70166"/>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22DD4"/>
    <w:rsid w:val="00B3149D"/>
    <w:rsid w:val="00B3166C"/>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5A6"/>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37A41"/>
    <w:rsid w:val="00D6331A"/>
    <w:rsid w:val="00D64901"/>
    <w:rsid w:val="00D76BDF"/>
    <w:rsid w:val="00D812DE"/>
    <w:rsid w:val="00D818B6"/>
    <w:rsid w:val="00D82A57"/>
    <w:rsid w:val="00D82BFF"/>
    <w:rsid w:val="00D8443D"/>
    <w:rsid w:val="00D84797"/>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4CD7"/>
    <w:rsid w:val="00E0270C"/>
    <w:rsid w:val="00E06DFA"/>
    <w:rsid w:val="00E06F20"/>
    <w:rsid w:val="00E20A0A"/>
    <w:rsid w:val="00E240C2"/>
    <w:rsid w:val="00E356C7"/>
    <w:rsid w:val="00E414CA"/>
    <w:rsid w:val="00E41A5A"/>
    <w:rsid w:val="00E422DB"/>
    <w:rsid w:val="00E45FE4"/>
    <w:rsid w:val="00E51866"/>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C5519"/>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82729A"/>
    <w:pPr>
      <w:jc w:val="both"/>
    </w:pPr>
    <w:rPr>
      <w:rFonts w:eastAsia="Calibri" w:cs="Times New Roman"/>
      <w:smallCaps/>
    </w:rPr>
  </w:style>
  <w:style w:type="character" w:customStyle="1" w:styleId="SCCBanSummaryChar">
    <w:name w:val="SCC.BanSummary Char"/>
    <w:basedOn w:val="DefaultParagraphFont"/>
    <w:link w:val="SCCBanSummary0"/>
    <w:rsid w:val="0082729A"/>
    <w:rPr>
      <w:rFonts w:eastAsia="Calibri" w:cs="Times New Roman"/>
      <w:smallCaps/>
      <w:lang w:val="en-CA"/>
    </w:rPr>
  </w:style>
  <w:style w:type="paragraph" w:styleId="NoSpacing">
    <w:name w:val="No Spacing"/>
    <w:uiPriority w:val="1"/>
    <w:qFormat/>
    <w:rsid w:val="0082729A"/>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82729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2729A"/>
    <w:rPr>
      <w:rFonts w:ascii="Tahoma" w:eastAsia="Times New Roman" w:hAnsi="Tahoma" w:cs="Tahoma"/>
      <w:sz w:val="16"/>
      <w:szCs w:val="16"/>
    </w:rPr>
  </w:style>
  <w:style w:type="paragraph" w:customStyle="1" w:styleId="Style268435469">
    <w:name w:val="Style268435469"/>
    <w:rsid w:val="0082729A"/>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82729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82729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2729A"/>
    <w:rPr>
      <w:sz w:val="16"/>
      <w:szCs w:val="16"/>
    </w:rPr>
  </w:style>
  <w:style w:type="paragraph" w:styleId="CommentText">
    <w:name w:val="annotation text"/>
    <w:basedOn w:val="Normal"/>
    <w:link w:val="CommentTextChar"/>
    <w:uiPriority w:val="99"/>
    <w:semiHidden/>
    <w:unhideWhenUsed/>
    <w:rsid w:val="0082729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2729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29A"/>
    <w:rPr>
      <w:b/>
      <w:bCs/>
    </w:rPr>
  </w:style>
  <w:style w:type="character" w:customStyle="1" w:styleId="CommentSubjectChar">
    <w:name w:val="Comment Subject Char"/>
    <w:basedOn w:val="CommentTextChar"/>
    <w:link w:val="CommentSubject"/>
    <w:uiPriority w:val="99"/>
    <w:semiHidden/>
    <w:rsid w:val="0082729A"/>
    <w:rPr>
      <w:rFonts w:eastAsia="Times New Roman" w:cs="Times New Roman"/>
      <w:b/>
      <w:bCs/>
      <w:sz w:val="20"/>
      <w:szCs w:val="20"/>
    </w:rPr>
  </w:style>
  <w:style w:type="paragraph" w:customStyle="1" w:styleId="mainparagraph1">
    <w:name w:val="mainparagraph1"/>
    <w:basedOn w:val="Normal"/>
    <w:rsid w:val="0082729A"/>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82729A"/>
    <w:pPr>
      <w:spacing w:before="120" w:after="120"/>
      <w:jc w:val="both"/>
    </w:pPr>
    <w:rPr>
      <w:rFonts w:ascii="Arial" w:eastAsia="Times New Roman" w:hAnsi="Arial" w:cs="Arial"/>
      <w:sz w:val="26"/>
      <w:szCs w:val="26"/>
      <w:lang w:val="en-US"/>
    </w:rPr>
  </w:style>
  <w:style w:type="paragraph" w:customStyle="1" w:styleId="number1">
    <w:name w:val="number1"/>
    <w:basedOn w:val="Normal"/>
    <w:rsid w:val="0082729A"/>
    <w:pPr>
      <w:jc w:val="both"/>
    </w:pPr>
    <w:rPr>
      <w:rFonts w:ascii="Tahoma" w:eastAsia="Times New Roman" w:hAnsi="Tahoma" w:cs="Tahoma"/>
      <w:szCs w:val="24"/>
      <w:lang w:val="en-US"/>
    </w:rPr>
  </w:style>
  <w:style w:type="character" w:customStyle="1" w:styleId="reflex3-block">
    <w:name w:val="reflex3-block"/>
    <w:basedOn w:val="DefaultParagraphFont"/>
    <w:rsid w:val="0082729A"/>
  </w:style>
  <w:style w:type="character" w:customStyle="1" w:styleId="reflex3-alt">
    <w:name w:val="reflex3-alt"/>
    <w:basedOn w:val="DefaultParagraphFont"/>
    <w:rsid w:val="0082729A"/>
  </w:style>
  <w:style w:type="paragraph" w:customStyle="1" w:styleId="scjnumber1">
    <w:name w:val="scjnumber1"/>
    <w:basedOn w:val="Normal"/>
    <w:rsid w:val="0082729A"/>
    <w:pPr>
      <w:spacing w:after="240"/>
    </w:pPr>
    <w:rPr>
      <w:rFonts w:ascii="Arial" w:eastAsia="Times New Roman" w:hAnsi="Arial" w:cs="Arial"/>
      <w:szCs w:val="24"/>
      <w:lang w:val="en-US"/>
    </w:rPr>
  </w:style>
  <w:style w:type="character" w:customStyle="1" w:styleId="reflex">
    <w:name w:val="reflex"/>
    <w:basedOn w:val="DefaultParagraphFont"/>
    <w:rsid w:val="0082729A"/>
  </w:style>
  <w:style w:type="paragraph" w:customStyle="1" w:styleId="paragraphe">
    <w:name w:val="paragraphe"/>
    <w:basedOn w:val="Normal"/>
    <w:rsid w:val="0082729A"/>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82729A"/>
  </w:style>
  <w:style w:type="paragraph" w:customStyle="1" w:styleId="SCCLsocSubfileSeparator0">
    <w:name w:val="SCC.Lsoc.SubfileSeparator"/>
    <w:basedOn w:val="Normal"/>
    <w:next w:val="Normal"/>
    <w:link w:val="SCCLsocSubfileSeparatorChar"/>
    <w:rsid w:val="0082729A"/>
    <w:pPr>
      <w:jc w:val="both"/>
    </w:pPr>
    <w:rPr>
      <w:rFonts w:cs="Times New Roman"/>
      <w:b/>
      <w:szCs w:val="24"/>
    </w:rPr>
  </w:style>
  <w:style w:type="character" w:customStyle="1" w:styleId="SCCLsocSubfileSeparatorChar">
    <w:name w:val="SCC.Lsoc.SubfileSeparator Char"/>
    <w:basedOn w:val="DefaultParagraphFont"/>
    <w:link w:val="SCCLsocSubfileSeparator0"/>
    <w:rsid w:val="0082729A"/>
    <w:rPr>
      <w:rFonts w:cs="Times New Roman"/>
      <w:b/>
      <w:szCs w:val="24"/>
      <w:lang w:val="en-CA"/>
    </w:rPr>
  </w:style>
  <w:style w:type="paragraph" w:customStyle="1" w:styleId="s3">
    <w:name w:val="s3"/>
    <w:basedOn w:val="Normal"/>
    <w:rsid w:val="0082729A"/>
    <w:pPr>
      <w:spacing w:before="100" w:beforeAutospacing="1" w:after="100" w:afterAutospacing="1"/>
    </w:pPr>
    <w:rPr>
      <w:rFonts w:cs="Times New Roman"/>
      <w:szCs w:val="24"/>
      <w:lang w:val="en-US"/>
    </w:rPr>
  </w:style>
  <w:style w:type="character" w:customStyle="1" w:styleId="s4">
    <w:name w:val="s4"/>
    <w:basedOn w:val="DefaultParagraphFont"/>
    <w:rsid w:val="0082729A"/>
  </w:style>
  <w:style w:type="character" w:customStyle="1" w:styleId="s5">
    <w:name w:val="s5"/>
    <w:basedOn w:val="DefaultParagraphFont"/>
    <w:rsid w:val="0082729A"/>
  </w:style>
  <w:style w:type="paragraph" w:customStyle="1" w:styleId="paragraphenumrot">
    <w:name w:val="paragraphenumrot"/>
    <w:basedOn w:val="Normal"/>
    <w:rsid w:val="0082729A"/>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82729A"/>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82729A"/>
  </w:style>
  <w:style w:type="paragraph" w:customStyle="1" w:styleId="aparanumbering">
    <w:name w:val="aparanumbering"/>
    <w:basedOn w:val="Normal"/>
    <w:rsid w:val="0082729A"/>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82729A"/>
  </w:style>
  <w:style w:type="paragraph" w:customStyle="1" w:styleId="scjnumber">
    <w:name w:val="scjnumber"/>
    <w:basedOn w:val="Normal"/>
    <w:rsid w:val="0082729A"/>
    <w:pPr>
      <w:spacing w:before="100" w:beforeAutospacing="1" w:after="100" w:afterAutospacing="1"/>
    </w:pPr>
    <w:rPr>
      <w:rFonts w:eastAsia="Times New Roman" w:cs="Times New Roman"/>
      <w:szCs w:val="24"/>
      <w:lang w:val="en-US"/>
    </w:rPr>
  </w:style>
  <w:style w:type="paragraph" w:customStyle="1" w:styleId="body">
    <w:name w:val="body"/>
    <w:basedOn w:val="Normal"/>
    <w:rsid w:val="0082729A"/>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82729A"/>
    <w:pPr>
      <w:spacing w:before="100" w:beforeAutospacing="1" w:after="100" w:afterAutospacing="1"/>
    </w:pPr>
    <w:rPr>
      <w:rFonts w:eastAsia="Times New Roman" w:cs="Times New Roman"/>
      <w:szCs w:val="24"/>
      <w:lang w:val="en-US"/>
    </w:rPr>
  </w:style>
  <w:style w:type="paragraph" w:customStyle="1" w:styleId="scclsocparty1">
    <w:name w:val="scclsocparty1"/>
    <w:basedOn w:val="Normal"/>
    <w:rsid w:val="00B3149D"/>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0/2020qcca1130/2020qcca1130.pdf" TargetMode="External"/><Relationship Id="rId26" Type="http://schemas.openxmlformats.org/officeDocument/2006/relationships/hyperlink" Target="https://www.canlii.org/en/on/onca/doc/2020/2020onca499/2020onca499.html?resultIndex=1" TargetMode="External"/><Relationship Id="rId39" Type="http://schemas.openxmlformats.org/officeDocument/2006/relationships/hyperlink" Target="http://canlii.ca/t/j94jz" TargetMode="External"/><Relationship Id="rId21" Type="http://schemas.openxmlformats.org/officeDocument/2006/relationships/hyperlink" Target="https://www.canlii.org/en/on/onsc/doc/2019/2019onsc6397/2019onsc6397.html?resultIndex=1" TargetMode="External"/><Relationship Id="rId34" Type="http://schemas.openxmlformats.org/officeDocument/2006/relationships/hyperlink" Target="https://www.canlii.org/en/on/onca/doc/2019/2019onca956/2019onca956.html?autocompleteStr=Kennedy%20public%20guardian&amp;autocompletePos=1" TargetMode="External"/><Relationship Id="rId42" Type="http://schemas.openxmlformats.org/officeDocument/2006/relationships/hyperlink" Target="https://www.canlii.org/fr/qc/qccq/doc/2019/2019qccq1236/2019qccq1236.html" TargetMode="External"/><Relationship Id="rId47" Type="http://schemas.openxmlformats.org/officeDocument/2006/relationships/hyperlink" Target="https://www.canlii.org/en/ab/abca/doc/2020/2020abca263/2020abca263.html?resultIndex=1" TargetMode="External"/><Relationship Id="rId50" Type="http://schemas.openxmlformats.org/officeDocument/2006/relationships/hyperlink" Target="https://www.canlii.org/en/ca/tcc/doc/2018/2018tcc195/2018tcc195.html?autocompleteStr=2018%20TCC%20195&amp;autocompletePos=1" TargetMode="External"/><Relationship Id="rId55" Type="http://schemas.openxmlformats.org/officeDocument/2006/relationships/footer" Target="footer4.xml"/><Relationship Id="rId63" Type="http://schemas.openxmlformats.org/officeDocument/2006/relationships/footer" Target="footer8.xml"/><Relationship Id="rId68" Type="http://schemas.openxmlformats.org/officeDocument/2006/relationships/header" Target="header1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canlii.org/fr/qc/qcca/doc/2020/2020qcca1130/2020qcca1130.pdf" TargetMode="External"/><Relationship Id="rId29" Type="http://schemas.openxmlformats.org/officeDocument/2006/relationships/hyperlink" Target="https://www.canlii.org/en/on/oncj/doc/2015/2015oncj66/2015oncj66.html?resultIndex=1" TargetMode="External"/><Relationship Id="rId11" Type="http://schemas.openxmlformats.org/officeDocument/2006/relationships/header" Target="header1.xml"/><Relationship Id="rId24" Type="http://schemas.openxmlformats.org/officeDocument/2006/relationships/hyperlink" Target="https://www.canlii.org/en/on/onca/doc/2020/2020onca499/2020onca499.html?resultIndex=1" TargetMode="External"/><Relationship Id="rId32" Type="http://schemas.openxmlformats.org/officeDocument/2006/relationships/hyperlink" Target="https://www.canlii.org/en/on/onsc/doc/2016/2016onsc8078/2016onsc8078.html?resultIndex=1" TargetMode="External"/><Relationship Id="rId37" Type="http://schemas.openxmlformats.org/officeDocument/2006/relationships/hyperlink" Target="http://canlii.ca/t/hzqsf" TargetMode="External"/><Relationship Id="rId40" Type="http://schemas.openxmlformats.org/officeDocument/2006/relationships/hyperlink" Target="https://www.canlii.org/fr/qc/qccq/doc/2019/2019qccq1236/2019qccq1236.html" TargetMode="External"/><Relationship Id="rId45" Type="http://schemas.openxmlformats.org/officeDocument/2006/relationships/hyperlink" Target="https://www.canlii.org/en/ab/abca/doc/2020/2020abca263/2020abca263.html?resultIndex=1" TargetMode="External"/><Relationship Id="rId53" Type="http://schemas.openxmlformats.org/officeDocument/2006/relationships/header" Target="header4.xml"/><Relationship Id="rId58" Type="http://schemas.openxmlformats.org/officeDocument/2006/relationships/header" Target="header6.xml"/><Relationship Id="rId66" Type="http://schemas.openxmlformats.org/officeDocument/2006/relationships/hyperlink" Target="https://www.scc-csc.ca/case-dossier/info/sum-som-eng.aspx?cas=39245" TargetMode="External"/><Relationship Id="rId7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anlii.org/fr/qc/qccs/doc/2018/2018qccs1208/2018qccs1208.pdf" TargetMode="External"/><Relationship Id="rId23" Type="http://schemas.openxmlformats.org/officeDocument/2006/relationships/hyperlink" Target="https://www.canlii.org/en/on/onsc/doc/2019/2019onsc6397/2019onsc6397.html?resultIndex=1" TargetMode="External"/><Relationship Id="rId28" Type="http://schemas.openxmlformats.org/officeDocument/2006/relationships/hyperlink" Target="http://canlii.ca/t/j07rm" TargetMode="External"/><Relationship Id="rId36" Type="http://schemas.openxmlformats.org/officeDocument/2006/relationships/hyperlink" Target="http://canlii.ca/t/j8jb0" TargetMode="External"/><Relationship Id="rId49" Type="http://schemas.openxmlformats.org/officeDocument/2006/relationships/hyperlink" Target="https://www.canlii.org/en/ca/fca/doc/2020/2020fca112/2020fca112.html?autocompleteStr=2020%20fca%20112&amp;autocompletePos=1https://www.canlii.org/en/ca/fca/doc/2020/2020fca112/2020fca112.html?autocompleteStr=2020%20fca%20112&amp;autocompletePos=1" TargetMode="External"/><Relationship Id="rId57" Type="http://schemas.openxmlformats.org/officeDocument/2006/relationships/footer" Target="footer5.xml"/><Relationship Id="rId61" Type="http://schemas.openxmlformats.org/officeDocument/2006/relationships/footer" Target="footer7.xml"/><Relationship Id="rId10" Type="http://schemas.openxmlformats.org/officeDocument/2006/relationships/hyperlink" Target="https://www.scc-csc.ca" TargetMode="External"/><Relationship Id="rId19" Type="http://schemas.openxmlformats.org/officeDocument/2006/relationships/hyperlink" Target="https://www.canlii.org/en/on/onsc/doc/2019/2019onsc6397/2019onsc6397.html?resultIndex=1" TargetMode="External"/><Relationship Id="rId31" Type="http://schemas.openxmlformats.org/officeDocument/2006/relationships/hyperlink" Target="https://www.canlii.org/en/on/oncj/doc/2015/2015oncj66/2015oncj66.html?resultIndex=1" TargetMode="External"/><Relationship Id="rId44" Type="http://schemas.openxmlformats.org/officeDocument/2006/relationships/hyperlink" Target="https://www.canlii.org/en/ab/abqb/doc/2018/2018abqb945/2018abqb945.html?autocompleteStr=2018%20ABQB%20945&amp;autocompletePos=1" TargetMode="External"/><Relationship Id="rId52" Type="http://schemas.openxmlformats.org/officeDocument/2006/relationships/header" Target="header3.xml"/><Relationship Id="rId60" Type="http://schemas.openxmlformats.org/officeDocument/2006/relationships/footer" Target="footer6.xml"/><Relationship Id="rId65" Type="http://schemas.openxmlformats.org/officeDocument/2006/relationships/hyperlink" Target="https://www.scc-csc.ca/case-dossier/info/sum-som-eng.aspx?cas=39112" TargetMode="External"/><Relationship Id="rId73"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0/2020onca499/2020onca499.html?resultIndex=1" TargetMode="External"/><Relationship Id="rId27" Type="http://schemas.openxmlformats.org/officeDocument/2006/relationships/hyperlink" Target="http://canlii.ca/t/j07rm" TargetMode="External"/><Relationship Id="rId30" Type="http://schemas.openxmlformats.org/officeDocument/2006/relationships/hyperlink" Target="https://www.canlii.org/en/on/onsc/doc/2016/2016onsc8078/2016onsc8078.html?resultIndex=1" TargetMode="External"/><Relationship Id="rId35" Type="http://schemas.openxmlformats.org/officeDocument/2006/relationships/hyperlink" Target="http://canlii.ca/t/hzqsf" TargetMode="External"/><Relationship Id="rId43" Type="http://schemas.openxmlformats.org/officeDocument/2006/relationships/hyperlink" Target="https://www.canlii.org/en/qc/qcca/doc/2020/2020qcca666/2020qcca666.html?resultIndex=1" TargetMode="External"/><Relationship Id="rId48" Type="http://schemas.openxmlformats.org/officeDocument/2006/relationships/hyperlink" Target="https://www.canlii.org/en/ca/tcc/doc/2018/2018tcc195/2018tcc195.html?autocompleteStr=2018%20TCC%20195&amp;autocompletePos=1" TargetMode="External"/><Relationship Id="rId56" Type="http://schemas.openxmlformats.org/officeDocument/2006/relationships/header" Target="header5.xml"/><Relationship Id="rId64" Type="http://schemas.openxmlformats.org/officeDocument/2006/relationships/hyperlink" Target="https://www.scc-csc.ca/case-dossier/info/sum-som-eng.aspx?cas=39041" TargetMode="External"/><Relationship Id="rId69"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hyperlink" Target="https://www.canlii.org/en/ca/fca/doc/2020/2020fca112/2020fca112.html?autocompleteStr=2020%20fca%20112&amp;autocompletePos=1https://www.canlii.org/en/ca/fca/doc/2020/2020fca112/2020fca112.html?autocompleteStr=2020%20fca%20112&amp;autocompletePos=1" TargetMode="External"/><Relationship Id="rId72"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8/2018qccs1208/2018qccs1208.pdf" TargetMode="External"/><Relationship Id="rId25" Type="http://schemas.openxmlformats.org/officeDocument/2006/relationships/hyperlink" Target="https://www.canlii.org/en/on/onsc/doc/2019/2019onsc6397/2019onsc6397.html?resultIndex=1" TargetMode="External"/><Relationship Id="rId33" Type="http://schemas.openxmlformats.org/officeDocument/2006/relationships/hyperlink" Target="https://www.canlii.org/en/on/onca/doc/2019/2019onca956/2019onca956.html?autocompleteStr=Kennedy%20public%20guardian&amp;autocompletePos=1" TargetMode="External"/><Relationship Id="rId38" Type="http://schemas.openxmlformats.org/officeDocument/2006/relationships/hyperlink" Target="http://canlii.ca/t/j8jb0" TargetMode="External"/><Relationship Id="rId46" Type="http://schemas.openxmlformats.org/officeDocument/2006/relationships/hyperlink" Target="https://www.canlii.org/en/ab/abqb/doc/2018/2018abqb945/2018abqb945.html?autocompleteStr=2018%20ABQB%20945&amp;autocompletePos=1" TargetMode="External"/><Relationship Id="rId59" Type="http://schemas.openxmlformats.org/officeDocument/2006/relationships/header" Target="header7.xml"/><Relationship Id="rId67" Type="http://schemas.openxmlformats.org/officeDocument/2006/relationships/header" Target="header9.xml"/><Relationship Id="rId20" Type="http://schemas.openxmlformats.org/officeDocument/2006/relationships/hyperlink" Target="https://www.canlii.org/en/on/onca/doc/2020/2020onca499/2020onca499.html?resultIndex=1" TargetMode="External"/><Relationship Id="rId41" Type="http://schemas.openxmlformats.org/officeDocument/2006/relationships/hyperlink" Target="https://www.canlii.org/en/qc/qcca/doc/2020/2020qcca666/2020qcca666.html" TargetMode="External"/><Relationship Id="rId54" Type="http://schemas.openxmlformats.org/officeDocument/2006/relationships/footer" Target="footer3.xml"/><Relationship Id="rId62" Type="http://schemas.openxmlformats.org/officeDocument/2006/relationships/header" Target="header8.xml"/><Relationship Id="rId70" Type="http://schemas.openxmlformats.org/officeDocument/2006/relationships/footer" Target="footer1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27EE-C030-4E5E-825E-2C83937D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36</Pages>
  <Words>15272</Words>
  <Characters>87053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2021-02-09T19:07:00Z</dcterms:created>
  <dcterms:modified xsi:type="dcterms:W3CDTF">2021-02-23T19:54:00Z</dcterms:modified>
</cp:coreProperties>
</file>