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FB5988" w:rsidTr="00F138C1">
        <w:tc>
          <w:tcPr>
            <w:tcW w:w="9648" w:type="dxa"/>
            <w:gridSpan w:val="3"/>
          </w:tcPr>
          <w:p w:rsidR="00F138C1" w:rsidRPr="00FB5988" w:rsidRDefault="00F138C1" w:rsidP="00F138C1">
            <w:pPr>
              <w:tabs>
                <w:tab w:val="left" w:pos="6075"/>
              </w:tabs>
              <w:jc w:val="center"/>
              <w:rPr>
                <w:b/>
                <w:sz w:val="32"/>
                <w:szCs w:val="32"/>
                <w:lang w:val="fr-CA"/>
              </w:rPr>
            </w:pPr>
            <w:r w:rsidRPr="00FB5988">
              <w:rPr>
                <w:noProof/>
                <w:lang w:val="en-US"/>
              </w:rPr>
              <w:drawing>
                <wp:inline distT="0" distB="0" distL="0" distR="0" wp14:anchorId="49525E93" wp14:editId="7802F974">
                  <wp:extent cx="1200150" cy="1666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70"/>
                          <a:stretch/>
                        </pic:blipFill>
                        <pic:spPr bwMode="auto">
                          <a:xfrm>
                            <a:off x="0" y="0"/>
                            <a:ext cx="1200150" cy="16668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138C1" w:rsidRPr="00FB5988" w:rsidTr="00F138C1">
        <w:tc>
          <w:tcPr>
            <w:tcW w:w="4599" w:type="dxa"/>
            <w:tcMar>
              <w:top w:w="284" w:type="dxa"/>
            </w:tcMar>
          </w:tcPr>
          <w:p w:rsidR="00F138C1" w:rsidRPr="00FB5988" w:rsidRDefault="00F138C1" w:rsidP="00F138C1">
            <w:pPr>
              <w:tabs>
                <w:tab w:val="left" w:pos="6075"/>
              </w:tabs>
              <w:jc w:val="center"/>
              <w:rPr>
                <w:b/>
                <w:sz w:val="32"/>
                <w:szCs w:val="32"/>
              </w:rPr>
            </w:pPr>
            <w:r w:rsidRPr="00FB5988">
              <w:rPr>
                <w:b/>
                <w:sz w:val="32"/>
                <w:szCs w:val="32"/>
              </w:rPr>
              <w:t>SUPREME COURT OF CANADA</w:t>
            </w:r>
          </w:p>
        </w:tc>
        <w:tc>
          <w:tcPr>
            <w:tcW w:w="483" w:type="dxa"/>
          </w:tcPr>
          <w:p w:rsidR="00F138C1" w:rsidRPr="00FB5988" w:rsidRDefault="00F138C1" w:rsidP="00F138C1">
            <w:pPr>
              <w:tabs>
                <w:tab w:val="left" w:pos="6075"/>
              </w:tabs>
              <w:jc w:val="center"/>
              <w:rPr>
                <w:sz w:val="32"/>
                <w:szCs w:val="32"/>
              </w:rPr>
            </w:pPr>
          </w:p>
        </w:tc>
        <w:tc>
          <w:tcPr>
            <w:tcW w:w="4566" w:type="dxa"/>
            <w:tcMar>
              <w:top w:w="284" w:type="dxa"/>
            </w:tcMar>
          </w:tcPr>
          <w:p w:rsidR="00F138C1" w:rsidRPr="00FB5988" w:rsidRDefault="00F138C1" w:rsidP="00F138C1">
            <w:pPr>
              <w:tabs>
                <w:tab w:val="left" w:pos="6075"/>
              </w:tabs>
              <w:jc w:val="center"/>
              <w:rPr>
                <w:b/>
                <w:sz w:val="32"/>
                <w:szCs w:val="32"/>
                <w:lang w:val="fr-CA"/>
              </w:rPr>
            </w:pPr>
            <w:r w:rsidRPr="00FB5988">
              <w:rPr>
                <w:b/>
                <w:sz w:val="32"/>
                <w:szCs w:val="32"/>
                <w:lang w:val="fr-CA"/>
              </w:rPr>
              <w:t>COUR SUPRÊME DU CANADA</w:t>
            </w:r>
          </w:p>
        </w:tc>
      </w:tr>
      <w:tr w:rsidR="00F138C1" w:rsidRPr="00FB5988" w:rsidTr="00F138C1">
        <w:tc>
          <w:tcPr>
            <w:tcW w:w="4599" w:type="dxa"/>
            <w:tcMar>
              <w:top w:w="567" w:type="dxa"/>
            </w:tcMar>
          </w:tcPr>
          <w:p w:rsidR="00F138C1" w:rsidRPr="00FB5988" w:rsidRDefault="00F138C1" w:rsidP="00F138C1">
            <w:pPr>
              <w:tabs>
                <w:tab w:val="left" w:pos="6075"/>
              </w:tabs>
              <w:jc w:val="center"/>
              <w:rPr>
                <w:sz w:val="28"/>
                <w:szCs w:val="28"/>
              </w:rPr>
            </w:pPr>
            <w:r w:rsidRPr="00FB5988">
              <w:rPr>
                <w:sz w:val="28"/>
                <w:szCs w:val="28"/>
              </w:rPr>
              <w:t>BULLETIN OF</w:t>
            </w:r>
            <w:r w:rsidRPr="00FB5988">
              <w:rPr>
                <w:sz w:val="28"/>
                <w:szCs w:val="28"/>
              </w:rPr>
              <w:br/>
              <w:t xml:space="preserve"> PROCEEDINGS</w:t>
            </w:r>
          </w:p>
        </w:tc>
        <w:tc>
          <w:tcPr>
            <w:tcW w:w="483" w:type="dxa"/>
          </w:tcPr>
          <w:p w:rsidR="00F138C1" w:rsidRPr="00FB5988" w:rsidRDefault="00F138C1" w:rsidP="00F138C1">
            <w:pPr>
              <w:tabs>
                <w:tab w:val="left" w:pos="6075"/>
              </w:tabs>
            </w:pPr>
          </w:p>
        </w:tc>
        <w:tc>
          <w:tcPr>
            <w:tcW w:w="4566" w:type="dxa"/>
            <w:tcMar>
              <w:top w:w="567" w:type="dxa"/>
            </w:tcMar>
          </w:tcPr>
          <w:p w:rsidR="00F138C1" w:rsidRPr="00FB5988" w:rsidRDefault="00F138C1" w:rsidP="00F138C1">
            <w:pPr>
              <w:tabs>
                <w:tab w:val="left" w:pos="6075"/>
              </w:tabs>
              <w:jc w:val="center"/>
              <w:rPr>
                <w:sz w:val="28"/>
                <w:szCs w:val="28"/>
                <w:lang w:val="fr-CA"/>
              </w:rPr>
            </w:pPr>
            <w:r w:rsidRPr="00FB5988">
              <w:rPr>
                <w:sz w:val="28"/>
                <w:szCs w:val="28"/>
                <w:lang w:val="fr-CA"/>
              </w:rPr>
              <w:t>BULLETIN DES</w:t>
            </w:r>
            <w:r w:rsidRPr="00FB5988">
              <w:rPr>
                <w:sz w:val="28"/>
                <w:szCs w:val="28"/>
                <w:lang w:val="fr-CA"/>
              </w:rPr>
              <w:br/>
              <w:t xml:space="preserve"> PROCÉDURES</w:t>
            </w:r>
          </w:p>
        </w:tc>
      </w:tr>
      <w:tr w:rsidR="00F138C1" w:rsidRPr="00EB6AAD" w:rsidTr="00F138C1">
        <w:tc>
          <w:tcPr>
            <w:tcW w:w="4599" w:type="dxa"/>
            <w:tcMar>
              <w:top w:w="567" w:type="dxa"/>
            </w:tcMar>
          </w:tcPr>
          <w:p w:rsidR="00F138C1" w:rsidRPr="00FB5988" w:rsidRDefault="00F138C1" w:rsidP="00F138C1">
            <w:pPr>
              <w:tabs>
                <w:tab w:val="left" w:pos="6075"/>
              </w:tabs>
              <w:jc w:val="both"/>
              <w:rPr>
                <w:rFonts w:ascii="Arial" w:hAnsi="Arial" w:cs="Arial"/>
                <w:i/>
                <w:sz w:val="20"/>
                <w:szCs w:val="20"/>
              </w:rPr>
            </w:pPr>
            <w:r w:rsidRPr="00FB5988">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FB5988"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B5988" w:rsidRDefault="00F138C1" w:rsidP="00F138C1">
            <w:pPr>
              <w:tabs>
                <w:tab w:val="left" w:pos="6075"/>
              </w:tabs>
              <w:jc w:val="both"/>
              <w:rPr>
                <w:rFonts w:ascii="Arial" w:hAnsi="Arial" w:cs="Arial"/>
                <w:i/>
                <w:sz w:val="20"/>
                <w:szCs w:val="20"/>
                <w:lang w:val="fr-CA"/>
              </w:rPr>
            </w:pPr>
            <w:r w:rsidRPr="00FB5988">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EB6AAD" w:rsidTr="00F138C1">
        <w:tc>
          <w:tcPr>
            <w:tcW w:w="4599" w:type="dxa"/>
            <w:tcMar>
              <w:top w:w="567" w:type="dxa"/>
            </w:tcMar>
          </w:tcPr>
          <w:p w:rsidR="00F138C1" w:rsidRPr="00FB5988" w:rsidRDefault="00F138C1" w:rsidP="00F138C1">
            <w:pPr>
              <w:tabs>
                <w:tab w:val="left" w:pos="6075"/>
              </w:tabs>
              <w:jc w:val="both"/>
              <w:rPr>
                <w:rFonts w:ascii="Arial" w:hAnsi="Arial" w:cs="Arial"/>
                <w:i/>
                <w:sz w:val="20"/>
                <w:szCs w:val="20"/>
              </w:rPr>
            </w:pPr>
            <w:r w:rsidRPr="00FB5988">
              <w:rPr>
                <w:rFonts w:ascii="Arial" w:hAnsi="Arial" w:cs="Arial"/>
                <w:i/>
                <w:sz w:val="20"/>
                <w:szCs w:val="20"/>
              </w:rPr>
              <w:t>During Court sessions, the Bulletin is usually issued weekly.</w:t>
            </w:r>
          </w:p>
        </w:tc>
        <w:tc>
          <w:tcPr>
            <w:tcW w:w="483" w:type="dxa"/>
          </w:tcPr>
          <w:p w:rsidR="00F138C1" w:rsidRPr="00FB5988"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B5988" w:rsidRDefault="00F138C1" w:rsidP="00F138C1">
            <w:pPr>
              <w:tabs>
                <w:tab w:val="left" w:pos="6075"/>
              </w:tabs>
              <w:jc w:val="both"/>
              <w:rPr>
                <w:rFonts w:ascii="Arial" w:hAnsi="Arial" w:cs="Arial"/>
                <w:i/>
                <w:sz w:val="20"/>
                <w:szCs w:val="20"/>
                <w:lang w:val="fr-CA"/>
              </w:rPr>
            </w:pPr>
            <w:r w:rsidRPr="00FB5988">
              <w:rPr>
                <w:rFonts w:ascii="Arial" w:hAnsi="Arial" w:cs="Arial"/>
                <w:i/>
                <w:sz w:val="20"/>
                <w:szCs w:val="20"/>
                <w:lang w:val="fr-CA"/>
              </w:rPr>
              <w:t>Le Bulletin paraît en principe toutes les semaines pendant les sessions de la Cour.</w:t>
            </w:r>
          </w:p>
        </w:tc>
      </w:tr>
      <w:tr w:rsidR="00F138C1" w:rsidRPr="00EB6AAD" w:rsidTr="00F138C1">
        <w:tc>
          <w:tcPr>
            <w:tcW w:w="4599" w:type="dxa"/>
            <w:tcMar>
              <w:top w:w="567" w:type="dxa"/>
            </w:tcMar>
          </w:tcPr>
          <w:p w:rsidR="00F138C1" w:rsidRPr="00FB5988" w:rsidRDefault="00F138C1" w:rsidP="00F138C1">
            <w:pPr>
              <w:tabs>
                <w:tab w:val="left" w:pos="6075"/>
              </w:tabs>
              <w:jc w:val="both"/>
              <w:rPr>
                <w:rFonts w:ascii="Arial" w:hAnsi="Arial" w:cs="Arial"/>
                <w:i/>
                <w:sz w:val="20"/>
                <w:szCs w:val="20"/>
              </w:rPr>
            </w:pPr>
            <w:r w:rsidRPr="00FB5988">
              <w:rPr>
                <w:rFonts w:ascii="Arial" w:hAnsi="Arial" w:cs="Arial"/>
                <w:i/>
                <w:sz w:val="20"/>
                <w:szCs w:val="20"/>
              </w:rPr>
              <w:fldChar w:fldCharType="begin"/>
            </w:r>
            <w:r w:rsidRPr="00FB5988">
              <w:rPr>
                <w:rFonts w:ascii="Arial" w:hAnsi="Arial" w:cs="Arial"/>
                <w:i/>
                <w:sz w:val="20"/>
                <w:szCs w:val="20"/>
              </w:rPr>
              <w:instrText xml:space="preserve"> SEQ CHAPTER \h \r 1</w:instrText>
            </w:r>
            <w:r w:rsidRPr="00FB5988">
              <w:rPr>
                <w:rFonts w:ascii="Arial" w:hAnsi="Arial" w:cs="Arial"/>
                <w:i/>
                <w:sz w:val="20"/>
                <w:szCs w:val="20"/>
              </w:rPr>
              <w:fldChar w:fldCharType="end"/>
            </w:r>
            <w:r w:rsidRPr="00FB5988">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483" w:type="dxa"/>
          </w:tcPr>
          <w:p w:rsidR="00F138C1" w:rsidRPr="00FB5988"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B5988" w:rsidRDefault="00F138C1" w:rsidP="00F138C1">
            <w:pPr>
              <w:tabs>
                <w:tab w:val="left" w:pos="6075"/>
              </w:tabs>
              <w:jc w:val="both"/>
              <w:rPr>
                <w:rFonts w:ascii="Arial" w:hAnsi="Arial" w:cs="Arial"/>
                <w:i/>
                <w:sz w:val="20"/>
                <w:szCs w:val="20"/>
                <w:lang w:val="fr-CA"/>
              </w:rPr>
            </w:pPr>
            <w:r w:rsidRPr="00FB5988">
              <w:rPr>
                <w:rFonts w:ascii="Arial" w:hAnsi="Arial" w:cs="Arial"/>
                <w:i/>
                <w:sz w:val="20"/>
                <w:szCs w:val="20"/>
                <w:lang w:val="fr-CA"/>
              </w:rPr>
              <w:fldChar w:fldCharType="begin"/>
            </w:r>
            <w:r w:rsidRPr="00FB5988">
              <w:rPr>
                <w:rFonts w:ascii="Arial" w:hAnsi="Arial" w:cs="Arial"/>
                <w:i/>
                <w:sz w:val="20"/>
                <w:szCs w:val="20"/>
                <w:lang w:val="fr-CA"/>
              </w:rPr>
              <w:instrText xml:space="preserve"> SEQ CHAPTER \h \r 1</w:instrText>
            </w:r>
            <w:r w:rsidRPr="00FB5988">
              <w:rPr>
                <w:rFonts w:ascii="Arial" w:hAnsi="Arial" w:cs="Arial"/>
                <w:i/>
                <w:sz w:val="20"/>
                <w:szCs w:val="20"/>
                <w:lang w:val="fr-CA"/>
              </w:rPr>
              <w:fldChar w:fldCharType="end"/>
            </w:r>
            <w:r w:rsidRPr="00FB5988">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F138C1" w:rsidRPr="00EB6AAD" w:rsidTr="00F138C1">
        <w:tc>
          <w:tcPr>
            <w:tcW w:w="4599" w:type="dxa"/>
            <w:tcMar>
              <w:top w:w="567" w:type="dxa"/>
            </w:tcMar>
          </w:tcPr>
          <w:p w:rsidR="00F138C1" w:rsidRPr="00FB5988" w:rsidRDefault="00F138C1" w:rsidP="00F138C1">
            <w:pPr>
              <w:tabs>
                <w:tab w:val="left" w:pos="6075"/>
              </w:tabs>
              <w:jc w:val="both"/>
              <w:rPr>
                <w:rFonts w:ascii="Arial" w:hAnsi="Arial" w:cs="Arial"/>
                <w:i/>
                <w:sz w:val="20"/>
                <w:szCs w:val="20"/>
              </w:rPr>
            </w:pPr>
            <w:r w:rsidRPr="00FB5988">
              <w:rPr>
                <w:rFonts w:ascii="Arial" w:hAnsi="Arial" w:cs="Arial"/>
                <w:i/>
                <w:sz w:val="20"/>
                <w:szCs w:val="20"/>
                <w:lang w:val="en-US"/>
              </w:rPr>
              <w:t>Please c</w:t>
            </w:r>
            <w:r w:rsidRPr="00FB5988">
              <w:rPr>
                <w:rFonts w:ascii="Arial" w:hAnsi="Arial" w:cs="Arial"/>
                <w:i/>
                <w:sz w:val="20"/>
                <w:szCs w:val="20"/>
              </w:rPr>
              <w:t xml:space="preserve">onsult the Supreme Court of Canada website at </w:t>
            </w:r>
            <w:hyperlink r:id="rId9" w:history="1">
              <w:r w:rsidRPr="00FB5988">
                <w:rPr>
                  <w:rStyle w:val="Hyperlink"/>
                  <w:rFonts w:ascii="Arial" w:hAnsi="Arial" w:cs="Arial"/>
                  <w:i/>
                  <w:sz w:val="20"/>
                  <w:szCs w:val="20"/>
                </w:rPr>
                <w:t>www.scc-csc.ca</w:t>
              </w:r>
            </w:hyperlink>
            <w:r w:rsidRPr="00FB5988">
              <w:rPr>
                <w:rFonts w:ascii="Arial" w:hAnsi="Arial" w:cs="Arial"/>
                <w:i/>
                <w:sz w:val="20"/>
                <w:szCs w:val="20"/>
              </w:rPr>
              <w:t xml:space="preserve"> for more information.</w:t>
            </w:r>
          </w:p>
        </w:tc>
        <w:tc>
          <w:tcPr>
            <w:tcW w:w="483" w:type="dxa"/>
          </w:tcPr>
          <w:p w:rsidR="00F138C1" w:rsidRPr="00FB5988"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B5988" w:rsidRDefault="00F138C1" w:rsidP="00F138C1">
            <w:pPr>
              <w:tabs>
                <w:tab w:val="left" w:pos="6075"/>
              </w:tabs>
              <w:jc w:val="both"/>
              <w:rPr>
                <w:rFonts w:ascii="Arial" w:hAnsi="Arial" w:cs="Arial"/>
                <w:i/>
                <w:sz w:val="20"/>
                <w:szCs w:val="20"/>
                <w:lang w:val="fr-CA"/>
              </w:rPr>
            </w:pPr>
            <w:r w:rsidRPr="00FB5988">
              <w:rPr>
                <w:rFonts w:ascii="Arial" w:hAnsi="Arial" w:cs="Arial"/>
                <w:i/>
                <w:sz w:val="20"/>
                <w:szCs w:val="20"/>
                <w:lang w:val="fr-CA"/>
              </w:rPr>
              <w:t xml:space="preserve">Pour de plus amples informations, veuillez consulter le site Web de la Cour suprême du Canada à l’adresse suivante : </w:t>
            </w:r>
            <w:hyperlink r:id="rId10" w:history="1">
              <w:r w:rsidRPr="00FB5988">
                <w:rPr>
                  <w:rStyle w:val="Hyperlink"/>
                  <w:rFonts w:ascii="Arial" w:hAnsi="Arial" w:cs="Arial"/>
                  <w:i/>
                  <w:sz w:val="20"/>
                  <w:szCs w:val="20"/>
                  <w:lang w:val="fr-CA"/>
                </w:rPr>
                <w:t>www.scc-csc.ca</w:t>
              </w:r>
            </w:hyperlink>
            <w:r w:rsidRPr="00FB5988">
              <w:rPr>
                <w:rFonts w:ascii="Arial" w:hAnsi="Arial" w:cs="Arial"/>
                <w:i/>
                <w:sz w:val="20"/>
                <w:szCs w:val="20"/>
                <w:lang w:val="fr-CA"/>
              </w:rPr>
              <w:t xml:space="preserve"> </w:t>
            </w:r>
          </w:p>
        </w:tc>
      </w:tr>
    </w:tbl>
    <w:p w:rsidR="00F138C1" w:rsidRPr="00FB5988"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FB5988" w:rsidTr="00F138C1">
        <w:tc>
          <w:tcPr>
            <w:tcW w:w="2250" w:type="pct"/>
            <w:tcBorders>
              <w:top w:val="single" w:sz="4" w:space="0" w:color="auto"/>
            </w:tcBorders>
            <w:tcMar>
              <w:top w:w="284" w:type="dxa"/>
              <w:bottom w:w="284" w:type="dxa"/>
            </w:tcMar>
          </w:tcPr>
          <w:p w:rsidR="00F138C1" w:rsidRPr="00FB5988" w:rsidRDefault="00403F21" w:rsidP="00403F21">
            <w:pPr>
              <w:tabs>
                <w:tab w:val="left" w:pos="6075"/>
              </w:tabs>
              <w:rPr>
                <w:rFonts w:ascii="Arial" w:hAnsi="Arial" w:cs="Arial"/>
                <w:i/>
                <w:sz w:val="20"/>
                <w:szCs w:val="20"/>
              </w:rPr>
            </w:pPr>
            <w:r w:rsidRPr="00FB5988">
              <w:rPr>
                <w:lang w:val="fr-CA"/>
              </w:rPr>
              <w:t>March</w:t>
            </w:r>
            <w:r w:rsidR="00F138C1" w:rsidRPr="00FB5988">
              <w:rPr>
                <w:lang w:val="fr-CA"/>
              </w:rPr>
              <w:t xml:space="preserve"> </w:t>
            </w:r>
            <w:r w:rsidRPr="00FB5988">
              <w:rPr>
                <w:lang w:val="fr-CA"/>
              </w:rPr>
              <w:t>5</w:t>
            </w:r>
            <w:r w:rsidR="00F138C1" w:rsidRPr="00FB5988">
              <w:rPr>
                <w:lang w:val="fr-CA"/>
              </w:rPr>
              <w:t>, 20</w:t>
            </w:r>
            <w:r w:rsidR="009B36BA" w:rsidRPr="00FB5988">
              <w:rPr>
                <w:lang w:val="fr-CA"/>
              </w:rPr>
              <w:t>21</w:t>
            </w:r>
          </w:p>
        </w:tc>
        <w:tc>
          <w:tcPr>
            <w:tcW w:w="500" w:type="pct"/>
            <w:tcBorders>
              <w:top w:val="single" w:sz="4" w:space="0" w:color="auto"/>
            </w:tcBorders>
            <w:tcMar>
              <w:top w:w="284" w:type="dxa"/>
              <w:bottom w:w="284" w:type="dxa"/>
            </w:tcMar>
          </w:tcPr>
          <w:p w:rsidR="00F138C1" w:rsidRPr="00FB5988" w:rsidRDefault="00F138C1" w:rsidP="00824A8B">
            <w:pPr>
              <w:tabs>
                <w:tab w:val="left" w:pos="6075"/>
              </w:tabs>
              <w:jc w:val="center"/>
              <w:rPr>
                <w:rFonts w:ascii="Arial" w:hAnsi="Arial" w:cs="Arial"/>
                <w:i/>
                <w:sz w:val="20"/>
                <w:szCs w:val="20"/>
              </w:rPr>
            </w:pPr>
            <w:r w:rsidRPr="00FB5988">
              <w:rPr>
                <w:lang w:val="fr-CA"/>
              </w:rPr>
              <w:t xml:space="preserve">1 - </w:t>
            </w:r>
            <w:r w:rsidR="00293947" w:rsidRPr="00FB5988">
              <w:rPr>
                <w:lang w:val="fr-CA"/>
              </w:rPr>
              <w:t>3</w:t>
            </w:r>
            <w:r w:rsidR="00824A8B">
              <w:rPr>
                <w:lang w:val="fr-CA"/>
              </w:rPr>
              <w:t>3</w:t>
            </w:r>
          </w:p>
        </w:tc>
        <w:tc>
          <w:tcPr>
            <w:tcW w:w="2250" w:type="pct"/>
            <w:tcBorders>
              <w:top w:val="single" w:sz="4" w:space="0" w:color="auto"/>
            </w:tcBorders>
            <w:tcMar>
              <w:top w:w="284" w:type="dxa"/>
              <w:bottom w:w="284" w:type="dxa"/>
            </w:tcMar>
          </w:tcPr>
          <w:p w:rsidR="00F138C1" w:rsidRPr="00FB5988" w:rsidRDefault="00F138C1" w:rsidP="00403F21">
            <w:pPr>
              <w:tabs>
                <w:tab w:val="left" w:pos="6075"/>
              </w:tabs>
              <w:jc w:val="right"/>
              <w:rPr>
                <w:rFonts w:ascii="Arial" w:hAnsi="Arial" w:cs="Arial"/>
                <w:i/>
                <w:sz w:val="20"/>
                <w:szCs w:val="20"/>
                <w:lang w:val="fr-CA"/>
              </w:rPr>
            </w:pPr>
            <w:r w:rsidRPr="00FB5988">
              <w:rPr>
                <w:lang w:val="fr-CA"/>
              </w:rPr>
              <w:t xml:space="preserve">Le </w:t>
            </w:r>
            <w:r w:rsidR="00403F21" w:rsidRPr="00FB5988">
              <w:rPr>
                <w:lang w:val="fr-CA"/>
              </w:rPr>
              <w:t>5</w:t>
            </w:r>
            <w:r w:rsidRPr="00FB5988">
              <w:rPr>
                <w:lang w:val="fr-CA"/>
              </w:rPr>
              <w:t xml:space="preserve"> </w:t>
            </w:r>
            <w:r w:rsidR="00403F21" w:rsidRPr="00FB5988">
              <w:rPr>
                <w:lang w:val="fr-CA"/>
              </w:rPr>
              <w:t>mars</w:t>
            </w:r>
            <w:r w:rsidRPr="00FB5988">
              <w:rPr>
                <w:lang w:val="fr-CA"/>
              </w:rPr>
              <w:t xml:space="preserve"> 202</w:t>
            </w:r>
            <w:r w:rsidR="009B36BA" w:rsidRPr="00FB5988">
              <w:rPr>
                <w:lang w:val="fr-CA"/>
              </w:rPr>
              <w:t>1</w:t>
            </w:r>
          </w:p>
        </w:tc>
      </w:tr>
      <w:tr w:rsidR="00F138C1" w:rsidRPr="00EB6AAD" w:rsidTr="00F138C1">
        <w:tc>
          <w:tcPr>
            <w:tcW w:w="2250" w:type="pct"/>
            <w:tcBorders>
              <w:bottom w:val="single" w:sz="4" w:space="0" w:color="auto"/>
            </w:tcBorders>
            <w:tcMar>
              <w:top w:w="284" w:type="dxa"/>
              <w:bottom w:w="284" w:type="dxa"/>
            </w:tcMar>
          </w:tcPr>
          <w:p w:rsidR="00F138C1" w:rsidRPr="00FB5988" w:rsidRDefault="00F138C1" w:rsidP="009B36BA">
            <w:pPr>
              <w:tabs>
                <w:tab w:val="left" w:pos="6075"/>
              </w:tabs>
              <w:rPr>
                <w:rFonts w:ascii="Arial" w:hAnsi="Arial" w:cs="Arial"/>
                <w:i/>
                <w:sz w:val="20"/>
                <w:szCs w:val="20"/>
              </w:rPr>
            </w:pPr>
            <w:r w:rsidRPr="00FB5988">
              <w:rPr>
                <w:sz w:val="18"/>
                <w:szCs w:val="18"/>
                <w:lang w:val="en-US"/>
              </w:rPr>
              <w:t>© Supreme Court of Canada (202</w:t>
            </w:r>
            <w:r w:rsidR="009B36BA" w:rsidRPr="00FB5988">
              <w:rPr>
                <w:sz w:val="18"/>
                <w:szCs w:val="18"/>
                <w:lang w:val="en-US"/>
              </w:rPr>
              <w:t>1</w:t>
            </w:r>
            <w:r w:rsidRPr="00FB5988">
              <w:rPr>
                <w:sz w:val="18"/>
                <w:szCs w:val="18"/>
                <w:lang w:val="en-US"/>
              </w:rPr>
              <w:t>)</w:t>
            </w:r>
            <w:r w:rsidRPr="00FB5988">
              <w:rPr>
                <w:sz w:val="18"/>
                <w:szCs w:val="18"/>
                <w:lang w:val="en-US"/>
              </w:rPr>
              <w:br/>
              <w:t>ISSN 1918-8358 (Online)</w:t>
            </w:r>
          </w:p>
        </w:tc>
        <w:tc>
          <w:tcPr>
            <w:tcW w:w="500" w:type="pct"/>
            <w:tcBorders>
              <w:bottom w:val="single" w:sz="4" w:space="0" w:color="auto"/>
            </w:tcBorders>
            <w:tcMar>
              <w:top w:w="284" w:type="dxa"/>
              <w:bottom w:w="284" w:type="dxa"/>
            </w:tcMar>
          </w:tcPr>
          <w:p w:rsidR="00F138C1" w:rsidRPr="00FB5988"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FB5988" w:rsidRDefault="00F138C1" w:rsidP="009B36BA">
            <w:pPr>
              <w:tabs>
                <w:tab w:val="left" w:pos="6075"/>
              </w:tabs>
              <w:jc w:val="right"/>
              <w:rPr>
                <w:rFonts w:ascii="Arial" w:hAnsi="Arial" w:cs="Arial"/>
                <w:i/>
                <w:sz w:val="20"/>
                <w:szCs w:val="20"/>
                <w:lang w:val="fr-CA"/>
              </w:rPr>
            </w:pPr>
            <w:r w:rsidRPr="00FB5988">
              <w:rPr>
                <w:sz w:val="18"/>
                <w:szCs w:val="18"/>
                <w:lang w:val="fr-CA"/>
              </w:rPr>
              <w:t>© Cour suprême du Canada (202</w:t>
            </w:r>
            <w:r w:rsidR="009B36BA" w:rsidRPr="00FB5988">
              <w:rPr>
                <w:sz w:val="18"/>
                <w:szCs w:val="18"/>
                <w:lang w:val="fr-CA"/>
              </w:rPr>
              <w:t>1</w:t>
            </w:r>
            <w:proofErr w:type="gramStart"/>
            <w:r w:rsidRPr="00FB5988">
              <w:rPr>
                <w:sz w:val="18"/>
                <w:szCs w:val="18"/>
                <w:lang w:val="fr-CA"/>
              </w:rPr>
              <w:t>)</w:t>
            </w:r>
            <w:proofErr w:type="gramEnd"/>
            <w:r w:rsidRPr="00FB5988">
              <w:rPr>
                <w:sz w:val="18"/>
                <w:szCs w:val="18"/>
                <w:lang w:val="fr-CA"/>
              </w:rPr>
              <w:br/>
              <w:t>ISSN 1918-8358 (En ligne)</w:t>
            </w:r>
          </w:p>
        </w:tc>
      </w:tr>
    </w:tbl>
    <w:p w:rsidR="0030050B" w:rsidRPr="00FB5988" w:rsidRDefault="0030050B" w:rsidP="00F138C1">
      <w:pPr>
        <w:tabs>
          <w:tab w:val="left" w:pos="6075"/>
        </w:tabs>
        <w:rPr>
          <w:lang w:val="fr-CA"/>
        </w:rPr>
      </w:pPr>
    </w:p>
    <w:p w:rsidR="00560DF1" w:rsidRPr="00FB5988" w:rsidRDefault="00560DF1" w:rsidP="0095096B">
      <w:pPr>
        <w:tabs>
          <w:tab w:val="right" w:pos="9360"/>
        </w:tabs>
        <w:rPr>
          <w:lang w:val="fr-CA"/>
        </w:rPr>
      </w:pPr>
    </w:p>
    <w:p w:rsidR="00F138C1" w:rsidRPr="00FB5988"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FB5988" w:rsidRDefault="00DC6B2E" w:rsidP="00693C38">
          <w:pPr>
            <w:pStyle w:val="Title"/>
            <w:jc w:val="center"/>
            <w:rPr>
              <w:rFonts w:ascii="Times New Roman" w:hAnsi="Times New Roman" w:cs="Times New Roman"/>
              <w:b/>
              <w:sz w:val="24"/>
              <w:szCs w:val="28"/>
              <w:lang w:val="fr-CA"/>
            </w:rPr>
          </w:pPr>
          <w:r w:rsidRPr="00FB5988">
            <w:rPr>
              <w:rFonts w:ascii="Times New Roman" w:hAnsi="Times New Roman" w:cs="Times New Roman"/>
              <w:b/>
              <w:sz w:val="24"/>
              <w:szCs w:val="28"/>
              <w:lang w:val="fr-CA"/>
            </w:rPr>
            <w:t>Contents</w:t>
          </w:r>
        </w:p>
        <w:p w:rsidR="00693C38" w:rsidRPr="00FB5988" w:rsidRDefault="00DC6B2E" w:rsidP="00693C38">
          <w:pPr>
            <w:jc w:val="center"/>
            <w:rPr>
              <w:b/>
              <w:szCs w:val="28"/>
              <w:lang w:val="fr-CA"/>
            </w:rPr>
          </w:pPr>
          <w:r w:rsidRPr="00FB5988">
            <w:rPr>
              <w:b/>
              <w:szCs w:val="28"/>
              <w:lang w:val="fr-CA"/>
            </w:rPr>
            <w:t>Table des matières</w:t>
          </w:r>
        </w:p>
        <w:p w:rsidR="00693C38" w:rsidRPr="00FB5988" w:rsidRDefault="00693C38" w:rsidP="00693C38">
          <w:pPr>
            <w:rPr>
              <w:lang w:val="fr-CA"/>
            </w:rPr>
          </w:pPr>
        </w:p>
        <w:p w:rsidR="00FB5988" w:rsidRPr="00FB5988" w:rsidRDefault="00DC6B2E">
          <w:pPr>
            <w:pStyle w:val="TOC1"/>
            <w:tabs>
              <w:tab w:val="right" w:leader="dot" w:pos="9638"/>
            </w:tabs>
            <w:rPr>
              <w:rFonts w:asciiTheme="minorHAnsi" w:eastAsiaTheme="minorEastAsia" w:hAnsiTheme="minorHAnsi"/>
              <w:noProof/>
              <w:sz w:val="22"/>
              <w:lang w:val="en-US"/>
            </w:rPr>
          </w:pPr>
          <w:r w:rsidRPr="00FB5988">
            <w:rPr>
              <w:b/>
              <w:bCs/>
              <w:noProof/>
            </w:rPr>
            <w:fldChar w:fldCharType="begin"/>
          </w:r>
          <w:r w:rsidRPr="00FB5988">
            <w:rPr>
              <w:b/>
              <w:bCs/>
              <w:noProof/>
            </w:rPr>
            <w:instrText xml:space="preserve"> TOC \o "1-3" \h \z \u </w:instrText>
          </w:r>
          <w:r w:rsidRPr="00FB5988">
            <w:rPr>
              <w:b/>
              <w:bCs/>
              <w:noProof/>
            </w:rPr>
            <w:fldChar w:fldCharType="separate"/>
          </w:r>
          <w:hyperlink w:anchor="_Toc65833385" w:history="1">
            <w:r w:rsidR="00FB5988" w:rsidRPr="00FB5988">
              <w:rPr>
                <w:rStyle w:val="Hyperlink"/>
                <w:noProof/>
                <w:lang w:val="fr-CA"/>
              </w:rPr>
              <w:t>Applications for leave to appeal filed /  Demandes d’autorisation d’appel déposées</w:t>
            </w:r>
            <w:r w:rsidR="00FB5988" w:rsidRPr="00FB5988">
              <w:rPr>
                <w:noProof/>
                <w:webHidden/>
              </w:rPr>
              <w:tab/>
            </w:r>
            <w:r w:rsidR="00FB5988" w:rsidRPr="00FB5988">
              <w:rPr>
                <w:noProof/>
                <w:webHidden/>
              </w:rPr>
              <w:fldChar w:fldCharType="begin"/>
            </w:r>
            <w:r w:rsidR="00FB5988" w:rsidRPr="00FB5988">
              <w:rPr>
                <w:noProof/>
                <w:webHidden/>
              </w:rPr>
              <w:instrText xml:space="preserve"> PAGEREF _Toc65833385 \h </w:instrText>
            </w:r>
            <w:r w:rsidR="00FB5988" w:rsidRPr="00FB5988">
              <w:rPr>
                <w:noProof/>
                <w:webHidden/>
              </w:rPr>
            </w:r>
            <w:r w:rsidR="00FB5988" w:rsidRPr="00FB5988">
              <w:rPr>
                <w:noProof/>
                <w:webHidden/>
              </w:rPr>
              <w:fldChar w:fldCharType="separate"/>
            </w:r>
            <w:r w:rsidR="00FB5988" w:rsidRPr="00FB5988">
              <w:rPr>
                <w:noProof/>
                <w:webHidden/>
              </w:rPr>
              <w:t>1</w:t>
            </w:r>
            <w:r w:rsidR="00FB5988" w:rsidRPr="00FB5988">
              <w:rPr>
                <w:noProof/>
                <w:webHidden/>
              </w:rPr>
              <w:fldChar w:fldCharType="end"/>
            </w:r>
          </w:hyperlink>
        </w:p>
        <w:p w:rsidR="00FB5988" w:rsidRPr="00FB5988" w:rsidRDefault="00EB6AAD">
          <w:pPr>
            <w:pStyle w:val="TOC1"/>
            <w:tabs>
              <w:tab w:val="right" w:leader="dot" w:pos="9638"/>
            </w:tabs>
            <w:rPr>
              <w:rFonts w:asciiTheme="minorHAnsi" w:eastAsiaTheme="minorEastAsia" w:hAnsiTheme="minorHAnsi"/>
              <w:noProof/>
              <w:sz w:val="22"/>
              <w:lang w:val="en-US"/>
            </w:rPr>
          </w:pPr>
          <w:hyperlink w:anchor="_Toc65833386" w:history="1">
            <w:r w:rsidR="00FB5988" w:rsidRPr="00FB5988">
              <w:rPr>
                <w:rStyle w:val="Hyperlink"/>
                <w:noProof/>
                <w:lang w:val="fr-CA"/>
              </w:rPr>
              <w:t>Judgments on applications for leave /  Jugements rendus sur les demandes d’autorisation</w:t>
            </w:r>
            <w:r w:rsidR="00FB5988" w:rsidRPr="00FB5988">
              <w:rPr>
                <w:noProof/>
                <w:webHidden/>
              </w:rPr>
              <w:tab/>
            </w:r>
            <w:r w:rsidR="00FB5988" w:rsidRPr="00FB5988">
              <w:rPr>
                <w:noProof/>
                <w:webHidden/>
              </w:rPr>
              <w:fldChar w:fldCharType="begin"/>
            </w:r>
            <w:r w:rsidR="00FB5988" w:rsidRPr="00FB5988">
              <w:rPr>
                <w:noProof/>
                <w:webHidden/>
              </w:rPr>
              <w:instrText xml:space="preserve"> PAGEREF _Toc65833386 \h </w:instrText>
            </w:r>
            <w:r w:rsidR="00FB5988" w:rsidRPr="00FB5988">
              <w:rPr>
                <w:noProof/>
                <w:webHidden/>
              </w:rPr>
            </w:r>
            <w:r w:rsidR="00FB5988" w:rsidRPr="00FB5988">
              <w:rPr>
                <w:noProof/>
                <w:webHidden/>
              </w:rPr>
              <w:fldChar w:fldCharType="separate"/>
            </w:r>
            <w:r w:rsidR="00FB5988" w:rsidRPr="00FB5988">
              <w:rPr>
                <w:noProof/>
                <w:webHidden/>
              </w:rPr>
              <w:t>2</w:t>
            </w:r>
            <w:r w:rsidR="00FB5988" w:rsidRPr="00FB5988">
              <w:rPr>
                <w:noProof/>
                <w:webHidden/>
              </w:rPr>
              <w:fldChar w:fldCharType="end"/>
            </w:r>
          </w:hyperlink>
        </w:p>
        <w:p w:rsidR="00FB5988" w:rsidRPr="00FB5988" w:rsidRDefault="00EB6AAD">
          <w:pPr>
            <w:pStyle w:val="TOC1"/>
            <w:tabs>
              <w:tab w:val="right" w:leader="dot" w:pos="9638"/>
            </w:tabs>
            <w:rPr>
              <w:rFonts w:asciiTheme="minorHAnsi" w:eastAsiaTheme="minorEastAsia" w:hAnsiTheme="minorHAnsi"/>
              <w:noProof/>
              <w:sz w:val="22"/>
              <w:lang w:val="en-US"/>
            </w:rPr>
          </w:pPr>
          <w:hyperlink w:anchor="_Toc65833387" w:history="1">
            <w:r w:rsidR="00FB5988" w:rsidRPr="00FB5988">
              <w:rPr>
                <w:rStyle w:val="Hyperlink"/>
                <w:noProof/>
                <w:lang w:val="fr-CA"/>
              </w:rPr>
              <w:t>Motions /  Requêtes</w:t>
            </w:r>
            <w:r w:rsidR="00FB5988" w:rsidRPr="00FB5988">
              <w:rPr>
                <w:noProof/>
                <w:webHidden/>
              </w:rPr>
              <w:tab/>
            </w:r>
            <w:r w:rsidR="00FB5988" w:rsidRPr="00FB5988">
              <w:rPr>
                <w:noProof/>
                <w:webHidden/>
              </w:rPr>
              <w:fldChar w:fldCharType="begin"/>
            </w:r>
            <w:r w:rsidR="00FB5988" w:rsidRPr="00FB5988">
              <w:rPr>
                <w:noProof/>
                <w:webHidden/>
              </w:rPr>
              <w:instrText xml:space="preserve"> PAGEREF _Toc65833387 \h </w:instrText>
            </w:r>
            <w:r w:rsidR="00FB5988" w:rsidRPr="00FB5988">
              <w:rPr>
                <w:noProof/>
                <w:webHidden/>
              </w:rPr>
            </w:r>
            <w:r w:rsidR="00FB5988" w:rsidRPr="00FB5988">
              <w:rPr>
                <w:noProof/>
                <w:webHidden/>
              </w:rPr>
              <w:fldChar w:fldCharType="separate"/>
            </w:r>
            <w:r w:rsidR="00FB5988" w:rsidRPr="00FB5988">
              <w:rPr>
                <w:noProof/>
                <w:webHidden/>
              </w:rPr>
              <w:t>20</w:t>
            </w:r>
            <w:r w:rsidR="00FB5988" w:rsidRPr="00FB5988">
              <w:rPr>
                <w:noProof/>
                <w:webHidden/>
              </w:rPr>
              <w:fldChar w:fldCharType="end"/>
            </w:r>
          </w:hyperlink>
        </w:p>
        <w:p w:rsidR="00FB5988" w:rsidRPr="00FB5988" w:rsidRDefault="00EB6AAD">
          <w:pPr>
            <w:pStyle w:val="TOC1"/>
            <w:tabs>
              <w:tab w:val="right" w:leader="dot" w:pos="9638"/>
            </w:tabs>
            <w:rPr>
              <w:rFonts w:asciiTheme="minorHAnsi" w:eastAsiaTheme="minorEastAsia" w:hAnsiTheme="minorHAnsi"/>
              <w:noProof/>
              <w:sz w:val="22"/>
              <w:lang w:val="en-US"/>
            </w:rPr>
          </w:pPr>
          <w:hyperlink w:anchor="_Toc65833388" w:history="1">
            <w:r w:rsidR="00FB5988" w:rsidRPr="00FB5988">
              <w:rPr>
                <w:rStyle w:val="Hyperlink"/>
                <w:noProof/>
              </w:rPr>
              <w:t xml:space="preserve">Notices of appeal filed since the last issue /  </w:t>
            </w:r>
            <w:r w:rsidR="00FB5988" w:rsidRPr="00FB5988">
              <w:rPr>
                <w:rStyle w:val="Hyperlink"/>
                <w:noProof/>
                <w:lang w:val="fr-CA"/>
              </w:rPr>
              <w:t>Avis d’appel déposés depuis la dernière parution</w:t>
            </w:r>
            <w:r w:rsidR="00FB5988" w:rsidRPr="00FB5988">
              <w:rPr>
                <w:noProof/>
                <w:webHidden/>
              </w:rPr>
              <w:tab/>
            </w:r>
            <w:r w:rsidR="00FB5988" w:rsidRPr="00FB5988">
              <w:rPr>
                <w:noProof/>
                <w:webHidden/>
              </w:rPr>
              <w:fldChar w:fldCharType="begin"/>
            </w:r>
            <w:r w:rsidR="00FB5988" w:rsidRPr="00FB5988">
              <w:rPr>
                <w:noProof/>
                <w:webHidden/>
              </w:rPr>
              <w:instrText xml:space="preserve"> PAGEREF _Toc65833388 \h </w:instrText>
            </w:r>
            <w:r w:rsidR="00FB5988" w:rsidRPr="00FB5988">
              <w:rPr>
                <w:noProof/>
                <w:webHidden/>
              </w:rPr>
            </w:r>
            <w:r w:rsidR="00FB5988" w:rsidRPr="00FB5988">
              <w:rPr>
                <w:noProof/>
                <w:webHidden/>
              </w:rPr>
              <w:fldChar w:fldCharType="separate"/>
            </w:r>
            <w:r w:rsidR="00FB5988" w:rsidRPr="00FB5988">
              <w:rPr>
                <w:noProof/>
                <w:webHidden/>
              </w:rPr>
              <w:t>21</w:t>
            </w:r>
            <w:r w:rsidR="00FB5988" w:rsidRPr="00FB5988">
              <w:rPr>
                <w:noProof/>
                <w:webHidden/>
              </w:rPr>
              <w:fldChar w:fldCharType="end"/>
            </w:r>
          </w:hyperlink>
        </w:p>
        <w:p w:rsidR="00FB5988" w:rsidRPr="00FB5988" w:rsidRDefault="00EB6AAD">
          <w:pPr>
            <w:pStyle w:val="TOC1"/>
            <w:tabs>
              <w:tab w:val="right" w:leader="dot" w:pos="9638"/>
            </w:tabs>
            <w:rPr>
              <w:rFonts w:asciiTheme="minorHAnsi" w:eastAsiaTheme="minorEastAsia" w:hAnsiTheme="minorHAnsi"/>
              <w:noProof/>
              <w:sz w:val="22"/>
              <w:lang w:val="en-US"/>
            </w:rPr>
          </w:pPr>
          <w:hyperlink w:anchor="_Toc65833389" w:history="1">
            <w:r w:rsidR="00FB5988" w:rsidRPr="00FB5988">
              <w:rPr>
                <w:rStyle w:val="Hyperlink"/>
                <w:noProof/>
                <w:lang w:val="fr-CA"/>
              </w:rPr>
              <w:t>Pronouncements of reserved appeals /  Jugements rendus sur les appels en délibéré</w:t>
            </w:r>
            <w:r w:rsidR="00FB5988" w:rsidRPr="00FB5988">
              <w:rPr>
                <w:noProof/>
                <w:webHidden/>
              </w:rPr>
              <w:tab/>
            </w:r>
            <w:r w:rsidR="00FB5988" w:rsidRPr="00FB5988">
              <w:rPr>
                <w:noProof/>
                <w:webHidden/>
              </w:rPr>
              <w:fldChar w:fldCharType="begin"/>
            </w:r>
            <w:r w:rsidR="00FB5988" w:rsidRPr="00FB5988">
              <w:rPr>
                <w:noProof/>
                <w:webHidden/>
              </w:rPr>
              <w:instrText xml:space="preserve"> PAGEREF _Toc65833389 \h </w:instrText>
            </w:r>
            <w:r w:rsidR="00FB5988" w:rsidRPr="00FB5988">
              <w:rPr>
                <w:noProof/>
                <w:webHidden/>
              </w:rPr>
            </w:r>
            <w:r w:rsidR="00FB5988" w:rsidRPr="00FB5988">
              <w:rPr>
                <w:noProof/>
                <w:webHidden/>
              </w:rPr>
              <w:fldChar w:fldCharType="separate"/>
            </w:r>
            <w:r w:rsidR="00FB5988" w:rsidRPr="00FB5988">
              <w:rPr>
                <w:noProof/>
                <w:webHidden/>
              </w:rPr>
              <w:t>22</w:t>
            </w:r>
            <w:r w:rsidR="00FB5988" w:rsidRPr="00FB5988">
              <w:rPr>
                <w:noProof/>
                <w:webHidden/>
              </w:rPr>
              <w:fldChar w:fldCharType="end"/>
            </w:r>
          </w:hyperlink>
        </w:p>
        <w:p w:rsidR="00FB5988" w:rsidRPr="00FB5988" w:rsidRDefault="00EB6AAD">
          <w:pPr>
            <w:pStyle w:val="TOC1"/>
            <w:tabs>
              <w:tab w:val="right" w:leader="dot" w:pos="9638"/>
            </w:tabs>
            <w:rPr>
              <w:rFonts w:asciiTheme="minorHAnsi" w:eastAsiaTheme="minorEastAsia" w:hAnsiTheme="minorHAnsi"/>
              <w:noProof/>
              <w:sz w:val="22"/>
              <w:lang w:val="en-US"/>
            </w:rPr>
          </w:pPr>
          <w:hyperlink w:anchor="_Toc65833390" w:history="1">
            <w:r w:rsidR="00FB5988" w:rsidRPr="00FB5988">
              <w:rPr>
                <w:rStyle w:val="Hyperlink"/>
                <w:noProof/>
                <w:lang w:val="fr-CA"/>
              </w:rPr>
              <w:t>Agenda and case summaries for March 2021 /  Calendrier et sommaires des causes de March 2021</w:t>
            </w:r>
            <w:r w:rsidR="00FB5988" w:rsidRPr="00FB5988">
              <w:rPr>
                <w:noProof/>
                <w:webHidden/>
              </w:rPr>
              <w:tab/>
            </w:r>
            <w:r w:rsidR="00FB5988" w:rsidRPr="00FB5988">
              <w:rPr>
                <w:noProof/>
                <w:webHidden/>
              </w:rPr>
              <w:fldChar w:fldCharType="begin"/>
            </w:r>
            <w:r w:rsidR="00FB5988" w:rsidRPr="00FB5988">
              <w:rPr>
                <w:noProof/>
                <w:webHidden/>
              </w:rPr>
              <w:instrText xml:space="preserve"> PAGEREF _Toc65833390 \h </w:instrText>
            </w:r>
            <w:r w:rsidR="00FB5988" w:rsidRPr="00FB5988">
              <w:rPr>
                <w:noProof/>
                <w:webHidden/>
              </w:rPr>
            </w:r>
            <w:r w:rsidR="00FB5988" w:rsidRPr="00FB5988">
              <w:rPr>
                <w:noProof/>
                <w:webHidden/>
              </w:rPr>
              <w:fldChar w:fldCharType="separate"/>
            </w:r>
            <w:r w:rsidR="00FB5988" w:rsidRPr="00FB5988">
              <w:rPr>
                <w:noProof/>
                <w:webHidden/>
              </w:rPr>
              <w:t>23</w:t>
            </w:r>
            <w:r w:rsidR="00FB5988" w:rsidRPr="00FB5988">
              <w:rPr>
                <w:noProof/>
                <w:webHidden/>
              </w:rPr>
              <w:fldChar w:fldCharType="end"/>
            </w:r>
          </w:hyperlink>
        </w:p>
        <w:p w:rsidR="00FB5988" w:rsidRPr="00FB5988" w:rsidRDefault="00EB6AAD">
          <w:pPr>
            <w:pStyle w:val="TOC1"/>
            <w:tabs>
              <w:tab w:val="right" w:leader="dot" w:pos="9638"/>
            </w:tabs>
            <w:rPr>
              <w:rFonts w:asciiTheme="minorHAnsi" w:eastAsiaTheme="minorEastAsia" w:hAnsiTheme="minorHAnsi"/>
              <w:noProof/>
              <w:sz w:val="22"/>
              <w:lang w:val="en-US"/>
            </w:rPr>
          </w:pPr>
          <w:hyperlink w:anchor="_Toc65833391" w:history="1">
            <w:r w:rsidR="00FB5988" w:rsidRPr="00FB5988">
              <w:rPr>
                <w:rStyle w:val="Hyperlink"/>
                <w:noProof/>
                <w:lang w:val="fr-CA"/>
              </w:rPr>
              <w:t>Supreme Court Reports /  Recueil des arrêts de la Cour suprême</w:t>
            </w:r>
            <w:r w:rsidR="00FB5988" w:rsidRPr="00FB5988">
              <w:rPr>
                <w:noProof/>
                <w:webHidden/>
              </w:rPr>
              <w:tab/>
            </w:r>
            <w:r w:rsidR="00FB5988" w:rsidRPr="00FB5988">
              <w:rPr>
                <w:noProof/>
                <w:webHidden/>
              </w:rPr>
              <w:fldChar w:fldCharType="begin"/>
            </w:r>
            <w:r w:rsidR="00FB5988" w:rsidRPr="00FB5988">
              <w:rPr>
                <w:noProof/>
                <w:webHidden/>
              </w:rPr>
              <w:instrText xml:space="preserve"> PAGEREF _Toc65833391 \h </w:instrText>
            </w:r>
            <w:r w:rsidR="00FB5988" w:rsidRPr="00FB5988">
              <w:rPr>
                <w:noProof/>
                <w:webHidden/>
              </w:rPr>
            </w:r>
            <w:r w:rsidR="00FB5988" w:rsidRPr="00FB5988">
              <w:rPr>
                <w:noProof/>
                <w:webHidden/>
              </w:rPr>
              <w:fldChar w:fldCharType="separate"/>
            </w:r>
            <w:r w:rsidR="00FB5988" w:rsidRPr="00FB5988">
              <w:rPr>
                <w:noProof/>
                <w:webHidden/>
              </w:rPr>
              <w:t>33</w:t>
            </w:r>
            <w:r w:rsidR="00FB5988" w:rsidRPr="00FB5988">
              <w:rPr>
                <w:noProof/>
                <w:webHidden/>
              </w:rPr>
              <w:fldChar w:fldCharType="end"/>
            </w:r>
          </w:hyperlink>
        </w:p>
        <w:p w:rsidR="00560DF1" w:rsidRPr="00FB5988" w:rsidRDefault="00DC6B2E">
          <w:r w:rsidRPr="00FB5988">
            <w:rPr>
              <w:b/>
              <w:bCs/>
              <w:noProof/>
              <w:sz w:val="20"/>
            </w:rPr>
            <w:fldChar w:fldCharType="end"/>
          </w:r>
        </w:p>
      </w:sdtContent>
    </w:sdt>
    <w:p w:rsidR="00560DF1" w:rsidRPr="00FB5988"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EB6AAD" w:rsidTr="00F138C1">
        <w:trPr>
          <w:jc w:val="center"/>
        </w:trPr>
        <w:tc>
          <w:tcPr>
            <w:tcW w:w="9638" w:type="dxa"/>
          </w:tcPr>
          <w:p w:rsidR="00F138C1" w:rsidRPr="00FB5988" w:rsidRDefault="00F138C1" w:rsidP="00F138C1">
            <w:pPr>
              <w:keepNext/>
              <w:tabs>
                <w:tab w:val="right" w:pos="9360"/>
              </w:tabs>
              <w:spacing w:after="120"/>
              <w:jc w:val="center"/>
              <w:rPr>
                <w:szCs w:val="24"/>
              </w:rPr>
            </w:pPr>
            <w:r w:rsidRPr="00FB5988">
              <w:rPr>
                <w:szCs w:val="24"/>
              </w:rPr>
              <w:t>NOTICE</w:t>
            </w:r>
          </w:p>
          <w:p w:rsidR="00F138C1" w:rsidRPr="00FB5988" w:rsidRDefault="00F138C1" w:rsidP="00F138C1">
            <w:pPr>
              <w:keepNext/>
              <w:tabs>
                <w:tab w:val="right" w:pos="9360"/>
              </w:tabs>
              <w:spacing w:after="120"/>
              <w:jc w:val="both"/>
              <w:rPr>
                <w:szCs w:val="24"/>
              </w:rPr>
            </w:pPr>
            <w:r w:rsidRPr="00FB5988">
              <w:rPr>
                <w:szCs w:val="24"/>
              </w:rPr>
              <w:t>Case summaries included in the Bulletin are prepared by the Office of the Registrar of the Supreme Court of Canada (Law Branch) for information purposes only.</w:t>
            </w:r>
          </w:p>
          <w:p w:rsidR="00F138C1" w:rsidRPr="00FB5988" w:rsidRDefault="00F138C1" w:rsidP="00F138C1">
            <w:pPr>
              <w:keepNext/>
              <w:tabs>
                <w:tab w:val="right" w:pos="9360"/>
              </w:tabs>
              <w:spacing w:after="120"/>
              <w:jc w:val="center"/>
              <w:rPr>
                <w:szCs w:val="24"/>
                <w:lang w:val="fr-CA"/>
              </w:rPr>
            </w:pPr>
            <w:r w:rsidRPr="00FB5988">
              <w:rPr>
                <w:szCs w:val="24"/>
                <w:lang w:val="fr-CA"/>
              </w:rPr>
              <w:t>AVIS</w:t>
            </w:r>
          </w:p>
          <w:p w:rsidR="00F138C1" w:rsidRPr="00FB5988" w:rsidRDefault="00F138C1" w:rsidP="00F138C1">
            <w:pPr>
              <w:keepNext/>
              <w:tabs>
                <w:tab w:val="right" w:pos="9360"/>
              </w:tabs>
              <w:spacing w:after="120"/>
              <w:jc w:val="both"/>
              <w:rPr>
                <w:sz w:val="20"/>
                <w:szCs w:val="20"/>
                <w:lang w:val="fr-CA"/>
              </w:rPr>
            </w:pPr>
            <w:r w:rsidRPr="00FB5988">
              <w:rPr>
                <w:szCs w:val="24"/>
                <w:lang w:val="fr-CA"/>
              </w:rPr>
              <w:t>Les résumés des causes publiés dans le bulletin sont préparés par le Bureau du registraire (Direction générale du droit) uniquement à titre d’information.</w:t>
            </w:r>
          </w:p>
        </w:tc>
      </w:tr>
    </w:tbl>
    <w:p w:rsidR="00F138C1" w:rsidRPr="00FB5988" w:rsidRDefault="00F138C1" w:rsidP="00F138C1">
      <w:pPr>
        <w:tabs>
          <w:tab w:val="right" w:pos="9360"/>
        </w:tabs>
        <w:rPr>
          <w:lang w:val="fr-CA"/>
        </w:rPr>
      </w:pPr>
    </w:p>
    <w:p w:rsidR="00F138C1" w:rsidRPr="00FB5988" w:rsidRDefault="00F138C1" w:rsidP="00F138C1">
      <w:pPr>
        <w:tabs>
          <w:tab w:val="right" w:pos="9360"/>
        </w:tabs>
        <w:rPr>
          <w:lang w:val="fr-CA"/>
        </w:rPr>
      </w:pPr>
    </w:p>
    <w:p w:rsidR="00C01FCB" w:rsidRPr="00FB5988" w:rsidRDefault="00C01FCB" w:rsidP="0095096B">
      <w:pPr>
        <w:tabs>
          <w:tab w:val="right" w:pos="9360"/>
        </w:tabs>
        <w:rPr>
          <w:lang w:val="fr-CA"/>
        </w:rPr>
      </w:pPr>
    </w:p>
    <w:p w:rsidR="00A87207" w:rsidRPr="00FB5988" w:rsidRDefault="00A87207" w:rsidP="0095096B">
      <w:pPr>
        <w:tabs>
          <w:tab w:val="right" w:pos="9360"/>
        </w:tabs>
        <w:rPr>
          <w:lang w:val="fr-CA"/>
        </w:rPr>
        <w:sectPr w:rsidR="00A87207" w:rsidRPr="00FB5988" w:rsidSect="0044776A">
          <w:pgSz w:w="12240" w:h="15840"/>
          <w:pgMar w:top="720" w:right="1152" w:bottom="1080" w:left="1440" w:header="706" w:footer="706" w:gutter="0"/>
          <w:cols w:space="708"/>
          <w:titlePg/>
          <w:docGrid w:linePitch="360"/>
        </w:sectPr>
      </w:pPr>
    </w:p>
    <w:p w:rsidR="00560DF1" w:rsidRPr="00FB5988" w:rsidRDefault="00DD0BDC" w:rsidP="00567602">
      <w:pPr>
        <w:pStyle w:val="Header1StyleE"/>
        <w:pBdr>
          <w:bottom w:val="single" w:sz="12" w:space="1" w:color="auto"/>
        </w:pBdr>
        <w:rPr>
          <w:lang w:val="fr-CA"/>
        </w:rPr>
      </w:pPr>
      <w:bookmarkStart w:id="0" w:name="_Toc65833385"/>
      <w:r w:rsidRPr="00FB5988">
        <w:rPr>
          <w:lang w:val="fr-CA"/>
        </w:rPr>
        <w:lastRenderedPageBreak/>
        <w:t>Applications for leave to appeal filed</w:t>
      </w:r>
      <w:r w:rsidR="00271E1E" w:rsidRPr="00FB5988">
        <w:rPr>
          <w:lang w:val="fr-CA"/>
        </w:rPr>
        <w:t xml:space="preserve"> / </w:t>
      </w:r>
      <w:r w:rsidR="00727571" w:rsidRPr="00FB5988">
        <w:rPr>
          <w:lang w:val="fr-CA"/>
        </w:rPr>
        <w:br/>
      </w:r>
      <w:r w:rsidRPr="00FB5988">
        <w:rPr>
          <w:lang w:val="fr-CA"/>
        </w:rPr>
        <w:t>Demandes d’autorisation d’appel déposées</w:t>
      </w:r>
      <w:bookmarkEnd w:id="0"/>
    </w:p>
    <w:p w:rsidR="00F138C1" w:rsidRPr="00FB5988"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FB5988" w:rsidTr="00F138C1">
        <w:tc>
          <w:tcPr>
            <w:tcW w:w="4239" w:type="dxa"/>
            <w:shd w:val="clear" w:color="auto" w:fill="auto"/>
          </w:tcPr>
          <w:p w:rsidR="00F138C1" w:rsidRPr="00FB5988" w:rsidRDefault="00F93FBE" w:rsidP="00F138C1">
            <w:pPr>
              <w:rPr>
                <w:sz w:val="20"/>
                <w:szCs w:val="20"/>
                <w:lang w:val="fr-CA"/>
              </w:rPr>
            </w:pPr>
            <w:r w:rsidRPr="00FB5988">
              <w:rPr>
                <w:b/>
                <w:sz w:val="20"/>
                <w:szCs w:val="20"/>
                <w:lang w:val="fr-CA"/>
              </w:rPr>
              <w:t>6075240 Canada Inc.</w:t>
            </w:r>
          </w:p>
          <w:p w:rsidR="00F138C1" w:rsidRPr="00FB5988" w:rsidRDefault="00F138C1" w:rsidP="00F138C1">
            <w:pPr>
              <w:tabs>
                <w:tab w:val="left" w:pos="-1440"/>
                <w:tab w:val="left" w:pos="-720"/>
              </w:tabs>
              <w:rPr>
                <w:sz w:val="20"/>
                <w:szCs w:val="20"/>
                <w:lang w:val="fr-CA"/>
              </w:rPr>
            </w:pPr>
            <w:r w:rsidRPr="00FB5988">
              <w:rPr>
                <w:sz w:val="20"/>
                <w:szCs w:val="20"/>
                <w:lang w:val="fr-CA"/>
              </w:rPr>
              <w:tab/>
            </w:r>
            <w:r w:rsidR="00F93FBE" w:rsidRPr="00FB5988">
              <w:rPr>
                <w:sz w:val="20"/>
                <w:szCs w:val="20"/>
                <w:lang w:val="fr-CA"/>
              </w:rPr>
              <w:t>Donaldson, Chantal</w:t>
            </w:r>
          </w:p>
          <w:p w:rsidR="00F138C1" w:rsidRPr="00FB5988" w:rsidRDefault="00F138C1" w:rsidP="00F138C1">
            <w:pPr>
              <w:tabs>
                <w:tab w:val="left" w:pos="-1440"/>
                <w:tab w:val="left" w:pos="-720"/>
              </w:tabs>
              <w:rPr>
                <w:sz w:val="20"/>
                <w:szCs w:val="20"/>
                <w:lang w:val="fr-CA"/>
              </w:rPr>
            </w:pPr>
          </w:p>
          <w:p w:rsidR="00F138C1" w:rsidRPr="00FB5988" w:rsidRDefault="00F138C1" w:rsidP="00F138C1">
            <w:pPr>
              <w:tabs>
                <w:tab w:val="left" w:pos="-1440"/>
                <w:tab w:val="left" w:pos="-720"/>
              </w:tabs>
              <w:rPr>
                <w:sz w:val="20"/>
                <w:szCs w:val="20"/>
                <w:lang w:val="fr-CA"/>
              </w:rPr>
            </w:pPr>
            <w:r w:rsidRPr="00FB5988">
              <w:rPr>
                <w:sz w:val="20"/>
                <w:szCs w:val="20"/>
                <w:lang w:val="fr-CA"/>
              </w:rPr>
              <w:tab/>
            </w:r>
            <w:r w:rsidR="00F93FBE" w:rsidRPr="00FB5988">
              <w:rPr>
                <w:sz w:val="20"/>
                <w:szCs w:val="20"/>
                <w:lang w:val="fr-CA"/>
              </w:rPr>
              <w:t>c</w:t>
            </w:r>
            <w:r w:rsidRPr="00FB5988">
              <w:rPr>
                <w:sz w:val="20"/>
                <w:szCs w:val="20"/>
                <w:lang w:val="fr-CA"/>
              </w:rPr>
              <w:t>. (39</w:t>
            </w:r>
            <w:r w:rsidR="00F93FBE" w:rsidRPr="00FB5988">
              <w:rPr>
                <w:sz w:val="20"/>
                <w:szCs w:val="20"/>
                <w:lang w:val="fr-CA"/>
              </w:rPr>
              <w:t>553</w:t>
            </w:r>
            <w:r w:rsidRPr="00FB5988">
              <w:rPr>
                <w:sz w:val="20"/>
                <w:szCs w:val="20"/>
                <w:lang w:val="fr-CA"/>
              </w:rPr>
              <w:t>)</w:t>
            </w:r>
          </w:p>
          <w:p w:rsidR="00F138C1" w:rsidRPr="00FB5988" w:rsidRDefault="00F138C1" w:rsidP="00F138C1">
            <w:pPr>
              <w:tabs>
                <w:tab w:val="left" w:pos="-1440"/>
                <w:tab w:val="left" w:pos="-720"/>
              </w:tabs>
              <w:rPr>
                <w:sz w:val="20"/>
                <w:szCs w:val="20"/>
                <w:lang w:val="fr-CA"/>
              </w:rPr>
            </w:pPr>
          </w:p>
          <w:p w:rsidR="00F138C1" w:rsidRPr="00FB5988" w:rsidRDefault="00F93FBE" w:rsidP="00F138C1">
            <w:pPr>
              <w:tabs>
                <w:tab w:val="left" w:pos="-1440"/>
                <w:tab w:val="left" w:pos="-720"/>
              </w:tabs>
              <w:rPr>
                <w:b/>
                <w:sz w:val="20"/>
                <w:szCs w:val="20"/>
                <w:lang w:val="fr-CA"/>
              </w:rPr>
            </w:pPr>
            <w:r w:rsidRPr="00FB5988">
              <w:rPr>
                <w:b/>
                <w:sz w:val="20"/>
                <w:szCs w:val="20"/>
                <w:lang w:val="fr-CA"/>
              </w:rPr>
              <w:t xml:space="preserve">Le Ministre du Revenu National </w:t>
            </w:r>
            <w:r w:rsidR="00F138C1" w:rsidRPr="00FB5988">
              <w:rPr>
                <w:b/>
                <w:sz w:val="20"/>
                <w:szCs w:val="20"/>
                <w:lang w:val="fr-CA"/>
              </w:rPr>
              <w:t>(</w:t>
            </w:r>
            <w:r w:rsidRPr="00FB5988">
              <w:rPr>
                <w:b/>
                <w:sz w:val="20"/>
                <w:szCs w:val="20"/>
                <w:lang w:val="fr-CA"/>
              </w:rPr>
              <w:t>C.F.</w:t>
            </w:r>
            <w:r w:rsidR="00F138C1" w:rsidRPr="00FB5988">
              <w:rPr>
                <w:b/>
                <w:sz w:val="20"/>
                <w:szCs w:val="20"/>
                <w:lang w:val="fr-CA"/>
              </w:rPr>
              <w:t>)</w:t>
            </w:r>
          </w:p>
          <w:p w:rsidR="00F138C1" w:rsidRPr="00FB5988" w:rsidRDefault="00F138C1" w:rsidP="00F138C1">
            <w:pPr>
              <w:tabs>
                <w:tab w:val="left" w:pos="-1440"/>
                <w:tab w:val="left" w:pos="-720"/>
              </w:tabs>
              <w:rPr>
                <w:sz w:val="20"/>
                <w:szCs w:val="20"/>
                <w:lang w:val="fr-CA"/>
              </w:rPr>
            </w:pPr>
            <w:r w:rsidRPr="00FB5988">
              <w:rPr>
                <w:sz w:val="20"/>
                <w:szCs w:val="20"/>
                <w:lang w:val="fr-CA"/>
              </w:rPr>
              <w:tab/>
            </w:r>
            <w:r w:rsidR="00F93FBE" w:rsidRPr="00FB5988">
              <w:rPr>
                <w:sz w:val="20"/>
                <w:szCs w:val="20"/>
                <w:lang w:val="fr-CA"/>
              </w:rPr>
              <w:t>Camirand, Charles</w:t>
            </w:r>
          </w:p>
          <w:p w:rsidR="00F93FBE" w:rsidRPr="00FB5988" w:rsidRDefault="00F138C1" w:rsidP="00F138C1">
            <w:pPr>
              <w:tabs>
                <w:tab w:val="left" w:pos="-1440"/>
                <w:tab w:val="left" w:pos="-720"/>
              </w:tabs>
              <w:rPr>
                <w:sz w:val="20"/>
                <w:szCs w:val="20"/>
                <w:lang w:val="fr-CA"/>
              </w:rPr>
            </w:pPr>
            <w:r w:rsidRPr="00FB5988">
              <w:rPr>
                <w:sz w:val="20"/>
                <w:szCs w:val="20"/>
                <w:lang w:val="fr-CA"/>
              </w:rPr>
              <w:tab/>
            </w:r>
            <w:r w:rsidR="00F93FBE" w:rsidRPr="00FB5988">
              <w:rPr>
                <w:sz w:val="20"/>
                <w:szCs w:val="20"/>
                <w:lang w:val="fr-CA"/>
              </w:rPr>
              <w:t xml:space="preserve">Ministère de la Justice – Service du droit </w:t>
            </w:r>
          </w:p>
          <w:p w:rsidR="00F138C1" w:rsidRPr="00FB5988" w:rsidRDefault="00F93FBE" w:rsidP="00F138C1">
            <w:pPr>
              <w:tabs>
                <w:tab w:val="left" w:pos="-1440"/>
                <w:tab w:val="left" w:pos="-720"/>
              </w:tabs>
              <w:rPr>
                <w:sz w:val="20"/>
                <w:szCs w:val="20"/>
                <w:lang w:val="fr-CA"/>
              </w:rPr>
            </w:pPr>
            <w:r w:rsidRPr="00FB5988">
              <w:rPr>
                <w:sz w:val="20"/>
                <w:szCs w:val="20"/>
                <w:lang w:val="fr-CA"/>
              </w:rPr>
              <w:tab/>
              <w:t>fiscal</w:t>
            </w:r>
          </w:p>
          <w:p w:rsidR="00F138C1" w:rsidRPr="00FB5988" w:rsidRDefault="00F138C1" w:rsidP="00F138C1">
            <w:pPr>
              <w:tabs>
                <w:tab w:val="left" w:pos="-1440"/>
                <w:tab w:val="left" w:pos="-720"/>
              </w:tabs>
              <w:rPr>
                <w:sz w:val="20"/>
                <w:szCs w:val="20"/>
                <w:lang w:val="fr-CA"/>
              </w:rPr>
            </w:pPr>
          </w:p>
          <w:p w:rsidR="00F138C1" w:rsidRPr="00FB5988" w:rsidRDefault="00F138C1" w:rsidP="00F138C1">
            <w:pPr>
              <w:rPr>
                <w:sz w:val="20"/>
                <w:szCs w:val="20"/>
                <w:lang w:val="fr-CA"/>
              </w:rPr>
            </w:pPr>
            <w:r w:rsidRPr="00FB5988">
              <w:rPr>
                <w:sz w:val="20"/>
                <w:szCs w:val="20"/>
                <w:lang w:val="fr-CA"/>
              </w:rPr>
              <w:t>DATE</w:t>
            </w:r>
            <w:r w:rsidR="00F93FBE" w:rsidRPr="00FB5988">
              <w:rPr>
                <w:sz w:val="20"/>
                <w:szCs w:val="20"/>
                <w:lang w:val="fr-CA"/>
              </w:rPr>
              <w:t xml:space="preserve"> DE PRODUCTION</w:t>
            </w:r>
            <w:r w:rsidRPr="00FB5988">
              <w:rPr>
                <w:sz w:val="20"/>
                <w:szCs w:val="20"/>
                <w:lang w:val="fr-CA"/>
              </w:rPr>
              <w:t xml:space="preserve">: </w:t>
            </w:r>
            <w:r w:rsidR="00F93FBE" w:rsidRPr="00FB5988">
              <w:rPr>
                <w:sz w:val="20"/>
                <w:szCs w:val="20"/>
                <w:lang w:val="fr-CA"/>
              </w:rPr>
              <w:t>le 24 février</w:t>
            </w:r>
            <w:r w:rsidRPr="00FB5988">
              <w:rPr>
                <w:sz w:val="20"/>
                <w:szCs w:val="20"/>
                <w:lang w:val="fr-CA"/>
              </w:rPr>
              <w:t xml:space="preserve"> 20</w:t>
            </w:r>
            <w:r w:rsidR="00F93FBE" w:rsidRPr="00FB5988">
              <w:rPr>
                <w:sz w:val="20"/>
                <w:szCs w:val="20"/>
                <w:lang w:val="fr-CA"/>
              </w:rPr>
              <w:t>21</w:t>
            </w:r>
          </w:p>
          <w:p w:rsidR="004B2E86" w:rsidRPr="00FB5988" w:rsidRDefault="004B2E86" w:rsidP="00F138C1">
            <w:pPr>
              <w:rPr>
                <w:sz w:val="20"/>
                <w:szCs w:val="20"/>
                <w:lang w:val="fr-CA"/>
              </w:rPr>
            </w:pPr>
          </w:p>
          <w:p w:rsidR="00F138C1" w:rsidRPr="00FB5988" w:rsidRDefault="00EB6AAD" w:rsidP="00F138C1">
            <w:pPr>
              <w:rPr>
                <w:sz w:val="20"/>
                <w:szCs w:val="20"/>
              </w:rPr>
            </w:pPr>
            <w:r>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FB5988" w:rsidRDefault="00F138C1" w:rsidP="00F138C1">
            <w:pPr>
              <w:jc w:val="center"/>
              <w:rPr>
                <w:sz w:val="20"/>
                <w:szCs w:val="20"/>
              </w:rPr>
            </w:pPr>
          </w:p>
          <w:p w:rsidR="00F138C1" w:rsidRPr="00FB5988" w:rsidRDefault="00F138C1" w:rsidP="00F138C1">
            <w:pPr>
              <w:jc w:val="center"/>
              <w:rPr>
                <w:sz w:val="20"/>
                <w:szCs w:val="20"/>
              </w:rPr>
            </w:pPr>
          </w:p>
          <w:p w:rsidR="00F138C1" w:rsidRPr="00FB5988" w:rsidRDefault="00F138C1" w:rsidP="00F138C1">
            <w:pPr>
              <w:jc w:val="center"/>
              <w:rPr>
                <w:sz w:val="20"/>
                <w:szCs w:val="20"/>
              </w:rPr>
            </w:pPr>
          </w:p>
          <w:p w:rsidR="00F138C1" w:rsidRPr="00FB5988" w:rsidRDefault="00F138C1" w:rsidP="00F138C1">
            <w:pPr>
              <w:jc w:val="center"/>
              <w:rPr>
                <w:sz w:val="20"/>
                <w:szCs w:val="20"/>
              </w:rPr>
            </w:pPr>
          </w:p>
          <w:p w:rsidR="00F138C1" w:rsidRPr="00FB5988" w:rsidRDefault="00F138C1" w:rsidP="00F138C1">
            <w:pPr>
              <w:jc w:val="center"/>
              <w:rPr>
                <w:sz w:val="20"/>
                <w:szCs w:val="20"/>
              </w:rPr>
            </w:pPr>
          </w:p>
          <w:p w:rsidR="00F138C1" w:rsidRPr="00FB5988" w:rsidRDefault="00F138C1" w:rsidP="00F138C1">
            <w:pPr>
              <w:jc w:val="center"/>
              <w:rPr>
                <w:sz w:val="20"/>
                <w:szCs w:val="20"/>
              </w:rPr>
            </w:pPr>
          </w:p>
          <w:p w:rsidR="00F138C1" w:rsidRPr="00FB5988" w:rsidRDefault="00F138C1" w:rsidP="00F138C1">
            <w:pPr>
              <w:jc w:val="center"/>
              <w:rPr>
                <w:sz w:val="20"/>
                <w:szCs w:val="20"/>
              </w:rPr>
            </w:pPr>
          </w:p>
          <w:p w:rsidR="00F138C1" w:rsidRPr="00FB5988" w:rsidRDefault="00F138C1" w:rsidP="00F138C1">
            <w:pPr>
              <w:jc w:val="center"/>
              <w:rPr>
                <w:sz w:val="20"/>
                <w:szCs w:val="20"/>
              </w:rPr>
            </w:pPr>
          </w:p>
          <w:p w:rsidR="00F138C1" w:rsidRPr="00FB5988" w:rsidRDefault="00F138C1" w:rsidP="00F138C1">
            <w:pPr>
              <w:jc w:val="center"/>
              <w:rPr>
                <w:sz w:val="20"/>
                <w:szCs w:val="20"/>
              </w:rPr>
            </w:pPr>
          </w:p>
          <w:p w:rsidR="00F138C1" w:rsidRPr="00FB5988" w:rsidRDefault="00F138C1" w:rsidP="00F138C1">
            <w:pPr>
              <w:jc w:val="center"/>
              <w:rPr>
                <w:sz w:val="20"/>
                <w:szCs w:val="20"/>
              </w:rPr>
            </w:pPr>
          </w:p>
          <w:p w:rsidR="00F138C1" w:rsidRPr="00FB5988" w:rsidRDefault="00F138C1" w:rsidP="00F138C1">
            <w:pPr>
              <w:jc w:val="center"/>
              <w:rPr>
                <w:sz w:val="20"/>
                <w:szCs w:val="20"/>
              </w:rPr>
            </w:pPr>
          </w:p>
          <w:p w:rsidR="00F138C1" w:rsidRPr="00FB5988" w:rsidRDefault="00F138C1" w:rsidP="00F138C1">
            <w:pPr>
              <w:jc w:val="center"/>
              <w:rPr>
                <w:sz w:val="20"/>
                <w:szCs w:val="20"/>
              </w:rPr>
            </w:pPr>
          </w:p>
          <w:p w:rsidR="004B2E86" w:rsidRPr="00FB5988" w:rsidRDefault="004B2E86" w:rsidP="00F138C1">
            <w:pPr>
              <w:jc w:val="center"/>
              <w:rPr>
                <w:sz w:val="20"/>
                <w:szCs w:val="20"/>
              </w:rPr>
            </w:pPr>
          </w:p>
          <w:p w:rsidR="00F138C1" w:rsidRPr="00FB5988" w:rsidRDefault="00F138C1" w:rsidP="00F138C1">
            <w:pPr>
              <w:jc w:val="center"/>
              <w:rPr>
                <w:sz w:val="20"/>
                <w:szCs w:val="20"/>
              </w:rPr>
            </w:pPr>
          </w:p>
        </w:tc>
        <w:tc>
          <w:tcPr>
            <w:tcW w:w="4239" w:type="dxa"/>
            <w:shd w:val="clear" w:color="auto" w:fill="auto"/>
          </w:tcPr>
          <w:p w:rsidR="00F138C1" w:rsidRPr="00FB5988" w:rsidRDefault="00F93FBE" w:rsidP="00F138C1">
            <w:pPr>
              <w:rPr>
                <w:b/>
                <w:sz w:val="20"/>
                <w:szCs w:val="20"/>
                <w:lang w:val="en-US"/>
              </w:rPr>
            </w:pPr>
            <w:r w:rsidRPr="00FB5988">
              <w:rPr>
                <w:b/>
                <w:sz w:val="20"/>
                <w:szCs w:val="20"/>
                <w:lang w:val="en-US"/>
              </w:rPr>
              <w:t>Lionel Ravvin</w:t>
            </w:r>
          </w:p>
          <w:p w:rsidR="00F138C1" w:rsidRPr="00FB5988" w:rsidRDefault="00F138C1" w:rsidP="00F138C1">
            <w:pPr>
              <w:tabs>
                <w:tab w:val="left" w:pos="-1440"/>
                <w:tab w:val="left" w:pos="-720"/>
              </w:tabs>
              <w:rPr>
                <w:sz w:val="20"/>
                <w:szCs w:val="20"/>
                <w:lang w:val="en-US"/>
              </w:rPr>
            </w:pPr>
            <w:r w:rsidRPr="00FB5988">
              <w:rPr>
                <w:sz w:val="20"/>
                <w:szCs w:val="20"/>
                <w:lang w:val="en-US"/>
              </w:rPr>
              <w:tab/>
            </w:r>
            <w:r w:rsidR="00F93FBE" w:rsidRPr="00FB5988">
              <w:rPr>
                <w:sz w:val="20"/>
                <w:szCs w:val="20"/>
                <w:lang w:val="en-US"/>
              </w:rPr>
              <w:t>Merchant, Q.C., E.F. Anthony</w:t>
            </w:r>
          </w:p>
          <w:p w:rsidR="00F138C1" w:rsidRPr="00FB5988" w:rsidRDefault="00F138C1" w:rsidP="00F138C1">
            <w:pPr>
              <w:tabs>
                <w:tab w:val="left" w:pos="-1440"/>
                <w:tab w:val="left" w:pos="-720"/>
              </w:tabs>
              <w:rPr>
                <w:sz w:val="20"/>
                <w:szCs w:val="20"/>
                <w:lang w:val="en-US"/>
              </w:rPr>
            </w:pPr>
            <w:r w:rsidRPr="00FB5988">
              <w:rPr>
                <w:sz w:val="20"/>
                <w:szCs w:val="20"/>
                <w:lang w:val="en-US"/>
              </w:rPr>
              <w:tab/>
            </w:r>
            <w:r w:rsidR="00F93FBE" w:rsidRPr="00FB5988">
              <w:rPr>
                <w:sz w:val="20"/>
                <w:szCs w:val="20"/>
                <w:lang w:val="en-US"/>
              </w:rPr>
              <w:t>Merchant Law Group</w:t>
            </w:r>
          </w:p>
          <w:p w:rsidR="00F138C1" w:rsidRPr="00FB5988" w:rsidRDefault="00F138C1" w:rsidP="00F138C1">
            <w:pPr>
              <w:tabs>
                <w:tab w:val="left" w:pos="-1440"/>
                <w:tab w:val="left" w:pos="-720"/>
              </w:tabs>
              <w:rPr>
                <w:sz w:val="20"/>
                <w:szCs w:val="20"/>
                <w:lang w:val="en-US"/>
              </w:rPr>
            </w:pPr>
          </w:p>
          <w:p w:rsidR="00F138C1" w:rsidRPr="00FB5988" w:rsidRDefault="00F138C1" w:rsidP="00F138C1">
            <w:pPr>
              <w:tabs>
                <w:tab w:val="left" w:pos="-1440"/>
                <w:tab w:val="left" w:pos="-720"/>
              </w:tabs>
              <w:rPr>
                <w:sz w:val="20"/>
                <w:szCs w:val="20"/>
                <w:lang w:val="en-US"/>
              </w:rPr>
            </w:pPr>
            <w:r w:rsidRPr="00FB5988">
              <w:rPr>
                <w:sz w:val="20"/>
                <w:szCs w:val="20"/>
                <w:lang w:val="en-US"/>
              </w:rPr>
              <w:tab/>
            </w:r>
            <w:r w:rsidR="00F93FBE" w:rsidRPr="00FB5988">
              <w:rPr>
                <w:sz w:val="20"/>
                <w:szCs w:val="20"/>
                <w:lang w:val="en-US"/>
              </w:rPr>
              <w:t>v</w:t>
            </w:r>
            <w:r w:rsidRPr="00FB5988">
              <w:rPr>
                <w:sz w:val="20"/>
                <w:szCs w:val="20"/>
                <w:lang w:val="en-US"/>
              </w:rPr>
              <w:t>. (39</w:t>
            </w:r>
            <w:r w:rsidR="00F93FBE" w:rsidRPr="00FB5988">
              <w:rPr>
                <w:sz w:val="20"/>
                <w:szCs w:val="20"/>
                <w:lang w:val="en-US"/>
              </w:rPr>
              <w:t>554)</w:t>
            </w:r>
          </w:p>
          <w:p w:rsidR="00F138C1" w:rsidRPr="00FB5988" w:rsidRDefault="00F138C1" w:rsidP="00F138C1">
            <w:pPr>
              <w:tabs>
                <w:tab w:val="left" w:pos="-1440"/>
                <w:tab w:val="left" w:pos="-720"/>
              </w:tabs>
              <w:rPr>
                <w:sz w:val="20"/>
                <w:szCs w:val="20"/>
                <w:lang w:val="en-US"/>
              </w:rPr>
            </w:pPr>
          </w:p>
          <w:p w:rsidR="00F138C1" w:rsidRPr="00FB5988" w:rsidRDefault="00F93FBE" w:rsidP="00F138C1">
            <w:pPr>
              <w:tabs>
                <w:tab w:val="left" w:pos="-1440"/>
                <w:tab w:val="left" w:pos="-720"/>
              </w:tabs>
              <w:rPr>
                <w:b/>
                <w:sz w:val="20"/>
                <w:szCs w:val="20"/>
                <w:lang w:val="en-US"/>
              </w:rPr>
            </w:pPr>
            <w:r w:rsidRPr="00FB5988">
              <w:rPr>
                <w:b/>
                <w:sz w:val="20"/>
                <w:szCs w:val="20"/>
                <w:lang w:val="en-US"/>
              </w:rPr>
              <w:t xml:space="preserve">Canada Bread Company Limited, et al. </w:t>
            </w:r>
            <w:r w:rsidR="00F138C1" w:rsidRPr="00FB5988">
              <w:rPr>
                <w:b/>
                <w:sz w:val="20"/>
                <w:szCs w:val="20"/>
                <w:lang w:val="en-US"/>
              </w:rPr>
              <w:t>(</w:t>
            </w:r>
            <w:r w:rsidRPr="00FB5988">
              <w:rPr>
                <w:b/>
                <w:sz w:val="20"/>
                <w:szCs w:val="20"/>
                <w:lang w:val="en-US"/>
              </w:rPr>
              <w:t>Alta.</w:t>
            </w:r>
            <w:r w:rsidR="00F138C1" w:rsidRPr="00FB5988">
              <w:rPr>
                <w:b/>
                <w:sz w:val="20"/>
                <w:szCs w:val="20"/>
                <w:lang w:val="en-US"/>
              </w:rPr>
              <w:t>)</w:t>
            </w:r>
          </w:p>
          <w:p w:rsidR="00F138C1" w:rsidRPr="00FB5988" w:rsidRDefault="00F138C1" w:rsidP="00F138C1">
            <w:pPr>
              <w:tabs>
                <w:tab w:val="left" w:pos="-1440"/>
                <w:tab w:val="left" w:pos="-720"/>
              </w:tabs>
              <w:rPr>
                <w:sz w:val="20"/>
                <w:szCs w:val="20"/>
                <w:lang w:val="en-US"/>
              </w:rPr>
            </w:pPr>
            <w:r w:rsidRPr="00FB5988">
              <w:rPr>
                <w:sz w:val="20"/>
                <w:szCs w:val="20"/>
                <w:lang w:val="en-US"/>
              </w:rPr>
              <w:tab/>
            </w:r>
            <w:r w:rsidR="00F93FBE" w:rsidRPr="00FB5988">
              <w:rPr>
                <w:sz w:val="20"/>
                <w:szCs w:val="20"/>
                <w:lang w:val="en-US"/>
              </w:rPr>
              <w:t>Tupper, David</w:t>
            </w:r>
          </w:p>
          <w:p w:rsidR="00F138C1" w:rsidRPr="00FB5988" w:rsidRDefault="00F138C1" w:rsidP="00F138C1">
            <w:pPr>
              <w:tabs>
                <w:tab w:val="left" w:pos="-1440"/>
                <w:tab w:val="left" w:pos="-720"/>
              </w:tabs>
              <w:rPr>
                <w:sz w:val="20"/>
                <w:szCs w:val="20"/>
                <w:lang w:val="en-US"/>
              </w:rPr>
            </w:pPr>
            <w:r w:rsidRPr="00FB5988">
              <w:rPr>
                <w:sz w:val="20"/>
                <w:szCs w:val="20"/>
                <w:lang w:val="en-US"/>
              </w:rPr>
              <w:tab/>
            </w:r>
            <w:r w:rsidR="00F93FBE" w:rsidRPr="00FB5988">
              <w:rPr>
                <w:sz w:val="20"/>
                <w:szCs w:val="20"/>
                <w:lang w:val="en-US"/>
              </w:rPr>
              <w:t>Blake, Cassels &amp; Graydon LLP</w:t>
            </w:r>
          </w:p>
          <w:p w:rsidR="00F138C1" w:rsidRPr="00FB5988" w:rsidRDefault="00F138C1" w:rsidP="00F138C1">
            <w:pPr>
              <w:tabs>
                <w:tab w:val="left" w:pos="-1440"/>
                <w:tab w:val="left" w:pos="-720"/>
              </w:tabs>
              <w:rPr>
                <w:sz w:val="20"/>
                <w:szCs w:val="20"/>
                <w:lang w:val="en-US"/>
              </w:rPr>
            </w:pPr>
          </w:p>
          <w:p w:rsidR="00F138C1" w:rsidRPr="00FB5988" w:rsidRDefault="00F93FBE" w:rsidP="00F138C1">
            <w:pPr>
              <w:rPr>
                <w:sz w:val="20"/>
                <w:szCs w:val="20"/>
                <w:lang w:val="en-US"/>
              </w:rPr>
            </w:pPr>
            <w:r w:rsidRPr="00FB5988">
              <w:rPr>
                <w:sz w:val="20"/>
                <w:szCs w:val="20"/>
                <w:lang w:val="en-US"/>
              </w:rPr>
              <w:t xml:space="preserve">FILING </w:t>
            </w:r>
            <w:r w:rsidR="00F138C1" w:rsidRPr="00FB5988">
              <w:rPr>
                <w:sz w:val="20"/>
                <w:szCs w:val="20"/>
                <w:lang w:val="en-US"/>
              </w:rPr>
              <w:t xml:space="preserve">DATE: </w:t>
            </w:r>
            <w:r w:rsidRPr="00FB5988">
              <w:rPr>
                <w:sz w:val="20"/>
                <w:szCs w:val="20"/>
                <w:lang w:val="en-US"/>
              </w:rPr>
              <w:t>February 24,</w:t>
            </w:r>
            <w:r w:rsidR="00F138C1" w:rsidRPr="00FB5988">
              <w:rPr>
                <w:sz w:val="20"/>
                <w:szCs w:val="20"/>
                <w:lang w:val="en-US"/>
              </w:rPr>
              <w:t xml:space="preserve"> 20</w:t>
            </w:r>
            <w:r w:rsidRPr="00FB5988">
              <w:rPr>
                <w:sz w:val="20"/>
                <w:szCs w:val="20"/>
                <w:lang w:val="en-US"/>
              </w:rPr>
              <w:t>21</w:t>
            </w:r>
          </w:p>
          <w:p w:rsidR="004B2E86" w:rsidRPr="00FB5988" w:rsidRDefault="004B2E86" w:rsidP="00F138C1">
            <w:pPr>
              <w:rPr>
                <w:sz w:val="20"/>
                <w:szCs w:val="20"/>
                <w:lang w:val="en-US"/>
              </w:rPr>
            </w:pPr>
          </w:p>
          <w:p w:rsidR="00F138C1" w:rsidRPr="00FB5988" w:rsidRDefault="00EB6AAD" w:rsidP="00F138C1">
            <w:pPr>
              <w:rPr>
                <w:sz w:val="20"/>
                <w:szCs w:val="20"/>
                <w:lang w:val="fr-CA"/>
              </w:rPr>
            </w:pPr>
            <w:r>
              <w:rPr>
                <w:sz w:val="20"/>
                <w:szCs w:val="20"/>
                <w:lang w:val="fr-CA"/>
              </w:rPr>
              <w:pict>
                <v:rect id="_x0000_i1026" style="width:108pt;height:1pt" o:hrpct="0" o:hrstd="t" o:hrnoshade="t" o:hr="t" fillcolor="black [3213]" stroked="f"/>
              </w:pict>
            </w:r>
          </w:p>
        </w:tc>
      </w:tr>
      <w:tr w:rsidR="00F138C1" w:rsidRPr="00FB5988" w:rsidTr="00F138C1">
        <w:tc>
          <w:tcPr>
            <w:tcW w:w="4239" w:type="dxa"/>
            <w:shd w:val="clear" w:color="auto" w:fill="auto"/>
          </w:tcPr>
          <w:p w:rsidR="00F138C1" w:rsidRPr="00FB5988" w:rsidRDefault="00F93FBE" w:rsidP="009B36BA">
            <w:pPr>
              <w:tabs>
                <w:tab w:val="left" w:pos="-1440"/>
                <w:tab w:val="left" w:pos="-720"/>
              </w:tabs>
              <w:rPr>
                <w:b/>
                <w:sz w:val="20"/>
                <w:szCs w:val="20"/>
                <w:lang w:val="fr-CA"/>
              </w:rPr>
            </w:pPr>
            <w:r w:rsidRPr="00FB5988">
              <w:rPr>
                <w:b/>
                <w:sz w:val="20"/>
                <w:szCs w:val="20"/>
                <w:lang w:val="fr-CA"/>
              </w:rPr>
              <w:t>Daniel Theodore, et al.</w:t>
            </w:r>
          </w:p>
          <w:p w:rsidR="00F138C1" w:rsidRPr="00FB5988" w:rsidRDefault="00F138C1" w:rsidP="00F138C1">
            <w:pPr>
              <w:keepNext/>
              <w:keepLines/>
              <w:tabs>
                <w:tab w:val="left" w:pos="-1440"/>
                <w:tab w:val="left" w:pos="-720"/>
              </w:tabs>
              <w:rPr>
                <w:sz w:val="20"/>
                <w:szCs w:val="20"/>
                <w:lang w:val="fr-CA"/>
              </w:rPr>
            </w:pPr>
            <w:r w:rsidRPr="00FB5988">
              <w:rPr>
                <w:sz w:val="20"/>
                <w:szCs w:val="20"/>
                <w:lang w:val="fr-CA"/>
              </w:rPr>
              <w:tab/>
            </w:r>
            <w:r w:rsidR="00F93FBE" w:rsidRPr="00FB5988">
              <w:rPr>
                <w:sz w:val="20"/>
                <w:szCs w:val="20"/>
                <w:lang w:val="fr-CA"/>
              </w:rPr>
              <w:t>Pfefferle, Brian</w:t>
            </w:r>
          </w:p>
          <w:p w:rsidR="00F138C1" w:rsidRPr="00FB5988" w:rsidRDefault="00F138C1" w:rsidP="00F138C1">
            <w:pPr>
              <w:keepNext/>
              <w:keepLines/>
              <w:tabs>
                <w:tab w:val="left" w:pos="-1440"/>
                <w:tab w:val="left" w:pos="-720"/>
              </w:tabs>
              <w:rPr>
                <w:sz w:val="20"/>
                <w:szCs w:val="20"/>
                <w:lang w:val="en-US"/>
              </w:rPr>
            </w:pPr>
            <w:r w:rsidRPr="00FB5988">
              <w:rPr>
                <w:sz w:val="20"/>
                <w:szCs w:val="20"/>
                <w:lang w:val="fr-CA"/>
              </w:rPr>
              <w:tab/>
            </w:r>
            <w:r w:rsidR="00F93FBE" w:rsidRPr="00FB5988">
              <w:rPr>
                <w:sz w:val="20"/>
                <w:szCs w:val="20"/>
                <w:lang w:val="en-US"/>
              </w:rPr>
              <w:t>Pfefferle Law Office</w:t>
            </w:r>
          </w:p>
          <w:p w:rsidR="00F138C1" w:rsidRPr="00FB5988" w:rsidRDefault="00F138C1" w:rsidP="00F138C1">
            <w:pPr>
              <w:keepNext/>
              <w:keepLines/>
              <w:tabs>
                <w:tab w:val="left" w:pos="-1440"/>
                <w:tab w:val="left" w:pos="-720"/>
              </w:tabs>
              <w:rPr>
                <w:sz w:val="20"/>
                <w:szCs w:val="20"/>
                <w:lang w:val="en-US"/>
              </w:rPr>
            </w:pPr>
          </w:p>
          <w:p w:rsidR="00F138C1" w:rsidRPr="00FB5988" w:rsidRDefault="00F138C1" w:rsidP="00F138C1">
            <w:pPr>
              <w:keepNext/>
              <w:keepLines/>
              <w:tabs>
                <w:tab w:val="left" w:pos="-1440"/>
                <w:tab w:val="left" w:pos="-720"/>
              </w:tabs>
              <w:rPr>
                <w:sz w:val="20"/>
                <w:szCs w:val="20"/>
                <w:lang w:val="en-US"/>
              </w:rPr>
            </w:pPr>
            <w:r w:rsidRPr="00FB5988">
              <w:rPr>
                <w:sz w:val="20"/>
                <w:szCs w:val="20"/>
                <w:lang w:val="en-US"/>
              </w:rPr>
              <w:tab/>
              <w:t>v. (39</w:t>
            </w:r>
            <w:r w:rsidR="00F93FBE" w:rsidRPr="00FB5988">
              <w:rPr>
                <w:sz w:val="20"/>
                <w:szCs w:val="20"/>
                <w:lang w:val="en-US"/>
              </w:rPr>
              <w:t>555</w:t>
            </w:r>
            <w:r w:rsidRPr="00FB5988">
              <w:rPr>
                <w:sz w:val="20"/>
                <w:szCs w:val="20"/>
                <w:lang w:val="en-US"/>
              </w:rPr>
              <w:t>)</w:t>
            </w:r>
          </w:p>
          <w:p w:rsidR="00F138C1" w:rsidRPr="00FB5988" w:rsidRDefault="00F138C1" w:rsidP="00F138C1">
            <w:pPr>
              <w:keepNext/>
              <w:keepLines/>
              <w:tabs>
                <w:tab w:val="left" w:pos="-1440"/>
                <w:tab w:val="left" w:pos="-720"/>
              </w:tabs>
              <w:rPr>
                <w:sz w:val="20"/>
                <w:szCs w:val="20"/>
                <w:lang w:val="en-US"/>
              </w:rPr>
            </w:pPr>
          </w:p>
          <w:p w:rsidR="00F138C1" w:rsidRPr="00FB5988" w:rsidRDefault="00F93FBE" w:rsidP="00F138C1">
            <w:pPr>
              <w:keepNext/>
              <w:keepLines/>
              <w:tabs>
                <w:tab w:val="left" w:pos="-1440"/>
                <w:tab w:val="left" w:pos="-720"/>
              </w:tabs>
              <w:rPr>
                <w:b/>
                <w:sz w:val="20"/>
                <w:szCs w:val="20"/>
                <w:lang w:val="en-US"/>
              </w:rPr>
            </w:pPr>
            <w:r w:rsidRPr="00FB5988">
              <w:rPr>
                <w:b/>
                <w:sz w:val="20"/>
                <w:szCs w:val="20"/>
                <w:lang w:val="en-US"/>
              </w:rPr>
              <w:t>Her Majesty the Queen</w:t>
            </w:r>
            <w:r w:rsidR="00F138C1" w:rsidRPr="00FB5988">
              <w:rPr>
                <w:b/>
                <w:sz w:val="20"/>
                <w:szCs w:val="20"/>
                <w:lang w:val="en-US"/>
              </w:rPr>
              <w:t xml:space="preserve"> (</w:t>
            </w:r>
            <w:r w:rsidRPr="00FB5988">
              <w:rPr>
                <w:b/>
                <w:sz w:val="20"/>
                <w:szCs w:val="20"/>
                <w:lang w:val="en-US"/>
              </w:rPr>
              <w:t>Sask</w:t>
            </w:r>
            <w:r w:rsidR="00F138C1" w:rsidRPr="00FB5988">
              <w:rPr>
                <w:b/>
                <w:sz w:val="20"/>
                <w:szCs w:val="20"/>
                <w:lang w:val="en-US"/>
              </w:rPr>
              <w:t>.)</w:t>
            </w:r>
          </w:p>
          <w:p w:rsidR="00F138C1" w:rsidRPr="00FB5988" w:rsidRDefault="00F138C1" w:rsidP="00F138C1">
            <w:pPr>
              <w:keepNext/>
              <w:keepLines/>
              <w:tabs>
                <w:tab w:val="left" w:pos="-1440"/>
                <w:tab w:val="left" w:pos="-720"/>
              </w:tabs>
              <w:rPr>
                <w:sz w:val="20"/>
                <w:szCs w:val="20"/>
                <w:lang w:val="en-US"/>
              </w:rPr>
            </w:pPr>
            <w:r w:rsidRPr="00FB5988">
              <w:rPr>
                <w:sz w:val="20"/>
                <w:szCs w:val="20"/>
                <w:lang w:val="en-US"/>
              </w:rPr>
              <w:tab/>
            </w:r>
            <w:r w:rsidR="00F93FBE" w:rsidRPr="00FB5988">
              <w:rPr>
                <w:sz w:val="20"/>
                <w:szCs w:val="20"/>
                <w:lang w:val="en-US"/>
              </w:rPr>
              <w:t>Sinclair, Q.C., W. Dean</w:t>
            </w:r>
          </w:p>
          <w:p w:rsidR="00F138C1" w:rsidRPr="00FB5988" w:rsidRDefault="00F138C1" w:rsidP="00F138C1">
            <w:pPr>
              <w:keepNext/>
              <w:keepLines/>
              <w:tabs>
                <w:tab w:val="left" w:pos="-1440"/>
                <w:tab w:val="left" w:pos="-720"/>
              </w:tabs>
              <w:rPr>
                <w:sz w:val="20"/>
                <w:szCs w:val="20"/>
                <w:lang w:val="en-US"/>
              </w:rPr>
            </w:pPr>
            <w:r w:rsidRPr="00FB5988">
              <w:rPr>
                <w:sz w:val="20"/>
                <w:szCs w:val="20"/>
                <w:lang w:val="en-US"/>
              </w:rPr>
              <w:tab/>
            </w:r>
            <w:r w:rsidR="00F93FBE" w:rsidRPr="00FB5988">
              <w:rPr>
                <w:sz w:val="20"/>
                <w:szCs w:val="20"/>
                <w:lang w:val="en-US"/>
              </w:rPr>
              <w:t>Attorney General for Saskatchewan</w:t>
            </w:r>
          </w:p>
          <w:p w:rsidR="00F138C1" w:rsidRPr="00FB5988" w:rsidRDefault="00F138C1" w:rsidP="00F138C1">
            <w:pPr>
              <w:keepNext/>
              <w:keepLines/>
              <w:tabs>
                <w:tab w:val="left" w:pos="-1440"/>
                <w:tab w:val="left" w:pos="-720"/>
              </w:tabs>
              <w:rPr>
                <w:sz w:val="20"/>
                <w:szCs w:val="20"/>
                <w:lang w:val="en-US"/>
              </w:rPr>
            </w:pPr>
          </w:p>
          <w:p w:rsidR="004B2E86" w:rsidRPr="00FB5988" w:rsidRDefault="00F138C1" w:rsidP="00F138C1">
            <w:pPr>
              <w:rPr>
                <w:sz w:val="20"/>
                <w:szCs w:val="20"/>
                <w:lang w:val="fr-CA"/>
              </w:rPr>
            </w:pPr>
            <w:r w:rsidRPr="00FB5988">
              <w:rPr>
                <w:sz w:val="20"/>
                <w:szCs w:val="20"/>
                <w:lang w:val="fr-CA"/>
              </w:rPr>
              <w:t xml:space="preserve">FILING DATE: </w:t>
            </w:r>
            <w:r w:rsidR="00F93FBE" w:rsidRPr="00FB5988">
              <w:rPr>
                <w:sz w:val="20"/>
                <w:szCs w:val="20"/>
                <w:lang w:val="fr-CA"/>
              </w:rPr>
              <w:t>February</w:t>
            </w:r>
            <w:r w:rsidRPr="00FB5988">
              <w:rPr>
                <w:sz w:val="20"/>
                <w:szCs w:val="20"/>
                <w:lang w:val="fr-CA"/>
              </w:rPr>
              <w:t xml:space="preserve"> </w:t>
            </w:r>
            <w:r w:rsidR="00F93FBE" w:rsidRPr="00FB5988">
              <w:rPr>
                <w:sz w:val="20"/>
                <w:szCs w:val="20"/>
                <w:lang w:val="fr-CA"/>
              </w:rPr>
              <w:t>24</w:t>
            </w:r>
            <w:r w:rsidRPr="00FB5988">
              <w:rPr>
                <w:sz w:val="20"/>
                <w:szCs w:val="20"/>
                <w:lang w:val="fr-CA"/>
              </w:rPr>
              <w:t>, 20</w:t>
            </w:r>
            <w:r w:rsidR="00F93FBE" w:rsidRPr="00FB5988">
              <w:rPr>
                <w:sz w:val="20"/>
                <w:szCs w:val="20"/>
                <w:lang w:val="fr-CA"/>
              </w:rPr>
              <w:t>21</w:t>
            </w:r>
          </w:p>
          <w:p w:rsidR="004B2E86" w:rsidRPr="00FB5988" w:rsidRDefault="004B2E86" w:rsidP="00F138C1">
            <w:pPr>
              <w:rPr>
                <w:sz w:val="20"/>
                <w:szCs w:val="20"/>
                <w:lang w:val="fr-CA"/>
              </w:rPr>
            </w:pPr>
          </w:p>
          <w:p w:rsidR="00F138C1" w:rsidRPr="00FB5988" w:rsidRDefault="00EB6AAD" w:rsidP="00F138C1">
            <w:pPr>
              <w:rPr>
                <w:sz w:val="20"/>
                <w:szCs w:val="20"/>
                <w:lang w:val="en-US"/>
              </w:rPr>
            </w:pPr>
            <w:r>
              <w:rPr>
                <w:sz w:val="20"/>
                <w:szCs w:val="20"/>
                <w:lang w:val="fr-CA"/>
              </w:rPr>
              <w:pict>
                <v:rect id="_x0000_i1027" style="width:108pt;height:1pt" o:hrpct="0" o:hrstd="t" o:hrnoshade="t" o:hr="t" fillcolor="black [3213]" stroked="f"/>
              </w:pict>
            </w:r>
          </w:p>
        </w:tc>
        <w:tc>
          <w:tcPr>
            <w:tcW w:w="1141" w:type="dxa"/>
            <w:shd w:val="clear" w:color="auto" w:fill="auto"/>
          </w:tcPr>
          <w:p w:rsidR="00F138C1" w:rsidRPr="00FB5988" w:rsidRDefault="00F138C1" w:rsidP="00F138C1">
            <w:pPr>
              <w:jc w:val="center"/>
              <w:rPr>
                <w:sz w:val="20"/>
                <w:szCs w:val="20"/>
                <w:lang w:val="en-US"/>
              </w:rPr>
            </w:pPr>
          </w:p>
          <w:p w:rsidR="00F138C1" w:rsidRPr="00FB5988" w:rsidRDefault="00F138C1" w:rsidP="00F138C1">
            <w:pPr>
              <w:jc w:val="center"/>
              <w:rPr>
                <w:sz w:val="20"/>
                <w:szCs w:val="20"/>
                <w:lang w:val="en-US"/>
              </w:rPr>
            </w:pPr>
          </w:p>
          <w:p w:rsidR="00F138C1" w:rsidRPr="00FB5988" w:rsidRDefault="00F138C1" w:rsidP="00F138C1">
            <w:pPr>
              <w:jc w:val="center"/>
              <w:rPr>
                <w:sz w:val="20"/>
                <w:szCs w:val="20"/>
                <w:lang w:val="en-US"/>
              </w:rPr>
            </w:pPr>
          </w:p>
          <w:p w:rsidR="00F138C1" w:rsidRPr="00FB5988" w:rsidRDefault="00F138C1" w:rsidP="00F138C1">
            <w:pPr>
              <w:jc w:val="center"/>
              <w:rPr>
                <w:sz w:val="20"/>
                <w:szCs w:val="20"/>
                <w:lang w:val="en-US"/>
              </w:rPr>
            </w:pPr>
          </w:p>
          <w:p w:rsidR="00F138C1" w:rsidRPr="00FB5988" w:rsidRDefault="00F138C1" w:rsidP="00F138C1">
            <w:pPr>
              <w:jc w:val="center"/>
              <w:rPr>
                <w:sz w:val="20"/>
                <w:szCs w:val="20"/>
                <w:lang w:val="en-US"/>
              </w:rPr>
            </w:pPr>
          </w:p>
          <w:p w:rsidR="00F138C1" w:rsidRPr="00FB5988" w:rsidRDefault="00F138C1" w:rsidP="00F138C1">
            <w:pPr>
              <w:jc w:val="center"/>
              <w:rPr>
                <w:sz w:val="20"/>
                <w:szCs w:val="20"/>
                <w:lang w:val="en-US"/>
              </w:rPr>
            </w:pPr>
          </w:p>
          <w:p w:rsidR="00F138C1" w:rsidRPr="00FB5988" w:rsidRDefault="00F138C1" w:rsidP="00F138C1">
            <w:pPr>
              <w:jc w:val="center"/>
              <w:rPr>
                <w:sz w:val="20"/>
                <w:szCs w:val="20"/>
                <w:lang w:val="en-US"/>
              </w:rPr>
            </w:pPr>
          </w:p>
          <w:p w:rsidR="00F138C1" w:rsidRPr="00FB5988" w:rsidRDefault="00F138C1" w:rsidP="00F138C1">
            <w:pPr>
              <w:jc w:val="center"/>
              <w:rPr>
                <w:sz w:val="20"/>
                <w:szCs w:val="20"/>
                <w:lang w:val="en-US"/>
              </w:rPr>
            </w:pPr>
          </w:p>
          <w:p w:rsidR="00F138C1" w:rsidRPr="00FB5988" w:rsidRDefault="00F138C1" w:rsidP="00F138C1">
            <w:pPr>
              <w:jc w:val="center"/>
              <w:rPr>
                <w:sz w:val="20"/>
                <w:szCs w:val="20"/>
                <w:lang w:val="en-US"/>
              </w:rPr>
            </w:pPr>
          </w:p>
          <w:p w:rsidR="00F138C1" w:rsidRPr="00FB5988" w:rsidRDefault="00F138C1" w:rsidP="00F138C1">
            <w:pPr>
              <w:jc w:val="center"/>
              <w:rPr>
                <w:sz w:val="20"/>
                <w:szCs w:val="20"/>
                <w:lang w:val="en-US"/>
              </w:rPr>
            </w:pPr>
          </w:p>
          <w:p w:rsidR="00F138C1" w:rsidRPr="00FB5988" w:rsidRDefault="00F138C1" w:rsidP="00F138C1">
            <w:pPr>
              <w:jc w:val="center"/>
              <w:rPr>
                <w:sz w:val="20"/>
                <w:szCs w:val="20"/>
                <w:lang w:val="en-US"/>
              </w:rPr>
            </w:pPr>
          </w:p>
          <w:p w:rsidR="00F138C1" w:rsidRPr="00FB5988" w:rsidRDefault="00F138C1" w:rsidP="00F138C1">
            <w:pPr>
              <w:jc w:val="center"/>
              <w:rPr>
                <w:sz w:val="20"/>
                <w:szCs w:val="20"/>
                <w:lang w:val="en-US"/>
              </w:rPr>
            </w:pPr>
          </w:p>
          <w:p w:rsidR="00F138C1" w:rsidRPr="00FB5988" w:rsidRDefault="00F138C1" w:rsidP="00F138C1">
            <w:pPr>
              <w:jc w:val="center"/>
              <w:rPr>
                <w:sz w:val="20"/>
                <w:szCs w:val="20"/>
                <w:lang w:val="en-US"/>
              </w:rPr>
            </w:pPr>
          </w:p>
          <w:p w:rsidR="004B2E86" w:rsidRPr="00FB5988" w:rsidRDefault="004B2E86" w:rsidP="00F138C1">
            <w:pPr>
              <w:jc w:val="center"/>
              <w:rPr>
                <w:sz w:val="20"/>
                <w:szCs w:val="20"/>
                <w:lang w:val="en-US"/>
              </w:rPr>
            </w:pPr>
          </w:p>
        </w:tc>
        <w:tc>
          <w:tcPr>
            <w:tcW w:w="4239" w:type="dxa"/>
            <w:shd w:val="clear" w:color="auto" w:fill="auto"/>
          </w:tcPr>
          <w:p w:rsidR="00F138C1" w:rsidRPr="00FB5988" w:rsidRDefault="00F138C1" w:rsidP="00F138C1">
            <w:pPr>
              <w:rPr>
                <w:sz w:val="20"/>
                <w:szCs w:val="20"/>
                <w:lang w:val="en-US"/>
              </w:rPr>
            </w:pPr>
          </w:p>
        </w:tc>
      </w:tr>
    </w:tbl>
    <w:p w:rsidR="00F138C1" w:rsidRPr="00FB5988" w:rsidRDefault="00F138C1" w:rsidP="00F138C1">
      <w:pPr>
        <w:tabs>
          <w:tab w:val="right" w:pos="9360"/>
        </w:tabs>
        <w:rPr>
          <w:sz w:val="20"/>
          <w:szCs w:val="20"/>
          <w:lang w:val="fr-CA"/>
        </w:rPr>
      </w:pPr>
    </w:p>
    <w:p w:rsidR="00F138C1" w:rsidRPr="00FB5988" w:rsidRDefault="00F138C1" w:rsidP="00F138C1">
      <w:pPr>
        <w:tabs>
          <w:tab w:val="right" w:pos="9360"/>
        </w:tabs>
        <w:rPr>
          <w:sz w:val="20"/>
          <w:szCs w:val="20"/>
          <w:lang w:val="fr-CA"/>
        </w:rPr>
      </w:pPr>
    </w:p>
    <w:p w:rsidR="00C01FCB" w:rsidRPr="00FB5988" w:rsidRDefault="00C01FCB" w:rsidP="0095096B">
      <w:pPr>
        <w:tabs>
          <w:tab w:val="right" w:pos="9360"/>
        </w:tabs>
        <w:rPr>
          <w:sz w:val="20"/>
          <w:szCs w:val="20"/>
          <w:lang w:val="fr-CA"/>
        </w:rPr>
      </w:pPr>
    </w:p>
    <w:p w:rsidR="00242AEE" w:rsidRPr="00FB5988" w:rsidRDefault="00242AEE" w:rsidP="0095096B">
      <w:pPr>
        <w:tabs>
          <w:tab w:val="right" w:pos="9360"/>
        </w:tabs>
        <w:rPr>
          <w:sz w:val="20"/>
          <w:szCs w:val="20"/>
          <w:lang w:val="fr-CA"/>
        </w:rPr>
        <w:sectPr w:rsidR="00242AEE" w:rsidRPr="00FB5988" w:rsidSect="00955827">
          <w:headerReference w:type="default" r:id="rId11"/>
          <w:footerReference w:type="default" r:id="rId12"/>
          <w:headerReference w:type="first" r:id="rId13"/>
          <w:footerReference w:type="first" r:id="rId14"/>
          <w:pgSz w:w="12240" w:h="15840"/>
          <w:pgMar w:top="720" w:right="965" w:bottom="1080" w:left="1656" w:header="706" w:footer="706" w:gutter="0"/>
          <w:pgNumType w:start="1"/>
          <w:cols w:space="708"/>
          <w:titlePg/>
          <w:docGrid w:linePitch="360"/>
        </w:sectPr>
      </w:pPr>
    </w:p>
    <w:p w:rsidR="00693C38" w:rsidRPr="00FB5988" w:rsidRDefault="00DD0BDC" w:rsidP="00567602">
      <w:pPr>
        <w:pStyle w:val="Header1StyleE"/>
        <w:pBdr>
          <w:bottom w:val="single" w:sz="12" w:space="1" w:color="auto"/>
        </w:pBdr>
        <w:rPr>
          <w:lang w:val="fr-CA"/>
        </w:rPr>
      </w:pPr>
      <w:bookmarkStart w:id="1" w:name="QuickMark_1"/>
      <w:bookmarkStart w:id="2" w:name="_Toc65833386"/>
      <w:bookmarkEnd w:id="1"/>
      <w:r w:rsidRPr="00FB5988">
        <w:rPr>
          <w:lang w:val="fr-CA"/>
        </w:rPr>
        <w:lastRenderedPageBreak/>
        <w:t>Judgments on applications</w:t>
      </w:r>
      <w:r w:rsidR="000C1D9D" w:rsidRPr="00FB5988">
        <w:rPr>
          <w:lang w:val="fr-CA"/>
        </w:rPr>
        <w:t xml:space="preserve"> </w:t>
      </w:r>
      <w:r w:rsidRPr="00FB5988">
        <w:rPr>
          <w:lang w:val="fr-CA"/>
        </w:rPr>
        <w:t>for leave</w:t>
      </w:r>
      <w:r w:rsidR="00693C38" w:rsidRPr="00FB5988">
        <w:rPr>
          <w:noProof/>
          <w:sz w:val="20"/>
          <w:lang w:val="fr-CA"/>
        </w:rPr>
        <w:t xml:space="preserve"> </w:t>
      </w:r>
      <w:r w:rsidR="00271E1E" w:rsidRPr="00FB5988">
        <w:rPr>
          <w:noProof/>
          <w:sz w:val="20"/>
          <w:lang w:val="fr-CA"/>
        </w:rPr>
        <w:t xml:space="preserve">/ </w:t>
      </w:r>
      <w:r w:rsidR="00693C38" w:rsidRPr="00FB5988">
        <w:rPr>
          <w:noProof/>
          <w:sz w:val="20"/>
          <w:lang w:val="fr-CA"/>
        </w:rPr>
        <w:br/>
      </w:r>
      <w:r w:rsidRPr="00FB5988">
        <w:rPr>
          <w:lang w:val="fr-CA"/>
        </w:rPr>
        <w:t>Jugements rendus sur les demandes d’autorisation</w:t>
      </w:r>
      <w:bookmarkEnd w:id="2"/>
    </w:p>
    <w:p w:rsidR="00FB1DB6" w:rsidRPr="00FB5988" w:rsidRDefault="00FB1DB6" w:rsidP="00693C38">
      <w:pPr>
        <w:rPr>
          <w:sz w:val="20"/>
          <w:szCs w:val="20"/>
          <w:lang w:val="fr-CA"/>
        </w:rPr>
      </w:pPr>
    </w:p>
    <w:p w:rsidR="00F16063" w:rsidRPr="00FB5988" w:rsidRDefault="00403F21" w:rsidP="00F16063">
      <w:pPr>
        <w:rPr>
          <w:b/>
          <w:sz w:val="20"/>
          <w:szCs w:val="20"/>
        </w:rPr>
      </w:pPr>
      <w:r w:rsidRPr="00FB5988">
        <w:rPr>
          <w:b/>
          <w:sz w:val="20"/>
          <w:szCs w:val="20"/>
          <w:lang w:val="fr-CA"/>
        </w:rPr>
        <w:t>MARCH</w:t>
      </w:r>
      <w:r w:rsidR="00F16063" w:rsidRPr="00FB5988">
        <w:rPr>
          <w:b/>
          <w:sz w:val="20"/>
          <w:szCs w:val="20"/>
        </w:rPr>
        <w:t xml:space="preserve"> </w:t>
      </w:r>
      <w:r w:rsidR="009B36BA" w:rsidRPr="00FB5988">
        <w:rPr>
          <w:b/>
          <w:sz w:val="20"/>
          <w:szCs w:val="20"/>
        </w:rPr>
        <w:t>4</w:t>
      </w:r>
      <w:r w:rsidR="00F16063" w:rsidRPr="00FB5988">
        <w:rPr>
          <w:b/>
          <w:sz w:val="20"/>
          <w:szCs w:val="20"/>
        </w:rPr>
        <w:t xml:space="preserve">, </w:t>
      </w:r>
      <w:r w:rsidR="0034657E" w:rsidRPr="00FB5988">
        <w:rPr>
          <w:b/>
          <w:sz w:val="20"/>
          <w:szCs w:val="20"/>
        </w:rPr>
        <w:t>20</w:t>
      </w:r>
      <w:r w:rsidR="005967EF" w:rsidRPr="00FB5988">
        <w:rPr>
          <w:b/>
          <w:sz w:val="20"/>
          <w:szCs w:val="20"/>
        </w:rPr>
        <w:t>2</w:t>
      </w:r>
      <w:r w:rsidR="009B36BA" w:rsidRPr="00FB5988">
        <w:rPr>
          <w:b/>
          <w:sz w:val="20"/>
          <w:szCs w:val="20"/>
        </w:rPr>
        <w:t>1</w:t>
      </w:r>
      <w:r w:rsidR="00F16063" w:rsidRPr="00FB5988">
        <w:rPr>
          <w:b/>
          <w:sz w:val="20"/>
          <w:szCs w:val="20"/>
        </w:rPr>
        <w:t xml:space="preserve"> / LE </w:t>
      </w:r>
      <w:r w:rsidR="009B36BA" w:rsidRPr="00FB5988">
        <w:rPr>
          <w:b/>
          <w:sz w:val="20"/>
          <w:szCs w:val="20"/>
        </w:rPr>
        <w:t>4</w:t>
      </w:r>
      <w:r w:rsidR="00F16063" w:rsidRPr="00FB5988">
        <w:rPr>
          <w:b/>
          <w:sz w:val="20"/>
          <w:szCs w:val="20"/>
        </w:rPr>
        <w:t xml:space="preserve"> </w:t>
      </w:r>
      <w:r w:rsidRPr="00FB5988">
        <w:rPr>
          <w:b/>
          <w:sz w:val="20"/>
          <w:szCs w:val="20"/>
        </w:rPr>
        <w:t>MARS</w:t>
      </w:r>
      <w:r w:rsidR="00F16063" w:rsidRPr="00FB5988">
        <w:rPr>
          <w:b/>
          <w:sz w:val="20"/>
          <w:szCs w:val="20"/>
        </w:rPr>
        <w:t xml:space="preserve"> </w:t>
      </w:r>
      <w:r w:rsidR="0034657E" w:rsidRPr="00FB5988">
        <w:rPr>
          <w:b/>
          <w:sz w:val="20"/>
          <w:szCs w:val="20"/>
        </w:rPr>
        <w:t>20</w:t>
      </w:r>
      <w:r w:rsidR="005967EF" w:rsidRPr="00FB5988">
        <w:rPr>
          <w:b/>
          <w:sz w:val="20"/>
          <w:szCs w:val="20"/>
        </w:rPr>
        <w:t>2</w:t>
      </w:r>
      <w:r w:rsidR="009B36BA" w:rsidRPr="00FB5988">
        <w:rPr>
          <w:b/>
          <w:sz w:val="20"/>
          <w:szCs w:val="20"/>
        </w:rPr>
        <w:t>1</w:t>
      </w:r>
    </w:p>
    <w:p w:rsidR="00A061B8" w:rsidRPr="00FB5988" w:rsidRDefault="00A061B8" w:rsidP="00A061B8">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rPr>
            </w:pPr>
            <w:r w:rsidRPr="00FB5988">
              <w:rPr>
                <w:rStyle w:val="SCCFileNumberChar"/>
                <w:sz w:val="20"/>
                <w:szCs w:val="20"/>
              </w:rPr>
              <w:t>39350</w:t>
            </w:r>
          </w:p>
        </w:tc>
        <w:tc>
          <w:tcPr>
            <w:tcW w:w="4457" w:type="pct"/>
            <w:gridSpan w:val="3"/>
          </w:tcPr>
          <w:p w:rsidR="00A061B8" w:rsidRPr="00FB5988" w:rsidRDefault="00A061B8" w:rsidP="00164321">
            <w:pPr>
              <w:pStyle w:val="SCCLsocParty"/>
              <w:jc w:val="both"/>
              <w:rPr>
                <w:b/>
                <w:sz w:val="20"/>
                <w:szCs w:val="20"/>
                <w:lang w:val="en-US"/>
              </w:rPr>
            </w:pPr>
            <w:r w:rsidRPr="00FB5988">
              <w:rPr>
                <w:b/>
                <w:sz w:val="20"/>
                <w:szCs w:val="20"/>
                <w:lang w:val="en-US"/>
              </w:rPr>
              <w:t>Her Majesty the Queen v. Russell Steven Tessier</w:t>
            </w:r>
          </w:p>
          <w:p w:rsidR="00A061B8" w:rsidRPr="00FB5988" w:rsidRDefault="00A061B8" w:rsidP="00164321">
            <w:pPr>
              <w:jc w:val="both"/>
              <w:rPr>
                <w:sz w:val="20"/>
              </w:rPr>
            </w:pPr>
            <w:r w:rsidRPr="00FB5988">
              <w:rPr>
                <w:sz w:val="20"/>
              </w:rPr>
              <w:t>(Alta.) (Criminal) (By Leave)</w:t>
            </w:r>
          </w:p>
        </w:tc>
      </w:tr>
      <w:tr w:rsidR="00A061B8" w:rsidRPr="00FB5988" w:rsidTr="00164321">
        <w:tc>
          <w:tcPr>
            <w:tcW w:w="5000" w:type="pct"/>
            <w:gridSpan w:val="4"/>
          </w:tcPr>
          <w:p w:rsidR="00164321" w:rsidRPr="00FB5988" w:rsidRDefault="00164321" w:rsidP="00164321">
            <w:pPr>
              <w:jc w:val="both"/>
              <w:rPr>
                <w:sz w:val="20"/>
                <w:szCs w:val="20"/>
              </w:rPr>
            </w:pPr>
            <w:r w:rsidRPr="00FB5988">
              <w:rPr>
                <w:sz w:val="20"/>
                <w:szCs w:val="20"/>
              </w:rPr>
              <w:t>The application for leave to appeal from the judgment of the</w:t>
            </w:r>
            <w:bookmarkStart w:id="3" w:name="BM_1_"/>
            <w:bookmarkEnd w:id="3"/>
            <w:r w:rsidRPr="00FB5988">
              <w:rPr>
                <w:sz w:val="20"/>
                <w:szCs w:val="20"/>
              </w:rPr>
              <w:t xml:space="preserve"> Court of Appeal of Alberta (Calgary), Number 1801-0185-A, </w:t>
            </w:r>
            <w:proofErr w:type="gramStart"/>
            <w:r w:rsidRPr="00FB5988">
              <w:rPr>
                <w:sz w:val="20"/>
                <w:szCs w:val="20"/>
              </w:rPr>
              <w:t>2020</w:t>
            </w:r>
            <w:proofErr w:type="gramEnd"/>
            <w:r w:rsidRPr="00FB5988">
              <w:rPr>
                <w:sz w:val="20"/>
                <w:szCs w:val="20"/>
              </w:rPr>
              <w:t xml:space="preserve"> ABCA 289, dated August 4, 2020 is granted.</w:t>
            </w:r>
          </w:p>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t>Criminal law — Evidence — Admissibility of witness’s statements to police — Whether Court of Appeal erred in its articulation of the common</w:t>
            </w:r>
            <w:r w:rsidRPr="00FB5988">
              <w:rPr>
                <w:sz w:val="20"/>
              </w:rPr>
              <w:noBreakHyphen/>
              <w:t>law confessions rule — Did the Court of Appeal err by requiring a mere witness be formally cautioned as a condition of proving voluntariness?</w:t>
            </w:r>
          </w:p>
        </w:tc>
      </w:tr>
      <w:tr w:rsidR="00A061B8" w:rsidRPr="00FB5988" w:rsidTr="00164321">
        <w:tc>
          <w:tcPr>
            <w:tcW w:w="5000" w:type="pct"/>
            <w:gridSpan w:val="4"/>
          </w:tcPr>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t xml:space="preserve">A man’s body was found in a ditch. He had died from gunshot wounds to the head. Police investigating the murder began establishing a victimology and determining the victim’s movements before he was shot. Police ascertained that Mr. Tessier was a friend and business associate of the victim. They asked Mr. Tessier for an interview. Mr. Tessier was interviewed twice by police. Police later testified that Mr. Tessier was viewed and treated as a witness and not a suspect. The second interview was followed by a voluntary trip to his apartment, at Mr. Tessier’s suggestion, to show the officer where his gun was stored. The officer testified that Mr. Tessier only became a suspect and was cautioned at the apartment when it was determined that his gun was missing. Mr. Tessier challenged the admissibility of his statements to the police during the interviews on the basis they were obtained in breach of ss. 7, 10(a) and 10(b) of the </w:t>
            </w:r>
            <w:r w:rsidRPr="00FB5988">
              <w:rPr>
                <w:i/>
                <w:sz w:val="20"/>
              </w:rPr>
              <w:t>Charter</w:t>
            </w:r>
            <w:r w:rsidRPr="00FB5988">
              <w:rPr>
                <w:sz w:val="20"/>
              </w:rPr>
              <w:t xml:space="preserve">. They were admitted into evidence. A jury convicted Mr. Tessier of first degree murder. The Court of Appeal allowed an appeal and ordered a new trial. </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Court of Queen’s Bench of Alberta</w:t>
            </w:r>
          </w:p>
          <w:p w:rsidR="00A061B8" w:rsidRPr="00FB5988" w:rsidRDefault="00A061B8" w:rsidP="00164321">
            <w:pPr>
              <w:jc w:val="both"/>
              <w:rPr>
                <w:sz w:val="20"/>
              </w:rPr>
            </w:pPr>
            <w:r w:rsidRPr="00FB5988">
              <w:rPr>
                <w:sz w:val="20"/>
              </w:rPr>
              <w:t>(Yamauchi J.)</w:t>
            </w:r>
          </w:p>
          <w:p w:rsidR="00A061B8" w:rsidRPr="00FB5988" w:rsidRDefault="00A061B8" w:rsidP="00164321">
            <w:pPr>
              <w:jc w:val="both"/>
              <w:rPr>
                <w:sz w:val="20"/>
              </w:rPr>
            </w:pPr>
            <w:r w:rsidRPr="00FB5988">
              <w:rPr>
                <w:sz w:val="20"/>
                <w:lang w:val="fr-FR"/>
              </w:rPr>
              <w:t>2018 ABQB 387 (Unreported)</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Statements to police admitted into evidence</w:t>
            </w:r>
          </w:p>
        </w:tc>
      </w:tr>
      <w:tr w:rsidR="00A061B8" w:rsidRPr="00FB5988" w:rsidTr="00164321">
        <w:tc>
          <w:tcPr>
            <w:tcW w:w="2427" w:type="pct"/>
            <w:gridSpan w:val="2"/>
          </w:tcPr>
          <w:p w:rsidR="00A061B8" w:rsidRPr="00FB5988" w:rsidRDefault="00A061B8" w:rsidP="00164321">
            <w:pPr>
              <w:jc w:val="both"/>
              <w:rPr>
                <w:sz w:val="20"/>
              </w:rPr>
            </w:pPr>
            <w:r w:rsidRPr="00FB5988">
              <w:rPr>
                <w:sz w:val="20"/>
              </w:rPr>
              <w:t>May 14, 2018</w:t>
            </w:r>
          </w:p>
          <w:p w:rsidR="00A061B8" w:rsidRPr="00FB5988" w:rsidRDefault="00A061B8" w:rsidP="00164321">
            <w:pPr>
              <w:jc w:val="both"/>
              <w:rPr>
                <w:sz w:val="20"/>
              </w:rPr>
            </w:pPr>
            <w:r w:rsidRPr="00FB5988">
              <w:rPr>
                <w:sz w:val="20"/>
              </w:rPr>
              <w:t>Court of Queen’s Bench of Alberta</w:t>
            </w:r>
          </w:p>
          <w:p w:rsidR="00A061B8" w:rsidRPr="00FB5988" w:rsidRDefault="00A061B8" w:rsidP="00164321">
            <w:pPr>
              <w:jc w:val="both"/>
              <w:rPr>
                <w:sz w:val="20"/>
              </w:rPr>
            </w:pPr>
            <w:r w:rsidRPr="00FB5988">
              <w:rPr>
                <w:sz w:val="20"/>
              </w:rPr>
              <w:t>(Yamauchi J.)(Unreported)</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 xml:space="preserve">Conviction by jury of first degree murder </w:t>
            </w:r>
          </w:p>
        </w:tc>
      </w:tr>
      <w:tr w:rsidR="00A061B8" w:rsidRPr="00FB5988" w:rsidTr="00164321">
        <w:tc>
          <w:tcPr>
            <w:tcW w:w="2427" w:type="pct"/>
            <w:gridSpan w:val="2"/>
          </w:tcPr>
          <w:p w:rsidR="00A061B8" w:rsidRPr="00FB5988" w:rsidRDefault="00A061B8" w:rsidP="00164321">
            <w:pPr>
              <w:jc w:val="both"/>
              <w:rPr>
                <w:sz w:val="20"/>
              </w:rPr>
            </w:pPr>
            <w:r w:rsidRPr="00FB5988">
              <w:rPr>
                <w:sz w:val="20"/>
              </w:rPr>
              <w:t>August 4, 2020</w:t>
            </w:r>
          </w:p>
          <w:p w:rsidR="00A061B8" w:rsidRPr="00FB5988" w:rsidRDefault="00A061B8" w:rsidP="00164321">
            <w:pPr>
              <w:jc w:val="both"/>
              <w:rPr>
                <w:sz w:val="20"/>
              </w:rPr>
            </w:pPr>
            <w:r w:rsidRPr="00FB5988">
              <w:rPr>
                <w:sz w:val="20"/>
              </w:rPr>
              <w:t>Court of Appeal of Alberta (Calgary)</w:t>
            </w:r>
          </w:p>
          <w:p w:rsidR="00A061B8" w:rsidRPr="00FB5988" w:rsidRDefault="00A061B8" w:rsidP="00164321">
            <w:pPr>
              <w:jc w:val="both"/>
              <w:rPr>
                <w:sz w:val="20"/>
              </w:rPr>
            </w:pPr>
            <w:r w:rsidRPr="00FB5988">
              <w:rPr>
                <w:sz w:val="20"/>
              </w:rPr>
              <w:t>(Schutz, Khullar, Antonio JJ.A.)</w:t>
            </w:r>
          </w:p>
          <w:p w:rsidR="00A061B8" w:rsidRPr="00FB5988" w:rsidRDefault="00EB6AAD" w:rsidP="00164321">
            <w:pPr>
              <w:jc w:val="both"/>
              <w:rPr>
                <w:sz w:val="20"/>
              </w:rPr>
            </w:pPr>
            <w:hyperlink r:id="rId15" w:history="1">
              <w:r w:rsidR="00A061B8" w:rsidRPr="00FB5988">
                <w:rPr>
                  <w:rStyle w:val="Hyperlink"/>
                  <w:sz w:val="20"/>
                </w:rPr>
                <w:t>2020 ABCA 289</w:t>
              </w:r>
            </w:hyperlink>
            <w:r w:rsidR="00A061B8" w:rsidRPr="00FB5988">
              <w:rPr>
                <w:sz w:val="20"/>
              </w:rPr>
              <w:t>; 1801-0185A</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Appeal granted, new trial ordered</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October 2, 2020</w:t>
            </w:r>
          </w:p>
          <w:p w:rsidR="00A061B8" w:rsidRPr="00FB5988" w:rsidRDefault="00A061B8" w:rsidP="00164321">
            <w:pPr>
              <w:jc w:val="both"/>
              <w:rPr>
                <w:sz w:val="20"/>
              </w:rPr>
            </w:pPr>
            <w:r w:rsidRPr="00FB5988">
              <w:rPr>
                <w:sz w:val="20"/>
              </w:rPr>
              <w:t>Supreme Court of Canada</w:t>
            </w: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Application for leave to appeal filed</w:t>
            </w:r>
          </w:p>
          <w:p w:rsidR="00A061B8" w:rsidRPr="00FB5988" w:rsidRDefault="00A061B8" w:rsidP="00164321">
            <w:pPr>
              <w:jc w:val="both"/>
              <w:rPr>
                <w:sz w:val="20"/>
              </w:rPr>
            </w:pPr>
          </w:p>
        </w:tc>
      </w:tr>
    </w:tbl>
    <w:p w:rsidR="00A061B8" w:rsidRPr="00FB5988" w:rsidRDefault="00A061B8" w:rsidP="00A061B8">
      <w:pPr>
        <w:jc w:val="both"/>
        <w:rPr>
          <w:sz w:val="20"/>
        </w:rPr>
      </w:pPr>
    </w:p>
    <w:p w:rsidR="00A061B8" w:rsidRPr="00FB5988" w:rsidRDefault="00EB6AAD" w:rsidP="00A061B8">
      <w:pPr>
        <w:jc w:val="both"/>
        <w:rPr>
          <w:sz w:val="20"/>
        </w:rPr>
      </w:pPr>
      <w:r>
        <w:rPr>
          <w:sz w:val="20"/>
        </w:rPr>
        <w:pict>
          <v:rect id="_x0000_i1030" style="width:2in;height:1pt" o:hrpct="0" o:hralign="center" o:hrstd="t" o:hrnoshade="t" o:hr="t" fillcolor="black [3213]" stroked="f"/>
        </w:pict>
      </w:r>
    </w:p>
    <w:p w:rsidR="00A061B8" w:rsidRPr="00FB5988" w:rsidRDefault="00A061B8" w:rsidP="00A061B8">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lang w:val="fr-CA"/>
              </w:rPr>
            </w:pPr>
            <w:r w:rsidRPr="00FB5988">
              <w:rPr>
                <w:rStyle w:val="SCCFileNumberChar"/>
                <w:sz w:val="20"/>
                <w:szCs w:val="20"/>
                <w:lang w:val="fr-CA"/>
              </w:rPr>
              <w:t>39350</w:t>
            </w:r>
          </w:p>
        </w:tc>
        <w:tc>
          <w:tcPr>
            <w:tcW w:w="4457" w:type="pct"/>
            <w:gridSpan w:val="3"/>
          </w:tcPr>
          <w:p w:rsidR="00A061B8" w:rsidRPr="00FB5988" w:rsidRDefault="00A061B8" w:rsidP="00164321">
            <w:pPr>
              <w:pStyle w:val="SCCLsocParty"/>
              <w:jc w:val="both"/>
              <w:rPr>
                <w:b/>
                <w:sz w:val="20"/>
                <w:szCs w:val="20"/>
              </w:rPr>
            </w:pPr>
            <w:r w:rsidRPr="00FB5988">
              <w:rPr>
                <w:b/>
                <w:sz w:val="20"/>
                <w:szCs w:val="20"/>
              </w:rPr>
              <w:t>Sa Majesté la Reine c. Russell Steven Tessier</w:t>
            </w:r>
          </w:p>
          <w:p w:rsidR="00A061B8" w:rsidRPr="00FB5988" w:rsidRDefault="00A061B8" w:rsidP="00164321">
            <w:pPr>
              <w:jc w:val="both"/>
              <w:rPr>
                <w:sz w:val="20"/>
                <w:lang w:val="fr-CA"/>
              </w:rPr>
            </w:pPr>
            <w:r w:rsidRPr="00FB5988">
              <w:rPr>
                <w:sz w:val="20"/>
                <w:lang w:val="fr-CA"/>
              </w:rPr>
              <w:t>(Alb.) (Criminelle) (Sur autorisation)</w:t>
            </w:r>
          </w:p>
        </w:tc>
      </w:tr>
      <w:tr w:rsidR="00A061B8" w:rsidRPr="00EB6AAD" w:rsidTr="00164321">
        <w:tc>
          <w:tcPr>
            <w:tcW w:w="5000" w:type="pct"/>
            <w:gridSpan w:val="4"/>
          </w:tcPr>
          <w:p w:rsidR="00A061B8" w:rsidRPr="00FB5988" w:rsidRDefault="00164321" w:rsidP="00164321">
            <w:pPr>
              <w:tabs>
                <w:tab w:val="left" w:pos="2917"/>
              </w:tabs>
              <w:jc w:val="both"/>
              <w:rPr>
                <w:sz w:val="20"/>
                <w:szCs w:val="20"/>
                <w:lang w:val="fr-CA"/>
              </w:rPr>
            </w:pPr>
            <w:r w:rsidRPr="00FB5988">
              <w:rPr>
                <w:sz w:val="20"/>
                <w:szCs w:val="20"/>
                <w:lang w:val="fr-CA"/>
              </w:rPr>
              <w:t>La demande d’autorisation d’appel de l’arrêt de la Cour d’appel de l’Alberta (Calgary), numéro 1801-0185-A, 2020 ABCA 289, daté du 4 août 2020, est accueillie.</w:t>
            </w:r>
          </w:p>
          <w:p w:rsidR="00164321" w:rsidRPr="00FB5988" w:rsidRDefault="00164321" w:rsidP="00164321">
            <w:pPr>
              <w:tabs>
                <w:tab w:val="left" w:pos="2917"/>
              </w:tabs>
              <w:jc w:val="both"/>
              <w:rPr>
                <w:sz w:val="20"/>
                <w:lang w:val="fr-CA"/>
              </w:rPr>
            </w:pPr>
          </w:p>
        </w:tc>
      </w:tr>
      <w:tr w:rsidR="00A061B8" w:rsidRPr="00EB6AAD" w:rsidTr="00164321">
        <w:tc>
          <w:tcPr>
            <w:tcW w:w="5000" w:type="pct"/>
            <w:gridSpan w:val="4"/>
          </w:tcPr>
          <w:p w:rsidR="00A061B8" w:rsidRPr="00FB5988" w:rsidRDefault="00A061B8" w:rsidP="00164321">
            <w:pPr>
              <w:jc w:val="both"/>
              <w:rPr>
                <w:sz w:val="20"/>
                <w:lang w:val="fr-CA"/>
              </w:rPr>
            </w:pPr>
            <w:r w:rsidRPr="00FB5988">
              <w:rPr>
                <w:sz w:val="20"/>
                <w:lang w:val="fr-CA"/>
              </w:rPr>
              <w:t>Droit criminel — Preuve — Admissibilité de déclarations de témoins à la police — La Cour d’appel a</w:t>
            </w:r>
            <w:r w:rsidRPr="00FB5988">
              <w:rPr>
                <w:sz w:val="20"/>
                <w:lang w:val="fr-CA"/>
              </w:rPr>
              <w:noBreakHyphen/>
              <w:t>t</w:t>
            </w:r>
            <w:r w:rsidRPr="00FB5988">
              <w:rPr>
                <w:sz w:val="20"/>
                <w:lang w:val="fr-CA"/>
              </w:rPr>
              <w:noBreakHyphen/>
              <w:t>elle commis une erreur dans sa formulation de la règle des confessions tirée de la common law ? — La Cour d’appel a</w:t>
            </w:r>
            <w:r w:rsidRPr="00FB5988">
              <w:rPr>
                <w:sz w:val="20"/>
                <w:lang w:val="fr-CA"/>
              </w:rPr>
              <w:noBreakHyphen/>
              <w:t>t</w:t>
            </w:r>
            <w:r w:rsidRPr="00FB5988">
              <w:rPr>
                <w:sz w:val="20"/>
                <w:lang w:val="fr-CA"/>
              </w:rPr>
              <w:noBreakHyphen/>
              <w:t>elle commis une erreur en exigeant qu’une mise en garde formelle d’un simple témoin soit faite comme condition afin de démontrer le caractère volontaire ?</w:t>
            </w:r>
          </w:p>
        </w:tc>
      </w:tr>
      <w:tr w:rsidR="00A061B8" w:rsidRPr="00EB6AAD" w:rsidTr="00164321">
        <w:tc>
          <w:tcPr>
            <w:tcW w:w="5000" w:type="pct"/>
            <w:gridSpan w:val="4"/>
          </w:tcPr>
          <w:p w:rsidR="00A061B8" w:rsidRPr="00FB5988" w:rsidRDefault="00A061B8" w:rsidP="00164321">
            <w:pPr>
              <w:jc w:val="both"/>
              <w:rPr>
                <w:sz w:val="20"/>
                <w:lang w:val="fr-CA"/>
              </w:rPr>
            </w:pPr>
          </w:p>
        </w:tc>
      </w:tr>
      <w:tr w:rsidR="00A061B8" w:rsidRPr="00EB6AAD" w:rsidTr="00164321">
        <w:tc>
          <w:tcPr>
            <w:tcW w:w="5000" w:type="pct"/>
            <w:gridSpan w:val="4"/>
          </w:tcPr>
          <w:p w:rsidR="00A061B8" w:rsidRPr="00FB5988" w:rsidRDefault="00A061B8" w:rsidP="00164321">
            <w:pPr>
              <w:jc w:val="both"/>
              <w:rPr>
                <w:sz w:val="20"/>
                <w:lang w:val="fr-CA"/>
              </w:rPr>
            </w:pPr>
            <w:r w:rsidRPr="00FB5988">
              <w:rPr>
                <w:sz w:val="20"/>
                <w:lang w:val="fr-CA"/>
              </w:rPr>
              <w:t xml:space="preserve">Le corps d’un homme a été retrouvé dans un fossé. Il était décédé </w:t>
            </w:r>
            <w:r w:rsidRPr="00FB5988">
              <w:rPr>
                <w:sz w:val="20"/>
                <w:lang w:val="fr-FR"/>
              </w:rPr>
              <w:t>par suite de coups de feu à la tête</w:t>
            </w:r>
            <w:r w:rsidRPr="00FB5988">
              <w:rPr>
                <w:sz w:val="20"/>
                <w:lang w:val="fr-CA"/>
              </w:rPr>
              <w:t>. Dans le cadre de son enquête sur le meurtre, la police a commencé à établir une victimologie et à déterminer les allées et venues de la victime avant qu’elle soit abattue. La police a déterminé que M. Tessier était un ami et un partenaire d’affaires de la victime. La police a demandé à M. Tessier de participer à un interrogatoire policier. M. Tessier a été interrogé à deux reprises par la police, qui a plus tard témoigné que M. Tessier était considéré et traité comme un témoin, et non un suspect. Le deuxième interrogatoire a été suivi par une visite volontaire de l’appartement de M. Tessier, qui avait suggéré de s’y rendre, afin de montrer au policier où il rangeait son fusil. Le policier a témoigné que M. Tessier est seulement devenu un suspect et a été mis en garde à son appartement lorsqu’il a été constaté que son fusil était manquant. M. Tessier a contesté l’admissibilité de ses déclarations à la police au cours des interrogatoires policiers au motif qu’elles avaient été obtenues en contravention de l’art. 7, l’al. 10</w:t>
            </w:r>
            <w:r w:rsidRPr="00FB5988">
              <w:rPr>
                <w:i/>
                <w:sz w:val="20"/>
                <w:lang w:val="fr-CA"/>
              </w:rPr>
              <w:t>a</w:t>
            </w:r>
            <w:r w:rsidRPr="00FB5988">
              <w:rPr>
                <w:sz w:val="20"/>
                <w:lang w:val="fr-CA"/>
              </w:rPr>
              <w:t>) et l’al. 10</w:t>
            </w:r>
            <w:r w:rsidRPr="00FB5988">
              <w:rPr>
                <w:i/>
                <w:sz w:val="20"/>
                <w:lang w:val="fr-CA"/>
              </w:rPr>
              <w:t>b</w:t>
            </w:r>
            <w:r w:rsidRPr="00FB5988">
              <w:rPr>
                <w:sz w:val="20"/>
                <w:lang w:val="fr-CA"/>
              </w:rPr>
              <w:t xml:space="preserve">) de la </w:t>
            </w:r>
            <w:r w:rsidRPr="00FB5988">
              <w:rPr>
                <w:i/>
                <w:sz w:val="20"/>
                <w:lang w:val="fr-CA"/>
              </w:rPr>
              <w:t>Charte</w:t>
            </w:r>
            <w:r w:rsidRPr="00FB5988">
              <w:rPr>
                <w:sz w:val="20"/>
                <w:lang w:val="fr-CA"/>
              </w:rPr>
              <w:t xml:space="preserve">. Elles ont été admises en preuve. Un jury a déclaré M. Tessier coupable de meurtre au premier degré. La Cour d’appel a accueilli l’appel et a ordonné la tenue d’un nouveau procès. </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Cour du Banc de la Reine de l’Alberta</w:t>
            </w:r>
          </w:p>
          <w:p w:rsidR="00A061B8" w:rsidRPr="00FB5988" w:rsidRDefault="00A061B8" w:rsidP="00164321">
            <w:pPr>
              <w:jc w:val="both"/>
              <w:rPr>
                <w:sz w:val="20"/>
                <w:lang w:val="fr-CA"/>
              </w:rPr>
            </w:pPr>
            <w:r w:rsidRPr="00FB5988">
              <w:rPr>
                <w:sz w:val="20"/>
                <w:lang w:val="fr-CA"/>
              </w:rPr>
              <w:t>(Juge Yamauchi)</w:t>
            </w:r>
          </w:p>
          <w:p w:rsidR="00A061B8" w:rsidRPr="00FB5988" w:rsidRDefault="00A061B8" w:rsidP="00164321">
            <w:pPr>
              <w:jc w:val="both"/>
              <w:rPr>
                <w:sz w:val="20"/>
                <w:lang w:val="fr-CA"/>
              </w:rPr>
            </w:pPr>
            <w:r w:rsidRPr="00FB5988">
              <w:rPr>
                <w:sz w:val="20"/>
                <w:lang w:val="fr-CA"/>
              </w:rPr>
              <w:t>2018 ABQB 387 (Non publié)</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Admission en preuve des déclarations faites à la police.</w:t>
            </w: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14 mai 2018</w:t>
            </w:r>
          </w:p>
          <w:p w:rsidR="00A061B8" w:rsidRPr="00FB5988" w:rsidRDefault="00A061B8" w:rsidP="00164321">
            <w:pPr>
              <w:jc w:val="both"/>
              <w:rPr>
                <w:sz w:val="20"/>
                <w:lang w:val="fr-CA"/>
              </w:rPr>
            </w:pPr>
            <w:r w:rsidRPr="00FB5988">
              <w:rPr>
                <w:sz w:val="20"/>
                <w:lang w:val="fr-CA"/>
              </w:rPr>
              <w:t>Cour du Banc de la Reine de l’Alberta</w:t>
            </w:r>
          </w:p>
          <w:p w:rsidR="00A061B8" w:rsidRPr="00FB5988" w:rsidRDefault="00A061B8" w:rsidP="00164321">
            <w:pPr>
              <w:jc w:val="both"/>
              <w:rPr>
                <w:sz w:val="20"/>
                <w:lang w:val="fr-CA"/>
              </w:rPr>
            </w:pPr>
            <w:r w:rsidRPr="00FB5988">
              <w:rPr>
                <w:sz w:val="20"/>
                <w:lang w:val="fr-CA"/>
              </w:rPr>
              <w:t>(Juge Yamauchi) (Non publié)</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 xml:space="preserve">Déclaration de culpabilité par un jury de meurtre au premier degré. </w:t>
            </w: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4 août 2020</w:t>
            </w:r>
          </w:p>
          <w:p w:rsidR="00A061B8" w:rsidRPr="00FB5988" w:rsidRDefault="00A061B8" w:rsidP="00164321">
            <w:pPr>
              <w:jc w:val="both"/>
              <w:rPr>
                <w:sz w:val="20"/>
                <w:lang w:val="fr-CA"/>
              </w:rPr>
            </w:pPr>
            <w:r w:rsidRPr="00FB5988">
              <w:rPr>
                <w:sz w:val="20"/>
                <w:lang w:val="fr-CA"/>
              </w:rPr>
              <w:t>Cour d’appel de l’Alberta (Calgary)</w:t>
            </w:r>
          </w:p>
          <w:p w:rsidR="00A061B8" w:rsidRPr="00FB5988" w:rsidRDefault="00A061B8" w:rsidP="00164321">
            <w:pPr>
              <w:jc w:val="both"/>
              <w:rPr>
                <w:sz w:val="20"/>
                <w:lang w:val="fr-CA"/>
              </w:rPr>
            </w:pPr>
            <w:r w:rsidRPr="00FB5988">
              <w:rPr>
                <w:sz w:val="20"/>
                <w:lang w:val="fr-CA"/>
              </w:rPr>
              <w:t>(Juges Schutz, Khullar, Antonio)</w:t>
            </w:r>
          </w:p>
          <w:p w:rsidR="00A061B8" w:rsidRPr="00FB5988" w:rsidRDefault="00EB6AAD" w:rsidP="00164321">
            <w:pPr>
              <w:jc w:val="both"/>
              <w:rPr>
                <w:sz w:val="20"/>
                <w:lang w:val="fr-CA"/>
              </w:rPr>
            </w:pPr>
            <w:hyperlink r:id="rId16" w:history="1">
              <w:r w:rsidR="00A061B8" w:rsidRPr="00FB5988">
                <w:rPr>
                  <w:rStyle w:val="Hyperlink"/>
                  <w:sz w:val="20"/>
                  <w:lang w:val="fr-CA"/>
                </w:rPr>
                <w:t>2020 ABCA 289</w:t>
              </w:r>
            </w:hyperlink>
            <w:r w:rsidR="00A061B8" w:rsidRPr="00FB5988">
              <w:rPr>
                <w:sz w:val="20"/>
                <w:lang w:val="fr-CA"/>
              </w:rPr>
              <w:t>; 1801</w:t>
            </w:r>
            <w:r w:rsidR="00A061B8" w:rsidRPr="00FB5988">
              <w:rPr>
                <w:sz w:val="20"/>
                <w:lang w:val="fr-CA"/>
              </w:rPr>
              <w:noBreakHyphen/>
              <w:t>0185A</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Appel accueilli, nouveau procès ordonné.</w:t>
            </w:r>
          </w:p>
          <w:p w:rsidR="00A061B8" w:rsidRPr="00FB5988" w:rsidRDefault="00A061B8" w:rsidP="00164321">
            <w:pPr>
              <w:jc w:val="both"/>
              <w:rPr>
                <w:sz w:val="20"/>
                <w:lang w:val="fr-CA"/>
              </w:rPr>
            </w:pPr>
          </w:p>
        </w:tc>
      </w:tr>
      <w:tr w:rsidR="00A061B8" w:rsidRPr="00FB5988" w:rsidTr="00164321">
        <w:tc>
          <w:tcPr>
            <w:tcW w:w="2427" w:type="pct"/>
            <w:gridSpan w:val="2"/>
          </w:tcPr>
          <w:p w:rsidR="00A061B8" w:rsidRPr="00FB5988" w:rsidRDefault="00A061B8" w:rsidP="00164321">
            <w:pPr>
              <w:jc w:val="both"/>
              <w:rPr>
                <w:sz w:val="20"/>
                <w:lang w:val="fr-CA"/>
              </w:rPr>
            </w:pPr>
            <w:r w:rsidRPr="00FB5988">
              <w:rPr>
                <w:sz w:val="20"/>
                <w:lang w:val="fr-CA"/>
              </w:rPr>
              <w:t>2 octobre 2020</w:t>
            </w:r>
          </w:p>
          <w:p w:rsidR="00A061B8" w:rsidRPr="00FB5988" w:rsidRDefault="00A061B8" w:rsidP="00164321">
            <w:pPr>
              <w:jc w:val="both"/>
              <w:rPr>
                <w:sz w:val="20"/>
                <w:lang w:val="fr-CA"/>
              </w:rPr>
            </w:pPr>
            <w:r w:rsidRPr="00FB5988">
              <w:rPr>
                <w:sz w:val="20"/>
                <w:lang w:val="fr-CA"/>
              </w:rPr>
              <w:t>Cour suprême du Canada</w:t>
            </w: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Demande d’autorisation d’appel présentée.</w:t>
            </w:r>
          </w:p>
          <w:p w:rsidR="00A061B8" w:rsidRPr="00FB5988" w:rsidRDefault="00A061B8" w:rsidP="00164321">
            <w:pPr>
              <w:jc w:val="both"/>
              <w:rPr>
                <w:sz w:val="20"/>
                <w:lang w:val="fr-CA"/>
              </w:rPr>
            </w:pPr>
          </w:p>
        </w:tc>
      </w:tr>
    </w:tbl>
    <w:p w:rsidR="00A061B8" w:rsidRPr="00FB5988" w:rsidRDefault="00A061B8" w:rsidP="00A061B8">
      <w:pPr>
        <w:jc w:val="both"/>
        <w:rPr>
          <w:sz w:val="20"/>
          <w:lang w:val="fr-CA"/>
        </w:rPr>
      </w:pPr>
    </w:p>
    <w:p w:rsidR="00A061B8" w:rsidRPr="00FB5988" w:rsidRDefault="00EB6AAD" w:rsidP="00A061B8">
      <w:pPr>
        <w:jc w:val="both"/>
        <w:rPr>
          <w:sz w:val="20"/>
          <w:lang w:val="fr-CA"/>
        </w:rPr>
      </w:pPr>
      <w:r>
        <w:rPr>
          <w:sz w:val="20"/>
        </w:rPr>
        <w:pict>
          <v:rect id="_x0000_i1031" style="width:2in;height:1pt" o:hrpct="0" o:hralign="center" o:hrstd="t" o:hrnoshade="t" o:hr="t" fillcolor="black [3213]" stroked="f"/>
        </w:pict>
      </w:r>
    </w:p>
    <w:p w:rsidR="00A061B8" w:rsidRPr="00FB5988" w:rsidRDefault="00A061B8" w:rsidP="00A061B8">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rPr>
            </w:pPr>
            <w:r w:rsidRPr="00FB5988">
              <w:rPr>
                <w:rStyle w:val="SCCFileNumberChar"/>
                <w:sz w:val="20"/>
                <w:szCs w:val="20"/>
              </w:rPr>
              <w:t>39281</w:t>
            </w:r>
          </w:p>
        </w:tc>
        <w:tc>
          <w:tcPr>
            <w:tcW w:w="4457" w:type="pct"/>
            <w:gridSpan w:val="3"/>
          </w:tcPr>
          <w:p w:rsidR="00A061B8" w:rsidRPr="00FB5988" w:rsidRDefault="00A061B8" w:rsidP="00164321">
            <w:pPr>
              <w:pStyle w:val="SCCLsocParty"/>
              <w:jc w:val="both"/>
              <w:rPr>
                <w:b/>
                <w:sz w:val="20"/>
                <w:szCs w:val="20"/>
                <w:lang w:val="en-US"/>
              </w:rPr>
            </w:pPr>
            <w:r w:rsidRPr="00FB5988">
              <w:rPr>
                <w:b/>
                <w:sz w:val="20"/>
                <w:szCs w:val="20"/>
                <w:lang w:val="en-US"/>
              </w:rPr>
              <w:t>Roberto Vellone v. Her Majesty the Queen</w:t>
            </w:r>
          </w:p>
          <w:p w:rsidR="00A061B8" w:rsidRPr="00FB5988" w:rsidRDefault="00A061B8" w:rsidP="00164321">
            <w:pPr>
              <w:jc w:val="both"/>
              <w:rPr>
                <w:sz w:val="20"/>
              </w:rPr>
            </w:pPr>
            <w:r w:rsidRPr="00FB5988">
              <w:rPr>
                <w:sz w:val="20"/>
              </w:rPr>
              <w:t>(Que.) (Criminal) (By Leave)</w:t>
            </w:r>
          </w:p>
        </w:tc>
      </w:tr>
      <w:tr w:rsidR="00A061B8" w:rsidRPr="00FB5988" w:rsidTr="00164321">
        <w:tc>
          <w:tcPr>
            <w:tcW w:w="5000" w:type="pct"/>
            <w:gridSpan w:val="4"/>
          </w:tcPr>
          <w:p w:rsidR="00A061B8" w:rsidRPr="00FB5988" w:rsidRDefault="00164321" w:rsidP="00164321">
            <w:pPr>
              <w:jc w:val="both"/>
              <w:rPr>
                <w:sz w:val="20"/>
                <w:szCs w:val="20"/>
              </w:rPr>
            </w:pPr>
            <w:r w:rsidRPr="00FB5988">
              <w:rPr>
                <w:sz w:val="20"/>
                <w:szCs w:val="20"/>
              </w:rPr>
              <w:t xml:space="preserve">The application for leave to appeal from the judgment of the </w:t>
            </w:r>
            <w:r w:rsidRPr="00FB5988">
              <w:rPr>
                <w:sz w:val="20"/>
                <w:szCs w:val="20"/>
                <w:lang w:val="en-US"/>
              </w:rPr>
              <w:t>Court of Appeal of Quebec (Montréal)</w:t>
            </w:r>
            <w:r w:rsidRPr="00FB5988">
              <w:rPr>
                <w:sz w:val="20"/>
                <w:szCs w:val="20"/>
              </w:rPr>
              <w:t xml:space="preserve">, Number </w:t>
            </w:r>
            <w:r w:rsidRPr="00FB5988">
              <w:rPr>
                <w:sz w:val="20"/>
                <w:szCs w:val="20"/>
                <w:lang w:val="en-US"/>
              </w:rPr>
              <w:t>500-10-007102-195,</w:t>
            </w:r>
            <w:r w:rsidRPr="00FB5988">
              <w:rPr>
                <w:sz w:val="20"/>
                <w:szCs w:val="20"/>
              </w:rPr>
              <w:t xml:space="preserve"> </w:t>
            </w:r>
            <w:r w:rsidRPr="00FB5988">
              <w:rPr>
                <w:sz w:val="20"/>
                <w:szCs w:val="20"/>
                <w:lang w:val="en-US"/>
              </w:rPr>
              <w:t xml:space="preserve">2020 QCCA 665, </w:t>
            </w:r>
            <w:r w:rsidRPr="00FB5988">
              <w:rPr>
                <w:sz w:val="20"/>
                <w:szCs w:val="20"/>
              </w:rPr>
              <w:t xml:space="preserve">dated </w:t>
            </w:r>
            <w:r w:rsidRPr="00FB5988">
              <w:rPr>
                <w:sz w:val="20"/>
                <w:szCs w:val="20"/>
                <w:lang w:val="en-US"/>
              </w:rPr>
              <w:t>May 25, 2020,</w:t>
            </w:r>
            <w:r w:rsidRPr="00FB5988">
              <w:rPr>
                <w:sz w:val="20"/>
                <w:szCs w:val="20"/>
              </w:rPr>
              <w:t xml:space="preserve"> is dismissed.</w:t>
            </w:r>
          </w:p>
          <w:p w:rsidR="00164321" w:rsidRPr="00FB5988" w:rsidRDefault="00164321"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t>Criminal law — Evidence — Offence</w:t>
            </w:r>
            <w:r w:rsidRPr="00FB5988">
              <w:rPr>
                <w:sz w:val="20"/>
              </w:rPr>
              <w:noBreakHyphen/>
              <w:t xml:space="preserve">related property — Forfeiture — At time of hearing on forfeiture under </w:t>
            </w:r>
            <w:r w:rsidRPr="00FB5988">
              <w:rPr>
                <w:i/>
                <w:sz w:val="20"/>
              </w:rPr>
              <w:t>Controlled Drugs and Substances Act</w:t>
            </w:r>
            <w:r w:rsidRPr="00FB5988">
              <w:rPr>
                <w:sz w:val="20"/>
              </w:rPr>
              <w:t>, S.C. 1996, c. 19, whether court must recommence analysis of exclusion under s. 24(2) of Charter and consider previously excluded evidence — Whether offence</w:t>
            </w:r>
            <w:r w:rsidRPr="00FB5988">
              <w:rPr>
                <w:sz w:val="20"/>
              </w:rPr>
              <w:noBreakHyphen/>
              <w:t xml:space="preserve">related property constitutes proceeds of crime — Whether s. 16(2) of </w:t>
            </w:r>
            <w:r w:rsidRPr="00FB5988">
              <w:rPr>
                <w:i/>
                <w:sz w:val="20"/>
              </w:rPr>
              <w:t>Controlled Drugs and Substances Act</w:t>
            </w:r>
            <w:r w:rsidRPr="00FB5988">
              <w:rPr>
                <w:sz w:val="20"/>
              </w:rPr>
              <w:t xml:space="preserve"> permits consideration of evidence seized during searches carried out earlier in closed cases.</w:t>
            </w:r>
          </w:p>
        </w:tc>
      </w:tr>
      <w:tr w:rsidR="00A061B8" w:rsidRPr="00FB5988" w:rsidTr="00164321">
        <w:tc>
          <w:tcPr>
            <w:tcW w:w="5000" w:type="pct"/>
            <w:gridSpan w:val="4"/>
          </w:tcPr>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t>In 2013, the applicant, Mr. Vellone, was arrested for trafficking in a narcotic. Following his arrest, a telewarrant was obtained for his residence. During that search, the police found various pieces of evidence. In 2018, during criminal proceedings against Mr. Vellone, the Court of Québec excluded the evidence that had been obtained at Mr. Vellone’s residence. However, Mr. Vellone pleaded guilty to the offence of possession of cocaine for the purpose of trafficking in connection with the arrest for trafficking in a narcotic. The respondent prosecutor applied for the forfeiture of Mr. Vellone’s residence as offence</w:t>
            </w:r>
            <w:r w:rsidRPr="00FB5988">
              <w:rPr>
                <w:sz w:val="20"/>
              </w:rPr>
              <w:noBreakHyphen/>
              <w:t>related property.</w:t>
            </w:r>
          </w:p>
          <w:p w:rsidR="00A061B8" w:rsidRPr="00FB5988" w:rsidRDefault="00A061B8" w:rsidP="00164321">
            <w:pPr>
              <w:jc w:val="both"/>
              <w:rPr>
                <w:sz w:val="20"/>
              </w:rPr>
            </w:pPr>
          </w:p>
          <w:p w:rsidR="00A061B8" w:rsidRPr="00FB5988" w:rsidRDefault="00A061B8" w:rsidP="00164321">
            <w:pPr>
              <w:jc w:val="both"/>
              <w:rPr>
                <w:sz w:val="20"/>
              </w:rPr>
            </w:pPr>
            <w:r w:rsidRPr="00FB5988">
              <w:rPr>
                <w:sz w:val="20"/>
              </w:rPr>
              <w:lastRenderedPageBreak/>
              <w:t>The Court of Québec found that it was clear that Mr. Vellone was keeping the unlawful substances and the proceeds of his unlawful activities at his home. After weighing the specific circumstances of the case and the factors for analyzing proportionality, the Court of Québec concluded that the forfeiture of half of Mr. Vellone’s residence was appropriate. The Court of Appeal unanimously dismissed the appeal, finding that the trial judge had not made any error that would warrant its intervention.</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lastRenderedPageBreak/>
              <w:t>May 22, 2019</w:t>
            </w:r>
          </w:p>
          <w:p w:rsidR="00A061B8" w:rsidRPr="00FB5988" w:rsidRDefault="00A061B8" w:rsidP="00164321">
            <w:pPr>
              <w:jc w:val="both"/>
              <w:rPr>
                <w:sz w:val="20"/>
              </w:rPr>
            </w:pPr>
            <w:r w:rsidRPr="00FB5988">
              <w:rPr>
                <w:sz w:val="20"/>
              </w:rPr>
              <w:t>Court of Québec</w:t>
            </w:r>
          </w:p>
          <w:p w:rsidR="00A061B8" w:rsidRPr="00FB5988" w:rsidRDefault="00A061B8" w:rsidP="00164321">
            <w:pPr>
              <w:jc w:val="both"/>
              <w:rPr>
                <w:sz w:val="20"/>
              </w:rPr>
            </w:pPr>
            <w:r w:rsidRPr="00FB5988">
              <w:rPr>
                <w:sz w:val="20"/>
              </w:rPr>
              <w:t>(Judge Lanctôt)</w:t>
            </w:r>
          </w:p>
          <w:p w:rsidR="00A061B8" w:rsidRPr="00FB5988" w:rsidRDefault="00EB6AAD" w:rsidP="00164321">
            <w:pPr>
              <w:jc w:val="both"/>
              <w:rPr>
                <w:sz w:val="20"/>
              </w:rPr>
            </w:pPr>
            <w:hyperlink r:id="rId17" w:history="1">
              <w:r w:rsidR="00A061B8" w:rsidRPr="00FB5988">
                <w:rPr>
                  <w:rStyle w:val="Hyperlink"/>
                  <w:sz w:val="20"/>
                </w:rPr>
                <w:t>2019 QCCQ 11429</w:t>
              </w:r>
            </w:hyperlink>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Motion for forfeiture order granted</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May 25, 2020</w:t>
            </w:r>
          </w:p>
          <w:p w:rsidR="00A061B8" w:rsidRPr="00FB5988" w:rsidRDefault="00A061B8" w:rsidP="00164321">
            <w:pPr>
              <w:jc w:val="both"/>
              <w:rPr>
                <w:sz w:val="20"/>
              </w:rPr>
            </w:pPr>
            <w:r w:rsidRPr="00FB5988">
              <w:rPr>
                <w:sz w:val="20"/>
              </w:rPr>
              <w:t>Quebec Court of Appeal (Montréal)</w:t>
            </w:r>
          </w:p>
          <w:p w:rsidR="00A061B8" w:rsidRPr="00FB5988" w:rsidRDefault="00A061B8" w:rsidP="00164321">
            <w:pPr>
              <w:jc w:val="both"/>
              <w:rPr>
                <w:sz w:val="20"/>
                <w:lang w:val="fr-CA"/>
              </w:rPr>
            </w:pPr>
            <w:r w:rsidRPr="00FB5988">
              <w:rPr>
                <w:sz w:val="20"/>
                <w:lang w:val="fr-CA"/>
              </w:rPr>
              <w:t>(Levesque, Hogue and Sansfaçon JJ.A.)</w:t>
            </w:r>
          </w:p>
          <w:p w:rsidR="00A061B8" w:rsidRPr="00FB5988" w:rsidRDefault="00EB6AAD" w:rsidP="00164321">
            <w:pPr>
              <w:jc w:val="both"/>
              <w:rPr>
                <w:sz w:val="20"/>
              </w:rPr>
            </w:pPr>
            <w:hyperlink r:id="rId18" w:history="1">
              <w:r w:rsidR="00A061B8" w:rsidRPr="00FB5988">
                <w:rPr>
                  <w:rStyle w:val="Hyperlink"/>
                  <w:sz w:val="20"/>
                </w:rPr>
                <w:t>2020 QCCA 665</w:t>
              </w:r>
            </w:hyperlink>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Appeal dismissed</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August 4, 2020</w:t>
            </w:r>
          </w:p>
          <w:p w:rsidR="00A061B8" w:rsidRPr="00FB5988" w:rsidRDefault="00A061B8" w:rsidP="00164321">
            <w:pPr>
              <w:jc w:val="both"/>
              <w:rPr>
                <w:sz w:val="20"/>
              </w:rPr>
            </w:pPr>
            <w:r w:rsidRPr="00FB5988">
              <w:rPr>
                <w:sz w:val="20"/>
              </w:rPr>
              <w:t>Supreme Court of Canada</w:t>
            </w: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Application for leave to appeal filed</w:t>
            </w:r>
          </w:p>
          <w:p w:rsidR="00A061B8" w:rsidRPr="00FB5988" w:rsidRDefault="00A061B8" w:rsidP="00164321">
            <w:pPr>
              <w:jc w:val="both"/>
              <w:rPr>
                <w:sz w:val="20"/>
              </w:rPr>
            </w:pPr>
          </w:p>
        </w:tc>
      </w:tr>
    </w:tbl>
    <w:p w:rsidR="00A061B8" w:rsidRPr="00FB5988" w:rsidRDefault="00A061B8" w:rsidP="00A061B8">
      <w:pPr>
        <w:jc w:val="both"/>
        <w:rPr>
          <w:sz w:val="20"/>
        </w:rPr>
      </w:pPr>
    </w:p>
    <w:p w:rsidR="00A061B8" w:rsidRPr="00FB5988" w:rsidRDefault="00EB6AAD" w:rsidP="00A061B8">
      <w:pPr>
        <w:jc w:val="both"/>
        <w:rPr>
          <w:sz w:val="20"/>
        </w:rPr>
      </w:pPr>
      <w:r>
        <w:rPr>
          <w:sz w:val="20"/>
        </w:rPr>
        <w:pict>
          <v:rect id="_x0000_i1032" style="width:2in;height:1pt" o:hrpct="0" o:hralign="center" o:hrstd="t" o:hrnoshade="t" o:hr="t" fillcolor="black [3213]" stroked="f"/>
        </w:pict>
      </w:r>
    </w:p>
    <w:p w:rsidR="00A061B8" w:rsidRPr="00FB5988" w:rsidRDefault="00A061B8" w:rsidP="00A061B8">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rPr>
            </w:pPr>
            <w:r w:rsidRPr="00FB5988">
              <w:rPr>
                <w:rStyle w:val="SCCFileNumberChar"/>
                <w:sz w:val="20"/>
                <w:szCs w:val="20"/>
              </w:rPr>
              <w:t>39281</w:t>
            </w:r>
          </w:p>
        </w:tc>
        <w:tc>
          <w:tcPr>
            <w:tcW w:w="4457" w:type="pct"/>
            <w:gridSpan w:val="3"/>
          </w:tcPr>
          <w:p w:rsidR="00A061B8" w:rsidRPr="00FB5988" w:rsidRDefault="00A061B8" w:rsidP="00164321">
            <w:pPr>
              <w:pStyle w:val="SCCLsocParty"/>
              <w:jc w:val="both"/>
              <w:rPr>
                <w:b/>
                <w:sz w:val="20"/>
                <w:szCs w:val="20"/>
              </w:rPr>
            </w:pPr>
            <w:r w:rsidRPr="00FB5988">
              <w:rPr>
                <w:b/>
                <w:sz w:val="20"/>
                <w:szCs w:val="20"/>
              </w:rPr>
              <w:t>Roberto Vellone c. Sa Majesté la Reine</w:t>
            </w:r>
          </w:p>
          <w:p w:rsidR="00A061B8" w:rsidRPr="00FB5988" w:rsidRDefault="00A061B8" w:rsidP="00164321">
            <w:pPr>
              <w:jc w:val="both"/>
              <w:rPr>
                <w:sz w:val="20"/>
              </w:rPr>
            </w:pPr>
            <w:r w:rsidRPr="00FB5988">
              <w:rPr>
                <w:sz w:val="20"/>
              </w:rPr>
              <w:t>(Qc) (Criminelle) (Autorisation)</w:t>
            </w:r>
          </w:p>
        </w:tc>
      </w:tr>
      <w:tr w:rsidR="00A061B8" w:rsidRPr="00EB6AAD" w:rsidTr="00164321">
        <w:tc>
          <w:tcPr>
            <w:tcW w:w="5000" w:type="pct"/>
            <w:gridSpan w:val="4"/>
          </w:tcPr>
          <w:p w:rsidR="00164321" w:rsidRPr="00FB5988" w:rsidRDefault="00164321" w:rsidP="00164321">
            <w:pPr>
              <w:jc w:val="both"/>
              <w:rPr>
                <w:sz w:val="20"/>
                <w:szCs w:val="20"/>
                <w:lang w:val="fr-CA"/>
              </w:rPr>
            </w:pPr>
            <w:r w:rsidRPr="00FB5988">
              <w:rPr>
                <w:sz w:val="20"/>
                <w:szCs w:val="20"/>
                <w:lang w:val="fr-CA"/>
              </w:rPr>
              <w:t>La demande d’autorisation d’appel de l’arrêt de la Cour d’appel du Québec (Montréal), numéro 500-10-007102-195,  2020 QCCA 665, daté du 25 mai 2020, est rejetée.</w:t>
            </w:r>
          </w:p>
          <w:p w:rsidR="00A061B8" w:rsidRPr="00FB5988" w:rsidRDefault="00A061B8" w:rsidP="00164321">
            <w:pPr>
              <w:jc w:val="both"/>
              <w:rPr>
                <w:sz w:val="20"/>
                <w:lang w:val="fr-CA"/>
              </w:rPr>
            </w:pPr>
          </w:p>
        </w:tc>
      </w:tr>
      <w:tr w:rsidR="00A061B8" w:rsidRPr="00EB6AAD" w:rsidTr="00164321">
        <w:tc>
          <w:tcPr>
            <w:tcW w:w="5000" w:type="pct"/>
            <w:gridSpan w:val="4"/>
          </w:tcPr>
          <w:p w:rsidR="00A061B8" w:rsidRPr="00FB5988" w:rsidRDefault="00A061B8" w:rsidP="00164321">
            <w:pPr>
              <w:jc w:val="both"/>
              <w:rPr>
                <w:sz w:val="20"/>
                <w:lang w:val="fr-CA"/>
              </w:rPr>
            </w:pPr>
            <w:r w:rsidRPr="00FB5988">
              <w:rPr>
                <w:sz w:val="20"/>
                <w:lang w:val="fr-CA"/>
              </w:rPr>
              <w:t xml:space="preserve">Droit criminel — Preuve — Biens infractionnels — Confiscation — Au moment de l’audition sur la confiscation en vertu de la </w:t>
            </w:r>
            <w:r w:rsidRPr="00FB5988">
              <w:rPr>
                <w:i/>
                <w:sz w:val="20"/>
                <w:lang w:val="fr-CA"/>
              </w:rPr>
              <w:t>Loi réglementant certaines drogues et autres substances</w:t>
            </w:r>
            <w:r w:rsidRPr="00FB5988">
              <w:rPr>
                <w:sz w:val="20"/>
                <w:lang w:val="fr-CA"/>
              </w:rPr>
              <w:t xml:space="preserve"> (L.C. 1996, ch. 19), le Tribunal doit</w:t>
            </w:r>
            <w:r w:rsidRPr="00FB5988">
              <w:rPr>
                <w:sz w:val="20"/>
                <w:lang w:val="fr-CA"/>
              </w:rPr>
              <w:noBreakHyphen/>
              <w:t>il recommencer l’analyse d’exclusion du par. 24(2) de la Charte et considérer des éléments de preuve préalablement exclus? — Un bien infractionnel est</w:t>
            </w:r>
            <w:r w:rsidRPr="00FB5988">
              <w:rPr>
                <w:sz w:val="20"/>
                <w:lang w:val="fr-CA"/>
              </w:rPr>
              <w:noBreakHyphen/>
              <w:t xml:space="preserve">il un produit de la criminalité? — L’article 16(2) de la </w:t>
            </w:r>
            <w:r w:rsidRPr="00FB5988">
              <w:rPr>
                <w:i/>
                <w:sz w:val="20"/>
                <w:lang w:val="fr-CA"/>
              </w:rPr>
              <w:t>Loi réglementant certaines drogues et autres substances</w:t>
            </w:r>
            <w:r w:rsidRPr="00FB5988">
              <w:rPr>
                <w:sz w:val="20"/>
                <w:lang w:val="fr-CA"/>
              </w:rPr>
              <w:t xml:space="preserve"> permet</w:t>
            </w:r>
            <w:r w:rsidRPr="00FB5988">
              <w:rPr>
                <w:sz w:val="20"/>
                <w:lang w:val="fr-CA"/>
              </w:rPr>
              <w:noBreakHyphen/>
              <w:t>il de considérer des éléments de preuve saisis lors de perquisitions qui ont été faites précédemment, dans des dossiers clos?</w:t>
            </w:r>
          </w:p>
        </w:tc>
      </w:tr>
      <w:tr w:rsidR="00A061B8" w:rsidRPr="00EB6AAD" w:rsidTr="00164321">
        <w:tc>
          <w:tcPr>
            <w:tcW w:w="5000" w:type="pct"/>
            <w:gridSpan w:val="4"/>
          </w:tcPr>
          <w:p w:rsidR="00A061B8" w:rsidRPr="00FB5988" w:rsidRDefault="00A061B8" w:rsidP="00164321">
            <w:pPr>
              <w:jc w:val="both"/>
              <w:rPr>
                <w:sz w:val="20"/>
                <w:lang w:val="fr-CA"/>
              </w:rPr>
            </w:pPr>
          </w:p>
        </w:tc>
      </w:tr>
      <w:tr w:rsidR="00A061B8" w:rsidRPr="00EB6AAD" w:rsidTr="00164321">
        <w:tc>
          <w:tcPr>
            <w:tcW w:w="5000" w:type="pct"/>
            <w:gridSpan w:val="4"/>
          </w:tcPr>
          <w:p w:rsidR="00A061B8" w:rsidRPr="00FB5988" w:rsidRDefault="00A061B8" w:rsidP="00164321">
            <w:pPr>
              <w:jc w:val="both"/>
              <w:rPr>
                <w:sz w:val="20"/>
                <w:lang w:val="fr-CA"/>
              </w:rPr>
            </w:pPr>
            <w:r w:rsidRPr="00FB5988">
              <w:rPr>
                <w:sz w:val="20"/>
                <w:lang w:val="fr-CA"/>
              </w:rPr>
              <w:t>En 2013, le demandeur M. Vellone est arrêté pour trafic de stupéfiants. Suite à son arrestation, un télémandat est obtenu pour sa résidence. Lors de cette fouille, les policiers trouvent divers éléments de preuve. En 2018, dans le cadre de procédures criminelles prises contre M. Vellone, la Cour du Québec exclut la preuve obtenue à la résidence de M. Vellone. Par ailleurs, M. Vellone plaide coupable à l’infraction de possession en vue de trafic de cocaïne en rapport avec l’arrestation pour trafic de stupéfiants. L’intimée poursuivante demande la confiscation de la résidence de M. Vellone à titre de bien infractionnel.</w:t>
            </w:r>
          </w:p>
          <w:p w:rsidR="00A061B8" w:rsidRPr="00FB5988" w:rsidRDefault="00A061B8" w:rsidP="00164321">
            <w:pPr>
              <w:jc w:val="both"/>
              <w:rPr>
                <w:sz w:val="20"/>
                <w:lang w:val="fr-CA"/>
              </w:rPr>
            </w:pPr>
          </w:p>
          <w:p w:rsidR="00A061B8" w:rsidRPr="00FB5988" w:rsidRDefault="00A061B8" w:rsidP="00164321">
            <w:pPr>
              <w:jc w:val="both"/>
              <w:rPr>
                <w:sz w:val="20"/>
                <w:lang w:val="fr-CA"/>
              </w:rPr>
            </w:pPr>
            <w:r w:rsidRPr="00FB5988">
              <w:rPr>
                <w:sz w:val="20"/>
                <w:lang w:val="fr-CA"/>
              </w:rPr>
              <w:t>La Cour du Québec considère qu’il est clair que M. Vellone gardait les substances illégales et le produit de ses activités illicites dans son domicile. Après avoir mis en balance les circonstances particulières de l’affaire et les facteurs d’analyse de la proportionnalité, la cour conclut que la confiscation de la moitié de la résidence de M. Vellone est appropriée. La Cour d’appel, unanime, rejette l’appel. Elle considère que la juge de première instance n’a pas commis d’erreur qui justifierait son intervention.</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Le 22 mai 2019</w:t>
            </w:r>
          </w:p>
          <w:p w:rsidR="00A061B8" w:rsidRPr="00FB5988" w:rsidRDefault="00A061B8" w:rsidP="00164321">
            <w:pPr>
              <w:jc w:val="both"/>
              <w:rPr>
                <w:sz w:val="20"/>
                <w:lang w:val="fr-CA"/>
              </w:rPr>
            </w:pPr>
            <w:r w:rsidRPr="00FB5988">
              <w:rPr>
                <w:sz w:val="20"/>
                <w:lang w:val="fr-CA"/>
              </w:rPr>
              <w:t>Cour du Québec</w:t>
            </w:r>
          </w:p>
          <w:p w:rsidR="00A061B8" w:rsidRPr="00FB5988" w:rsidRDefault="00A061B8" w:rsidP="00164321">
            <w:pPr>
              <w:jc w:val="both"/>
              <w:rPr>
                <w:sz w:val="20"/>
                <w:lang w:val="fr-CA"/>
              </w:rPr>
            </w:pPr>
            <w:r w:rsidRPr="00FB5988">
              <w:rPr>
                <w:sz w:val="20"/>
                <w:lang w:val="fr-CA"/>
              </w:rPr>
              <w:t>(la juge Lanctôt)</w:t>
            </w:r>
          </w:p>
          <w:p w:rsidR="00A061B8" w:rsidRPr="00FB5988" w:rsidRDefault="00EB6AAD" w:rsidP="00164321">
            <w:pPr>
              <w:jc w:val="both"/>
              <w:rPr>
                <w:sz w:val="20"/>
              </w:rPr>
            </w:pPr>
            <w:hyperlink r:id="rId19" w:history="1">
              <w:r w:rsidR="00A061B8" w:rsidRPr="00FB5988">
                <w:rPr>
                  <w:rStyle w:val="Hyperlink"/>
                  <w:sz w:val="20"/>
                </w:rPr>
                <w:t>2019 QCCQ 11429</w:t>
              </w:r>
            </w:hyperlink>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Requête pour l’émission d’une ordonnance de confiscation accueillie</w:t>
            </w:r>
          </w:p>
          <w:p w:rsidR="00A061B8" w:rsidRPr="00FB5988" w:rsidRDefault="00A061B8" w:rsidP="00164321">
            <w:pPr>
              <w:jc w:val="both"/>
              <w:rPr>
                <w:sz w:val="20"/>
                <w:lang w:val="fr-CA"/>
              </w:rPr>
            </w:pPr>
          </w:p>
        </w:tc>
      </w:tr>
      <w:tr w:rsidR="00A061B8" w:rsidRPr="00FB5988" w:rsidTr="00164321">
        <w:tc>
          <w:tcPr>
            <w:tcW w:w="2427" w:type="pct"/>
            <w:gridSpan w:val="2"/>
          </w:tcPr>
          <w:p w:rsidR="00A061B8" w:rsidRPr="00FB5988" w:rsidRDefault="00A061B8" w:rsidP="00164321">
            <w:pPr>
              <w:jc w:val="both"/>
              <w:rPr>
                <w:sz w:val="20"/>
                <w:lang w:val="fr-CA"/>
              </w:rPr>
            </w:pPr>
            <w:r w:rsidRPr="00FB5988">
              <w:rPr>
                <w:sz w:val="20"/>
                <w:lang w:val="fr-CA"/>
              </w:rPr>
              <w:lastRenderedPageBreak/>
              <w:t>Le 25 mai 2020</w:t>
            </w:r>
          </w:p>
          <w:p w:rsidR="00A061B8" w:rsidRPr="00FB5988" w:rsidRDefault="00A061B8" w:rsidP="00164321">
            <w:pPr>
              <w:jc w:val="both"/>
              <w:rPr>
                <w:sz w:val="20"/>
                <w:lang w:val="fr-CA"/>
              </w:rPr>
            </w:pPr>
            <w:r w:rsidRPr="00FB5988">
              <w:rPr>
                <w:sz w:val="20"/>
                <w:lang w:val="fr-CA"/>
              </w:rPr>
              <w:t>Cour d’appel du Québec (Montréal)</w:t>
            </w:r>
          </w:p>
          <w:p w:rsidR="00A061B8" w:rsidRPr="00FB5988" w:rsidRDefault="00A061B8" w:rsidP="00164321">
            <w:pPr>
              <w:jc w:val="both"/>
              <w:rPr>
                <w:sz w:val="20"/>
                <w:lang w:val="fr-CA"/>
              </w:rPr>
            </w:pPr>
            <w:r w:rsidRPr="00FB5988">
              <w:rPr>
                <w:sz w:val="20"/>
                <w:lang w:val="fr-CA"/>
              </w:rPr>
              <w:t>(les juges Levesque, Hogue et Sansfaçon)</w:t>
            </w:r>
          </w:p>
          <w:p w:rsidR="00A061B8" w:rsidRPr="00FB5988" w:rsidRDefault="00EB6AAD" w:rsidP="00164321">
            <w:pPr>
              <w:jc w:val="both"/>
              <w:rPr>
                <w:sz w:val="20"/>
              </w:rPr>
            </w:pPr>
            <w:hyperlink r:id="rId20" w:history="1">
              <w:r w:rsidR="00A061B8" w:rsidRPr="00FB5988">
                <w:rPr>
                  <w:rStyle w:val="Hyperlink"/>
                  <w:sz w:val="20"/>
                </w:rPr>
                <w:t>2020 QCCA 665</w:t>
              </w:r>
            </w:hyperlink>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rPr>
            </w:pPr>
            <w:r w:rsidRPr="00FB5988">
              <w:rPr>
                <w:sz w:val="20"/>
              </w:rPr>
              <w:t>Appel rejeté</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lang w:val="fr-CA"/>
              </w:rPr>
            </w:pPr>
            <w:r w:rsidRPr="00FB5988">
              <w:rPr>
                <w:sz w:val="20"/>
                <w:lang w:val="fr-CA"/>
              </w:rPr>
              <w:t>Le 4 août 2020</w:t>
            </w:r>
          </w:p>
          <w:p w:rsidR="00A061B8" w:rsidRPr="00FB5988" w:rsidRDefault="00A061B8" w:rsidP="00164321">
            <w:pPr>
              <w:jc w:val="both"/>
              <w:rPr>
                <w:sz w:val="20"/>
                <w:lang w:val="fr-CA"/>
              </w:rPr>
            </w:pPr>
            <w:r w:rsidRPr="00FB5988">
              <w:rPr>
                <w:sz w:val="20"/>
                <w:lang w:val="fr-CA"/>
              </w:rPr>
              <w:t>Cour suprême du Canada</w:t>
            </w: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rPr>
            </w:pPr>
            <w:r w:rsidRPr="00FB5988">
              <w:rPr>
                <w:sz w:val="20"/>
              </w:rPr>
              <w:t>Demande d'autorisation d'appel déposée</w:t>
            </w:r>
          </w:p>
          <w:p w:rsidR="00A061B8" w:rsidRPr="00FB5988" w:rsidRDefault="00A061B8" w:rsidP="00164321">
            <w:pPr>
              <w:jc w:val="both"/>
              <w:rPr>
                <w:sz w:val="20"/>
              </w:rPr>
            </w:pPr>
          </w:p>
        </w:tc>
      </w:tr>
    </w:tbl>
    <w:p w:rsidR="00A061B8" w:rsidRPr="00FB5988" w:rsidRDefault="00A061B8" w:rsidP="00A061B8">
      <w:pPr>
        <w:jc w:val="both"/>
        <w:rPr>
          <w:sz w:val="20"/>
        </w:rPr>
      </w:pPr>
    </w:p>
    <w:p w:rsidR="00A061B8" w:rsidRPr="00FB5988" w:rsidRDefault="00EB6AAD" w:rsidP="00A061B8">
      <w:pPr>
        <w:jc w:val="both"/>
        <w:rPr>
          <w:sz w:val="20"/>
        </w:rPr>
      </w:pPr>
      <w:r>
        <w:rPr>
          <w:sz w:val="20"/>
        </w:rPr>
        <w:pict>
          <v:rect id="_x0000_i1033" style="width:2in;height:1pt" o:hrpct="0" o:hralign="center" o:hrstd="t" o:hrnoshade="t" o:hr="t" fillcolor="black [3213]" stroked="f"/>
        </w:pict>
      </w:r>
    </w:p>
    <w:p w:rsidR="00A061B8" w:rsidRPr="00FB5988" w:rsidRDefault="00A061B8" w:rsidP="00A061B8">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rPr>
            </w:pPr>
            <w:r w:rsidRPr="00FB5988">
              <w:rPr>
                <w:rStyle w:val="SCCFileNumberChar"/>
                <w:sz w:val="20"/>
                <w:szCs w:val="20"/>
              </w:rPr>
              <w:t>39412</w:t>
            </w:r>
          </w:p>
        </w:tc>
        <w:tc>
          <w:tcPr>
            <w:tcW w:w="4457" w:type="pct"/>
            <w:gridSpan w:val="3"/>
          </w:tcPr>
          <w:p w:rsidR="00A061B8" w:rsidRPr="00FB5988" w:rsidRDefault="00A061B8" w:rsidP="00164321">
            <w:pPr>
              <w:pStyle w:val="SCCLsocParty"/>
              <w:jc w:val="both"/>
              <w:rPr>
                <w:b/>
                <w:sz w:val="20"/>
                <w:szCs w:val="20"/>
                <w:lang w:val="en-US"/>
              </w:rPr>
            </w:pPr>
            <w:r w:rsidRPr="00FB5988">
              <w:rPr>
                <w:b/>
                <w:sz w:val="20"/>
                <w:szCs w:val="20"/>
                <w:lang w:val="en-US"/>
              </w:rPr>
              <w:t>Ronald Wilkins v. Her Majesty the Queen</w:t>
            </w:r>
          </w:p>
          <w:p w:rsidR="00A061B8" w:rsidRPr="00FB5988" w:rsidRDefault="00A061B8" w:rsidP="00164321">
            <w:pPr>
              <w:jc w:val="both"/>
              <w:rPr>
                <w:sz w:val="20"/>
              </w:rPr>
            </w:pPr>
            <w:r w:rsidRPr="00FB5988">
              <w:rPr>
                <w:sz w:val="20"/>
              </w:rPr>
              <w:t>(Ont.) (Criminal) (By Leave)</w:t>
            </w:r>
          </w:p>
        </w:tc>
      </w:tr>
      <w:tr w:rsidR="00A061B8" w:rsidRPr="00FB5988" w:rsidTr="00164321">
        <w:tc>
          <w:tcPr>
            <w:tcW w:w="5000" w:type="pct"/>
            <w:gridSpan w:val="4"/>
          </w:tcPr>
          <w:p w:rsidR="00164321" w:rsidRPr="00FB5988" w:rsidRDefault="00164321" w:rsidP="00164321">
            <w:pPr>
              <w:jc w:val="both"/>
              <w:rPr>
                <w:sz w:val="20"/>
                <w:szCs w:val="20"/>
              </w:rPr>
            </w:pPr>
            <w:r w:rsidRPr="00FB5988">
              <w:rPr>
                <w:sz w:val="20"/>
                <w:szCs w:val="20"/>
              </w:rPr>
              <w:t>The motion for an extension of time to serve and file the application for leave to appeal is granted. The application for leave to appeal from the judgment of the Court of Appeal for Ontario, Number C66261, 2020 ONCA 308, dated May 22, 2020, is dismissed.</w:t>
            </w:r>
          </w:p>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t xml:space="preserve">Criminal law — Jurors — Selection — Does an accused with the benefit of a s. 530 </w:t>
            </w:r>
            <w:r w:rsidRPr="00FB5988">
              <w:rPr>
                <w:i/>
                <w:sz w:val="20"/>
              </w:rPr>
              <w:t>Criminal Code</w:t>
            </w:r>
            <w:r w:rsidRPr="00FB5988">
              <w:rPr>
                <w:sz w:val="20"/>
              </w:rPr>
              <w:t xml:space="preserve"> order have a right to challenge jurors for cause on their ability to speak the official language of the accused — Does the word ‘speak’ in ss. 530(1), 530(2), 530(4), 530.1(c), 530.1(d), 531, and s. 638(1)(f) of the </w:t>
            </w:r>
            <w:r w:rsidRPr="00FB5988">
              <w:rPr>
                <w:i/>
                <w:sz w:val="20"/>
              </w:rPr>
              <w:t>Criminal Code</w:t>
            </w:r>
            <w:r w:rsidRPr="00FB5988">
              <w:rPr>
                <w:sz w:val="20"/>
              </w:rPr>
              <w:t xml:space="preserve"> mean linguistic competence — Does the mandatory linguistic requirement for the judge in s. 16 of the </w:t>
            </w:r>
            <w:r w:rsidRPr="00FB5988">
              <w:rPr>
                <w:i/>
                <w:sz w:val="20"/>
              </w:rPr>
              <w:t>Official Languages Act</w:t>
            </w:r>
            <w:r w:rsidRPr="00FB5988">
              <w:rPr>
                <w:sz w:val="20"/>
              </w:rPr>
              <w:t xml:space="preserve"> differ from the requirement for the juror in s. 638(1)(f) of the </w:t>
            </w:r>
            <w:r w:rsidRPr="00FB5988">
              <w:rPr>
                <w:i/>
                <w:sz w:val="20"/>
              </w:rPr>
              <w:t>Criminal Code</w:t>
            </w:r>
            <w:r w:rsidRPr="00FB5988">
              <w:rPr>
                <w:sz w:val="20"/>
              </w:rPr>
              <w:t xml:space="preserve"> — Is linguistic competence, like impartiality, one of the qualities of a jury that is constitutionally required — Did the trial judge lose jurisdiction by failing to permit the s. 638(1)(f) of the </w:t>
            </w:r>
            <w:r w:rsidRPr="00FB5988">
              <w:rPr>
                <w:i/>
                <w:sz w:val="20"/>
              </w:rPr>
              <w:t>Criminal Code</w:t>
            </w:r>
            <w:r w:rsidRPr="00FB5988">
              <w:rPr>
                <w:sz w:val="20"/>
              </w:rPr>
              <w:t xml:space="preserve"> challenge?</w:t>
            </w:r>
          </w:p>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pStyle w:val="aparanumbering"/>
              <w:jc w:val="both"/>
              <w:rPr>
                <w:sz w:val="20"/>
                <w:szCs w:val="20"/>
                <w:lang w:val="en"/>
              </w:rPr>
            </w:pPr>
            <w:r w:rsidRPr="00FB5988">
              <w:rPr>
                <w:color w:val="000000"/>
                <w:sz w:val="20"/>
                <w:szCs w:val="20"/>
              </w:rPr>
              <w:t xml:space="preserve">Prior to his trial on two drug charges, the applicant obtained an order under s. 530 of the </w:t>
            </w:r>
            <w:r w:rsidRPr="00FB5988">
              <w:rPr>
                <w:i/>
                <w:color w:val="000000"/>
                <w:sz w:val="20"/>
                <w:szCs w:val="20"/>
              </w:rPr>
              <w:t xml:space="preserve">Criminal Code </w:t>
            </w:r>
            <w:r w:rsidRPr="00FB5988">
              <w:rPr>
                <w:color w:val="000000"/>
                <w:sz w:val="20"/>
                <w:szCs w:val="20"/>
              </w:rPr>
              <w:t>directing that his trial proceed in English. He then sought to challenge every potential juror at trial on their competency in English pursuant to s. 638(1</w:t>
            </w:r>
            <w:proofErr w:type="gramStart"/>
            <w:r w:rsidRPr="00FB5988">
              <w:rPr>
                <w:color w:val="000000"/>
                <w:sz w:val="20"/>
                <w:szCs w:val="20"/>
              </w:rPr>
              <w:t>)(</w:t>
            </w:r>
            <w:proofErr w:type="gramEnd"/>
            <w:r w:rsidRPr="00FB5988">
              <w:rPr>
                <w:color w:val="000000"/>
                <w:sz w:val="20"/>
                <w:szCs w:val="20"/>
              </w:rPr>
              <w:t xml:space="preserve">f) of the </w:t>
            </w:r>
            <w:r w:rsidRPr="00FB5988">
              <w:rPr>
                <w:i/>
                <w:color w:val="000000"/>
                <w:sz w:val="20"/>
                <w:szCs w:val="20"/>
              </w:rPr>
              <w:t>Criminal Code</w:t>
            </w:r>
            <w:r w:rsidRPr="00FB5988">
              <w:rPr>
                <w:color w:val="000000"/>
                <w:sz w:val="20"/>
                <w:szCs w:val="20"/>
              </w:rPr>
              <w:t xml:space="preserve">. </w:t>
            </w:r>
            <w:r w:rsidRPr="00FB5988">
              <w:rPr>
                <w:sz w:val="20"/>
                <w:szCs w:val="20"/>
                <w:lang w:val="en"/>
              </w:rPr>
              <w:t>Dawson J. dismissed the application. The applicant was convicted of possession for the purpose of trafficking. The Court of Appeal dismissed the appeal.</w:t>
            </w:r>
          </w:p>
        </w:tc>
      </w:tr>
      <w:tr w:rsidR="00A061B8" w:rsidRPr="00FB5988" w:rsidTr="00164321">
        <w:tc>
          <w:tcPr>
            <w:tcW w:w="5000" w:type="pct"/>
            <w:gridSpan w:val="4"/>
          </w:tcPr>
          <w:p w:rsidR="00A061B8" w:rsidRPr="00FB5988" w:rsidRDefault="00A061B8" w:rsidP="00164321">
            <w:pPr>
              <w:pStyle w:val="aparanumbering"/>
              <w:jc w:val="both"/>
              <w:rPr>
                <w:sz w:val="20"/>
                <w:szCs w:val="20"/>
                <w:lang w:val="en"/>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May 2, 2016</w:t>
            </w:r>
          </w:p>
          <w:p w:rsidR="00A061B8" w:rsidRPr="00FB5988" w:rsidRDefault="00A061B8" w:rsidP="00164321">
            <w:pPr>
              <w:jc w:val="both"/>
              <w:rPr>
                <w:sz w:val="20"/>
              </w:rPr>
            </w:pPr>
            <w:r w:rsidRPr="00FB5988">
              <w:rPr>
                <w:sz w:val="20"/>
              </w:rPr>
              <w:t>Ontario Superior Court of Justice</w:t>
            </w:r>
          </w:p>
          <w:p w:rsidR="00A061B8" w:rsidRPr="00FB5988" w:rsidRDefault="00A061B8" w:rsidP="00164321">
            <w:pPr>
              <w:jc w:val="both"/>
              <w:rPr>
                <w:sz w:val="20"/>
              </w:rPr>
            </w:pPr>
            <w:r w:rsidRPr="00FB5988">
              <w:rPr>
                <w:sz w:val="20"/>
              </w:rPr>
              <w:t>(Dawson J.)</w:t>
            </w:r>
          </w:p>
          <w:p w:rsidR="00A061B8" w:rsidRPr="00FB5988" w:rsidRDefault="00A061B8" w:rsidP="00164321">
            <w:pPr>
              <w:jc w:val="both"/>
              <w:rPr>
                <w:sz w:val="20"/>
              </w:rPr>
            </w:pPr>
            <w:r w:rsidRPr="00FB5988">
              <w:rPr>
                <w:sz w:val="20"/>
              </w:rPr>
              <w:t>2016 ONSC 2966 (unreported)</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Application dismissed</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August 13, 2018</w:t>
            </w:r>
          </w:p>
          <w:p w:rsidR="00A061B8" w:rsidRPr="00FB5988" w:rsidRDefault="00A061B8" w:rsidP="00164321">
            <w:pPr>
              <w:jc w:val="both"/>
              <w:rPr>
                <w:sz w:val="20"/>
              </w:rPr>
            </w:pPr>
            <w:r w:rsidRPr="00FB5988">
              <w:rPr>
                <w:sz w:val="20"/>
              </w:rPr>
              <w:t>Ontario Superior Court of Justice</w:t>
            </w:r>
          </w:p>
          <w:p w:rsidR="00A061B8" w:rsidRPr="00FB5988" w:rsidRDefault="00A061B8" w:rsidP="00164321">
            <w:pPr>
              <w:jc w:val="both"/>
              <w:rPr>
                <w:sz w:val="20"/>
              </w:rPr>
            </w:pPr>
            <w:r w:rsidRPr="00FB5988">
              <w:rPr>
                <w:sz w:val="20"/>
              </w:rPr>
              <w:t>(Coroza J.)</w:t>
            </w:r>
          </w:p>
          <w:p w:rsidR="00A061B8" w:rsidRPr="00FB5988" w:rsidRDefault="00A061B8" w:rsidP="00164321">
            <w:pPr>
              <w:jc w:val="both"/>
              <w:rPr>
                <w:sz w:val="20"/>
              </w:rPr>
            </w:pPr>
            <w:r w:rsidRPr="00FB5988">
              <w:rPr>
                <w:sz w:val="20"/>
              </w:rPr>
              <w:t>2018 ONSC 4865 (unreported)</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Conviction: possession for the purpose of trafficking</w:t>
            </w:r>
          </w:p>
        </w:tc>
      </w:tr>
      <w:tr w:rsidR="00A061B8" w:rsidRPr="00FB5988" w:rsidTr="00164321">
        <w:tc>
          <w:tcPr>
            <w:tcW w:w="2427" w:type="pct"/>
            <w:gridSpan w:val="2"/>
          </w:tcPr>
          <w:p w:rsidR="00A061B8" w:rsidRPr="00FB5988" w:rsidRDefault="00A061B8" w:rsidP="00164321">
            <w:pPr>
              <w:jc w:val="both"/>
              <w:rPr>
                <w:sz w:val="20"/>
              </w:rPr>
            </w:pPr>
            <w:r w:rsidRPr="00FB5988">
              <w:rPr>
                <w:sz w:val="20"/>
              </w:rPr>
              <w:t>May 22, 2020</w:t>
            </w:r>
          </w:p>
          <w:p w:rsidR="00A061B8" w:rsidRPr="00FB5988" w:rsidRDefault="00A061B8" w:rsidP="00164321">
            <w:pPr>
              <w:jc w:val="both"/>
              <w:rPr>
                <w:sz w:val="20"/>
              </w:rPr>
            </w:pPr>
            <w:r w:rsidRPr="00FB5988">
              <w:rPr>
                <w:sz w:val="20"/>
              </w:rPr>
              <w:t>Court of Appeal for Ontario</w:t>
            </w:r>
          </w:p>
          <w:p w:rsidR="00A061B8" w:rsidRPr="00FB5988" w:rsidRDefault="00A061B8" w:rsidP="00164321">
            <w:pPr>
              <w:jc w:val="both"/>
              <w:rPr>
                <w:sz w:val="20"/>
              </w:rPr>
            </w:pPr>
            <w:r w:rsidRPr="00FB5988">
              <w:rPr>
                <w:sz w:val="20"/>
              </w:rPr>
              <w:t>(Watt, Huscroft, Trotter JJ.A.)</w:t>
            </w:r>
          </w:p>
          <w:p w:rsidR="00A061B8" w:rsidRPr="00FB5988" w:rsidRDefault="00EB6AAD" w:rsidP="00164321">
            <w:pPr>
              <w:jc w:val="both"/>
              <w:rPr>
                <w:sz w:val="20"/>
              </w:rPr>
            </w:pPr>
            <w:hyperlink r:id="rId21" w:history="1">
              <w:r w:rsidR="00A061B8" w:rsidRPr="00FB5988">
                <w:rPr>
                  <w:rStyle w:val="Hyperlink"/>
                  <w:sz w:val="20"/>
                </w:rPr>
                <w:t>2020 ONCA 308</w:t>
              </w:r>
            </w:hyperlink>
            <w:r w:rsidR="00A061B8" w:rsidRPr="00FB5988">
              <w:rPr>
                <w:sz w:val="20"/>
              </w:rPr>
              <w:t>; C66261</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Appeal dismissed</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November 12, 2020</w:t>
            </w:r>
          </w:p>
          <w:p w:rsidR="00A061B8" w:rsidRPr="00FB5988" w:rsidRDefault="00A061B8" w:rsidP="00164321">
            <w:pPr>
              <w:jc w:val="both"/>
              <w:rPr>
                <w:sz w:val="20"/>
              </w:rPr>
            </w:pPr>
            <w:r w:rsidRPr="00FB5988">
              <w:rPr>
                <w:sz w:val="20"/>
              </w:rPr>
              <w:t>Supreme Court of Canada</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Application for leave to appeal filed</w:t>
            </w:r>
          </w:p>
          <w:p w:rsidR="00A061B8" w:rsidRPr="00FB5988" w:rsidRDefault="00A061B8" w:rsidP="00164321">
            <w:pPr>
              <w:jc w:val="both"/>
              <w:rPr>
                <w:sz w:val="20"/>
              </w:rPr>
            </w:pPr>
          </w:p>
        </w:tc>
      </w:tr>
    </w:tbl>
    <w:p w:rsidR="006E184E" w:rsidRPr="00FB5988" w:rsidRDefault="006E184E">
      <w:r w:rsidRPr="00FB5988">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A061B8" w:rsidRPr="00FB5988" w:rsidTr="00164321">
        <w:tc>
          <w:tcPr>
            <w:tcW w:w="2427" w:type="pct"/>
          </w:tcPr>
          <w:p w:rsidR="00A061B8" w:rsidRPr="00FB5988" w:rsidRDefault="00A061B8" w:rsidP="00164321">
            <w:pPr>
              <w:jc w:val="both"/>
              <w:rPr>
                <w:sz w:val="20"/>
              </w:rPr>
            </w:pPr>
            <w:r w:rsidRPr="00FB5988">
              <w:rPr>
                <w:sz w:val="20"/>
              </w:rPr>
              <w:lastRenderedPageBreak/>
              <w:t>December 14, 2020</w:t>
            </w:r>
          </w:p>
          <w:p w:rsidR="00A061B8" w:rsidRPr="00FB5988" w:rsidRDefault="00A061B8" w:rsidP="00164321">
            <w:pPr>
              <w:jc w:val="both"/>
              <w:rPr>
                <w:sz w:val="20"/>
              </w:rPr>
            </w:pPr>
            <w:r w:rsidRPr="00FB5988">
              <w:rPr>
                <w:sz w:val="20"/>
              </w:rPr>
              <w:t>Supreme Court of Canada</w:t>
            </w: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Motion for an extension of time to file an amended application for leave to appeal filed</w:t>
            </w:r>
          </w:p>
        </w:tc>
      </w:tr>
    </w:tbl>
    <w:p w:rsidR="00A061B8" w:rsidRPr="00FB5988" w:rsidRDefault="00A061B8" w:rsidP="00A061B8">
      <w:pPr>
        <w:jc w:val="both"/>
        <w:rPr>
          <w:sz w:val="20"/>
        </w:rPr>
      </w:pPr>
    </w:p>
    <w:p w:rsidR="00A061B8" w:rsidRPr="00FB5988" w:rsidRDefault="00EB6AAD" w:rsidP="00A061B8">
      <w:pPr>
        <w:jc w:val="both"/>
        <w:rPr>
          <w:sz w:val="20"/>
        </w:rPr>
      </w:pPr>
      <w:r>
        <w:rPr>
          <w:sz w:val="20"/>
        </w:rPr>
        <w:pict>
          <v:rect id="_x0000_i1034" style="width:2in;height:1pt" o:hrpct="0" o:hralign="center" o:hrstd="t" o:hrnoshade="t" o:hr="t" fillcolor="black [3213]" stroked="f"/>
        </w:pict>
      </w:r>
    </w:p>
    <w:p w:rsidR="00A061B8" w:rsidRPr="00FB5988" w:rsidRDefault="00A061B8" w:rsidP="00A061B8">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lang w:val="fr-CA"/>
              </w:rPr>
            </w:pPr>
            <w:r w:rsidRPr="00FB5988">
              <w:rPr>
                <w:rStyle w:val="SCCFileNumberChar"/>
                <w:sz w:val="20"/>
                <w:szCs w:val="20"/>
                <w:lang w:val="fr-CA"/>
              </w:rPr>
              <w:t>39412</w:t>
            </w:r>
          </w:p>
        </w:tc>
        <w:tc>
          <w:tcPr>
            <w:tcW w:w="4457" w:type="pct"/>
            <w:gridSpan w:val="3"/>
          </w:tcPr>
          <w:p w:rsidR="00A061B8" w:rsidRPr="00FB5988" w:rsidRDefault="00A061B8" w:rsidP="00164321">
            <w:pPr>
              <w:pStyle w:val="SCCLsocParty"/>
              <w:jc w:val="both"/>
              <w:rPr>
                <w:b/>
                <w:sz w:val="20"/>
                <w:szCs w:val="20"/>
              </w:rPr>
            </w:pPr>
            <w:r w:rsidRPr="00FB5988">
              <w:rPr>
                <w:b/>
                <w:sz w:val="20"/>
                <w:szCs w:val="20"/>
              </w:rPr>
              <w:t>Ronald Wilkins c. Sa Majesté la Reine</w:t>
            </w:r>
          </w:p>
          <w:p w:rsidR="00A061B8" w:rsidRPr="00FB5988" w:rsidRDefault="00A061B8" w:rsidP="00164321">
            <w:pPr>
              <w:jc w:val="both"/>
              <w:rPr>
                <w:sz w:val="20"/>
                <w:lang w:val="fr-CA"/>
              </w:rPr>
            </w:pPr>
            <w:r w:rsidRPr="00FB5988">
              <w:rPr>
                <w:sz w:val="20"/>
                <w:lang w:val="fr-CA"/>
              </w:rPr>
              <w:t>(Ont.) (Criminelle) (Sur autorisation)</w:t>
            </w:r>
          </w:p>
        </w:tc>
      </w:tr>
      <w:tr w:rsidR="00A061B8" w:rsidRPr="00EB6AAD" w:rsidTr="00164321">
        <w:tc>
          <w:tcPr>
            <w:tcW w:w="5000" w:type="pct"/>
            <w:gridSpan w:val="4"/>
          </w:tcPr>
          <w:p w:rsidR="00A061B8" w:rsidRPr="00FB5988" w:rsidRDefault="00164321" w:rsidP="00164321">
            <w:pPr>
              <w:jc w:val="both"/>
              <w:rPr>
                <w:sz w:val="20"/>
                <w:szCs w:val="20"/>
                <w:lang w:val="fr-CA"/>
              </w:rPr>
            </w:pPr>
            <w:r w:rsidRPr="00FB5988">
              <w:rPr>
                <w:rFonts w:cs="Times New Roman"/>
                <w:sz w:val="20"/>
                <w:szCs w:val="20"/>
                <w:lang w:val="fr-CA"/>
              </w:rPr>
              <w:t xml:space="preserve">La requête en prorogation du délai de signification et de dépôt de la demande d’autorisation d’appel est accueillie. </w:t>
            </w:r>
            <w:r w:rsidRPr="00FB5988">
              <w:rPr>
                <w:sz w:val="20"/>
                <w:szCs w:val="20"/>
                <w:lang w:val="fr-CA"/>
              </w:rPr>
              <w:t>La demande d’autorisation d’appel de l’arrêt de la Cour d’appel de l’Ontario, numéro C66261, 2020 ONCA 308, daté du 22 mai 2020, est rejetée.</w:t>
            </w:r>
          </w:p>
          <w:p w:rsidR="00164321" w:rsidRPr="00FB5988" w:rsidRDefault="00164321" w:rsidP="00164321">
            <w:pPr>
              <w:jc w:val="both"/>
              <w:rPr>
                <w:sz w:val="20"/>
                <w:lang w:val="fr-CA"/>
              </w:rPr>
            </w:pPr>
          </w:p>
        </w:tc>
      </w:tr>
      <w:tr w:rsidR="00A061B8" w:rsidRPr="00EB6AAD" w:rsidTr="00164321">
        <w:tc>
          <w:tcPr>
            <w:tcW w:w="5000" w:type="pct"/>
            <w:gridSpan w:val="4"/>
          </w:tcPr>
          <w:p w:rsidR="00A061B8" w:rsidRPr="00FB5988" w:rsidRDefault="00A061B8" w:rsidP="00164321">
            <w:pPr>
              <w:jc w:val="both"/>
              <w:rPr>
                <w:sz w:val="20"/>
                <w:lang w:val="fr-CA"/>
              </w:rPr>
            </w:pPr>
            <w:r w:rsidRPr="00FB5988">
              <w:rPr>
                <w:sz w:val="20"/>
                <w:lang w:val="fr-CA"/>
              </w:rPr>
              <w:t>Droit criminel — Jurés — Sélection — Un accusé, qui bénéficie d’une ordonnance rendue en vertu de l’art. 530 du</w:t>
            </w:r>
            <w:r w:rsidRPr="00FB5988">
              <w:rPr>
                <w:i/>
                <w:sz w:val="20"/>
                <w:lang w:val="fr-CA"/>
              </w:rPr>
              <w:t xml:space="preserve"> Code criminel,</w:t>
            </w:r>
            <w:r w:rsidRPr="00FB5988">
              <w:rPr>
                <w:sz w:val="20"/>
                <w:lang w:val="fr-CA"/>
              </w:rPr>
              <w:t xml:space="preserve"> a</w:t>
            </w:r>
            <w:r w:rsidRPr="00FB5988">
              <w:rPr>
                <w:sz w:val="20"/>
                <w:lang w:val="fr-CA"/>
              </w:rPr>
              <w:noBreakHyphen/>
              <w:t>t</w:t>
            </w:r>
            <w:r w:rsidRPr="00FB5988">
              <w:rPr>
                <w:sz w:val="20"/>
                <w:lang w:val="fr-CA"/>
              </w:rPr>
              <w:noBreakHyphen/>
              <w:t xml:space="preserve">il le droit de recourir à la procédure de récusation motivée des jurés se fondant sur leur capacité de parler la langue officielle de l’accusé? — Le mot « parle » ou « parlent » aux </w:t>
            </w:r>
            <w:proofErr w:type="spellStart"/>
            <w:r w:rsidRPr="00FB5988">
              <w:rPr>
                <w:sz w:val="20"/>
                <w:lang w:val="fr-CA"/>
              </w:rPr>
              <w:t>par</w:t>
            </w:r>
            <w:proofErr w:type="spellEnd"/>
            <w:r w:rsidRPr="00FB5988">
              <w:rPr>
                <w:sz w:val="20"/>
                <w:lang w:val="fr-CA"/>
              </w:rPr>
              <w:t xml:space="preserve">. 530(1), 530(2), 530(4), aux al. 530.1c), 530.1d), à l’art 531 et à l’al. 638(1)f) du </w:t>
            </w:r>
            <w:r w:rsidRPr="00FB5988">
              <w:rPr>
                <w:i/>
                <w:sz w:val="20"/>
                <w:lang w:val="fr-CA"/>
              </w:rPr>
              <w:t xml:space="preserve">Code criminel </w:t>
            </w:r>
            <w:r w:rsidRPr="00FB5988">
              <w:rPr>
                <w:sz w:val="20"/>
                <w:lang w:val="fr-CA"/>
              </w:rPr>
              <w:t>signifie</w:t>
            </w:r>
            <w:r w:rsidRPr="00FB5988">
              <w:rPr>
                <w:sz w:val="20"/>
                <w:lang w:val="fr-CA"/>
              </w:rPr>
              <w:noBreakHyphen/>
              <w:t>t</w:t>
            </w:r>
            <w:r w:rsidRPr="00FB5988">
              <w:rPr>
                <w:sz w:val="20"/>
                <w:lang w:val="fr-CA"/>
              </w:rPr>
              <w:noBreakHyphen/>
              <w:t xml:space="preserve">il compétence linguistique? — L’exigence linguistique obligatoire s’adressant au juge, à l’art. 16 de la </w:t>
            </w:r>
            <w:r w:rsidRPr="00FB5988">
              <w:rPr>
                <w:i/>
                <w:sz w:val="20"/>
                <w:lang w:val="fr-CA"/>
              </w:rPr>
              <w:t>Loi sur les langues officielles,</w:t>
            </w:r>
            <w:r w:rsidRPr="00FB5988">
              <w:rPr>
                <w:sz w:val="20"/>
                <w:lang w:val="fr-CA"/>
              </w:rPr>
              <w:t xml:space="preserve"> diffère</w:t>
            </w:r>
            <w:r w:rsidRPr="00FB5988">
              <w:rPr>
                <w:sz w:val="20"/>
                <w:lang w:val="fr-CA"/>
              </w:rPr>
              <w:noBreakHyphen/>
              <w:t>t</w:t>
            </w:r>
            <w:r w:rsidRPr="00FB5988">
              <w:rPr>
                <w:sz w:val="20"/>
                <w:lang w:val="fr-CA"/>
              </w:rPr>
              <w:noBreakHyphen/>
              <w:t xml:space="preserve">elle de l’exigence s’adressant au juré aux termes de l’al. 638(1)f) du </w:t>
            </w:r>
            <w:r w:rsidRPr="00FB5988">
              <w:rPr>
                <w:i/>
                <w:sz w:val="20"/>
                <w:lang w:val="fr-CA"/>
              </w:rPr>
              <w:t>Code criminel</w:t>
            </w:r>
            <w:r w:rsidRPr="00FB5988">
              <w:rPr>
                <w:sz w:val="20"/>
                <w:lang w:val="fr-CA"/>
              </w:rPr>
              <w:t>?</w:t>
            </w:r>
            <w:r w:rsidRPr="00FB5988">
              <w:rPr>
                <w:i/>
                <w:sz w:val="20"/>
                <w:lang w:val="fr-CA"/>
              </w:rPr>
              <w:t xml:space="preserve"> </w:t>
            </w:r>
            <w:r w:rsidRPr="00FB5988">
              <w:rPr>
                <w:sz w:val="20"/>
                <w:lang w:val="fr-CA"/>
              </w:rPr>
              <w:t>— La compétence linguistique est</w:t>
            </w:r>
            <w:r w:rsidRPr="00FB5988">
              <w:rPr>
                <w:sz w:val="20"/>
                <w:lang w:val="fr-CA"/>
              </w:rPr>
              <w:noBreakHyphen/>
              <w:t>elle, au même titre que l’impartialité, l’une des qualités requises d’un jury sur le plan constitutionnel? — La juge de première instance a</w:t>
            </w:r>
            <w:r w:rsidRPr="00FB5988">
              <w:rPr>
                <w:sz w:val="20"/>
                <w:lang w:val="fr-CA"/>
              </w:rPr>
              <w:noBreakHyphen/>
              <w:t>t</w:t>
            </w:r>
            <w:r w:rsidRPr="00FB5988">
              <w:rPr>
                <w:sz w:val="20"/>
                <w:lang w:val="fr-CA"/>
              </w:rPr>
              <w:noBreakHyphen/>
              <w:t xml:space="preserve">elle perdu sa compétence en refusant de faire droit à la contestation en vertu de l’al. 638(1)f) du </w:t>
            </w:r>
            <w:r w:rsidRPr="00FB5988">
              <w:rPr>
                <w:i/>
                <w:sz w:val="20"/>
                <w:lang w:val="fr-CA"/>
              </w:rPr>
              <w:t>Code criminel</w:t>
            </w:r>
            <w:r w:rsidRPr="00FB5988">
              <w:rPr>
                <w:sz w:val="20"/>
                <w:lang w:val="fr-CA"/>
              </w:rPr>
              <w:t>?</w:t>
            </w:r>
          </w:p>
          <w:p w:rsidR="00A061B8" w:rsidRPr="00FB5988" w:rsidRDefault="00A061B8" w:rsidP="00164321">
            <w:pPr>
              <w:jc w:val="both"/>
              <w:rPr>
                <w:sz w:val="20"/>
                <w:lang w:val="fr-CA"/>
              </w:rPr>
            </w:pPr>
          </w:p>
        </w:tc>
      </w:tr>
      <w:tr w:rsidR="00A061B8" w:rsidRPr="00FB5988" w:rsidTr="00164321">
        <w:tc>
          <w:tcPr>
            <w:tcW w:w="5000" w:type="pct"/>
            <w:gridSpan w:val="4"/>
          </w:tcPr>
          <w:p w:rsidR="00A061B8" w:rsidRPr="00FB5988" w:rsidRDefault="00A061B8" w:rsidP="00164321">
            <w:pPr>
              <w:pStyle w:val="aparanumbering"/>
              <w:jc w:val="both"/>
              <w:rPr>
                <w:sz w:val="20"/>
                <w:szCs w:val="20"/>
                <w:lang w:val="fr-CA"/>
              </w:rPr>
            </w:pPr>
            <w:r w:rsidRPr="00FB5988">
              <w:rPr>
                <w:color w:val="000000"/>
                <w:sz w:val="20"/>
                <w:szCs w:val="20"/>
                <w:lang w:val="fr-CA"/>
              </w:rPr>
              <w:t xml:space="preserve">Avant la tenue de son procès à l’égard de deux accusations liées aux drogues, le demandeur a obtenu une ordonnance en vertu de l’art. 530 </w:t>
            </w:r>
            <w:r w:rsidRPr="00FB5988">
              <w:rPr>
                <w:sz w:val="20"/>
                <w:szCs w:val="20"/>
                <w:lang w:val="fr-CA"/>
              </w:rPr>
              <w:t xml:space="preserve">du </w:t>
            </w:r>
            <w:r w:rsidRPr="00FB5988">
              <w:rPr>
                <w:i/>
                <w:sz w:val="20"/>
                <w:szCs w:val="20"/>
                <w:lang w:val="fr-CA"/>
              </w:rPr>
              <w:t xml:space="preserve">Code criminel </w:t>
            </w:r>
            <w:r w:rsidRPr="00FB5988">
              <w:rPr>
                <w:color w:val="000000"/>
                <w:sz w:val="20"/>
                <w:szCs w:val="20"/>
                <w:lang w:val="fr-CA"/>
              </w:rPr>
              <w:t xml:space="preserve">pour que son procès soit tenu en anglais. Il a ensuite demandé s’il pouvait contester la maîtrise de l’anglais de chacun des candidats jurés au procès en vertu de l’al. 638(1)f) du </w:t>
            </w:r>
            <w:r w:rsidRPr="00FB5988">
              <w:rPr>
                <w:i/>
                <w:color w:val="000000"/>
                <w:sz w:val="20"/>
                <w:szCs w:val="20"/>
                <w:lang w:val="fr-CA"/>
              </w:rPr>
              <w:t>Code criminel</w:t>
            </w:r>
            <w:r w:rsidRPr="00FB5988">
              <w:rPr>
                <w:color w:val="000000"/>
                <w:sz w:val="20"/>
                <w:szCs w:val="20"/>
                <w:lang w:val="fr-CA"/>
              </w:rPr>
              <w:t xml:space="preserve">. La juge </w:t>
            </w:r>
            <w:r w:rsidRPr="00FB5988">
              <w:rPr>
                <w:sz w:val="20"/>
                <w:szCs w:val="20"/>
                <w:lang w:val="fr-CA"/>
              </w:rPr>
              <w:t>Dawson a rejeté la demande. Le demandeur a été déclaré coupable de possession en vue de trafic. La Cour d’appel a rejeté l’appel.</w:t>
            </w:r>
          </w:p>
        </w:tc>
      </w:tr>
      <w:tr w:rsidR="00A061B8" w:rsidRPr="00FB5988" w:rsidTr="00164321">
        <w:tc>
          <w:tcPr>
            <w:tcW w:w="5000" w:type="pct"/>
            <w:gridSpan w:val="4"/>
          </w:tcPr>
          <w:p w:rsidR="00A061B8" w:rsidRPr="00FB5988" w:rsidRDefault="00A061B8" w:rsidP="00164321">
            <w:pPr>
              <w:pStyle w:val="aparanumbering"/>
              <w:jc w:val="both"/>
              <w:rPr>
                <w:sz w:val="20"/>
                <w:szCs w:val="20"/>
                <w:lang w:val="fr-CA"/>
              </w:rPr>
            </w:pPr>
          </w:p>
        </w:tc>
      </w:tr>
      <w:tr w:rsidR="00A061B8" w:rsidRPr="00FB5988" w:rsidTr="00164321">
        <w:tc>
          <w:tcPr>
            <w:tcW w:w="2427" w:type="pct"/>
            <w:gridSpan w:val="2"/>
          </w:tcPr>
          <w:p w:rsidR="00A061B8" w:rsidRPr="00FB5988" w:rsidRDefault="00A061B8" w:rsidP="00164321">
            <w:pPr>
              <w:jc w:val="both"/>
              <w:rPr>
                <w:sz w:val="20"/>
                <w:lang w:val="fr-CA"/>
              </w:rPr>
            </w:pPr>
            <w:r w:rsidRPr="00FB5988">
              <w:rPr>
                <w:sz w:val="20"/>
                <w:lang w:val="fr-CA"/>
              </w:rPr>
              <w:t>2 mai 2016</w:t>
            </w:r>
          </w:p>
          <w:p w:rsidR="00A061B8" w:rsidRPr="00FB5988" w:rsidRDefault="00A061B8" w:rsidP="00164321">
            <w:pPr>
              <w:jc w:val="both"/>
              <w:rPr>
                <w:sz w:val="20"/>
                <w:lang w:val="fr-CA"/>
              </w:rPr>
            </w:pPr>
            <w:r w:rsidRPr="00FB5988">
              <w:rPr>
                <w:sz w:val="20"/>
                <w:lang w:val="fr-CA"/>
              </w:rPr>
              <w:t xml:space="preserve">Cour supérieure de justice de l’Ontario </w:t>
            </w:r>
          </w:p>
          <w:p w:rsidR="00A061B8" w:rsidRPr="00FB5988" w:rsidRDefault="00A061B8" w:rsidP="00164321">
            <w:pPr>
              <w:jc w:val="both"/>
              <w:rPr>
                <w:sz w:val="20"/>
                <w:lang w:val="fr-CA"/>
              </w:rPr>
            </w:pPr>
            <w:r w:rsidRPr="00FB5988">
              <w:rPr>
                <w:sz w:val="20"/>
                <w:lang w:val="fr-CA"/>
              </w:rPr>
              <w:t>(Juge Dawson)</w:t>
            </w:r>
          </w:p>
          <w:p w:rsidR="00A061B8" w:rsidRPr="00FB5988" w:rsidRDefault="00A061B8" w:rsidP="00164321">
            <w:pPr>
              <w:jc w:val="both"/>
              <w:rPr>
                <w:sz w:val="20"/>
                <w:lang w:val="fr-CA"/>
              </w:rPr>
            </w:pPr>
            <w:r w:rsidRPr="00FB5988">
              <w:rPr>
                <w:sz w:val="20"/>
                <w:lang w:val="fr-CA"/>
              </w:rPr>
              <w:t>2016 ONSC 2966 (non publié)</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Demande rejetée.</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13 août 2018</w:t>
            </w:r>
          </w:p>
          <w:p w:rsidR="00A061B8" w:rsidRPr="00FB5988" w:rsidRDefault="00A061B8" w:rsidP="00164321">
            <w:pPr>
              <w:jc w:val="both"/>
              <w:rPr>
                <w:sz w:val="20"/>
                <w:lang w:val="fr-CA"/>
              </w:rPr>
            </w:pPr>
            <w:r w:rsidRPr="00FB5988">
              <w:rPr>
                <w:sz w:val="20"/>
                <w:lang w:val="fr-CA"/>
              </w:rPr>
              <w:t xml:space="preserve">Cour supérieure de justice de l’Ontario </w:t>
            </w:r>
          </w:p>
          <w:p w:rsidR="00A061B8" w:rsidRPr="00FB5988" w:rsidRDefault="00A061B8" w:rsidP="00164321">
            <w:pPr>
              <w:jc w:val="both"/>
              <w:rPr>
                <w:sz w:val="20"/>
                <w:lang w:val="fr-CA"/>
              </w:rPr>
            </w:pPr>
            <w:r w:rsidRPr="00FB5988">
              <w:rPr>
                <w:sz w:val="20"/>
                <w:lang w:val="fr-CA"/>
              </w:rPr>
              <w:t>(Juge Coroza)</w:t>
            </w:r>
          </w:p>
          <w:p w:rsidR="00A061B8" w:rsidRPr="00FB5988" w:rsidRDefault="00A061B8" w:rsidP="00164321">
            <w:pPr>
              <w:jc w:val="both"/>
              <w:rPr>
                <w:sz w:val="20"/>
                <w:lang w:val="fr-CA"/>
              </w:rPr>
            </w:pPr>
            <w:r w:rsidRPr="00FB5988">
              <w:rPr>
                <w:sz w:val="20"/>
                <w:lang w:val="fr-CA"/>
              </w:rPr>
              <w:t>2018 ONSC 4865 (non publié)</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Déclaration de culpabilité prononcée : possession en vue de trafic.</w:t>
            </w:r>
          </w:p>
        </w:tc>
      </w:tr>
      <w:tr w:rsidR="00A061B8" w:rsidRPr="00FB5988" w:rsidTr="00164321">
        <w:tc>
          <w:tcPr>
            <w:tcW w:w="2427" w:type="pct"/>
            <w:gridSpan w:val="2"/>
          </w:tcPr>
          <w:p w:rsidR="00A061B8" w:rsidRPr="00FB5988" w:rsidRDefault="00A061B8" w:rsidP="00164321">
            <w:pPr>
              <w:jc w:val="both"/>
              <w:rPr>
                <w:sz w:val="20"/>
                <w:lang w:val="fr-CA"/>
              </w:rPr>
            </w:pPr>
            <w:r w:rsidRPr="00FB5988">
              <w:rPr>
                <w:sz w:val="20"/>
                <w:lang w:val="fr-CA"/>
              </w:rPr>
              <w:t>22 mai 2020</w:t>
            </w:r>
          </w:p>
          <w:p w:rsidR="00A061B8" w:rsidRPr="00FB5988" w:rsidRDefault="00A061B8" w:rsidP="00164321">
            <w:pPr>
              <w:jc w:val="both"/>
              <w:rPr>
                <w:sz w:val="20"/>
                <w:lang w:val="fr-CA"/>
              </w:rPr>
            </w:pPr>
            <w:r w:rsidRPr="00FB5988">
              <w:rPr>
                <w:sz w:val="20"/>
                <w:lang w:val="fr-CA"/>
              </w:rPr>
              <w:t>Cour d’appel de l’Ontario</w:t>
            </w:r>
          </w:p>
          <w:p w:rsidR="00A061B8" w:rsidRPr="00FB5988" w:rsidRDefault="00A061B8" w:rsidP="00164321">
            <w:pPr>
              <w:jc w:val="both"/>
              <w:rPr>
                <w:sz w:val="20"/>
                <w:lang w:val="fr-CA"/>
              </w:rPr>
            </w:pPr>
            <w:r w:rsidRPr="00FB5988">
              <w:rPr>
                <w:sz w:val="20"/>
                <w:lang w:val="fr-CA"/>
              </w:rPr>
              <w:t>(Juges Watt, Huscroft, Trotter)</w:t>
            </w:r>
          </w:p>
          <w:p w:rsidR="00A061B8" w:rsidRPr="00FB5988" w:rsidRDefault="00EB6AAD" w:rsidP="00164321">
            <w:pPr>
              <w:jc w:val="both"/>
              <w:rPr>
                <w:sz w:val="20"/>
                <w:lang w:val="fr-CA"/>
              </w:rPr>
            </w:pPr>
            <w:hyperlink r:id="rId22" w:history="1">
              <w:r w:rsidR="00A061B8" w:rsidRPr="00FB5988">
                <w:rPr>
                  <w:rStyle w:val="Hyperlink"/>
                  <w:sz w:val="20"/>
                  <w:lang w:val="fr-CA"/>
                </w:rPr>
                <w:t>2020 ONCA 308</w:t>
              </w:r>
            </w:hyperlink>
            <w:r w:rsidR="00A061B8" w:rsidRPr="00FB5988">
              <w:rPr>
                <w:sz w:val="20"/>
                <w:lang w:val="fr-CA"/>
              </w:rPr>
              <w:t>; C66261</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Appel rejeté.</w:t>
            </w:r>
          </w:p>
          <w:p w:rsidR="00A061B8" w:rsidRPr="00FB5988" w:rsidRDefault="00A061B8" w:rsidP="00164321">
            <w:pPr>
              <w:jc w:val="both"/>
              <w:rPr>
                <w:sz w:val="20"/>
                <w:lang w:val="fr-CA"/>
              </w:rPr>
            </w:pPr>
          </w:p>
        </w:tc>
      </w:tr>
      <w:tr w:rsidR="00A061B8" w:rsidRPr="00FB5988" w:rsidTr="00164321">
        <w:tc>
          <w:tcPr>
            <w:tcW w:w="2427" w:type="pct"/>
            <w:gridSpan w:val="2"/>
          </w:tcPr>
          <w:p w:rsidR="00A061B8" w:rsidRPr="00FB5988" w:rsidRDefault="00A061B8" w:rsidP="00164321">
            <w:pPr>
              <w:jc w:val="both"/>
              <w:rPr>
                <w:sz w:val="20"/>
                <w:lang w:val="fr-CA"/>
              </w:rPr>
            </w:pPr>
            <w:r w:rsidRPr="00FB5988">
              <w:rPr>
                <w:sz w:val="20"/>
                <w:lang w:val="fr-CA"/>
              </w:rPr>
              <w:t>12 novembre 2020</w:t>
            </w:r>
          </w:p>
          <w:p w:rsidR="00A061B8" w:rsidRPr="00FB5988" w:rsidRDefault="00A061B8" w:rsidP="00164321">
            <w:pPr>
              <w:jc w:val="both"/>
              <w:rPr>
                <w:sz w:val="20"/>
                <w:lang w:val="fr-CA"/>
              </w:rPr>
            </w:pPr>
            <w:r w:rsidRPr="00FB5988">
              <w:rPr>
                <w:sz w:val="20"/>
                <w:lang w:val="fr-CA"/>
              </w:rPr>
              <w:t>Cour suprême du Canada</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Demande d’autorisation d’appel présentée.</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14 décembre 2020</w:t>
            </w:r>
          </w:p>
          <w:p w:rsidR="00A061B8" w:rsidRPr="00FB5988" w:rsidRDefault="00A061B8" w:rsidP="00A061B8">
            <w:pPr>
              <w:jc w:val="both"/>
              <w:rPr>
                <w:sz w:val="20"/>
                <w:lang w:val="fr-CA"/>
              </w:rPr>
            </w:pPr>
            <w:r w:rsidRPr="00FB5988">
              <w:rPr>
                <w:sz w:val="20"/>
                <w:lang w:val="fr-CA"/>
              </w:rPr>
              <w:t>Cour suprême du Canada</w:t>
            </w: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Requête en prorogation du délai pour déposer une demande d’autorisation d’appel modifiée présentée.</w:t>
            </w:r>
          </w:p>
        </w:tc>
      </w:tr>
    </w:tbl>
    <w:p w:rsidR="00A061B8" w:rsidRPr="00FB5988" w:rsidRDefault="00A061B8" w:rsidP="00A061B8">
      <w:pPr>
        <w:jc w:val="both"/>
        <w:rPr>
          <w:sz w:val="20"/>
          <w:lang w:val="fr-CA"/>
        </w:rPr>
      </w:pPr>
    </w:p>
    <w:p w:rsidR="00A061B8" w:rsidRPr="00FB5988" w:rsidRDefault="00EB6AAD" w:rsidP="00A061B8">
      <w:pPr>
        <w:jc w:val="both"/>
        <w:rPr>
          <w:sz w:val="20"/>
          <w:lang w:val="fr-CA"/>
        </w:rPr>
      </w:pPr>
      <w:r>
        <w:rPr>
          <w:sz w:val="20"/>
        </w:rPr>
        <w:pict>
          <v:rect id="_x0000_i1035" style="width:2in;height:1pt" o:hrpct="0" o:hralign="center" o:hrstd="t" o:hrnoshade="t" o:hr="t" fillcolor="black [3213]" stroked="f"/>
        </w:pict>
      </w:r>
    </w:p>
    <w:p w:rsidR="00A061B8" w:rsidRPr="00FB5988" w:rsidRDefault="00A061B8" w:rsidP="00A061B8">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rPr>
            </w:pPr>
            <w:r w:rsidRPr="00FB5988">
              <w:rPr>
                <w:rStyle w:val="SCCFileNumberChar"/>
                <w:sz w:val="20"/>
                <w:szCs w:val="20"/>
              </w:rPr>
              <w:lastRenderedPageBreak/>
              <w:t>39520</w:t>
            </w:r>
          </w:p>
        </w:tc>
        <w:tc>
          <w:tcPr>
            <w:tcW w:w="4457" w:type="pct"/>
            <w:gridSpan w:val="3"/>
          </w:tcPr>
          <w:p w:rsidR="00A061B8" w:rsidRPr="00FB5988" w:rsidRDefault="00B05A1F" w:rsidP="00164321">
            <w:pPr>
              <w:pStyle w:val="SCCLsocParty"/>
              <w:jc w:val="both"/>
              <w:rPr>
                <w:b/>
                <w:sz w:val="20"/>
                <w:szCs w:val="20"/>
                <w:lang w:val="en-US"/>
              </w:rPr>
            </w:pPr>
            <w:r w:rsidRPr="00FB5988">
              <w:rPr>
                <w:b/>
                <w:sz w:val="20"/>
                <w:szCs w:val="20"/>
                <w:lang w:val="en-US"/>
              </w:rPr>
              <w:t>BridgeMark Financial Corp., Jackson &amp; Company Professional Corp., Anthony Kevin Jackson and Kootenay Zinc Corp.</w:t>
            </w:r>
            <w:r w:rsidR="00A061B8" w:rsidRPr="00FB5988">
              <w:rPr>
                <w:b/>
                <w:sz w:val="20"/>
                <w:szCs w:val="20"/>
                <w:lang w:val="en-US"/>
              </w:rPr>
              <w:t xml:space="preserve"> v. </w:t>
            </w:r>
            <w:r w:rsidRPr="00FB5988">
              <w:rPr>
                <w:b/>
                <w:sz w:val="20"/>
                <w:szCs w:val="20"/>
                <w:lang w:val="en-US"/>
              </w:rPr>
              <w:t>British Columbia Securities Commission, Executive Director of the British Columbia Securities Commission, Lukor Capital Corp., Justin Edgar Liu, Rockshore Advisors Ltd. (formerly known as Cam Paddock Enterprises Inc.), Cameron Robert Paddock, Simran Singh Gill, JCN Capital Corp., John Rosarino Bevilacqua, Essos Corporate Services Inc., Sway Capital Corp., Von Rowell Torres, David Matthew Schmidt, Detona Capital Corp., Danilen Villanueva, Altitude Marketing Corp., Ryan Peter Venier, Platinum Capital Corp., 658111 B.C. Ltd., Jason Christopher Shull, Tryton Financial Corp., Abeir Haddad, Tavistock Capital Corp., Robert John Lawrence, Jarman Capital Inc., Scott Jason Jarman, Northwest Marketing and Management Inc., Aly Babu Husein Mawji, Rufiza Babu Husein Mawji-Esmail, Denise Marie Trainor, Randy White, Escher Invest SA, Hunton Advisory Ltd., Kendl Capital Limited, 1153307 B.C. Ltd., Russell Grant Van Skiver, Bertho Holdings Ltd., Robert William Boswell, Haight-Ashbury Media Consultants Ltd., Ashkan Shahrokhi, Saiya Capital Corporation, Tara Kerry Haddad, Keir Paul MacPherson, Tollstam &amp; Company Chartered Accountants, Albert Kenneth Tollstam, 727 Capital, David Raymond Duggan, Viral Stocks Inc., 10X Capital, Cryptobloc Technologies Corp., New Point Exploration Corp., Green 2 Blue Energy Corp., BLOK Technologies Inc., Affinor Growers Inc., Beleave Inc., Liht Cannabis Corp. (formerly known as Marapharm Ventures Inc.), PreveCeutical Medical Inc., Speakeasy Cannabis Club Ltd., Abattis Bioceuticals Corp. and Camp Fiorante Matthews Mogerman LLP</w:t>
            </w:r>
          </w:p>
          <w:p w:rsidR="00A061B8" w:rsidRPr="00FB5988" w:rsidRDefault="00A061B8" w:rsidP="00164321">
            <w:pPr>
              <w:jc w:val="both"/>
              <w:rPr>
                <w:sz w:val="20"/>
              </w:rPr>
            </w:pPr>
            <w:r w:rsidRPr="00FB5988">
              <w:rPr>
                <w:sz w:val="20"/>
              </w:rPr>
              <w:t>(B.C.) (Civil) (By Leave)</w:t>
            </w:r>
          </w:p>
        </w:tc>
      </w:tr>
      <w:tr w:rsidR="00A061B8" w:rsidRPr="00FB5988" w:rsidTr="00164321">
        <w:tc>
          <w:tcPr>
            <w:tcW w:w="5000" w:type="pct"/>
            <w:gridSpan w:val="4"/>
          </w:tcPr>
          <w:p w:rsidR="00164321" w:rsidRPr="00FB5988" w:rsidRDefault="00164321" w:rsidP="00164321">
            <w:pPr>
              <w:jc w:val="both"/>
              <w:rPr>
                <w:sz w:val="20"/>
                <w:szCs w:val="20"/>
              </w:rPr>
            </w:pPr>
            <w:r w:rsidRPr="00FB5988">
              <w:rPr>
                <w:sz w:val="20"/>
                <w:szCs w:val="20"/>
              </w:rPr>
              <w:t>The application for leave to appeal from the judgment of the Court of Appeal for British Columbia (Vancouver), Number CA46425, 2020 BCCA 301, dated November 2, 2020, is dismissed with costs to the respondents, British Columbia Securities Commission, Executive Director of the British Columbia Securities Commission and Camp Fiorante Matthews Mogerman LLP.</w:t>
            </w:r>
          </w:p>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t>Administrative law — Administrative Tribunal — British Columbia Securities Commission — Evidence — Disclosure of evidence resulting from an investigation — Whether the open court principle permits the disclosure of documents obtained pursuant to a Securities Commission’s statutory powers for the purpose of assisting the preparation of a private civil claim — Should there be a default presumption which always favours disclosure (with a reverse</w:t>
            </w:r>
            <w:r w:rsidRPr="00FB5988">
              <w:rPr>
                <w:sz w:val="20"/>
              </w:rPr>
              <w:noBreakHyphen/>
              <w:t>onus burden to justify non</w:t>
            </w:r>
            <w:r w:rsidRPr="00FB5988">
              <w:rPr>
                <w:sz w:val="20"/>
              </w:rPr>
              <w:noBreakHyphen/>
              <w:t>disclosure) — To what extent should a Securities Commission maintain the confidentiality of investigatory materials pending the hearing of a matter on its merits — Where the subject of an investigation opposes interim relief sought against it, should it do so at the cost of such production — Whether a Securities Commission’s investigatory powers supplement or supplant the discovery procedures of civil litigants in private disputes — What are the proper bounds of provisions outlining the confidentiality of investigatory materials — How should these provisions be balanced against a Securities Commission’s powers to hold interlocutory hearings at the investigative stage?</w:t>
            </w:r>
          </w:p>
        </w:tc>
      </w:tr>
      <w:tr w:rsidR="00A061B8" w:rsidRPr="00FB5988" w:rsidTr="00164321">
        <w:tc>
          <w:tcPr>
            <w:tcW w:w="5000" w:type="pct"/>
            <w:gridSpan w:val="4"/>
          </w:tcPr>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t>In 2018, the British Columbia Securities Commission initiated an investigation into a group of people and companies (collectively “BridgeMark”) for allegedly participating in the abuse of capital markets and the illegal distribution of securities. BridgeMark was temporarily prohibited from trading certain securities and the Order was subsequently extended. The Commission determined that a hearing would be conducted on the allegations once its staff concluded their investigation. In April of 2019, Glacier Media applied for, and was granted access to, certain redacted exhibits and transcripts in the Commission’s proceedings. In July of 2019, Camp Fiorante Matthews Mogerman LLP (a law firm representing clients in a related civil proceeding) applied for access to nine exhibits. The Commission granted access to the redacted exhibits. The Court of Appeal for British Columbia dismissed the subsequent appeal. The Court of Appeal subsequently stayed production of the exhibits until leave to appeal to this Court was determined.</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September 12, 2019</w:t>
            </w:r>
          </w:p>
          <w:p w:rsidR="00A061B8" w:rsidRPr="00FB5988" w:rsidRDefault="00A061B8" w:rsidP="00164321">
            <w:pPr>
              <w:jc w:val="both"/>
              <w:rPr>
                <w:sz w:val="20"/>
              </w:rPr>
            </w:pPr>
            <w:r w:rsidRPr="00FB5988">
              <w:rPr>
                <w:sz w:val="20"/>
              </w:rPr>
              <w:t>British Columbia Securities Commission</w:t>
            </w:r>
          </w:p>
          <w:p w:rsidR="00A061B8" w:rsidRPr="00FB5988" w:rsidRDefault="00A061B8" w:rsidP="00164321">
            <w:pPr>
              <w:jc w:val="both"/>
              <w:rPr>
                <w:sz w:val="20"/>
              </w:rPr>
            </w:pPr>
            <w:r w:rsidRPr="00FB5988">
              <w:rPr>
                <w:sz w:val="20"/>
              </w:rPr>
              <w:t>(Members Cave, Downes, and Ho)</w:t>
            </w:r>
          </w:p>
          <w:p w:rsidR="00A061B8" w:rsidRPr="00FB5988" w:rsidRDefault="00EB6AAD" w:rsidP="00164321">
            <w:pPr>
              <w:jc w:val="both"/>
              <w:rPr>
                <w:rStyle w:val="Hyperlink"/>
                <w:sz w:val="20"/>
              </w:rPr>
            </w:pPr>
            <w:hyperlink r:id="rId23" w:history="1">
              <w:r w:rsidR="00A061B8" w:rsidRPr="00FB5988">
                <w:rPr>
                  <w:rStyle w:val="Hyperlink"/>
                  <w:sz w:val="20"/>
                </w:rPr>
                <w:t>2019 BCSECCOM 331</w:t>
              </w:r>
            </w:hyperlink>
          </w:p>
          <w:p w:rsidR="006E184E" w:rsidRPr="00FB5988" w:rsidRDefault="006E184E"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Application for access to certain redacted exhibits made by Camp, Fiorante, Matthews, Mogerman LLP granted.</w:t>
            </w:r>
          </w:p>
        </w:tc>
      </w:tr>
    </w:tbl>
    <w:p w:rsidR="006E184E" w:rsidRPr="00FB5988" w:rsidRDefault="006E184E">
      <w:r w:rsidRPr="00FB5988">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A061B8" w:rsidRPr="00FB5988" w:rsidTr="00164321">
        <w:tc>
          <w:tcPr>
            <w:tcW w:w="2427" w:type="pct"/>
          </w:tcPr>
          <w:p w:rsidR="00A061B8" w:rsidRPr="00FB5988" w:rsidRDefault="00A061B8" w:rsidP="00164321">
            <w:pPr>
              <w:jc w:val="both"/>
              <w:rPr>
                <w:sz w:val="20"/>
              </w:rPr>
            </w:pPr>
            <w:r w:rsidRPr="00FB5988">
              <w:rPr>
                <w:sz w:val="20"/>
              </w:rPr>
              <w:lastRenderedPageBreak/>
              <w:t>November 2, 2020</w:t>
            </w:r>
          </w:p>
          <w:p w:rsidR="00A061B8" w:rsidRPr="00FB5988" w:rsidRDefault="00A061B8" w:rsidP="00164321">
            <w:pPr>
              <w:jc w:val="both"/>
              <w:rPr>
                <w:sz w:val="20"/>
              </w:rPr>
            </w:pPr>
            <w:r w:rsidRPr="00FB5988">
              <w:rPr>
                <w:sz w:val="20"/>
              </w:rPr>
              <w:t>Court of Appeal for British Columbia (Vancouver)</w:t>
            </w:r>
          </w:p>
          <w:p w:rsidR="00A061B8" w:rsidRPr="00FB5988" w:rsidRDefault="00A061B8" w:rsidP="00164321">
            <w:pPr>
              <w:jc w:val="both"/>
              <w:rPr>
                <w:sz w:val="20"/>
              </w:rPr>
            </w:pPr>
            <w:r w:rsidRPr="00FB5988">
              <w:rPr>
                <w:sz w:val="20"/>
              </w:rPr>
              <w:t>(Willcock, Abrioux, and DeWitt</w:t>
            </w:r>
            <w:r w:rsidRPr="00FB5988">
              <w:rPr>
                <w:sz w:val="20"/>
              </w:rPr>
              <w:noBreakHyphen/>
              <w:t>Van JJ.A.)</w:t>
            </w:r>
          </w:p>
          <w:p w:rsidR="00A061B8" w:rsidRPr="00FB5988" w:rsidRDefault="00EB6AAD" w:rsidP="00164321">
            <w:pPr>
              <w:jc w:val="both"/>
              <w:rPr>
                <w:sz w:val="20"/>
              </w:rPr>
            </w:pPr>
            <w:hyperlink r:id="rId24" w:history="1">
              <w:r w:rsidR="00A061B8" w:rsidRPr="00FB5988">
                <w:rPr>
                  <w:rStyle w:val="Hyperlink"/>
                  <w:sz w:val="20"/>
                </w:rPr>
                <w:t>2020 BCCA 301</w:t>
              </w:r>
            </w:hyperlink>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Appeal dismissed.</w:t>
            </w:r>
          </w:p>
        </w:tc>
      </w:tr>
      <w:tr w:rsidR="00A061B8" w:rsidRPr="00FB5988" w:rsidTr="00164321">
        <w:tc>
          <w:tcPr>
            <w:tcW w:w="2427" w:type="pct"/>
          </w:tcPr>
          <w:p w:rsidR="00A061B8" w:rsidRPr="00FB5988" w:rsidRDefault="00A061B8" w:rsidP="00164321">
            <w:pPr>
              <w:jc w:val="both"/>
              <w:rPr>
                <w:sz w:val="20"/>
              </w:rPr>
            </w:pPr>
            <w:r w:rsidRPr="00FB5988">
              <w:rPr>
                <w:sz w:val="20"/>
              </w:rPr>
              <w:t>December 23, 2020</w:t>
            </w:r>
          </w:p>
          <w:p w:rsidR="00A061B8" w:rsidRPr="00FB5988" w:rsidRDefault="00A061B8" w:rsidP="00164321">
            <w:pPr>
              <w:jc w:val="both"/>
              <w:rPr>
                <w:sz w:val="20"/>
              </w:rPr>
            </w:pPr>
            <w:r w:rsidRPr="00FB5988">
              <w:rPr>
                <w:sz w:val="20"/>
              </w:rPr>
              <w:t>Supreme Court of Canada</w:t>
            </w: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Application for leave to appeal filed.</w:t>
            </w:r>
          </w:p>
          <w:p w:rsidR="00A061B8" w:rsidRPr="00FB5988" w:rsidRDefault="00A061B8" w:rsidP="00164321">
            <w:pPr>
              <w:jc w:val="both"/>
              <w:rPr>
                <w:sz w:val="20"/>
              </w:rPr>
            </w:pPr>
          </w:p>
        </w:tc>
      </w:tr>
    </w:tbl>
    <w:p w:rsidR="00A061B8" w:rsidRPr="00FB5988" w:rsidRDefault="00A061B8" w:rsidP="00A061B8">
      <w:pPr>
        <w:jc w:val="both"/>
        <w:rPr>
          <w:sz w:val="20"/>
        </w:rPr>
      </w:pPr>
    </w:p>
    <w:p w:rsidR="00A061B8" w:rsidRPr="00FB5988" w:rsidRDefault="00EB6AAD" w:rsidP="00A061B8">
      <w:pPr>
        <w:jc w:val="both"/>
        <w:rPr>
          <w:sz w:val="20"/>
        </w:rPr>
      </w:pPr>
      <w:r>
        <w:rPr>
          <w:sz w:val="20"/>
        </w:rPr>
        <w:pict>
          <v:rect id="_x0000_i1036" style="width:2in;height:1pt" o:hrpct="0" o:hralign="center" o:hrstd="t" o:hrnoshade="t" o:hr="t" fillcolor="black [3213]" stroked="f"/>
        </w:pict>
      </w:r>
    </w:p>
    <w:p w:rsidR="00A061B8" w:rsidRPr="00FB5988" w:rsidRDefault="00A061B8" w:rsidP="00A061B8">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A061B8" w:rsidRPr="00EB6AAD" w:rsidTr="00164321">
        <w:tc>
          <w:tcPr>
            <w:tcW w:w="543" w:type="pct"/>
          </w:tcPr>
          <w:p w:rsidR="00A061B8" w:rsidRPr="00FB5988" w:rsidRDefault="00A061B8" w:rsidP="00164321">
            <w:pPr>
              <w:jc w:val="both"/>
              <w:rPr>
                <w:sz w:val="20"/>
                <w:lang w:val="fr-CA"/>
              </w:rPr>
            </w:pPr>
            <w:r w:rsidRPr="00FB5988">
              <w:rPr>
                <w:rStyle w:val="SCCFileNumberChar"/>
                <w:sz w:val="20"/>
                <w:szCs w:val="20"/>
                <w:lang w:val="fr-CA"/>
              </w:rPr>
              <w:t>39520</w:t>
            </w:r>
          </w:p>
        </w:tc>
        <w:tc>
          <w:tcPr>
            <w:tcW w:w="4457" w:type="pct"/>
          </w:tcPr>
          <w:p w:rsidR="00A061B8" w:rsidRPr="00FB5988" w:rsidRDefault="00B05A1F" w:rsidP="00164321">
            <w:pPr>
              <w:pStyle w:val="SCCLsocParty"/>
              <w:jc w:val="both"/>
              <w:rPr>
                <w:b/>
                <w:sz w:val="20"/>
                <w:szCs w:val="20"/>
              </w:rPr>
            </w:pPr>
            <w:r w:rsidRPr="00FB5988">
              <w:rPr>
                <w:b/>
                <w:sz w:val="20"/>
                <w:szCs w:val="20"/>
                <w:lang w:val="en-US"/>
              </w:rPr>
              <w:t>BridgeMark Financial Corp., Jackson &amp; Company Professional Corp., Anthony Kevin Jackson et Kootenay Zinc Corp.</w:t>
            </w:r>
            <w:r w:rsidR="00A061B8" w:rsidRPr="00FB5988">
              <w:rPr>
                <w:b/>
                <w:sz w:val="20"/>
                <w:szCs w:val="20"/>
                <w:lang w:val="en-US"/>
              </w:rPr>
              <w:t xml:space="preserve"> c. </w:t>
            </w:r>
            <w:r w:rsidRPr="00FB5988">
              <w:rPr>
                <w:b/>
                <w:sz w:val="20"/>
                <w:szCs w:val="20"/>
                <w:lang w:val="en-US"/>
              </w:rPr>
              <w:t xml:space="preserve">British Columbia Securities Commission, Executive Director of the British Columbia Securities Commission, Lukor Capital Corp., Justin Edgar Liu, Rockshore Advisors Ltd. (anciennement connue sous le nom de Cam Paddock Enterprises Inc.), Cameron Robert Paddock, Simran Singh Gill, JCN Capital Corp., John Rosarino Bevilacqua, Essos Corporate Services Inc., Sway Capital Corp., Von Rowell Torres, David Matthew Schmidt, Detona Capital Corp., Danilen Villanueva, Altitude Marketing Corp., Ryan Peter Venier, Platinum Capital Corp., 658111 B.C. Ltd., Jason Christopher Shull, Tryton Financial Corp., Abeir Haddad, Tavistock Capital Corp., Robert John Lawrence, Jarman Capital Inc., Scott Jason Jarman, Northwest Marketing and Management Inc., Aly Babu Husein Mawji, Rufiza Babu Husein Mawji-Esmail, Denise Marie Trainor, Randy White, Escher Invest SA, Hunton Advisory Ltd., Kendl Capital Limited, 1153307 B.C. Ltd., Russell Grant Van Skiver, Bertho Holdings Ltd., Robert William Boswell, Haight-Ashbury Media Consultants Ltd., Ashkan Shahrokhi, Saiya Capital Corporation, Tara Kerry Haddad, Keir Paul MacPherson, Tollstam &amp; Company Chartered Accountants, Albert Kenneth Tollstam, 727 Capital, David Raymond Duggan, Viral Stocks Inc., 10X Capital, Cryptobloc Technologies Corp., New Point Exploration Corp., Green 2 Blue Energy Corp., BLOK Technologies Inc., Affinor Growers Inc., Beleave Inc., Liht Cannabis Corp. </w:t>
            </w:r>
            <w:r w:rsidRPr="00FB5988">
              <w:rPr>
                <w:b/>
                <w:sz w:val="20"/>
                <w:szCs w:val="20"/>
              </w:rPr>
              <w:t>(anciennement connue sous le nom de Marapharm Ventures Inc.), PreveCeutical Medical Inc., Speakeasy Cannabis Club Ltd., Abattis Bioceuticals Corp. et Camp Fiorante Matthews Mogerman LLP</w:t>
            </w:r>
          </w:p>
          <w:p w:rsidR="00A061B8" w:rsidRPr="00FB5988" w:rsidRDefault="00A061B8" w:rsidP="00164321">
            <w:pPr>
              <w:jc w:val="both"/>
              <w:rPr>
                <w:sz w:val="20"/>
                <w:lang w:val="fr-CA"/>
              </w:rPr>
            </w:pPr>
            <w:r w:rsidRPr="00FB5988">
              <w:rPr>
                <w:sz w:val="20"/>
                <w:lang w:val="fr-CA"/>
              </w:rPr>
              <w:t>(C.-B.) (Civile) (Sur autorisation)</w:t>
            </w:r>
          </w:p>
        </w:tc>
      </w:tr>
      <w:tr w:rsidR="00A061B8" w:rsidRPr="00EB6AAD" w:rsidTr="00164321">
        <w:tc>
          <w:tcPr>
            <w:tcW w:w="5000" w:type="pct"/>
            <w:gridSpan w:val="2"/>
          </w:tcPr>
          <w:p w:rsidR="00A061B8" w:rsidRPr="00FB5988" w:rsidRDefault="00B05A1F" w:rsidP="00164321">
            <w:pPr>
              <w:jc w:val="both"/>
              <w:rPr>
                <w:sz w:val="20"/>
                <w:szCs w:val="20"/>
                <w:lang w:val="fr-CA"/>
              </w:rPr>
            </w:pPr>
            <w:r w:rsidRPr="00FB5988">
              <w:rPr>
                <w:sz w:val="20"/>
                <w:szCs w:val="20"/>
                <w:lang w:val="fr-CA"/>
              </w:rPr>
              <w:t>La demande d’autorisation d’appel de l’arrêt de la Cour d’appel de la Colombie-Britannique (Vancouver), numéro CA46425, 2020 BCCA 301, daté du 2 novembre 2020, est rejetée avec dépens en faveur des intimés, British Columbia Securities Commission, Executive Director of the British Columbia Securities Commission et Camp Fiorante Matthews Mogerman LLP.</w:t>
            </w:r>
          </w:p>
          <w:p w:rsidR="00B05A1F" w:rsidRPr="00FB5988" w:rsidRDefault="00B05A1F" w:rsidP="00164321">
            <w:pPr>
              <w:jc w:val="both"/>
              <w:rPr>
                <w:sz w:val="20"/>
                <w:lang w:val="fr-CA"/>
              </w:rPr>
            </w:pPr>
          </w:p>
        </w:tc>
      </w:tr>
      <w:tr w:rsidR="00A061B8" w:rsidRPr="00EB6AAD" w:rsidTr="00164321">
        <w:tc>
          <w:tcPr>
            <w:tcW w:w="5000" w:type="pct"/>
            <w:gridSpan w:val="2"/>
          </w:tcPr>
          <w:p w:rsidR="00A061B8" w:rsidRPr="00FB5988" w:rsidRDefault="00A061B8" w:rsidP="00164321">
            <w:pPr>
              <w:jc w:val="both"/>
              <w:rPr>
                <w:sz w:val="20"/>
                <w:lang w:val="fr-CA"/>
              </w:rPr>
            </w:pPr>
            <w:r w:rsidRPr="00FB5988">
              <w:rPr>
                <w:sz w:val="20"/>
                <w:lang w:val="fr-CA"/>
              </w:rPr>
              <w:t>Droit administratif — Tribunal administratif — British Columbia Securities Commission — Preuve — Communication d’éléments de preuve découlant d’une enquête — Le principe de la publicité des débats judiciaires permet</w:t>
            </w:r>
            <w:r w:rsidRPr="00FB5988">
              <w:rPr>
                <w:sz w:val="20"/>
                <w:lang w:val="fr-CA"/>
              </w:rPr>
              <w:noBreakHyphen/>
              <w:t>il la communication de documents obtenus en vertu des pouvoirs conférés par la loi à une commission des valeurs mobilières aux fins d’aider à la préparation d’une poursuite civile privée ? — Devrait</w:t>
            </w:r>
            <w:r w:rsidRPr="00FB5988">
              <w:rPr>
                <w:sz w:val="20"/>
                <w:lang w:val="fr-CA"/>
              </w:rPr>
              <w:noBreakHyphen/>
              <w:t>il y avoir une présomption par défaut qui favorise toujours la communication (avec inversion du fardeau de la preuve afin de justifier la non</w:t>
            </w:r>
            <w:r w:rsidRPr="00FB5988">
              <w:rPr>
                <w:sz w:val="20"/>
                <w:lang w:val="fr-CA"/>
              </w:rPr>
              <w:noBreakHyphen/>
              <w:t>communication) ? — Dans quelle mesure une commission des valeurs mobilières devrait</w:t>
            </w:r>
            <w:r w:rsidRPr="00FB5988">
              <w:rPr>
                <w:sz w:val="20"/>
                <w:lang w:val="fr-CA"/>
              </w:rPr>
              <w:noBreakHyphen/>
              <w:t>elle préserver la confidentialité de documents d’enquête dans l’attente de l’audition d’une affaire sur le fond ? — Lorsque la partie faisant l’objet d’une enquête conteste les mesures provisoires sollicitées contre elle, devrait</w:t>
            </w:r>
            <w:r w:rsidRPr="00FB5988">
              <w:rPr>
                <w:sz w:val="20"/>
                <w:lang w:val="fr-CA"/>
              </w:rPr>
              <w:noBreakHyphen/>
              <w:t>elle le faire au prix d’une telle production ? — Les pouvoirs d’enquête d’une commission des valeurs mobilières viennent</w:t>
            </w:r>
            <w:r w:rsidRPr="00FB5988">
              <w:rPr>
                <w:sz w:val="20"/>
                <w:lang w:val="fr-CA"/>
              </w:rPr>
              <w:noBreakHyphen/>
              <w:t>ils compléter ou supplanter les obligations de communication préalable des justiciables civils dans le cadre de litiges privés ? — De quelle façon convient</w:t>
            </w:r>
            <w:r w:rsidRPr="00FB5988">
              <w:rPr>
                <w:sz w:val="20"/>
                <w:lang w:val="fr-CA"/>
              </w:rPr>
              <w:noBreakHyphen/>
              <w:t>il de circonscrire les dispositions portant sur la confidentialité des documents d’enquête ? — Comment doit</w:t>
            </w:r>
            <w:r w:rsidRPr="00FB5988">
              <w:rPr>
                <w:sz w:val="20"/>
                <w:lang w:val="fr-CA"/>
              </w:rPr>
              <w:noBreakHyphen/>
              <w:t>on mettre en balance ces dispositions et le pouvoir d’une commission des valeurs mobilières de tenir des audiences interlocutoires à l’étape de l’enquête ?</w:t>
            </w:r>
          </w:p>
        </w:tc>
      </w:tr>
      <w:tr w:rsidR="00A061B8" w:rsidRPr="00EB6AAD" w:rsidTr="00164321">
        <w:tc>
          <w:tcPr>
            <w:tcW w:w="5000" w:type="pct"/>
            <w:gridSpan w:val="2"/>
          </w:tcPr>
          <w:p w:rsidR="00A061B8" w:rsidRPr="00FB5988" w:rsidRDefault="00A061B8" w:rsidP="00164321">
            <w:pPr>
              <w:jc w:val="both"/>
              <w:rPr>
                <w:sz w:val="20"/>
                <w:lang w:val="fr-CA"/>
              </w:rPr>
            </w:pPr>
          </w:p>
        </w:tc>
      </w:tr>
    </w:tbl>
    <w:p w:rsidR="006E184E" w:rsidRPr="00FB5988" w:rsidRDefault="006E184E">
      <w:pPr>
        <w:rPr>
          <w:lang w:val="fr-CA"/>
        </w:rPr>
      </w:pPr>
      <w:r w:rsidRPr="00FB5988">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A061B8" w:rsidRPr="00EB6AAD" w:rsidTr="00164321">
        <w:tc>
          <w:tcPr>
            <w:tcW w:w="5000" w:type="pct"/>
            <w:gridSpan w:val="3"/>
          </w:tcPr>
          <w:p w:rsidR="00A061B8" w:rsidRPr="00FB5988" w:rsidRDefault="00A061B8" w:rsidP="00164321">
            <w:pPr>
              <w:jc w:val="both"/>
              <w:rPr>
                <w:sz w:val="20"/>
                <w:lang w:val="fr-CA"/>
              </w:rPr>
            </w:pPr>
            <w:r w:rsidRPr="00FB5988">
              <w:rPr>
                <w:sz w:val="20"/>
                <w:lang w:val="fr-CA"/>
              </w:rPr>
              <w:lastRenderedPageBreak/>
              <w:t>En 2018, la British Columbia Securities Commission a ouvert une enquête sur un groupe de personnes et de sociétés (collectivement, « BridgeMark ») concernant des allégations de participation à l’abus des marchés financiers et au placement illégal de valeurs mobilières. Il a temporairement été interdit à BridgeMark de négocier certaines valeurs mobilières, et l’ordonnance a par la suite été prolongée. La commission a décidé qu’une audience sur les allégations serait tenue une fois que les membres de son personnel auraient mené à terme leur enquête. En avril 2019, la demande d’accès de Glacier Media à certaines pièces et transcriptions caviardées dans le cadre des procédures de la commission a été accueillie. En juillet 2019, Camp Fiorante Matthews Mogerman LLP (un cabinet d’avocats représentant des clients dans une instance connexe en matière civile) a présenté une demande d’accès à neufs pièces. La commission a accueilli la demande d’accès aux pièces caviardées. La Cour d’appel de la Colombie-Britannique a rejeté l’appel subséquent. La Cour d’appel a par la suite suspendu la production des pièces jusqu’à ce qu’il soit statué sur la demande d’autorisation d’appel à la Cour suprême du Canada.</w:t>
            </w:r>
          </w:p>
          <w:p w:rsidR="00A061B8" w:rsidRPr="00FB5988" w:rsidRDefault="00A061B8" w:rsidP="00164321">
            <w:pPr>
              <w:jc w:val="both"/>
              <w:rPr>
                <w:sz w:val="20"/>
                <w:lang w:val="fr-CA"/>
              </w:rPr>
            </w:pPr>
          </w:p>
        </w:tc>
      </w:tr>
      <w:tr w:rsidR="00A061B8" w:rsidRPr="00EB6AAD" w:rsidTr="00164321">
        <w:tc>
          <w:tcPr>
            <w:tcW w:w="2427" w:type="pct"/>
          </w:tcPr>
          <w:p w:rsidR="00A061B8" w:rsidRPr="00FB5988" w:rsidRDefault="00A061B8" w:rsidP="00164321">
            <w:pPr>
              <w:jc w:val="both"/>
              <w:rPr>
                <w:sz w:val="20"/>
                <w:lang w:val="fr-CA"/>
              </w:rPr>
            </w:pPr>
            <w:r w:rsidRPr="00FB5988">
              <w:rPr>
                <w:sz w:val="20"/>
                <w:lang w:val="fr-CA"/>
              </w:rPr>
              <w:t>12 septembre 2019</w:t>
            </w:r>
          </w:p>
          <w:p w:rsidR="00A061B8" w:rsidRPr="00FB5988" w:rsidRDefault="00A061B8" w:rsidP="00164321">
            <w:pPr>
              <w:jc w:val="both"/>
              <w:rPr>
                <w:sz w:val="20"/>
                <w:lang w:val="fr-CA"/>
              </w:rPr>
            </w:pPr>
            <w:r w:rsidRPr="00FB5988">
              <w:rPr>
                <w:sz w:val="20"/>
                <w:lang w:val="fr-CA"/>
              </w:rPr>
              <w:t>British Columbia Securities Commission</w:t>
            </w:r>
          </w:p>
          <w:p w:rsidR="00A061B8" w:rsidRPr="00FB5988" w:rsidRDefault="00A061B8" w:rsidP="00164321">
            <w:pPr>
              <w:jc w:val="both"/>
              <w:rPr>
                <w:sz w:val="20"/>
                <w:lang w:val="fr-CA"/>
              </w:rPr>
            </w:pPr>
            <w:r w:rsidRPr="00FB5988">
              <w:rPr>
                <w:sz w:val="20"/>
                <w:lang w:val="fr-CA"/>
              </w:rPr>
              <w:t>(Membres Cave, Downes et Ho)</w:t>
            </w:r>
          </w:p>
          <w:p w:rsidR="00A061B8" w:rsidRPr="00FB5988" w:rsidRDefault="00EB6AAD" w:rsidP="00164321">
            <w:pPr>
              <w:jc w:val="both"/>
              <w:rPr>
                <w:rStyle w:val="Hyperlink"/>
                <w:sz w:val="20"/>
                <w:lang w:val="fr-CA"/>
              </w:rPr>
            </w:pPr>
            <w:hyperlink r:id="rId25" w:history="1">
              <w:r w:rsidR="00A061B8" w:rsidRPr="00FB5988">
                <w:rPr>
                  <w:rStyle w:val="Hyperlink"/>
                  <w:sz w:val="20"/>
                  <w:lang w:val="fr-CA"/>
                </w:rPr>
                <w:t>2019 BCSECCOM 331</w:t>
              </w:r>
            </w:hyperlink>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 demande d’accès à certaines pièces caviardées présentée par Camp, Fiorante, Matthews, Mogerman LLP est accueillie.</w:t>
            </w:r>
          </w:p>
        </w:tc>
      </w:tr>
      <w:tr w:rsidR="00A061B8" w:rsidRPr="00FB5988" w:rsidTr="00164321">
        <w:tc>
          <w:tcPr>
            <w:tcW w:w="2427" w:type="pct"/>
          </w:tcPr>
          <w:p w:rsidR="00A061B8" w:rsidRPr="00FB5988" w:rsidRDefault="00A061B8" w:rsidP="00164321">
            <w:pPr>
              <w:jc w:val="both"/>
              <w:rPr>
                <w:sz w:val="20"/>
                <w:lang w:val="fr-CA"/>
              </w:rPr>
            </w:pPr>
            <w:r w:rsidRPr="00FB5988">
              <w:rPr>
                <w:sz w:val="20"/>
                <w:lang w:val="fr-CA"/>
              </w:rPr>
              <w:t>2 novembre 2020</w:t>
            </w:r>
          </w:p>
          <w:p w:rsidR="00A061B8" w:rsidRPr="00FB5988" w:rsidRDefault="00A061B8" w:rsidP="00164321">
            <w:pPr>
              <w:jc w:val="both"/>
              <w:rPr>
                <w:sz w:val="20"/>
                <w:lang w:val="fr-CA"/>
              </w:rPr>
            </w:pPr>
            <w:r w:rsidRPr="00FB5988">
              <w:rPr>
                <w:sz w:val="20"/>
                <w:lang w:val="fr-CA"/>
              </w:rPr>
              <w:t>Cour d’appel de la Colombie</w:t>
            </w:r>
            <w:r w:rsidRPr="00FB5988">
              <w:rPr>
                <w:sz w:val="20"/>
                <w:lang w:val="fr-CA"/>
              </w:rPr>
              <w:noBreakHyphen/>
              <w:t>Britannique (Vancouver)</w:t>
            </w:r>
          </w:p>
          <w:p w:rsidR="00A061B8" w:rsidRPr="00FB5988" w:rsidRDefault="00A061B8" w:rsidP="00164321">
            <w:pPr>
              <w:jc w:val="both"/>
              <w:rPr>
                <w:sz w:val="20"/>
              </w:rPr>
            </w:pPr>
            <w:r w:rsidRPr="00FB5988">
              <w:rPr>
                <w:sz w:val="20"/>
              </w:rPr>
              <w:t>(Juges Willcock, Abrioux et DeWitt</w:t>
            </w:r>
            <w:r w:rsidRPr="00FB5988">
              <w:rPr>
                <w:sz w:val="20"/>
              </w:rPr>
              <w:noBreakHyphen/>
              <w:t>Van Oosten)</w:t>
            </w:r>
          </w:p>
          <w:p w:rsidR="00A061B8" w:rsidRPr="00FB5988" w:rsidRDefault="00EB6AAD" w:rsidP="00164321">
            <w:pPr>
              <w:jc w:val="both"/>
              <w:rPr>
                <w:sz w:val="20"/>
                <w:lang w:val="fr-CA"/>
              </w:rPr>
            </w:pPr>
            <w:hyperlink r:id="rId26" w:history="1">
              <w:r w:rsidR="00A061B8" w:rsidRPr="00FB5988">
                <w:rPr>
                  <w:rStyle w:val="Hyperlink"/>
                  <w:sz w:val="20"/>
                  <w:lang w:val="fr-CA"/>
                </w:rPr>
                <w:t>2020 BCCA 301</w:t>
              </w:r>
            </w:hyperlink>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L’appel est rejeté.</w:t>
            </w:r>
          </w:p>
        </w:tc>
      </w:tr>
      <w:tr w:rsidR="00A061B8" w:rsidRPr="00EB6AAD" w:rsidTr="00164321">
        <w:tc>
          <w:tcPr>
            <w:tcW w:w="2427" w:type="pct"/>
          </w:tcPr>
          <w:p w:rsidR="00A061B8" w:rsidRPr="00FB5988" w:rsidRDefault="00A061B8" w:rsidP="00164321">
            <w:pPr>
              <w:jc w:val="both"/>
              <w:rPr>
                <w:sz w:val="20"/>
                <w:lang w:val="fr-CA"/>
              </w:rPr>
            </w:pPr>
            <w:r w:rsidRPr="00FB5988">
              <w:rPr>
                <w:sz w:val="20"/>
                <w:lang w:val="fr-CA"/>
              </w:rPr>
              <w:t>23 décembre 2020</w:t>
            </w:r>
          </w:p>
          <w:p w:rsidR="00A061B8" w:rsidRPr="00FB5988" w:rsidRDefault="00A061B8" w:rsidP="00164321">
            <w:pPr>
              <w:jc w:val="both"/>
              <w:rPr>
                <w:sz w:val="20"/>
                <w:lang w:val="fr-CA"/>
              </w:rPr>
            </w:pPr>
            <w:r w:rsidRPr="00FB5988">
              <w:rPr>
                <w:sz w:val="20"/>
                <w:lang w:val="fr-CA"/>
              </w:rPr>
              <w:t>Cour suprême du Canada</w:t>
            </w: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 demande d’autorisation d’appel est présentée.</w:t>
            </w:r>
          </w:p>
          <w:p w:rsidR="00A061B8" w:rsidRPr="00FB5988" w:rsidRDefault="00A061B8" w:rsidP="00164321">
            <w:pPr>
              <w:jc w:val="both"/>
              <w:rPr>
                <w:sz w:val="20"/>
                <w:lang w:val="fr-CA"/>
              </w:rPr>
            </w:pPr>
          </w:p>
        </w:tc>
      </w:tr>
    </w:tbl>
    <w:p w:rsidR="00A061B8" w:rsidRPr="00FB5988" w:rsidRDefault="00A061B8" w:rsidP="00A061B8">
      <w:pPr>
        <w:jc w:val="both"/>
        <w:rPr>
          <w:sz w:val="20"/>
          <w:lang w:val="fr-CA"/>
        </w:rPr>
      </w:pPr>
    </w:p>
    <w:p w:rsidR="00A061B8" w:rsidRPr="00FB5988" w:rsidRDefault="00EB6AAD" w:rsidP="00A061B8">
      <w:pPr>
        <w:jc w:val="both"/>
        <w:rPr>
          <w:sz w:val="20"/>
          <w:lang w:val="fr-CA"/>
        </w:rPr>
      </w:pPr>
      <w:r>
        <w:rPr>
          <w:sz w:val="20"/>
        </w:rPr>
        <w:pict>
          <v:rect id="_x0000_i1037" style="width:2in;height:1pt" o:hrpct="0" o:hralign="center" o:hrstd="t" o:hrnoshade="t" o:hr="t" fillcolor="black [3213]" stroked="f"/>
        </w:pict>
      </w:r>
    </w:p>
    <w:p w:rsidR="00A061B8" w:rsidRPr="00FB5988" w:rsidRDefault="00A061B8" w:rsidP="00A061B8">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rPr>
            </w:pPr>
            <w:r w:rsidRPr="00FB5988">
              <w:rPr>
                <w:rStyle w:val="SCCFileNumberChar"/>
                <w:sz w:val="20"/>
                <w:szCs w:val="20"/>
              </w:rPr>
              <w:t>39528</w:t>
            </w:r>
          </w:p>
        </w:tc>
        <w:tc>
          <w:tcPr>
            <w:tcW w:w="4457" w:type="pct"/>
            <w:gridSpan w:val="3"/>
          </w:tcPr>
          <w:p w:rsidR="00A061B8" w:rsidRPr="00FB5988" w:rsidRDefault="00A061B8" w:rsidP="00164321">
            <w:pPr>
              <w:pStyle w:val="SCCLsocParty"/>
              <w:jc w:val="both"/>
              <w:rPr>
                <w:b/>
                <w:sz w:val="20"/>
                <w:szCs w:val="20"/>
                <w:lang w:val="en-US"/>
              </w:rPr>
            </w:pPr>
            <w:r w:rsidRPr="00FB5988">
              <w:rPr>
                <w:b/>
                <w:sz w:val="20"/>
                <w:szCs w:val="20"/>
                <w:lang w:val="en-US"/>
              </w:rPr>
              <w:t>Justin Edgar Liu</w:t>
            </w:r>
            <w:r w:rsidR="008C64B6" w:rsidRPr="00FB5988">
              <w:rPr>
                <w:b/>
                <w:sz w:val="20"/>
                <w:szCs w:val="20"/>
                <w:lang w:val="en-US"/>
              </w:rPr>
              <w:t xml:space="preserve"> and</w:t>
            </w:r>
            <w:r w:rsidRPr="00FB5988">
              <w:rPr>
                <w:b/>
                <w:sz w:val="20"/>
                <w:szCs w:val="20"/>
                <w:lang w:val="en-US"/>
              </w:rPr>
              <w:t xml:space="preserve"> Lukor Capital Corp. v. </w:t>
            </w:r>
            <w:r w:rsidR="008C64B6" w:rsidRPr="00FB5988">
              <w:rPr>
                <w:b/>
                <w:sz w:val="20"/>
                <w:szCs w:val="20"/>
                <w:lang w:val="en-US"/>
              </w:rPr>
              <w:t>British Columbia Securities Commission, Executive Director of the British Columbia Securities Commission, Bridgemark Financial Corp., Jackson &amp; Company Professional Corp., Anthony Kevin Jackson, Rockshore Advisors Ltd. (Formerly known as Cam Paddock Enterprises Inc.), Cameron Robert Paddock, Simran Singh Gill, JCN Capital Corp., John Rosarino Bevilacqua, Essos Corporate Services Inc., Sway Capital Corp., Von Rowell Torres, David Matthew Schmidt, Detona Capital Corp., Danilen Villanueve, Natasha Jon Emami, Altitude Marketing Corp., Ryan Peter Venier, Platinum Capital Corp., 658111 B.C. Ltd., Jason Christopher Shull, Tryton Financial Corp., Abeir Haddad, Tavistock Capital Corp., Robert John Lawrence, Jarman Capital Inc., Scott Jason Jarman, Northwest Marketing And Management Inc., Aly Babu Husein Mawji, Rufiza Babu Husein Mawji-Esmail, Denise Marie Trainor, Randy White, Escher Invest Sa, Hunton Advisory Ltd., Kendl Capital Limited, 1153307 B.C. Ltd., Russell Grant Van Skiver, Bertho Holdings Ltd., Robert William Boswell, Haight-Ashbury Media Consultants Ltd., Ashkan Shahrokhi, Saiya Capital Corporation, Tara Kerry Haddad, Keir Paul MacPherson, Tollstam &amp; Company Chartered Accountants, Albert Kenneth Tollstam, 727 Capital, David Raymond Duggan, Viral Stocks Inc., 10x Capital, Cryptobloc Technologies Corp., New Point Exploration Corp., Green 2 Blue Energy Corp., Blok Technologies Inc., Kootenay Zinc Corp., Affinor Growers Inc., Liht Cannabis Corp. (Formerly known as Marapharm Ventures Inc.), Preveceutical Medical Inc., Speakeasy Cannabis Club Ltd., Abbatis Bioceuticals Corp., Camp Fiorante Matthews Mogerman LLP</w:t>
            </w:r>
          </w:p>
          <w:p w:rsidR="00A061B8" w:rsidRPr="00FB5988" w:rsidRDefault="00A061B8" w:rsidP="00164321">
            <w:pPr>
              <w:jc w:val="both"/>
              <w:rPr>
                <w:sz w:val="20"/>
              </w:rPr>
            </w:pPr>
            <w:r w:rsidRPr="00FB5988">
              <w:rPr>
                <w:sz w:val="20"/>
              </w:rPr>
              <w:t>(B.C.) (Civil) (By Leave)</w:t>
            </w:r>
          </w:p>
        </w:tc>
      </w:tr>
      <w:tr w:rsidR="00A061B8" w:rsidRPr="00FB5988" w:rsidTr="00164321">
        <w:tc>
          <w:tcPr>
            <w:tcW w:w="5000" w:type="pct"/>
            <w:gridSpan w:val="4"/>
          </w:tcPr>
          <w:p w:rsidR="00A061B8" w:rsidRPr="00FB5988" w:rsidRDefault="008C64B6" w:rsidP="00164321">
            <w:pPr>
              <w:jc w:val="both"/>
              <w:rPr>
                <w:sz w:val="20"/>
                <w:szCs w:val="20"/>
              </w:rPr>
            </w:pPr>
            <w:r w:rsidRPr="00FB5988">
              <w:rPr>
                <w:sz w:val="20"/>
                <w:szCs w:val="20"/>
              </w:rPr>
              <w:t>The motion for an extension of time to serve and file the application for leave to appeal is granted. The application for leave to appeal from the judgment of the Court of Appeal for British Columbia (Vancouver), Number CA46428, 2020 BCCA 301, dated November 2, 2020, is dismissed with costs to the respondents, British Columbia Securities Commission, Executive Director of the British Columbia Securities Commission and Camp Fiorante Matthews Mogerman LLP.</w:t>
            </w:r>
          </w:p>
          <w:p w:rsidR="008C64B6" w:rsidRPr="00FB5988" w:rsidRDefault="008C64B6"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lastRenderedPageBreak/>
              <w:t>Administrative law — Administrative Tribunal — British Columbia Securities Commission — Evidence — Disclosure of evidence resulting from an investigation — In what circumstances does the open court principle apply to an administrative tribunal, and what regard must be given to the stage and nature of the proceedings when so determined — When the open court principle or some principle of openness applies to an administrative tribunal, what regard must be given to different factors when assessing a request for access?</w:t>
            </w:r>
          </w:p>
        </w:tc>
      </w:tr>
      <w:tr w:rsidR="00A061B8" w:rsidRPr="00FB5988" w:rsidTr="00164321">
        <w:tc>
          <w:tcPr>
            <w:tcW w:w="5000" w:type="pct"/>
            <w:gridSpan w:val="4"/>
          </w:tcPr>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t>In 2018, the British Columbia Securities Commission initiated an investigation into a group of people and companies (collectively “BridgeMark”) for allegedly participating in the abuse of capital markets and the illegal distribution of securities. BridgeMark was temporarily prohibited from trading certain securities and the Order was subsequently extended. The Commission determined that a hearing would be conducted on the allegations once its staff concluded their investigation. In April of 2019, Glacier Media applied for, and was granted access to, certain redacted exhibits and transcripts in the Commission’s proceedings. In July of 2019, Camp Fiorante Matthews Mogerman LLP (a law firm representing clients in a related civil proceeding) applied for access to nine exhibits. The Commission granted access to the redacted exhibits. The Court of Appeal for British Columbia dismissed the subsequent appeal. The Court of Appeal subsequently stayed production of the exhibits until leave to appeal to this Court was determined</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September 12, 2019</w:t>
            </w:r>
          </w:p>
          <w:p w:rsidR="00A061B8" w:rsidRPr="00FB5988" w:rsidRDefault="00A061B8" w:rsidP="00164321">
            <w:pPr>
              <w:jc w:val="both"/>
              <w:rPr>
                <w:sz w:val="20"/>
              </w:rPr>
            </w:pPr>
            <w:r w:rsidRPr="00FB5988">
              <w:rPr>
                <w:sz w:val="20"/>
              </w:rPr>
              <w:t>British Columbia Securities Commission</w:t>
            </w:r>
          </w:p>
          <w:p w:rsidR="00A061B8" w:rsidRPr="00FB5988" w:rsidRDefault="00A061B8" w:rsidP="00164321">
            <w:pPr>
              <w:jc w:val="both"/>
              <w:rPr>
                <w:sz w:val="20"/>
              </w:rPr>
            </w:pPr>
            <w:r w:rsidRPr="00FB5988">
              <w:rPr>
                <w:sz w:val="20"/>
              </w:rPr>
              <w:t>(Members Cave, Downes, and Ho)</w:t>
            </w:r>
          </w:p>
          <w:p w:rsidR="00A061B8" w:rsidRPr="00FB5988" w:rsidRDefault="00EB6AAD" w:rsidP="00164321">
            <w:pPr>
              <w:jc w:val="both"/>
              <w:rPr>
                <w:sz w:val="20"/>
              </w:rPr>
            </w:pPr>
            <w:hyperlink r:id="rId27" w:history="1">
              <w:r w:rsidR="00A061B8" w:rsidRPr="00FB5988">
                <w:rPr>
                  <w:rStyle w:val="Hyperlink"/>
                  <w:sz w:val="20"/>
                </w:rPr>
                <w:t>2019 BCSECCOM 331</w:t>
              </w:r>
            </w:hyperlink>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Application for access to certain redacted exhibits made by Camp, Fiorante, Matthews, Mogerman LLP granted.</w:t>
            </w:r>
          </w:p>
        </w:tc>
      </w:tr>
      <w:tr w:rsidR="00A061B8" w:rsidRPr="00FB5988" w:rsidTr="00164321">
        <w:tc>
          <w:tcPr>
            <w:tcW w:w="2427" w:type="pct"/>
            <w:gridSpan w:val="2"/>
          </w:tcPr>
          <w:p w:rsidR="00A061B8" w:rsidRPr="00FB5988" w:rsidRDefault="00A061B8" w:rsidP="00164321">
            <w:pPr>
              <w:jc w:val="both"/>
              <w:rPr>
                <w:sz w:val="20"/>
              </w:rPr>
            </w:pPr>
            <w:r w:rsidRPr="00FB5988">
              <w:rPr>
                <w:sz w:val="20"/>
              </w:rPr>
              <w:t>November 2, 2020</w:t>
            </w:r>
          </w:p>
          <w:p w:rsidR="00A061B8" w:rsidRPr="00FB5988" w:rsidRDefault="00A061B8" w:rsidP="00164321">
            <w:pPr>
              <w:jc w:val="both"/>
              <w:rPr>
                <w:sz w:val="20"/>
              </w:rPr>
            </w:pPr>
            <w:r w:rsidRPr="00FB5988">
              <w:rPr>
                <w:sz w:val="20"/>
              </w:rPr>
              <w:t>Court of Appeal for British Columbia (Vancouver)</w:t>
            </w:r>
          </w:p>
          <w:p w:rsidR="00A061B8" w:rsidRPr="00FB5988" w:rsidRDefault="00A061B8" w:rsidP="00164321">
            <w:pPr>
              <w:jc w:val="both"/>
              <w:rPr>
                <w:sz w:val="20"/>
              </w:rPr>
            </w:pPr>
            <w:r w:rsidRPr="00FB5988">
              <w:rPr>
                <w:sz w:val="20"/>
              </w:rPr>
              <w:t>(Willcock, Abrioux, and DeWitt</w:t>
            </w:r>
            <w:r w:rsidRPr="00FB5988">
              <w:rPr>
                <w:sz w:val="20"/>
              </w:rPr>
              <w:noBreakHyphen/>
              <w:t>Van JJ.A.)</w:t>
            </w:r>
          </w:p>
          <w:p w:rsidR="00A061B8" w:rsidRPr="00FB5988" w:rsidRDefault="00EB6AAD" w:rsidP="00164321">
            <w:pPr>
              <w:jc w:val="both"/>
              <w:rPr>
                <w:sz w:val="20"/>
              </w:rPr>
            </w:pPr>
            <w:hyperlink r:id="rId28" w:history="1">
              <w:r w:rsidR="00A061B8" w:rsidRPr="00FB5988">
                <w:rPr>
                  <w:rStyle w:val="Hyperlink"/>
                  <w:sz w:val="20"/>
                </w:rPr>
                <w:t>2020 BCCA 301</w:t>
              </w:r>
            </w:hyperlink>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Appeal dismissed.</w:t>
            </w:r>
          </w:p>
        </w:tc>
      </w:tr>
      <w:tr w:rsidR="00A061B8" w:rsidRPr="00FB5988" w:rsidTr="00164321">
        <w:tc>
          <w:tcPr>
            <w:tcW w:w="2427" w:type="pct"/>
            <w:gridSpan w:val="2"/>
          </w:tcPr>
          <w:p w:rsidR="00A061B8" w:rsidRPr="00FB5988" w:rsidRDefault="00A061B8" w:rsidP="00164321">
            <w:pPr>
              <w:jc w:val="both"/>
              <w:rPr>
                <w:sz w:val="20"/>
              </w:rPr>
            </w:pPr>
            <w:r w:rsidRPr="00FB5988">
              <w:rPr>
                <w:sz w:val="20"/>
              </w:rPr>
              <w:t>December 23, 2020</w:t>
            </w:r>
          </w:p>
          <w:p w:rsidR="00A061B8" w:rsidRPr="00FB5988" w:rsidRDefault="00A061B8" w:rsidP="00164321">
            <w:pPr>
              <w:jc w:val="both"/>
              <w:rPr>
                <w:sz w:val="20"/>
              </w:rPr>
            </w:pPr>
            <w:r w:rsidRPr="00FB5988">
              <w:rPr>
                <w:sz w:val="20"/>
              </w:rPr>
              <w:t>Supreme Court of Canada</w:t>
            </w: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Application for leave to appeal filed.</w:t>
            </w:r>
          </w:p>
          <w:p w:rsidR="00A061B8" w:rsidRPr="00FB5988" w:rsidRDefault="00A061B8" w:rsidP="00164321">
            <w:pPr>
              <w:jc w:val="both"/>
              <w:rPr>
                <w:sz w:val="20"/>
              </w:rPr>
            </w:pPr>
          </w:p>
        </w:tc>
      </w:tr>
    </w:tbl>
    <w:p w:rsidR="00A061B8" w:rsidRPr="00FB5988" w:rsidRDefault="00A061B8" w:rsidP="00A061B8">
      <w:pPr>
        <w:jc w:val="both"/>
        <w:rPr>
          <w:sz w:val="20"/>
        </w:rPr>
      </w:pPr>
    </w:p>
    <w:p w:rsidR="00A061B8" w:rsidRPr="00FB5988" w:rsidRDefault="00EB6AAD" w:rsidP="00A061B8">
      <w:pPr>
        <w:jc w:val="both"/>
        <w:rPr>
          <w:sz w:val="20"/>
        </w:rPr>
      </w:pPr>
      <w:r>
        <w:rPr>
          <w:sz w:val="20"/>
        </w:rPr>
        <w:pict>
          <v:rect id="_x0000_i1038" style="width:2in;height:1pt" o:hrpct="0" o:hralign="center" o:hrstd="t" o:hrnoshade="t" o:hr="t" fillcolor="black [3213]" stroked="f"/>
        </w:pict>
      </w:r>
    </w:p>
    <w:p w:rsidR="00A061B8" w:rsidRPr="00FB5988" w:rsidRDefault="00A061B8" w:rsidP="00A061B8">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A061B8" w:rsidRPr="00EB6AAD" w:rsidTr="00164321">
        <w:tc>
          <w:tcPr>
            <w:tcW w:w="543" w:type="pct"/>
          </w:tcPr>
          <w:p w:rsidR="00A061B8" w:rsidRPr="00FB5988" w:rsidRDefault="00A061B8" w:rsidP="00164321">
            <w:pPr>
              <w:jc w:val="both"/>
              <w:rPr>
                <w:sz w:val="20"/>
                <w:lang w:val="fr-CA"/>
              </w:rPr>
            </w:pPr>
            <w:r w:rsidRPr="00FB5988">
              <w:rPr>
                <w:rStyle w:val="SCCFileNumberChar"/>
                <w:sz w:val="20"/>
                <w:szCs w:val="20"/>
                <w:lang w:val="fr-CA"/>
              </w:rPr>
              <w:t>39528</w:t>
            </w:r>
          </w:p>
        </w:tc>
        <w:tc>
          <w:tcPr>
            <w:tcW w:w="4457" w:type="pct"/>
          </w:tcPr>
          <w:p w:rsidR="00A061B8" w:rsidRPr="00FB5988" w:rsidRDefault="00A061B8" w:rsidP="00164321">
            <w:pPr>
              <w:pStyle w:val="SCCLsocParty"/>
              <w:jc w:val="both"/>
              <w:rPr>
                <w:b/>
                <w:sz w:val="20"/>
                <w:szCs w:val="20"/>
                <w:lang w:val="en-US"/>
              </w:rPr>
            </w:pPr>
            <w:r w:rsidRPr="00FB5988">
              <w:rPr>
                <w:b/>
                <w:sz w:val="20"/>
                <w:szCs w:val="20"/>
                <w:lang w:val="en-US"/>
              </w:rPr>
              <w:t>Justin Edgar Liu</w:t>
            </w:r>
            <w:r w:rsidR="008C64B6" w:rsidRPr="00FB5988">
              <w:rPr>
                <w:b/>
                <w:sz w:val="20"/>
                <w:szCs w:val="20"/>
                <w:lang w:val="en-US"/>
              </w:rPr>
              <w:t xml:space="preserve"> et</w:t>
            </w:r>
            <w:r w:rsidRPr="00FB5988">
              <w:rPr>
                <w:b/>
                <w:sz w:val="20"/>
                <w:szCs w:val="20"/>
                <w:lang w:val="en-US"/>
              </w:rPr>
              <w:t xml:space="preserve"> Lukor Capital Corp. c. </w:t>
            </w:r>
            <w:r w:rsidR="008C64B6" w:rsidRPr="00FB5988">
              <w:rPr>
                <w:b/>
                <w:sz w:val="20"/>
                <w:szCs w:val="20"/>
                <w:lang w:val="en-US"/>
              </w:rPr>
              <w:t>British Columbia Securities Commission, Executive Director of the British Columbia Securities Commission, Bridgemark Financial Corp., Jackson &amp; Company Professional Corp., Anthony Kevin Jackson, Rockshore Advisors Ltd. (anciennement connue sous le nom de Cam Paddock Enterprises Inc.), Cameron Robert Paddock, Simran Singh Gill, JCN Capital Corp., John Rosarino Bevilacqua, Essos Corporate Services Inc., Sway Capital Corp., Von Rowell Torres, David Matthew Schmidt, Detona Capital Corp., Danilen Villanueve, Natasha Jon Emami, Altitude Marketing Corp., Ryan Peter Venier, Platinum Capital Corp., 658111 B.C. Ltd., Jason Christopher Shull, Tryton Financial Corp., Abeir Haddad, Tavistock Capital Corp., Robert John Lawrence, Jarman Capital Inc., Scott Jason Jarman, Northwest Marketing And Management Inc., Aly Babu Husein Mawji, Rufiza Babu Husein Mawji-Esmail, Denise Marie Trainor, Randy White, Escher Invest Sa, Hunton Advisory Ltd., Kendl Capital Limited, 1153307 B.C. Ltd., Russell Grant Van Skiver, Bertho Holdings Ltd., Robert William Boswell, Haight-Ashbury Media Consultants Ltd., Ashkan Shahrokhi, Saiya Capital Corporation, Tara Kerry Haddad, Keir Paul MacPherson, Tollstam &amp; Company Chartered Accountants, Albert Kenneth Tollstam, 727 Capital, David Raymond Duggan, Viral Stocks Inc., 10x Capital, Cryptobloc Technologies Corp., New Point Exploration Corp., Green 2 Blue Energy Corp., Blok Technologies Inc., Kootenay Zinc Corp., Affinor Growers Inc., Liht Cannabis Corp. (anciennement connue sous le nom de Marapharm Ventures Inc.), Preveceutical Medical Inc., Speakeasy Cannabis Club Ltd., Abbatis Bioceuticals Corp., Camp Fiorante Matthews Mogerman LLP</w:t>
            </w:r>
          </w:p>
          <w:p w:rsidR="00A061B8" w:rsidRPr="00FB5988" w:rsidRDefault="00A061B8" w:rsidP="00164321">
            <w:pPr>
              <w:jc w:val="both"/>
              <w:rPr>
                <w:sz w:val="20"/>
                <w:lang w:val="fr-CA"/>
              </w:rPr>
            </w:pPr>
            <w:r w:rsidRPr="00FB5988">
              <w:rPr>
                <w:sz w:val="20"/>
                <w:lang w:val="fr-CA"/>
              </w:rPr>
              <w:t>(C.-B.) (Civile) (Sur autorisation)</w:t>
            </w:r>
          </w:p>
        </w:tc>
      </w:tr>
    </w:tbl>
    <w:p w:rsidR="006E184E" w:rsidRPr="00FB5988" w:rsidRDefault="006E184E">
      <w:pPr>
        <w:rPr>
          <w:lang w:val="fr-CA"/>
        </w:rPr>
      </w:pPr>
      <w:r w:rsidRPr="00FB5988">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A061B8" w:rsidRPr="00EB6AAD" w:rsidTr="00164321">
        <w:tc>
          <w:tcPr>
            <w:tcW w:w="5000" w:type="pct"/>
            <w:gridSpan w:val="3"/>
          </w:tcPr>
          <w:p w:rsidR="00A061B8" w:rsidRPr="00FB5988" w:rsidRDefault="008C64B6" w:rsidP="008C64B6">
            <w:pPr>
              <w:tabs>
                <w:tab w:val="left" w:pos="2142"/>
              </w:tabs>
              <w:jc w:val="both"/>
              <w:rPr>
                <w:sz w:val="20"/>
                <w:szCs w:val="20"/>
                <w:lang w:val="fr-CA"/>
              </w:rPr>
            </w:pPr>
            <w:r w:rsidRPr="00FB5988">
              <w:rPr>
                <w:rFonts w:cs="Times New Roman"/>
                <w:sz w:val="20"/>
                <w:szCs w:val="20"/>
                <w:lang w:val="fr-CA"/>
              </w:rPr>
              <w:lastRenderedPageBreak/>
              <w:t xml:space="preserve">La requête en prorogation du délai de signification et de dépôt de la demande d’autorisation d’appel est accueillie. </w:t>
            </w:r>
            <w:r w:rsidRPr="00FB5988">
              <w:rPr>
                <w:sz w:val="20"/>
                <w:szCs w:val="20"/>
                <w:lang w:val="fr-CA"/>
              </w:rPr>
              <w:t>La demande d’autorisation d’appel de l’arrêt de la Cour d’appel de la Colombie-Britannique (Vancouver), numéro CA46428, 2020 BCCA 301, daté du 2 novembre 2020, est rejetée avec dépens en faveur des intimés, British Columbia Securities Commission, Executive Director of the British Columbia Securities Commission et Camp Fiorante Matthews Mogerman LLP.</w:t>
            </w:r>
          </w:p>
          <w:p w:rsidR="008C64B6" w:rsidRPr="00FB5988" w:rsidRDefault="008C64B6" w:rsidP="008C64B6">
            <w:pPr>
              <w:tabs>
                <w:tab w:val="left" w:pos="2142"/>
              </w:tabs>
              <w:jc w:val="both"/>
              <w:rPr>
                <w:sz w:val="20"/>
                <w:lang w:val="fr-CA"/>
              </w:rPr>
            </w:pPr>
          </w:p>
        </w:tc>
      </w:tr>
      <w:tr w:rsidR="00A061B8" w:rsidRPr="00EB6AAD" w:rsidTr="00164321">
        <w:tc>
          <w:tcPr>
            <w:tcW w:w="5000" w:type="pct"/>
            <w:gridSpan w:val="3"/>
          </w:tcPr>
          <w:p w:rsidR="00A061B8" w:rsidRPr="00FB5988" w:rsidRDefault="00A061B8" w:rsidP="00164321">
            <w:pPr>
              <w:jc w:val="both"/>
              <w:rPr>
                <w:sz w:val="20"/>
                <w:lang w:val="fr-CA"/>
              </w:rPr>
            </w:pPr>
            <w:r w:rsidRPr="00FB5988">
              <w:rPr>
                <w:sz w:val="20"/>
                <w:lang w:val="fr-CA"/>
              </w:rPr>
              <w:t>Droit administratif — Tribunal administratif — British Columbia Securities Commission — Preuve — Communication d’éléments de preuve découlant d’une enquête — Dans quelles circonstances le principe de la publicité des débats judiciaires s’applique</w:t>
            </w:r>
            <w:r w:rsidRPr="00FB5988">
              <w:rPr>
                <w:sz w:val="20"/>
                <w:lang w:val="fr-CA"/>
              </w:rPr>
              <w:noBreakHyphen/>
              <w:t>t</w:t>
            </w:r>
            <w:r w:rsidRPr="00FB5988">
              <w:rPr>
                <w:sz w:val="20"/>
                <w:lang w:val="fr-CA"/>
              </w:rPr>
              <w:noBreakHyphen/>
              <w:t>il à un tribunal administratif, et quelle importance doit être accordée à l’étape des procédures et à leur nature lorsqu’il est décidé que tel est le cas ? — Lorsque le principe de la publicité des débats judiciaires ou un principe de la publicité s’applique à un tribunal administratif, quelle importance doit être accordée aux différents facteurs dans le cadre de l’évaluation d’une demande accès ?</w:t>
            </w:r>
          </w:p>
        </w:tc>
      </w:tr>
      <w:tr w:rsidR="00A061B8" w:rsidRPr="00EB6AAD" w:rsidTr="00164321">
        <w:tc>
          <w:tcPr>
            <w:tcW w:w="5000" w:type="pct"/>
            <w:gridSpan w:val="3"/>
          </w:tcPr>
          <w:p w:rsidR="00A061B8" w:rsidRPr="00FB5988" w:rsidRDefault="00A061B8" w:rsidP="00164321">
            <w:pPr>
              <w:jc w:val="both"/>
              <w:rPr>
                <w:sz w:val="20"/>
                <w:lang w:val="fr-CA"/>
              </w:rPr>
            </w:pPr>
          </w:p>
        </w:tc>
      </w:tr>
      <w:tr w:rsidR="00A061B8" w:rsidRPr="00EB6AAD" w:rsidTr="00164321">
        <w:tc>
          <w:tcPr>
            <w:tcW w:w="5000" w:type="pct"/>
            <w:gridSpan w:val="3"/>
          </w:tcPr>
          <w:p w:rsidR="00A061B8" w:rsidRPr="00FB5988" w:rsidRDefault="00A061B8" w:rsidP="00164321">
            <w:pPr>
              <w:jc w:val="both"/>
              <w:rPr>
                <w:sz w:val="20"/>
                <w:lang w:val="fr-CA"/>
              </w:rPr>
            </w:pPr>
            <w:r w:rsidRPr="00FB5988">
              <w:rPr>
                <w:sz w:val="20"/>
                <w:lang w:val="fr-CA"/>
              </w:rPr>
              <w:t>En 2018, la British Columbia Securities Commission a ouvert une enquête sur un groupe de personnes et de sociétés (collectivement, « BridgeMark ») concernant des allégations de participation à l’abus des marchés financiers et au placement illégal de valeurs mobilières. Il a temporairement été interdit à BridgeMark de négocier certaines valeurs mobilières, et l’ordonnance a par la suite été prolongée. La commission a décidé qu’une audience sur les allégations serait tenue une fois que les membres de son personnel auraient mené à terme leur enquête. En avril 2019, la demande d’accès de Glacier Media à certaines pièces et transcriptions caviardées dans le cadre des procédures de la commission a été accueillie. En juillet 2019, Camp Fiorante Matthews Mogerman LLP (un cabinet d’avocats représentant des clients dans une instance connexe en matière civile) a présenté une demande d’accès à neufs pièces. La commission a accueilli la demande d’accès aux pièces caviardées. La Cour d’appel de la Colombie-Britannique a rejeté l’appel subséquent. La Cour d’appel a par la suite suspendu la production des pièces jusqu’à ce qu’il soit statué sur la demande d’autorisation d’appel à la Cour suprême du Canada.</w:t>
            </w:r>
          </w:p>
          <w:p w:rsidR="00A061B8" w:rsidRPr="00FB5988" w:rsidRDefault="00A061B8" w:rsidP="00164321">
            <w:pPr>
              <w:jc w:val="both"/>
              <w:rPr>
                <w:sz w:val="20"/>
                <w:lang w:val="fr-CA"/>
              </w:rPr>
            </w:pPr>
          </w:p>
        </w:tc>
      </w:tr>
      <w:tr w:rsidR="00A061B8" w:rsidRPr="00EB6AAD" w:rsidTr="00164321">
        <w:tc>
          <w:tcPr>
            <w:tcW w:w="2427" w:type="pct"/>
          </w:tcPr>
          <w:p w:rsidR="00A061B8" w:rsidRPr="00FB5988" w:rsidRDefault="00A061B8" w:rsidP="00164321">
            <w:pPr>
              <w:jc w:val="both"/>
              <w:rPr>
                <w:sz w:val="20"/>
                <w:lang w:val="fr-CA"/>
              </w:rPr>
            </w:pPr>
            <w:r w:rsidRPr="00FB5988">
              <w:rPr>
                <w:sz w:val="20"/>
                <w:lang w:val="fr-CA"/>
              </w:rPr>
              <w:t>12 septembre 2019</w:t>
            </w:r>
          </w:p>
          <w:p w:rsidR="00A061B8" w:rsidRPr="00FB5988" w:rsidRDefault="00A061B8" w:rsidP="00164321">
            <w:pPr>
              <w:jc w:val="both"/>
              <w:rPr>
                <w:sz w:val="20"/>
                <w:lang w:val="fr-CA"/>
              </w:rPr>
            </w:pPr>
            <w:r w:rsidRPr="00FB5988">
              <w:rPr>
                <w:sz w:val="20"/>
                <w:lang w:val="fr-CA"/>
              </w:rPr>
              <w:t>British Columbia Securities Commission</w:t>
            </w:r>
          </w:p>
          <w:p w:rsidR="00A061B8" w:rsidRPr="00FB5988" w:rsidRDefault="00A061B8" w:rsidP="00164321">
            <w:pPr>
              <w:jc w:val="both"/>
              <w:rPr>
                <w:sz w:val="20"/>
                <w:lang w:val="fr-CA"/>
              </w:rPr>
            </w:pPr>
            <w:r w:rsidRPr="00FB5988">
              <w:rPr>
                <w:sz w:val="20"/>
                <w:lang w:val="fr-CA"/>
              </w:rPr>
              <w:t>(Membres Cave, Downes et Ho)</w:t>
            </w:r>
          </w:p>
          <w:p w:rsidR="00A061B8" w:rsidRPr="00FB5988" w:rsidRDefault="00EB6AAD" w:rsidP="00164321">
            <w:pPr>
              <w:jc w:val="both"/>
              <w:rPr>
                <w:sz w:val="20"/>
                <w:u w:val="single"/>
                <w:lang w:val="fr-CA"/>
              </w:rPr>
            </w:pPr>
            <w:hyperlink r:id="rId29" w:history="1">
              <w:r w:rsidR="00A061B8" w:rsidRPr="00FB5988">
                <w:rPr>
                  <w:rStyle w:val="Hyperlink"/>
                  <w:sz w:val="20"/>
                  <w:lang w:val="fr-CA"/>
                </w:rPr>
                <w:t>2019 BCSECCOM 331</w:t>
              </w:r>
            </w:hyperlink>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 demande d’accès à certaines pièces caviardées présentée par Camp, Fiorante, Matthews, Mogerman LLP est accueillie.</w:t>
            </w:r>
          </w:p>
        </w:tc>
      </w:tr>
      <w:tr w:rsidR="00A061B8" w:rsidRPr="00FB5988" w:rsidTr="00164321">
        <w:tc>
          <w:tcPr>
            <w:tcW w:w="2427" w:type="pct"/>
          </w:tcPr>
          <w:p w:rsidR="00A061B8" w:rsidRPr="00FB5988" w:rsidRDefault="00A061B8" w:rsidP="00164321">
            <w:pPr>
              <w:jc w:val="both"/>
              <w:rPr>
                <w:sz w:val="20"/>
                <w:lang w:val="fr-CA"/>
              </w:rPr>
            </w:pPr>
            <w:r w:rsidRPr="00FB5988">
              <w:rPr>
                <w:sz w:val="20"/>
                <w:lang w:val="fr-CA"/>
              </w:rPr>
              <w:t>2 novembre 2020</w:t>
            </w:r>
          </w:p>
          <w:p w:rsidR="00A061B8" w:rsidRPr="00FB5988" w:rsidRDefault="00A061B8" w:rsidP="00164321">
            <w:pPr>
              <w:jc w:val="both"/>
              <w:rPr>
                <w:sz w:val="20"/>
                <w:lang w:val="fr-CA"/>
              </w:rPr>
            </w:pPr>
            <w:r w:rsidRPr="00FB5988">
              <w:rPr>
                <w:sz w:val="20"/>
                <w:lang w:val="fr-CA"/>
              </w:rPr>
              <w:t>Cour d’appel de la Colombie</w:t>
            </w:r>
            <w:r w:rsidRPr="00FB5988">
              <w:rPr>
                <w:sz w:val="20"/>
                <w:lang w:val="fr-CA"/>
              </w:rPr>
              <w:noBreakHyphen/>
              <w:t>Britannique (Vancouver)</w:t>
            </w:r>
          </w:p>
          <w:p w:rsidR="00A061B8" w:rsidRPr="00FB5988" w:rsidRDefault="00A061B8" w:rsidP="00164321">
            <w:pPr>
              <w:jc w:val="both"/>
              <w:rPr>
                <w:sz w:val="20"/>
              </w:rPr>
            </w:pPr>
            <w:r w:rsidRPr="00FB5988">
              <w:rPr>
                <w:sz w:val="20"/>
              </w:rPr>
              <w:t>(Juges Willcock, Abrioux et DeWitt</w:t>
            </w:r>
            <w:r w:rsidRPr="00FB5988">
              <w:rPr>
                <w:sz w:val="20"/>
              </w:rPr>
              <w:noBreakHyphen/>
              <w:t>Van Oosten)</w:t>
            </w:r>
          </w:p>
          <w:p w:rsidR="00A061B8" w:rsidRPr="00FB5988" w:rsidRDefault="00EB6AAD" w:rsidP="00164321">
            <w:pPr>
              <w:jc w:val="both"/>
              <w:rPr>
                <w:sz w:val="20"/>
                <w:lang w:val="fr-CA"/>
              </w:rPr>
            </w:pPr>
            <w:hyperlink r:id="rId30" w:history="1">
              <w:r w:rsidR="00A061B8" w:rsidRPr="00FB5988">
                <w:rPr>
                  <w:rStyle w:val="Hyperlink"/>
                  <w:sz w:val="20"/>
                  <w:lang w:val="fr-CA"/>
                </w:rPr>
                <w:t>2020 BCCA 301</w:t>
              </w:r>
            </w:hyperlink>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L’appel est rejeté.</w:t>
            </w:r>
          </w:p>
        </w:tc>
      </w:tr>
      <w:tr w:rsidR="00A061B8" w:rsidRPr="00EB6AAD" w:rsidTr="00164321">
        <w:tc>
          <w:tcPr>
            <w:tcW w:w="2427" w:type="pct"/>
          </w:tcPr>
          <w:p w:rsidR="00A061B8" w:rsidRPr="00FB5988" w:rsidRDefault="00A061B8" w:rsidP="00164321">
            <w:pPr>
              <w:jc w:val="both"/>
              <w:rPr>
                <w:sz w:val="20"/>
                <w:lang w:val="fr-CA"/>
              </w:rPr>
            </w:pPr>
            <w:r w:rsidRPr="00FB5988">
              <w:rPr>
                <w:sz w:val="20"/>
                <w:lang w:val="fr-CA"/>
              </w:rPr>
              <w:t>23 décembre 2020</w:t>
            </w:r>
          </w:p>
          <w:p w:rsidR="00A061B8" w:rsidRPr="00FB5988" w:rsidRDefault="00A061B8" w:rsidP="00164321">
            <w:pPr>
              <w:jc w:val="both"/>
              <w:rPr>
                <w:sz w:val="20"/>
                <w:lang w:val="fr-CA"/>
              </w:rPr>
            </w:pPr>
            <w:r w:rsidRPr="00FB5988">
              <w:rPr>
                <w:sz w:val="20"/>
                <w:lang w:val="fr-CA"/>
              </w:rPr>
              <w:t>Cour suprême du Canada</w:t>
            </w: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 demande d’autorisation d’appel est présentée.</w:t>
            </w:r>
          </w:p>
          <w:p w:rsidR="00A061B8" w:rsidRPr="00FB5988" w:rsidRDefault="00A061B8" w:rsidP="00164321">
            <w:pPr>
              <w:jc w:val="both"/>
              <w:rPr>
                <w:sz w:val="20"/>
                <w:lang w:val="fr-CA"/>
              </w:rPr>
            </w:pPr>
          </w:p>
        </w:tc>
      </w:tr>
    </w:tbl>
    <w:p w:rsidR="00A061B8" w:rsidRPr="00FB5988" w:rsidRDefault="00A061B8" w:rsidP="00A061B8">
      <w:pPr>
        <w:jc w:val="both"/>
        <w:rPr>
          <w:sz w:val="20"/>
          <w:lang w:val="fr-CA"/>
        </w:rPr>
      </w:pPr>
    </w:p>
    <w:p w:rsidR="00A061B8" w:rsidRPr="00FB5988" w:rsidRDefault="00EB6AAD" w:rsidP="00A061B8">
      <w:pPr>
        <w:jc w:val="both"/>
        <w:rPr>
          <w:sz w:val="20"/>
          <w:lang w:val="fr-CA"/>
        </w:rPr>
      </w:pPr>
      <w:r>
        <w:rPr>
          <w:sz w:val="20"/>
        </w:rPr>
        <w:pict>
          <v:rect id="_x0000_i1039" style="width:2in;height:1pt" o:hrpct="0" o:hralign="center" o:hrstd="t" o:hrnoshade="t" o:hr="t" fillcolor="black [3213]" stroked="f"/>
        </w:pict>
      </w:r>
    </w:p>
    <w:p w:rsidR="00A061B8" w:rsidRPr="00FB5988" w:rsidRDefault="00A061B8" w:rsidP="00A061B8">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rPr>
            </w:pPr>
            <w:r w:rsidRPr="00FB5988">
              <w:rPr>
                <w:rStyle w:val="SCCFileNumberChar"/>
                <w:sz w:val="20"/>
                <w:szCs w:val="20"/>
              </w:rPr>
              <w:t>39040</w:t>
            </w:r>
          </w:p>
        </w:tc>
        <w:tc>
          <w:tcPr>
            <w:tcW w:w="4457" w:type="pct"/>
            <w:gridSpan w:val="3"/>
          </w:tcPr>
          <w:p w:rsidR="00A061B8" w:rsidRPr="00FB5988" w:rsidRDefault="00A061B8" w:rsidP="00164321">
            <w:pPr>
              <w:pStyle w:val="SCCLsocParty"/>
              <w:jc w:val="both"/>
              <w:rPr>
                <w:b/>
                <w:sz w:val="20"/>
                <w:szCs w:val="20"/>
                <w:lang w:val="en-US"/>
              </w:rPr>
            </w:pPr>
            <w:r w:rsidRPr="00FB5988">
              <w:rPr>
                <w:b/>
                <w:sz w:val="20"/>
                <w:szCs w:val="20"/>
                <w:lang w:val="en-US"/>
              </w:rPr>
              <w:t>Xiao Hua Gong v. Her Majesty the Queen</w:t>
            </w:r>
          </w:p>
          <w:p w:rsidR="00A061B8" w:rsidRPr="00FB5988" w:rsidRDefault="00A061B8" w:rsidP="00164321">
            <w:pPr>
              <w:jc w:val="both"/>
              <w:rPr>
                <w:sz w:val="20"/>
              </w:rPr>
            </w:pPr>
            <w:r w:rsidRPr="00FB5988">
              <w:rPr>
                <w:sz w:val="20"/>
              </w:rPr>
              <w:t>(Ont.) (Criminal) (By Leave)</w:t>
            </w:r>
          </w:p>
        </w:tc>
      </w:tr>
      <w:tr w:rsidR="00A061B8" w:rsidRPr="00FB5988" w:rsidTr="00164321">
        <w:tc>
          <w:tcPr>
            <w:tcW w:w="5000" w:type="pct"/>
            <w:gridSpan w:val="4"/>
          </w:tcPr>
          <w:p w:rsidR="008C64B6" w:rsidRPr="00FB5988" w:rsidRDefault="008C64B6" w:rsidP="008C64B6">
            <w:pPr>
              <w:jc w:val="both"/>
              <w:rPr>
                <w:sz w:val="20"/>
                <w:szCs w:val="20"/>
              </w:rPr>
            </w:pPr>
            <w:r w:rsidRPr="00FB5988">
              <w:rPr>
                <w:sz w:val="20"/>
                <w:szCs w:val="20"/>
              </w:rPr>
              <w:t>The application for leave to appeal from the judgment of the Court of Appeal for Ontario, Number M51634 (C68411), 2020 ONCA 587, dated September 18, 2020, is dismissed.</w:t>
            </w:r>
          </w:p>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t xml:space="preserve">Courts — Jurisdiction — Court of Appeal — Criminal law — Whether Court of Appeal erred in quashing appeal for want of jurisdiction — Whether proceeding is criminal — Whether appeal from determination of privilege claims lay to the Court of Appeal under s. 6(1)(b) of the </w:t>
            </w:r>
            <w:r w:rsidRPr="00FB5988">
              <w:rPr>
                <w:i/>
                <w:sz w:val="20"/>
              </w:rPr>
              <w:t>Courts of Justice Act</w:t>
            </w:r>
            <w:r w:rsidRPr="00FB5988">
              <w:rPr>
                <w:sz w:val="20"/>
              </w:rPr>
              <w:t>?</w:t>
            </w:r>
          </w:p>
        </w:tc>
      </w:tr>
      <w:tr w:rsidR="00A061B8" w:rsidRPr="00FB5988" w:rsidTr="00164321">
        <w:tc>
          <w:tcPr>
            <w:tcW w:w="5000" w:type="pct"/>
            <w:gridSpan w:val="4"/>
          </w:tcPr>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lang w:val="en"/>
              </w:rPr>
              <w:lastRenderedPageBreak/>
              <w:t xml:space="preserve">Following an Ontario Securities Commission investigation, </w:t>
            </w:r>
            <w:r w:rsidRPr="00FB5988">
              <w:rPr>
                <w:sz w:val="20"/>
              </w:rPr>
              <w:t xml:space="preserve">Mr. Gong </w:t>
            </w:r>
            <w:r w:rsidRPr="00FB5988">
              <w:rPr>
                <w:sz w:val="20"/>
                <w:lang w:val="en"/>
              </w:rPr>
              <w:t xml:space="preserve">was charged with fraud over $5,000, possession of property obtained by crime, laundering proceeds of crime and uttering a forged document. </w:t>
            </w:r>
            <w:r w:rsidRPr="00FB5988">
              <w:rPr>
                <w:sz w:val="20"/>
              </w:rPr>
              <w:t xml:space="preserve">The </w:t>
            </w:r>
            <w:r w:rsidRPr="00FB5988">
              <w:rPr>
                <w:sz w:val="20"/>
                <w:lang w:val="en"/>
              </w:rPr>
              <w:t xml:space="preserve">Ontario Securities Commission obtained a production order under the </w:t>
            </w:r>
            <w:r w:rsidRPr="00FB5988">
              <w:rPr>
                <w:i/>
                <w:sz w:val="20"/>
                <w:lang w:val="en"/>
              </w:rPr>
              <w:t xml:space="preserve">Criminal Code </w:t>
            </w:r>
            <w:r w:rsidRPr="00FB5988">
              <w:rPr>
                <w:sz w:val="20"/>
                <w:lang w:val="en"/>
              </w:rPr>
              <w:t xml:space="preserve">for documents held by </w:t>
            </w:r>
            <w:r w:rsidRPr="00FB5988">
              <w:rPr>
                <w:sz w:val="20"/>
              </w:rPr>
              <w:t>PricewaterhouseCoopers LLP, which had been retained by Gowling WLG (Canada) LLP to provide accounting advice in relation to tax</w:t>
            </w:r>
            <w:r w:rsidRPr="00FB5988">
              <w:rPr>
                <w:sz w:val="20"/>
              </w:rPr>
              <w:noBreakHyphen/>
              <w:t>related legal advice provided to Mr. Gong</w:t>
            </w:r>
            <w:r w:rsidRPr="00FB5988">
              <w:rPr>
                <w:sz w:val="20"/>
                <w:lang w:val="en"/>
              </w:rPr>
              <w:t>. Mr. Gong claimed solicitor</w:t>
            </w:r>
            <w:r w:rsidRPr="00FB5988">
              <w:rPr>
                <w:sz w:val="20"/>
                <w:lang w:val="en"/>
              </w:rPr>
              <w:noBreakHyphen/>
              <w:t xml:space="preserve">client and litigation privilege. A motion judge rejected the claim of litigation privilege but found it necessary to appoint referees to review each document to make a determination on solicitor-client privilege. </w:t>
            </w:r>
            <w:r w:rsidRPr="00FB5988">
              <w:rPr>
                <w:sz w:val="20"/>
              </w:rPr>
              <w:t>Mr. Gong filed an appeal to the Court of Appeal. The Court of Appeal quashed the appeal for want of jurisdiction.</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November 7, 2019</w:t>
            </w:r>
          </w:p>
          <w:p w:rsidR="00A061B8" w:rsidRPr="00FB5988" w:rsidRDefault="00A061B8" w:rsidP="00164321">
            <w:pPr>
              <w:jc w:val="both"/>
              <w:rPr>
                <w:sz w:val="20"/>
              </w:rPr>
            </w:pPr>
            <w:r w:rsidRPr="00FB5988">
              <w:rPr>
                <w:sz w:val="20"/>
              </w:rPr>
              <w:t>Ontario Superior Court of Justice</w:t>
            </w:r>
          </w:p>
          <w:p w:rsidR="00A061B8" w:rsidRPr="00FB5988" w:rsidRDefault="00A061B8" w:rsidP="00164321">
            <w:pPr>
              <w:jc w:val="both"/>
              <w:rPr>
                <w:sz w:val="20"/>
              </w:rPr>
            </w:pPr>
            <w:r w:rsidRPr="00FB5988">
              <w:rPr>
                <w:sz w:val="20"/>
              </w:rPr>
              <w:t>(Copeland J.)(Unreported)</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 xml:space="preserve">Order appointing referees to implement a protocol governing disclosure </w:t>
            </w:r>
          </w:p>
        </w:tc>
      </w:tr>
      <w:tr w:rsidR="00A061B8" w:rsidRPr="00FB5988" w:rsidTr="00164321">
        <w:tc>
          <w:tcPr>
            <w:tcW w:w="2427" w:type="pct"/>
            <w:gridSpan w:val="2"/>
          </w:tcPr>
          <w:p w:rsidR="00A061B8" w:rsidRPr="00FB5988" w:rsidRDefault="00A061B8" w:rsidP="00164321">
            <w:pPr>
              <w:jc w:val="both"/>
              <w:rPr>
                <w:sz w:val="20"/>
              </w:rPr>
            </w:pPr>
            <w:r w:rsidRPr="00FB5988">
              <w:rPr>
                <w:sz w:val="20"/>
              </w:rPr>
              <w:t>January 17, 2020</w:t>
            </w:r>
          </w:p>
          <w:p w:rsidR="00A061B8" w:rsidRPr="00FB5988" w:rsidRDefault="00A061B8" w:rsidP="00164321">
            <w:pPr>
              <w:jc w:val="both"/>
              <w:rPr>
                <w:sz w:val="20"/>
              </w:rPr>
            </w:pPr>
            <w:r w:rsidRPr="00FB5988">
              <w:rPr>
                <w:sz w:val="20"/>
              </w:rPr>
              <w:t>Supreme Court of Canada</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Application for leave to appeal filed</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April 16, 2020</w:t>
            </w:r>
          </w:p>
          <w:p w:rsidR="00A061B8" w:rsidRPr="00FB5988" w:rsidRDefault="00A061B8" w:rsidP="00164321">
            <w:pPr>
              <w:jc w:val="both"/>
              <w:rPr>
                <w:sz w:val="20"/>
              </w:rPr>
            </w:pPr>
            <w:r w:rsidRPr="00FB5988">
              <w:rPr>
                <w:sz w:val="20"/>
              </w:rPr>
              <w:t>Supreme Court of Canada</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Leave to appeal dismissed</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September 18, 2020</w:t>
            </w:r>
          </w:p>
          <w:p w:rsidR="00A061B8" w:rsidRPr="00FB5988" w:rsidRDefault="00A061B8" w:rsidP="00164321">
            <w:pPr>
              <w:jc w:val="both"/>
              <w:rPr>
                <w:sz w:val="20"/>
              </w:rPr>
            </w:pPr>
            <w:r w:rsidRPr="00FB5988">
              <w:rPr>
                <w:sz w:val="20"/>
              </w:rPr>
              <w:t>Court of Appeal for Ontario</w:t>
            </w:r>
          </w:p>
          <w:p w:rsidR="00A061B8" w:rsidRPr="00FB5988" w:rsidRDefault="00A061B8" w:rsidP="00164321">
            <w:pPr>
              <w:widowControl w:val="0"/>
              <w:jc w:val="both"/>
              <w:rPr>
                <w:sz w:val="20"/>
                <w:lang w:val="en"/>
              </w:rPr>
            </w:pPr>
            <w:r w:rsidRPr="00FB5988">
              <w:rPr>
                <w:sz w:val="20"/>
                <w:lang w:val="en"/>
              </w:rPr>
              <w:t>(Lauwers, Brown and Nordheimer JJ.A.)</w:t>
            </w:r>
          </w:p>
          <w:p w:rsidR="00A061B8" w:rsidRPr="00FB5988" w:rsidRDefault="00EB6AAD" w:rsidP="00164321">
            <w:pPr>
              <w:jc w:val="both"/>
              <w:rPr>
                <w:sz w:val="20"/>
                <w:lang w:val="en"/>
              </w:rPr>
            </w:pPr>
            <w:hyperlink r:id="rId31" w:history="1">
              <w:r w:rsidR="00A061B8" w:rsidRPr="00FB5988">
                <w:rPr>
                  <w:rStyle w:val="Hyperlink"/>
                  <w:sz w:val="20"/>
                  <w:lang w:val="en"/>
                </w:rPr>
                <w:t>2020 ONCA 587</w:t>
              </w:r>
            </w:hyperlink>
            <w:r w:rsidR="00A061B8" w:rsidRPr="00FB5988">
              <w:rPr>
                <w:sz w:val="20"/>
                <w:lang w:val="en"/>
              </w:rPr>
              <w:t>; M51634</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Appeal quashed</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November 17, 2020</w:t>
            </w:r>
          </w:p>
          <w:p w:rsidR="00A061B8" w:rsidRPr="00FB5988" w:rsidRDefault="00A061B8" w:rsidP="00164321">
            <w:pPr>
              <w:jc w:val="both"/>
              <w:rPr>
                <w:sz w:val="20"/>
              </w:rPr>
            </w:pPr>
            <w:r w:rsidRPr="00FB5988">
              <w:rPr>
                <w:sz w:val="20"/>
              </w:rPr>
              <w:t>Supreme Court of Canada</w:t>
            </w: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Application for leave to appeal filed</w:t>
            </w:r>
          </w:p>
          <w:p w:rsidR="00A061B8" w:rsidRPr="00FB5988" w:rsidRDefault="00A061B8" w:rsidP="00164321">
            <w:pPr>
              <w:jc w:val="both"/>
              <w:rPr>
                <w:sz w:val="20"/>
              </w:rPr>
            </w:pPr>
          </w:p>
        </w:tc>
      </w:tr>
    </w:tbl>
    <w:p w:rsidR="00A061B8" w:rsidRPr="00FB5988" w:rsidRDefault="00A061B8" w:rsidP="00A061B8">
      <w:pPr>
        <w:jc w:val="both"/>
        <w:rPr>
          <w:sz w:val="20"/>
        </w:rPr>
      </w:pPr>
    </w:p>
    <w:p w:rsidR="00A061B8" w:rsidRPr="00FB5988" w:rsidRDefault="00EB6AAD" w:rsidP="00A061B8">
      <w:pPr>
        <w:jc w:val="both"/>
        <w:rPr>
          <w:sz w:val="20"/>
        </w:rPr>
      </w:pPr>
      <w:r>
        <w:rPr>
          <w:sz w:val="20"/>
        </w:rPr>
        <w:pict>
          <v:rect id="_x0000_i1040" style="width:2in;height:1pt" o:hrpct="0" o:hralign="center" o:hrstd="t" o:hrnoshade="t" o:hr="t" fillcolor="black [3213]" stroked="f"/>
        </w:pict>
      </w:r>
    </w:p>
    <w:p w:rsidR="00A061B8" w:rsidRPr="00FB5988" w:rsidRDefault="00A061B8" w:rsidP="00A061B8">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lang w:val="fr-CA"/>
              </w:rPr>
            </w:pPr>
            <w:r w:rsidRPr="00FB5988">
              <w:rPr>
                <w:rStyle w:val="SCCFileNumberChar"/>
                <w:sz w:val="20"/>
                <w:szCs w:val="20"/>
                <w:lang w:val="fr-CA"/>
              </w:rPr>
              <w:t>39040</w:t>
            </w:r>
          </w:p>
        </w:tc>
        <w:tc>
          <w:tcPr>
            <w:tcW w:w="4457" w:type="pct"/>
            <w:gridSpan w:val="3"/>
          </w:tcPr>
          <w:p w:rsidR="00A061B8" w:rsidRPr="00FB5988" w:rsidRDefault="00A061B8" w:rsidP="00164321">
            <w:pPr>
              <w:pStyle w:val="SCCLsocParty"/>
              <w:jc w:val="both"/>
              <w:rPr>
                <w:b/>
                <w:sz w:val="20"/>
                <w:szCs w:val="20"/>
              </w:rPr>
            </w:pPr>
            <w:r w:rsidRPr="00FB5988">
              <w:rPr>
                <w:b/>
                <w:sz w:val="20"/>
                <w:szCs w:val="20"/>
              </w:rPr>
              <w:t>Xiao Hua Gong c. Sa Majesté la Reine</w:t>
            </w:r>
          </w:p>
          <w:p w:rsidR="00A061B8" w:rsidRPr="00FB5988" w:rsidRDefault="00A061B8" w:rsidP="00164321">
            <w:pPr>
              <w:jc w:val="both"/>
              <w:rPr>
                <w:sz w:val="20"/>
                <w:lang w:val="fr-CA"/>
              </w:rPr>
            </w:pPr>
            <w:r w:rsidRPr="00FB5988">
              <w:rPr>
                <w:sz w:val="20"/>
                <w:lang w:val="fr-CA"/>
              </w:rPr>
              <w:t>(Ont.) (Criminelle) (Sur autorisation)</w:t>
            </w:r>
          </w:p>
        </w:tc>
      </w:tr>
      <w:tr w:rsidR="00A061B8" w:rsidRPr="00EB6AAD" w:rsidTr="00164321">
        <w:tc>
          <w:tcPr>
            <w:tcW w:w="5000" w:type="pct"/>
            <w:gridSpan w:val="4"/>
          </w:tcPr>
          <w:p w:rsidR="00A061B8" w:rsidRPr="00FB5988" w:rsidRDefault="008C64B6" w:rsidP="00164321">
            <w:pPr>
              <w:jc w:val="both"/>
              <w:rPr>
                <w:sz w:val="20"/>
                <w:szCs w:val="20"/>
                <w:lang w:val="fr-CA"/>
              </w:rPr>
            </w:pPr>
            <w:r w:rsidRPr="00FB5988">
              <w:rPr>
                <w:sz w:val="20"/>
                <w:szCs w:val="20"/>
                <w:lang w:val="fr-CA"/>
              </w:rPr>
              <w:t>La demande d’autorisation d’appel de l’arrêt de la Cour d’appel de l’Ontario, numéro M51634 (C68411), 2020 ONCA 587, daté du 18 septembre 2020, est rejetée.</w:t>
            </w:r>
          </w:p>
          <w:p w:rsidR="008C64B6" w:rsidRPr="00FB5988" w:rsidRDefault="008C64B6" w:rsidP="00164321">
            <w:pPr>
              <w:jc w:val="both"/>
              <w:rPr>
                <w:sz w:val="20"/>
                <w:lang w:val="fr-CA"/>
              </w:rPr>
            </w:pPr>
          </w:p>
        </w:tc>
      </w:tr>
      <w:tr w:rsidR="00A061B8" w:rsidRPr="00EB6AAD" w:rsidTr="00164321">
        <w:tc>
          <w:tcPr>
            <w:tcW w:w="5000" w:type="pct"/>
            <w:gridSpan w:val="4"/>
          </w:tcPr>
          <w:p w:rsidR="00A061B8" w:rsidRPr="00FB5988" w:rsidRDefault="00A061B8" w:rsidP="00164321">
            <w:pPr>
              <w:jc w:val="both"/>
              <w:rPr>
                <w:sz w:val="20"/>
                <w:lang w:val="fr-CA"/>
              </w:rPr>
            </w:pPr>
            <w:r w:rsidRPr="00FB5988">
              <w:rPr>
                <w:sz w:val="20"/>
                <w:lang w:val="fr-CA"/>
              </w:rPr>
              <w:t>Tribunaux — Compétence — Cour d’appel — Droit criminel — La Cour d’appel a</w:t>
            </w:r>
            <w:r w:rsidRPr="00FB5988">
              <w:rPr>
                <w:sz w:val="20"/>
                <w:lang w:val="fr-CA"/>
              </w:rPr>
              <w:noBreakHyphen/>
              <w:t>t</w:t>
            </w:r>
            <w:r w:rsidRPr="00FB5988">
              <w:rPr>
                <w:sz w:val="20"/>
                <w:lang w:val="fr-CA"/>
              </w:rPr>
              <w:noBreakHyphen/>
              <w:t>elle commis une erreur en annulant l’appel pour défaut de compétence? — La procédure est</w:t>
            </w:r>
            <w:r w:rsidRPr="00FB5988">
              <w:rPr>
                <w:sz w:val="20"/>
                <w:lang w:val="fr-CA"/>
              </w:rPr>
              <w:noBreakHyphen/>
              <w:t>elle de nature criminelle? — Un appel d’une décision rendue à l’égard de privilèges revendiqués est</w:t>
            </w:r>
            <w:r w:rsidRPr="00FB5988">
              <w:rPr>
                <w:sz w:val="20"/>
                <w:lang w:val="fr-CA"/>
              </w:rPr>
              <w:noBreakHyphen/>
              <w:t xml:space="preserve">il du ressort de la Cour d’appel en vertu de l’al. 6(1)b) de la </w:t>
            </w:r>
            <w:r w:rsidRPr="00FB5988">
              <w:rPr>
                <w:i/>
                <w:sz w:val="20"/>
                <w:lang w:val="fr-CA"/>
              </w:rPr>
              <w:t>Loi sur les tribunaux judiciaires</w:t>
            </w:r>
            <w:r w:rsidRPr="00FB5988">
              <w:rPr>
                <w:sz w:val="20"/>
                <w:lang w:val="fr-CA"/>
              </w:rPr>
              <w:t>?</w:t>
            </w:r>
          </w:p>
        </w:tc>
      </w:tr>
      <w:tr w:rsidR="00A061B8" w:rsidRPr="00EB6AAD" w:rsidTr="00164321">
        <w:tc>
          <w:tcPr>
            <w:tcW w:w="5000" w:type="pct"/>
            <w:gridSpan w:val="4"/>
          </w:tcPr>
          <w:p w:rsidR="00A061B8" w:rsidRPr="00FB5988" w:rsidRDefault="00A061B8" w:rsidP="00164321">
            <w:pPr>
              <w:jc w:val="both"/>
              <w:rPr>
                <w:sz w:val="20"/>
                <w:lang w:val="fr-CA"/>
              </w:rPr>
            </w:pPr>
          </w:p>
        </w:tc>
      </w:tr>
      <w:tr w:rsidR="00A061B8" w:rsidRPr="00EB6AAD" w:rsidTr="00164321">
        <w:tc>
          <w:tcPr>
            <w:tcW w:w="5000" w:type="pct"/>
            <w:gridSpan w:val="4"/>
          </w:tcPr>
          <w:p w:rsidR="00A061B8" w:rsidRPr="00FB5988" w:rsidRDefault="00A061B8" w:rsidP="00164321">
            <w:pPr>
              <w:jc w:val="both"/>
              <w:rPr>
                <w:sz w:val="20"/>
                <w:lang w:val="fr-CA"/>
              </w:rPr>
            </w:pPr>
            <w:r w:rsidRPr="00FB5988">
              <w:rPr>
                <w:sz w:val="20"/>
                <w:lang w:val="fr-CA"/>
              </w:rPr>
              <w:t xml:space="preserve">À la suite d’une enquête par la Commission des valeurs mobilières de l’Ontario, M. Gong a été accusé de fraude de plus de 5 000 $, de possession de biens criminellement obtenus, de recyclage des produits de la criminalité et d'emploi d'un document contrefait. La Commission des valeurs mobilières de l’Ontario a obtenu une ordonnance de communication, en vertu du </w:t>
            </w:r>
            <w:r w:rsidRPr="00FB5988">
              <w:rPr>
                <w:i/>
                <w:sz w:val="20"/>
                <w:lang w:val="fr-CA"/>
              </w:rPr>
              <w:t xml:space="preserve">Code criminel, </w:t>
            </w:r>
            <w:r w:rsidRPr="00FB5988">
              <w:rPr>
                <w:sz w:val="20"/>
                <w:lang w:val="fr-CA"/>
              </w:rPr>
              <w:t xml:space="preserve">visant des documents en la possession du cabinet PricewaterhouseCoopers </w:t>
            </w:r>
            <w:proofErr w:type="gramStart"/>
            <w:r w:rsidRPr="00FB5988">
              <w:rPr>
                <w:sz w:val="20"/>
                <w:lang w:val="fr-CA"/>
              </w:rPr>
              <w:t>s.r.l.,</w:t>
            </w:r>
            <w:proofErr w:type="gramEnd"/>
            <w:r w:rsidRPr="00FB5988">
              <w:rPr>
                <w:sz w:val="20"/>
                <w:lang w:val="fr-CA"/>
              </w:rPr>
              <w:t xml:space="preserve"> qui avait été retenu par Gowling WLG (Canada) </w:t>
            </w:r>
            <w:r w:rsidRPr="00FB5988">
              <w:rPr>
                <w:rFonts w:ascii="GWLGBW-Lt" w:hAnsi="GWLGBW-Lt" w:cs="Arial"/>
                <w:smallCaps/>
                <w:sz w:val="20"/>
                <w:lang w:val="fr-FR"/>
              </w:rPr>
              <w:t>s.e.n.c.r.l</w:t>
            </w:r>
            <w:r w:rsidRPr="00FB5988">
              <w:rPr>
                <w:rFonts w:ascii="GWLGBW-Lt" w:hAnsi="GWLGBW-Lt" w:cs="Arial"/>
                <w:sz w:val="20"/>
                <w:lang w:val="fr-FR"/>
              </w:rPr>
              <w:t>., s.r.l.</w:t>
            </w:r>
            <w:r w:rsidRPr="00FB5988">
              <w:rPr>
                <w:sz w:val="20"/>
                <w:lang w:val="fr-CA"/>
              </w:rPr>
              <w:t xml:space="preserve"> afin de fournir un avis comptable quant à des conseils juridiques en matière de fiscalité prodigués à M. Gong. Ce dernier a invoqué le privilège du secret professionnel de l’avocat et le privilège relatif au litige. La juge saisie de la motion a rejeté la réclamation du privilège relatif au litige, mais a conclu qu’il était nécessaire de nommer des arbitres afin d’examiner chacun des documents pour rendre une décision sur le privilège du secret professionnel de l’avocat revendiqué. M. Gong a fait appel à la Cour d’appel, qui a annulé l’appel pour défaut de compétence.</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lastRenderedPageBreak/>
              <w:t>7 novembre 2019</w:t>
            </w:r>
          </w:p>
          <w:p w:rsidR="00A061B8" w:rsidRPr="00FB5988" w:rsidRDefault="00A061B8" w:rsidP="00164321">
            <w:pPr>
              <w:jc w:val="both"/>
              <w:rPr>
                <w:sz w:val="20"/>
                <w:lang w:val="fr-CA"/>
              </w:rPr>
            </w:pPr>
            <w:r w:rsidRPr="00FB5988">
              <w:rPr>
                <w:sz w:val="20"/>
                <w:lang w:val="fr-CA"/>
              </w:rPr>
              <w:t>Cour supérieure de justice de l’Ontario</w:t>
            </w:r>
          </w:p>
          <w:p w:rsidR="00A061B8" w:rsidRPr="00FB5988" w:rsidRDefault="00A061B8" w:rsidP="00164321">
            <w:pPr>
              <w:jc w:val="both"/>
              <w:rPr>
                <w:sz w:val="20"/>
                <w:lang w:val="fr-CA"/>
              </w:rPr>
            </w:pPr>
            <w:r w:rsidRPr="00FB5988">
              <w:rPr>
                <w:sz w:val="20"/>
                <w:lang w:val="fr-CA"/>
              </w:rPr>
              <w:t>(Juge Copeland) (Non publié)</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 xml:space="preserve">Une ordonnance nommant des arbitres pour mettre en œuvre un protocole régissant la communication des documents est rendue. </w:t>
            </w: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17 janvier 2020</w:t>
            </w:r>
          </w:p>
          <w:p w:rsidR="00A061B8" w:rsidRPr="00FB5988" w:rsidRDefault="00A061B8" w:rsidP="00164321">
            <w:pPr>
              <w:jc w:val="both"/>
              <w:rPr>
                <w:sz w:val="20"/>
                <w:lang w:val="fr-CA"/>
              </w:rPr>
            </w:pPr>
            <w:r w:rsidRPr="00FB5988">
              <w:rPr>
                <w:sz w:val="20"/>
                <w:lang w:val="fr-CA"/>
              </w:rPr>
              <w:t>Cour suprême du Canada</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 demande d’autorisation d’appel est présentée.</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16 avril 2020</w:t>
            </w:r>
          </w:p>
          <w:p w:rsidR="00A061B8" w:rsidRPr="00FB5988" w:rsidRDefault="00A061B8" w:rsidP="00164321">
            <w:pPr>
              <w:jc w:val="both"/>
              <w:rPr>
                <w:sz w:val="20"/>
                <w:lang w:val="fr-CA"/>
              </w:rPr>
            </w:pPr>
            <w:r w:rsidRPr="00FB5988">
              <w:rPr>
                <w:sz w:val="20"/>
                <w:lang w:val="fr-CA"/>
              </w:rPr>
              <w:t>Cour suprême du Canada</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 demande d’autorisation d’appel est rejetée.</w:t>
            </w:r>
          </w:p>
        </w:tc>
      </w:tr>
      <w:tr w:rsidR="00A061B8" w:rsidRPr="00FB5988" w:rsidTr="00164321">
        <w:tc>
          <w:tcPr>
            <w:tcW w:w="2427" w:type="pct"/>
            <w:gridSpan w:val="2"/>
          </w:tcPr>
          <w:p w:rsidR="00A061B8" w:rsidRPr="00FB5988" w:rsidRDefault="00A061B8" w:rsidP="00164321">
            <w:pPr>
              <w:jc w:val="both"/>
              <w:rPr>
                <w:sz w:val="20"/>
                <w:lang w:val="fr-CA"/>
              </w:rPr>
            </w:pPr>
            <w:r w:rsidRPr="00FB5988">
              <w:rPr>
                <w:sz w:val="20"/>
                <w:lang w:val="fr-CA"/>
              </w:rPr>
              <w:t>18 septembre 2020</w:t>
            </w:r>
          </w:p>
          <w:p w:rsidR="00A061B8" w:rsidRPr="00FB5988" w:rsidRDefault="00A061B8" w:rsidP="00164321">
            <w:pPr>
              <w:jc w:val="both"/>
              <w:rPr>
                <w:sz w:val="20"/>
                <w:lang w:val="fr-CA"/>
              </w:rPr>
            </w:pPr>
            <w:r w:rsidRPr="00FB5988">
              <w:rPr>
                <w:sz w:val="20"/>
                <w:lang w:val="fr-CA"/>
              </w:rPr>
              <w:t>Cour d’appel de l’Ontario</w:t>
            </w:r>
          </w:p>
          <w:p w:rsidR="00A061B8" w:rsidRPr="00FB5988" w:rsidRDefault="00A061B8" w:rsidP="00164321">
            <w:pPr>
              <w:widowControl w:val="0"/>
              <w:jc w:val="both"/>
              <w:rPr>
                <w:sz w:val="20"/>
                <w:lang w:val="fr-CA"/>
              </w:rPr>
            </w:pPr>
            <w:r w:rsidRPr="00FB5988">
              <w:rPr>
                <w:sz w:val="20"/>
                <w:lang w:val="fr-CA"/>
              </w:rPr>
              <w:t>(Juges Lauwers, Brown et Nordheimer)</w:t>
            </w:r>
          </w:p>
          <w:p w:rsidR="00A061B8" w:rsidRPr="00FB5988" w:rsidRDefault="00EB6AAD" w:rsidP="00164321">
            <w:pPr>
              <w:jc w:val="both"/>
              <w:rPr>
                <w:sz w:val="20"/>
                <w:lang w:val="fr-CA"/>
              </w:rPr>
            </w:pPr>
            <w:hyperlink r:id="rId32" w:history="1">
              <w:r w:rsidR="00A061B8" w:rsidRPr="00FB5988">
                <w:rPr>
                  <w:rStyle w:val="Hyperlink"/>
                  <w:sz w:val="20"/>
                  <w:lang w:val="fr-CA"/>
                </w:rPr>
                <w:t>2020 ONCA 587</w:t>
              </w:r>
            </w:hyperlink>
            <w:r w:rsidR="00A061B8" w:rsidRPr="00FB5988">
              <w:rPr>
                <w:sz w:val="20"/>
                <w:lang w:val="fr-CA"/>
              </w:rPr>
              <w:t>; M51634</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L’appel est annulé.</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17 novembre 2020</w:t>
            </w:r>
          </w:p>
          <w:p w:rsidR="00A061B8" w:rsidRPr="00FB5988" w:rsidRDefault="00A061B8" w:rsidP="00164321">
            <w:pPr>
              <w:jc w:val="both"/>
              <w:rPr>
                <w:sz w:val="20"/>
                <w:lang w:val="fr-CA"/>
              </w:rPr>
            </w:pPr>
            <w:r w:rsidRPr="00FB5988">
              <w:rPr>
                <w:sz w:val="20"/>
                <w:lang w:val="fr-CA"/>
              </w:rPr>
              <w:t>Cour suprême du Canada</w:t>
            </w: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 demande d’autorisation d’appel est présentée.</w:t>
            </w:r>
          </w:p>
          <w:p w:rsidR="00A061B8" w:rsidRPr="00FB5988" w:rsidRDefault="00A061B8" w:rsidP="00164321">
            <w:pPr>
              <w:jc w:val="both"/>
              <w:rPr>
                <w:sz w:val="20"/>
                <w:lang w:val="fr-CA"/>
              </w:rPr>
            </w:pPr>
          </w:p>
        </w:tc>
      </w:tr>
    </w:tbl>
    <w:p w:rsidR="00A061B8" w:rsidRPr="00FB5988" w:rsidRDefault="00A061B8" w:rsidP="00A061B8">
      <w:pPr>
        <w:jc w:val="both"/>
        <w:rPr>
          <w:sz w:val="20"/>
          <w:lang w:val="fr-CA"/>
        </w:rPr>
      </w:pPr>
    </w:p>
    <w:p w:rsidR="00A061B8" w:rsidRPr="00FB5988" w:rsidRDefault="00EB6AAD" w:rsidP="00A061B8">
      <w:pPr>
        <w:jc w:val="both"/>
        <w:rPr>
          <w:sz w:val="20"/>
          <w:lang w:val="fr-CA"/>
        </w:rPr>
      </w:pPr>
      <w:r>
        <w:rPr>
          <w:sz w:val="20"/>
        </w:rPr>
        <w:pict>
          <v:rect id="_x0000_i1041" style="width:2in;height:1pt" o:hrpct="0" o:hralign="center" o:hrstd="t" o:hrnoshade="t" o:hr="t" fillcolor="black [3213]" stroked="f"/>
        </w:pict>
      </w:r>
    </w:p>
    <w:p w:rsidR="00A061B8" w:rsidRPr="00FB5988" w:rsidRDefault="00A061B8" w:rsidP="00A061B8">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rPr>
            </w:pPr>
            <w:r w:rsidRPr="00FB5988">
              <w:rPr>
                <w:rStyle w:val="SCCFileNumberChar"/>
                <w:sz w:val="20"/>
                <w:szCs w:val="20"/>
              </w:rPr>
              <w:t>39341</w:t>
            </w:r>
          </w:p>
        </w:tc>
        <w:tc>
          <w:tcPr>
            <w:tcW w:w="4457" w:type="pct"/>
            <w:gridSpan w:val="3"/>
          </w:tcPr>
          <w:p w:rsidR="00A061B8" w:rsidRPr="00FB5988" w:rsidRDefault="00A061B8" w:rsidP="00164321">
            <w:pPr>
              <w:pStyle w:val="SCCLsocParty"/>
              <w:jc w:val="both"/>
              <w:rPr>
                <w:b/>
                <w:sz w:val="20"/>
                <w:szCs w:val="20"/>
                <w:lang w:val="en-US"/>
              </w:rPr>
            </w:pPr>
            <w:r w:rsidRPr="00FB5988">
              <w:rPr>
                <w:b/>
                <w:sz w:val="20"/>
                <w:szCs w:val="20"/>
                <w:lang w:val="en-US"/>
              </w:rPr>
              <w:t>T.W.S. v. Her Majesty the Queen</w:t>
            </w:r>
          </w:p>
          <w:p w:rsidR="00A061B8" w:rsidRPr="00FB5988" w:rsidRDefault="00A061B8" w:rsidP="00164321">
            <w:pPr>
              <w:jc w:val="both"/>
              <w:rPr>
                <w:sz w:val="20"/>
              </w:rPr>
            </w:pPr>
            <w:r w:rsidRPr="00FB5988">
              <w:rPr>
                <w:sz w:val="20"/>
              </w:rPr>
              <w:t>(Alta.) (Criminal) (By Leave)</w:t>
            </w:r>
          </w:p>
        </w:tc>
      </w:tr>
      <w:tr w:rsidR="00A061B8" w:rsidRPr="00FB5988" w:rsidTr="00164321">
        <w:tc>
          <w:tcPr>
            <w:tcW w:w="5000" w:type="pct"/>
            <w:gridSpan w:val="4"/>
          </w:tcPr>
          <w:p w:rsidR="0024409A" w:rsidRPr="00FB5988" w:rsidRDefault="0024409A" w:rsidP="0024409A">
            <w:pPr>
              <w:jc w:val="both"/>
              <w:rPr>
                <w:sz w:val="20"/>
                <w:szCs w:val="20"/>
              </w:rPr>
            </w:pPr>
            <w:r w:rsidRPr="00FB5988">
              <w:rPr>
                <w:sz w:val="20"/>
                <w:szCs w:val="20"/>
              </w:rPr>
              <w:t>The motion for an extension of time to serve and file the application for leave to appeal is granted. The motion for an extension of time to serve and file the response to the application for leave to appeal is granted. The application for leave to appeal from the judgment of the Court of Appeal of Alberta (Calgary), Number 1801-0337-A, 2020 ABCA 157, dated April 23, 2020, is dismissed.</w:t>
            </w:r>
          </w:p>
          <w:p w:rsidR="00A061B8" w:rsidRPr="00FB5988" w:rsidRDefault="00A061B8" w:rsidP="00164321">
            <w:pPr>
              <w:pStyle w:val="SCCBanSummary0"/>
              <w:rPr>
                <w:smallCaps w:val="0"/>
                <w:sz w:val="20"/>
                <w:szCs w:val="20"/>
              </w:rPr>
            </w:pPr>
          </w:p>
        </w:tc>
      </w:tr>
      <w:tr w:rsidR="00A061B8" w:rsidRPr="00FB5988" w:rsidTr="00164321">
        <w:tc>
          <w:tcPr>
            <w:tcW w:w="5000" w:type="pct"/>
            <w:gridSpan w:val="4"/>
          </w:tcPr>
          <w:p w:rsidR="00A061B8" w:rsidRPr="00FB5988" w:rsidRDefault="00A061B8" w:rsidP="00164321">
            <w:pPr>
              <w:pStyle w:val="SCCBanSummary0"/>
              <w:rPr>
                <w:sz w:val="20"/>
                <w:szCs w:val="20"/>
              </w:rPr>
            </w:pPr>
            <w:r w:rsidRPr="00FB5988">
              <w:rPr>
                <w:sz w:val="20"/>
                <w:szCs w:val="20"/>
              </w:rPr>
              <w:t>(Publication ban in case)</w:t>
            </w:r>
          </w:p>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t>Criminal law — Evidence — Prior consistent statements — Whether statements made by a witness prior to the alleged offending conduct at trial can be admitted as prior consistent statements — Whether a jury can be instructed to use statements made by a witness prior to the alleged offending conduct as prior consistent statements to rebut the defence theory of recent fabrication of the charges before the court.</w:t>
            </w:r>
          </w:p>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color w:val="000000"/>
                <w:spacing w:val="1"/>
                <w:sz w:val="20"/>
              </w:rPr>
              <w:t>In the summer of 1997, police interviewed TSD about alleged sexual abuse at the hands of the applicant, her stepfather. The interviews were video</w:t>
            </w:r>
            <w:r w:rsidRPr="00FB5988">
              <w:rPr>
                <w:color w:val="000000"/>
                <w:spacing w:val="1"/>
                <w:sz w:val="20"/>
              </w:rPr>
              <w:noBreakHyphen/>
              <w:t xml:space="preserve">recorded. Police charged the applicant, and then the Crown stayed the charges in December 1997. TSD continued to reside with the applicant until her mother separated from him in 2004. In 2013, TSD reported that she had been subjected to further sexual abuse by the applicant between December 1997 and 2004. </w:t>
            </w:r>
            <w:r w:rsidRPr="00FB5988">
              <w:rPr>
                <w:color w:val="000000"/>
                <w:sz w:val="20"/>
              </w:rPr>
              <w:t xml:space="preserve">The police laid new charges against the applicant. At the applicant’s trial, he made the 1997 video recorded interviews central to his defence. </w:t>
            </w:r>
            <w:r w:rsidRPr="00FB5988">
              <w:rPr>
                <w:sz w:val="20"/>
                <w:lang w:val="en"/>
              </w:rPr>
              <w:t xml:space="preserve">The trial judge held a </w:t>
            </w:r>
            <w:r w:rsidRPr="00FB5988">
              <w:rPr>
                <w:i/>
                <w:sz w:val="20"/>
                <w:lang w:val="en"/>
              </w:rPr>
              <w:t>voir dire</w:t>
            </w:r>
            <w:r w:rsidRPr="00FB5988">
              <w:rPr>
                <w:sz w:val="20"/>
                <w:lang w:val="en"/>
              </w:rPr>
              <w:t xml:space="preserve"> and ruled that all aspects of the 1997 statements could be admitted into evidence to assess allegations of recent fabrication, as well as for narrative.</w:t>
            </w:r>
            <w:r w:rsidRPr="00FB5988">
              <w:rPr>
                <w:sz w:val="20"/>
              </w:rPr>
              <w:t xml:space="preserve"> After a trial by judge and jury, the applicant was convicted of two counts of sexual interference. The Court of Appeal dismissed his appeal.</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October 10, 2018</w:t>
            </w:r>
          </w:p>
          <w:p w:rsidR="00A061B8" w:rsidRPr="00FB5988" w:rsidRDefault="00A061B8" w:rsidP="00164321">
            <w:pPr>
              <w:jc w:val="both"/>
              <w:rPr>
                <w:sz w:val="20"/>
              </w:rPr>
            </w:pPr>
            <w:r w:rsidRPr="00FB5988">
              <w:rPr>
                <w:sz w:val="20"/>
              </w:rPr>
              <w:t>Court of Queen’s Bench of Alberta</w:t>
            </w:r>
          </w:p>
          <w:p w:rsidR="00A061B8" w:rsidRPr="00FB5988" w:rsidRDefault="00A061B8" w:rsidP="00164321">
            <w:pPr>
              <w:jc w:val="both"/>
              <w:rPr>
                <w:sz w:val="20"/>
              </w:rPr>
            </w:pPr>
            <w:r w:rsidRPr="00FB5988">
              <w:rPr>
                <w:sz w:val="20"/>
              </w:rPr>
              <w:t>(Gates J.)</w:t>
            </w:r>
          </w:p>
          <w:p w:rsidR="00A061B8" w:rsidRPr="00FB5988" w:rsidRDefault="00EB6AAD" w:rsidP="00164321">
            <w:pPr>
              <w:jc w:val="both"/>
              <w:rPr>
                <w:sz w:val="20"/>
              </w:rPr>
            </w:pPr>
            <w:hyperlink r:id="rId33" w:history="1">
              <w:r w:rsidR="00A061B8" w:rsidRPr="00FB5988">
                <w:rPr>
                  <w:rStyle w:val="Hyperlink"/>
                  <w:sz w:val="20"/>
                </w:rPr>
                <w:t>2018 ABQB 870</w:t>
              </w:r>
            </w:hyperlink>
            <w:r w:rsidR="00A061B8" w:rsidRPr="00FB5988">
              <w:rPr>
                <w:sz w:val="20"/>
              </w:rPr>
              <w:t xml:space="preserve"> </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Conviction entered: two counts of sexual interference</w:t>
            </w:r>
          </w:p>
          <w:p w:rsidR="00A061B8" w:rsidRPr="00FB5988" w:rsidRDefault="00A061B8" w:rsidP="00164321">
            <w:pPr>
              <w:jc w:val="both"/>
              <w:rPr>
                <w:sz w:val="20"/>
              </w:rPr>
            </w:pPr>
          </w:p>
        </w:tc>
      </w:tr>
    </w:tbl>
    <w:p w:rsidR="006E184E" w:rsidRPr="00FB5988" w:rsidRDefault="006E184E">
      <w:r w:rsidRPr="00FB5988">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A061B8" w:rsidRPr="00FB5988" w:rsidTr="00164321">
        <w:tc>
          <w:tcPr>
            <w:tcW w:w="2427" w:type="pct"/>
          </w:tcPr>
          <w:p w:rsidR="00A061B8" w:rsidRPr="00FB5988" w:rsidRDefault="00A061B8" w:rsidP="00164321">
            <w:pPr>
              <w:jc w:val="both"/>
              <w:rPr>
                <w:sz w:val="20"/>
              </w:rPr>
            </w:pPr>
            <w:r w:rsidRPr="00FB5988">
              <w:rPr>
                <w:sz w:val="20"/>
              </w:rPr>
              <w:lastRenderedPageBreak/>
              <w:t>April 23, 2020</w:t>
            </w:r>
          </w:p>
          <w:p w:rsidR="00A061B8" w:rsidRPr="00FB5988" w:rsidRDefault="00A061B8" w:rsidP="00164321">
            <w:pPr>
              <w:jc w:val="both"/>
              <w:rPr>
                <w:sz w:val="20"/>
              </w:rPr>
            </w:pPr>
            <w:r w:rsidRPr="00FB5988">
              <w:rPr>
                <w:sz w:val="20"/>
              </w:rPr>
              <w:t>Court of Appeal of Alberta (Calgary)</w:t>
            </w:r>
          </w:p>
          <w:p w:rsidR="00A061B8" w:rsidRPr="00FB5988" w:rsidRDefault="00A061B8" w:rsidP="00164321">
            <w:pPr>
              <w:jc w:val="both"/>
              <w:rPr>
                <w:sz w:val="20"/>
              </w:rPr>
            </w:pPr>
            <w:r w:rsidRPr="00FB5988">
              <w:rPr>
                <w:sz w:val="20"/>
              </w:rPr>
              <w:t>(Rowbotham, Crighton, Feehan JJ.A.)</w:t>
            </w:r>
          </w:p>
          <w:p w:rsidR="00A061B8" w:rsidRPr="00FB5988" w:rsidRDefault="00EB6AAD" w:rsidP="00164321">
            <w:pPr>
              <w:jc w:val="both"/>
              <w:rPr>
                <w:sz w:val="20"/>
              </w:rPr>
            </w:pPr>
            <w:hyperlink r:id="rId34" w:history="1">
              <w:r w:rsidR="00A061B8" w:rsidRPr="00FB5988">
                <w:rPr>
                  <w:rStyle w:val="Hyperlink"/>
                  <w:sz w:val="20"/>
                </w:rPr>
                <w:t>2020 ABCA 157</w:t>
              </w:r>
            </w:hyperlink>
            <w:r w:rsidR="00A061B8" w:rsidRPr="00FB5988">
              <w:rPr>
                <w:sz w:val="20"/>
              </w:rPr>
              <w:t>; 1801</w:t>
            </w:r>
            <w:r w:rsidR="00A061B8" w:rsidRPr="00FB5988">
              <w:rPr>
                <w:sz w:val="20"/>
              </w:rPr>
              <w:noBreakHyphen/>
              <w:t>0337</w:t>
            </w:r>
            <w:r w:rsidR="00A061B8" w:rsidRPr="00FB5988">
              <w:rPr>
                <w:sz w:val="20"/>
              </w:rPr>
              <w:noBreakHyphen/>
              <w:t xml:space="preserve">A </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Appeal dismissed</w:t>
            </w:r>
          </w:p>
          <w:p w:rsidR="00A061B8" w:rsidRPr="00FB5988" w:rsidRDefault="00A061B8" w:rsidP="00164321">
            <w:pPr>
              <w:jc w:val="both"/>
              <w:rPr>
                <w:sz w:val="20"/>
              </w:rPr>
            </w:pPr>
          </w:p>
        </w:tc>
      </w:tr>
      <w:tr w:rsidR="00A061B8" w:rsidRPr="00FB5988" w:rsidTr="00164321">
        <w:tc>
          <w:tcPr>
            <w:tcW w:w="2427" w:type="pct"/>
          </w:tcPr>
          <w:p w:rsidR="00A061B8" w:rsidRPr="00FB5988" w:rsidRDefault="00A061B8" w:rsidP="00164321">
            <w:pPr>
              <w:jc w:val="both"/>
              <w:rPr>
                <w:sz w:val="20"/>
              </w:rPr>
            </w:pPr>
            <w:r w:rsidRPr="00FB5988">
              <w:rPr>
                <w:sz w:val="20"/>
              </w:rPr>
              <w:t>September 15, 2020</w:t>
            </w:r>
          </w:p>
          <w:p w:rsidR="00A061B8" w:rsidRPr="00FB5988" w:rsidRDefault="00A061B8" w:rsidP="00164321">
            <w:pPr>
              <w:jc w:val="both"/>
              <w:rPr>
                <w:sz w:val="20"/>
              </w:rPr>
            </w:pPr>
            <w:r w:rsidRPr="00FB5988">
              <w:rPr>
                <w:sz w:val="20"/>
              </w:rPr>
              <w:t>Supreme Court of Canada</w:t>
            </w:r>
          </w:p>
          <w:p w:rsidR="00A061B8" w:rsidRPr="00FB5988" w:rsidRDefault="00A061B8" w:rsidP="00164321">
            <w:pPr>
              <w:jc w:val="both"/>
              <w:rPr>
                <w:sz w:val="20"/>
              </w:rPr>
            </w:pP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Motion for an extension of time to serve and file the application for leave to appeal and application for leave to appeal filed</w:t>
            </w:r>
          </w:p>
          <w:p w:rsidR="00A061B8" w:rsidRPr="00FB5988" w:rsidRDefault="00A061B8" w:rsidP="00164321">
            <w:pPr>
              <w:jc w:val="both"/>
              <w:rPr>
                <w:sz w:val="20"/>
              </w:rPr>
            </w:pPr>
          </w:p>
        </w:tc>
      </w:tr>
      <w:tr w:rsidR="00A061B8" w:rsidRPr="00FB5988" w:rsidTr="00164321">
        <w:tc>
          <w:tcPr>
            <w:tcW w:w="2427" w:type="pct"/>
          </w:tcPr>
          <w:p w:rsidR="00A061B8" w:rsidRPr="00FB5988" w:rsidRDefault="00A061B8" w:rsidP="00164321">
            <w:pPr>
              <w:jc w:val="both"/>
              <w:rPr>
                <w:sz w:val="20"/>
              </w:rPr>
            </w:pPr>
            <w:r w:rsidRPr="00FB5988">
              <w:rPr>
                <w:sz w:val="20"/>
              </w:rPr>
              <w:t>November 17, 2020</w:t>
            </w:r>
          </w:p>
          <w:p w:rsidR="00A061B8" w:rsidRPr="00FB5988" w:rsidRDefault="00A061B8" w:rsidP="00164321">
            <w:pPr>
              <w:jc w:val="both"/>
              <w:rPr>
                <w:sz w:val="20"/>
              </w:rPr>
            </w:pPr>
            <w:r w:rsidRPr="00FB5988">
              <w:rPr>
                <w:sz w:val="20"/>
              </w:rPr>
              <w:t>Supreme Court of Canada</w:t>
            </w: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Motion for an extension of time to serve and file the response filed</w:t>
            </w:r>
          </w:p>
        </w:tc>
      </w:tr>
    </w:tbl>
    <w:p w:rsidR="00A061B8" w:rsidRPr="00FB5988" w:rsidRDefault="00A061B8" w:rsidP="00A061B8">
      <w:pPr>
        <w:jc w:val="both"/>
        <w:rPr>
          <w:sz w:val="20"/>
        </w:rPr>
      </w:pPr>
    </w:p>
    <w:p w:rsidR="00A061B8" w:rsidRPr="00FB5988" w:rsidRDefault="00EB6AAD" w:rsidP="00A061B8">
      <w:pPr>
        <w:jc w:val="both"/>
        <w:rPr>
          <w:sz w:val="20"/>
        </w:rPr>
      </w:pPr>
      <w:r>
        <w:rPr>
          <w:sz w:val="20"/>
        </w:rPr>
        <w:pict>
          <v:rect id="_x0000_i1042" style="width:2in;height:1pt" o:hrpct="0" o:hralign="center" o:hrstd="t" o:hrnoshade="t" o:hr="t" fillcolor="black [3213]" stroked="f"/>
        </w:pict>
      </w:r>
    </w:p>
    <w:p w:rsidR="00A061B8" w:rsidRPr="00FB5988" w:rsidRDefault="00A061B8" w:rsidP="00A061B8">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lang w:val="fr-CA"/>
              </w:rPr>
            </w:pPr>
            <w:r w:rsidRPr="00FB5988">
              <w:rPr>
                <w:rStyle w:val="SCCFileNumberChar"/>
                <w:sz w:val="20"/>
                <w:szCs w:val="20"/>
                <w:lang w:val="fr-CA"/>
              </w:rPr>
              <w:t>39341</w:t>
            </w:r>
          </w:p>
        </w:tc>
        <w:tc>
          <w:tcPr>
            <w:tcW w:w="4457" w:type="pct"/>
            <w:gridSpan w:val="3"/>
          </w:tcPr>
          <w:p w:rsidR="00A061B8" w:rsidRPr="00FB5988" w:rsidRDefault="00A061B8" w:rsidP="00164321">
            <w:pPr>
              <w:pStyle w:val="SCCLsocParty"/>
              <w:jc w:val="both"/>
              <w:rPr>
                <w:b/>
                <w:sz w:val="20"/>
                <w:szCs w:val="20"/>
              </w:rPr>
            </w:pPr>
            <w:r w:rsidRPr="00FB5988">
              <w:rPr>
                <w:b/>
                <w:sz w:val="20"/>
                <w:szCs w:val="20"/>
              </w:rPr>
              <w:t>T.W.S. c. Sa Majesté la Reine</w:t>
            </w:r>
          </w:p>
          <w:p w:rsidR="00A061B8" w:rsidRPr="00FB5988" w:rsidRDefault="00A061B8" w:rsidP="00164321">
            <w:pPr>
              <w:jc w:val="both"/>
              <w:rPr>
                <w:sz w:val="20"/>
                <w:lang w:val="fr-CA"/>
              </w:rPr>
            </w:pPr>
            <w:r w:rsidRPr="00FB5988">
              <w:rPr>
                <w:sz w:val="20"/>
                <w:lang w:val="fr-CA"/>
              </w:rPr>
              <w:t>(Alb.) (Criminelle) (Sur autorisation)</w:t>
            </w:r>
          </w:p>
          <w:p w:rsidR="00A061B8" w:rsidRPr="00FB5988" w:rsidRDefault="00A061B8" w:rsidP="00164321">
            <w:pPr>
              <w:jc w:val="both"/>
              <w:rPr>
                <w:sz w:val="20"/>
                <w:lang w:val="fr-CA"/>
              </w:rPr>
            </w:pPr>
          </w:p>
        </w:tc>
      </w:tr>
      <w:tr w:rsidR="00A061B8" w:rsidRPr="00EB6AAD" w:rsidTr="00164321">
        <w:tc>
          <w:tcPr>
            <w:tcW w:w="5000" w:type="pct"/>
            <w:gridSpan w:val="4"/>
          </w:tcPr>
          <w:p w:rsidR="00A061B8" w:rsidRPr="00FB5988" w:rsidRDefault="0024409A" w:rsidP="00164321">
            <w:pPr>
              <w:pStyle w:val="SCCBanSummary0"/>
              <w:rPr>
                <w:smallCaps w:val="0"/>
                <w:sz w:val="20"/>
                <w:szCs w:val="20"/>
                <w:lang w:val="fr-CA"/>
              </w:rPr>
            </w:pPr>
            <w:r w:rsidRPr="00FB5988">
              <w:rPr>
                <w:smallCaps w:val="0"/>
                <w:sz w:val="20"/>
                <w:szCs w:val="20"/>
                <w:lang w:val="fr-CA"/>
              </w:rPr>
              <w:t>La requête en prorogation du délai de signification et de dépôt de la demande d’autorisation d’appel est accueillie. La requête en prorogation du délai de signification et de dépôt de la réponse à la demande d’autorisation d’appel est accueillie. La demande d’autorisation d’appel de l’arrêt de la Cour d’appel de l’Alberta (Calgary), numéro 1801-0337-A, 2020 ABCA 157, daté du 23 avril 2020, est rejetée.</w:t>
            </w:r>
          </w:p>
          <w:p w:rsidR="0024409A" w:rsidRPr="00FB5988" w:rsidRDefault="0024409A" w:rsidP="0024409A">
            <w:pPr>
              <w:rPr>
                <w:lang w:val="fr-CA"/>
              </w:rPr>
            </w:pPr>
          </w:p>
        </w:tc>
      </w:tr>
      <w:tr w:rsidR="00A061B8" w:rsidRPr="00EB6AAD" w:rsidTr="00164321">
        <w:tc>
          <w:tcPr>
            <w:tcW w:w="5000" w:type="pct"/>
            <w:gridSpan w:val="4"/>
          </w:tcPr>
          <w:p w:rsidR="00A061B8" w:rsidRPr="00FB5988" w:rsidRDefault="00A061B8" w:rsidP="00164321">
            <w:pPr>
              <w:pStyle w:val="SCCBanSummary0"/>
              <w:rPr>
                <w:sz w:val="20"/>
                <w:szCs w:val="20"/>
                <w:lang w:val="fr-CA"/>
              </w:rPr>
            </w:pPr>
            <w:r w:rsidRPr="00FB5988">
              <w:rPr>
                <w:sz w:val="20"/>
                <w:szCs w:val="20"/>
                <w:lang w:val="fr-CA"/>
              </w:rPr>
              <w:t>(Ordonnance de non</w:t>
            </w:r>
            <w:r w:rsidRPr="00FB5988">
              <w:rPr>
                <w:sz w:val="20"/>
                <w:szCs w:val="20"/>
                <w:lang w:val="fr-CA"/>
              </w:rPr>
              <w:noBreakHyphen/>
              <w:t>publication dans le dossier)</w:t>
            </w:r>
          </w:p>
          <w:p w:rsidR="00A061B8" w:rsidRPr="00FB5988" w:rsidRDefault="00A061B8" w:rsidP="00164321">
            <w:pPr>
              <w:jc w:val="both"/>
              <w:rPr>
                <w:sz w:val="20"/>
                <w:lang w:val="fr-CA"/>
              </w:rPr>
            </w:pPr>
          </w:p>
        </w:tc>
      </w:tr>
      <w:tr w:rsidR="00A061B8" w:rsidRPr="00EB6AAD" w:rsidTr="00164321">
        <w:tc>
          <w:tcPr>
            <w:tcW w:w="5000" w:type="pct"/>
            <w:gridSpan w:val="4"/>
          </w:tcPr>
          <w:p w:rsidR="00A061B8" w:rsidRPr="00FB5988" w:rsidRDefault="00A061B8" w:rsidP="00164321">
            <w:pPr>
              <w:jc w:val="both"/>
              <w:rPr>
                <w:sz w:val="20"/>
                <w:lang w:val="fr-CA"/>
              </w:rPr>
            </w:pPr>
            <w:r w:rsidRPr="00FB5988">
              <w:rPr>
                <w:sz w:val="20"/>
                <w:lang w:val="fr-CA"/>
              </w:rPr>
              <w:t>Droit criminel — Preuve — Déclarations antérieures compatibles — Les déclarations faites par un témoin avant la conduite répréhensible reprochée au procès sont</w:t>
            </w:r>
            <w:r w:rsidRPr="00FB5988">
              <w:rPr>
                <w:sz w:val="20"/>
                <w:lang w:val="fr-CA"/>
              </w:rPr>
              <w:noBreakHyphen/>
              <w:t>elles admissibles à titre de déclarations antérieures compatibles? — Un jury peut</w:t>
            </w:r>
            <w:r w:rsidRPr="00FB5988">
              <w:rPr>
                <w:sz w:val="20"/>
                <w:lang w:val="fr-CA"/>
              </w:rPr>
              <w:noBreakHyphen/>
              <w:t>il être instruit d’utiliser les déclarations faites par un témoin avant la conduite répréhensible reprochée à titre de déclarations antérieures compatibles pour réfuter la thèse de la défense quant à la fabrication récente des accusations devant le tribunal?</w:t>
            </w:r>
          </w:p>
          <w:p w:rsidR="00A061B8" w:rsidRPr="00FB5988" w:rsidRDefault="00A061B8" w:rsidP="00164321">
            <w:pPr>
              <w:jc w:val="both"/>
              <w:rPr>
                <w:sz w:val="20"/>
                <w:lang w:val="fr-CA"/>
              </w:rPr>
            </w:pPr>
          </w:p>
        </w:tc>
      </w:tr>
      <w:tr w:rsidR="00A061B8" w:rsidRPr="00FB5988" w:rsidTr="00164321">
        <w:tc>
          <w:tcPr>
            <w:tcW w:w="5000" w:type="pct"/>
            <w:gridSpan w:val="4"/>
          </w:tcPr>
          <w:p w:rsidR="00A061B8" w:rsidRPr="00FB5988" w:rsidRDefault="00A061B8" w:rsidP="00164321">
            <w:pPr>
              <w:jc w:val="both"/>
              <w:rPr>
                <w:sz w:val="20"/>
                <w:lang w:val="fr-CA"/>
              </w:rPr>
            </w:pPr>
            <w:r w:rsidRPr="00FB5988">
              <w:rPr>
                <w:color w:val="000000"/>
                <w:spacing w:val="1"/>
                <w:sz w:val="20"/>
                <w:lang w:val="fr-CA"/>
              </w:rPr>
              <w:t>À l’été 1997, la police a eu des entretiens avec TSD au sujet d’allégations d’abus sexuel de la part du demandeur, son beau</w:t>
            </w:r>
            <w:r w:rsidRPr="00FB5988">
              <w:rPr>
                <w:color w:val="000000"/>
                <w:spacing w:val="1"/>
                <w:sz w:val="20"/>
                <w:lang w:val="fr-CA"/>
              </w:rPr>
              <w:noBreakHyphen/>
              <w:t>père, dont elle aurait été victime. Les entretiens ont été enregistrés sur bande vidéo. La police a porté des accusations contre le demandeur, et puis le ministère public a suspendu ces accusations en décembre 1997. TSD a continué d’habiter avec le demandeur jusqu’à ce que sa mère et lui se séparent en 2004. En 2013, TSD a signalé qu’elle avait, à nouveau, été victime d’abus sexuel par le demandeur entre décembre 1997 et 2004. La</w:t>
            </w:r>
            <w:r w:rsidRPr="00FB5988">
              <w:rPr>
                <w:color w:val="000000"/>
                <w:sz w:val="20"/>
                <w:lang w:val="fr-CA"/>
              </w:rPr>
              <w:t xml:space="preserve"> police a porté de nouvelles accusations contre le demandeur. Lors de son procès, le demandeur a fait des entretiens enregistrés sur bande vidéo en 1997 un élément crucial du moyen de défense invoqué. Le juge de première instance a tenu un voir</w:t>
            </w:r>
            <w:r w:rsidRPr="00FB5988">
              <w:rPr>
                <w:color w:val="000000"/>
                <w:sz w:val="20"/>
                <w:lang w:val="fr-CA"/>
              </w:rPr>
              <w:noBreakHyphen/>
              <w:t xml:space="preserve">dire et a statué que tous les </w:t>
            </w:r>
            <w:r w:rsidRPr="00FB5988">
              <w:rPr>
                <w:sz w:val="20"/>
                <w:lang w:val="fr-CA"/>
              </w:rPr>
              <w:t>aspects des déclarations faites en 1997 pouvaient être admis en preuve afin d’évaluer les allégations de fabrication récente, ainsi qu’à des fins de compte rendu. À l’issue du procès avec juge et jury, le demandeur a été déclaré coupable de deux chefs d’accusation de contacts sexuels. La Cour d’appel a rejeté son appel.</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10 octobre 2018</w:t>
            </w:r>
          </w:p>
          <w:p w:rsidR="00A061B8" w:rsidRPr="00FB5988" w:rsidRDefault="00A061B8" w:rsidP="00164321">
            <w:pPr>
              <w:jc w:val="both"/>
              <w:rPr>
                <w:sz w:val="20"/>
                <w:lang w:val="fr-CA"/>
              </w:rPr>
            </w:pPr>
            <w:r w:rsidRPr="00FB5988">
              <w:rPr>
                <w:sz w:val="20"/>
                <w:lang w:val="fr-CA"/>
              </w:rPr>
              <w:t>Cour de Banc de la Reine de l’Alberta</w:t>
            </w:r>
          </w:p>
          <w:p w:rsidR="00A061B8" w:rsidRPr="00FB5988" w:rsidRDefault="00A061B8" w:rsidP="00164321">
            <w:pPr>
              <w:jc w:val="both"/>
              <w:rPr>
                <w:sz w:val="20"/>
                <w:lang w:val="fr-CA"/>
              </w:rPr>
            </w:pPr>
            <w:r w:rsidRPr="00FB5988">
              <w:rPr>
                <w:sz w:val="20"/>
                <w:lang w:val="fr-CA"/>
              </w:rPr>
              <w:t>(Juge Gates)</w:t>
            </w:r>
          </w:p>
          <w:p w:rsidR="00A061B8" w:rsidRPr="00FB5988" w:rsidRDefault="00EB6AAD" w:rsidP="00164321">
            <w:pPr>
              <w:jc w:val="both"/>
              <w:rPr>
                <w:sz w:val="20"/>
                <w:lang w:val="fr-CA"/>
              </w:rPr>
            </w:pPr>
            <w:hyperlink r:id="rId35" w:history="1">
              <w:r w:rsidR="00A061B8" w:rsidRPr="00FB5988">
                <w:rPr>
                  <w:rStyle w:val="Hyperlink"/>
                  <w:sz w:val="20"/>
                  <w:lang w:val="fr-CA"/>
                </w:rPr>
                <w:t>2018 ABQB 870</w:t>
              </w:r>
            </w:hyperlink>
            <w:r w:rsidR="00A061B8" w:rsidRPr="00FB5988">
              <w:rPr>
                <w:sz w:val="20"/>
                <w:lang w:val="fr-CA"/>
              </w:rPr>
              <w:t xml:space="preserve"> </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Déclaration de culpabilité quant à deux chefs d’accusation de contacts sexuels prononcée.</w:t>
            </w:r>
          </w:p>
          <w:p w:rsidR="00A061B8" w:rsidRPr="00FB5988" w:rsidRDefault="00A061B8" w:rsidP="00164321">
            <w:pPr>
              <w:jc w:val="both"/>
              <w:rPr>
                <w:sz w:val="20"/>
                <w:lang w:val="fr-CA"/>
              </w:rPr>
            </w:pPr>
          </w:p>
        </w:tc>
      </w:tr>
      <w:tr w:rsidR="00A061B8" w:rsidRPr="00FB5988" w:rsidTr="00164321">
        <w:tc>
          <w:tcPr>
            <w:tcW w:w="2427" w:type="pct"/>
            <w:gridSpan w:val="2"/>
          </w:tcPr>
          <w:p w:rsidR="00A061B8" w:rsidRPr="00FB5988" w:rsidRDefault="00A061B8" w:rsidP="00164321">
            <w:pPr>
              <w:jc w:val="both"/>
              <w:rPr>
                <w:sz w:val="20"/>
                <w:lang w:val="fr-CA"/>
              </w:rPr>
            </w:pPr>
            <w:r w:rsidRPr="00FB5988">
              <w:rPr>
                <w:sz w:val="20"/>
                <w:lang w:val="fr-CA"/>
              </w:rPr>
              <w:t>23 avril 2020</w:t>
            </w:r>
          </w:p>
          <w:p w:rsidR="00A061B8" w:rsidRPr="00FB5988" w:rsidRDefault="00A061B8" w:rsidP="00164321">
            <w:pPr>
              <w:jc w:val="both"/>
              <w:rPr>
                <w:sz w:val="20"/>
                <w:lang w:val="fr-CA"/>
              </w:rPr>
            </w:pPr>
            <w:r w:rsidRPr="00FB5988">
              <w:rPr>
                <w:sz w:val="20"/>
                <w:lang w:val="fr-CA"/>
              </w:rPr>
              <w:t>Cour d’appel de l’Alberta (Calgary)</w:t>
            </w:r>
          </w:p>
          <w:p w:rsidR="00A061B8" w:rsidRPr="00FB5988" w:rsidRDefault="00A061B8" w:rsidP="00164321">
            <w:pPr>
              <w:jc w:val="both"/>
              <w:rPr>
                <w:sz w:val="20"/>
              </w:rPr>
            </w:pPr>
            <w:r w:rsidRPr="00FB5988">
              <w:rPr>
                <w:sz w:val="20"/>
              </w:rPr>
              <w:t>(Juges Rowbotham, Crighton, Feehan)</w:t>
            </w:r>
          </w:p>
          <w:p w:rsidR="00A061B8" w:rsidRPr="00FB5988" w:rsidRDefault="00EB6AAD" w:rsidP="00164321">
            <w:pPr>
              <w:jc w:val="both"/>
              <w:rPr>
                <w:sz w:val="20"/>
              </w:rPr>
            </w:pPr>
            <w:hyperlink r:id="rId36" w:history="1">
              <w:r w:rsidR="00A061B8" w:rsidRPr="00FB5988">
                <w:rPr>
                  <w:rStyle w:val="Hyperlink"/>
                  <w:sz w:val="20"/>
                </w:rPr>
                <w:t>2020 ABCA 157</w:t>
              </w:r>
            </w:hyperlink>
            <w:r w:rsidR="00A061B8" w:rsidRPr="00FB5988">
              <w:rPr>
                <w:sz w:val="20"/>
              </w:rPr>
              <w:t>; 1801</w:t>
            </w:r>
            <w:r w:rsidR="00A061B8" w:rsidRPr="00FB5988">
              <w:rPr>
                <w:sz w:val="20"/>
              </w:rPr>
              <w:noBreakHyphen/>
              <w:t>0337</w:t>
            </w:r>
            <w:r w:rsidR="00A061B8" w:rsidRPr="00FB5988">
              <w:rPr>
                <w:sz w:val="20"/>
              </w:rPr>
              <w:noBreakHyphen/>
              <w:t xml:space="preserve">A </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lang w:val="fr-CA"/>
              </w:rPr>
            </w:pPr>
            <w:r w:rsidRPr="00FB5988">
              <w:rPr>
                <w:sz w:val="20"/>
                <w:lang w:val="fr-CA"/>
              </w:rPr>
              <w:t>Appel rejeté.</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lastRenderedPageBreak/>
              <w:t>15 septembre 2020</w:t>
            </w:r>
          </w:p>
          <w:p w:rsidR="00A061B8" w:rsidRPr="00FB5988" w:rsidRDefault="00A061B8" w:rsidP="00164321">
            <w:pPr>
              <w:jc w:val="both"/>
              <w:rPr>
                <w:sz w:val="20"/>
                <w:lang w:val="fr-CA"/>
              </w:rPr>
            </w:pPr>
            <w:r w:rsidRPr="00FB5988">
              <w:rPr>
                <w:sz w:val="20"/>
                <w:lang w:val="fr-CA"/>
              </w:rPr>
              <w:t>Cour suprême du Canada</w:t>
            </w:r>
          </w:p>
          <w:p w:rsidR="00A061B8" w:rsidRPr="00FB5988" w:rsidRDefault="00A061B8" w:rsidP="00164321">
            <w:pPr>
              <w:jc w:val="both"/>
              <w:rPr>
                <w:sz w:val="20"/>
                <w:lang w:val="fr-CA"/>
              </w:rPr>
            </w:pP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 xml:space="preserve">Requête en prorogation du délai de signification et de dépôt de la demande d’autorisation d’appel et demande d’autorisation </w:t>
            </w:r>
            <w:proofErr w:type="gramStart"/>
            <w:r w:rsidRPr="00FB5988">
              <w:rPr>
                <w:sz w:val="20"/>
                <w:lang w:val="fr-CA"/>
              </w:rPr>
              <w:t>d’appel présentées</w:t>
            </w:r>
            <w:proofErr w:type="gramEnd"/>
            <w:r w:rsidRPr="00FB5988">
              <w:rPr>
                <w:sz w:val="20"/>
                <w:lang w:val="fr-CA"/>
              </w:rPr>
              <w:t>.</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17 novembre 2020</w:t>
            </w:r>
          </w:p>
          <w:p w:rsidR="00A061B8" w:rsidRPr="00FB5988" w:rsidRDefault="00A061B8" w:rsidP="00164321">
            <w:pPr>
              <w:jc w:val="both"/>
              <w:rPr>
                <w:sz w:val="20"/>
                <w:lang w:val="fr-CA"/>
              </w:rPr>
            </w:pPr>
            <w:r w:rsidRPr="00FB5988">
              <w:rPr>
                <w:sz w:val="20"/>
                <w:lang w:val="fr-CA"/>
              </w:rPr>
              <w:t>Cour suprême du Canada</w:t>
            </w: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Requête en prorogation du délai de signification et de dépôt de la réponse présentée.</w:t>
            </w:r>
          </w:p>
        </w:tc>
      </w:tr>
    </w:tbl>
    <w:p w:rsidR="00A061B8" w:rsidRPr="00FB5988" w:rsidRDefault="00A061B8" w:rsidP="00A061B8">
      <w:pPr>
        <w:jc w:val="both"/>
        <w:rPr>
          <w:sz w:val="20"/>
          <w:lang w:val="fr-CA"/>
        </w:rPr>
      </w:pPr>
    </w:p>
    <w:p w:rsidR="00A061B8" w:rsidRPr="00FB5988" w:rsidRDefault="00EB6AAD" w:rsidP="00A061B8">
      <w:pPr>
        <w:jc w:val="both"/>
        <w:rPr>
          <w:sz w:val="20"/>
          <w:lang w:val="fr-CA"/>
        </w:rPr>
      </w:pPr>
      <w:r>
        <w:rPr>
          <w:sz w:val="20"/>
        </w:rPr>
        <w:pict>
          <v:rect id="_x0000_i1043" style="width:2in;height:1pt" o:hrpct="0" o:hralign="center" o:hrstd="t" o:hrnoshade="t" o:hr="t" fillcolor="black [3213]" stroked="f"/>
        </w:pict>
      </w:r>
    </w:p>
    <w:p w:rsidR="00A061B8" w:rsidRPr="00FB5988" w:rsidRDefault="00A061B8" w:rsidP="00A061B8">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rPr>
            </w:pPr>
            <w:r w:rsidRPr="00FB5988">
              <w:rPr>
                <w:rStyle w:val="SCCFileNumberChar"/>
                <w:sz w:val="20"/>
                <w:szCs w:val="20"/>
              </w:rPr>
              <w:t>39334</w:t>
            </w:r>
          </w:p>
        </w:tc>
        <w:tc>
          <w:tcPr>
            <w:tcW w:w="4457" w:type="pct"/>
            <w:gridSpan w:val="3"/>
          </w:tcPr>
          <w:p w:rsidR="00A061B8" w:rsidRPr="00FB5988" w:rsidRDefault="00A061B8" w:rsidP="00164321">
            <w:pPr>
              <w:pStyle w:val="SCCLsocParty"/>
              <w:jc w:val="both"/>
              <w:rPr>
                <w:b/>
                <w:sz w:val="20"/>
                <w:szCs w:val="20"/>
                <w:lang w:val="en-US"/>
              </w:rPr>
            </w:pPr>
            <w:r w:rsidRPr="00FB5988">
              <w:rPr>
                <w:b/>
                <w:sz w:val="20"/>
                <w:szCs w:val="20"/>
                <w:lang w:val="en-US"/>
              </w:rPr>
              <w:t xml:space="preserve">Irving Ludmer, </w:t>
            </w:r>
            <w:r w:rsidR="00C24113" w:rsidRPr="00FB5988">
              <w:rPr>
                <w:b/>
                <w:sz w:val="20"/>
                <w:szCs w:val="20"/>
                <w:lang w:val="en-US"/>
              </w:rPr>
              <w:t>3488055 Canada Inc., 3488063 Canada Inc., 3488071 Canada Inc., 2534-2825 Quebec Inc., 4077211 Canada Inc., 4431472 Canada Inc., Joel Pinsky, in continuance of proceedings for Mark Brender, in his capacity as liquidator of the estate of Arnold Steinberg, Phil Nadler, in his capacity as liquidator of the estate of Arnold Steinberg, Margot Steinberg, in her capacity as liquidator of the estate of Arnold Steinberg, Donna Steinberg, in her capacity as liquidator of the estate of Arnold Steinberg, Habland Investments ULC, in continuance of proceedings for Habland Investments Inc., Stoneview Inc., 3786986 Canada Inc., 3421848 Canada Inc. and 4431481 Canada Inc.</w:t>
            </w:r>
            <w:r w:rsidRPr="00FB5988">
              <w:rPr>
                <w:b/>
                <w:sz w:val="20"/>
                <w:szCs w:val="20"/>
                <w:lang w:val="en-US"/>
              </w:rPr>
              <w:t xml:space="preserve"> v. Attorney General of Canada</w:t>
            </w:r>
            <w:r w:rsidR="00C24113" w:rsidRPr="00FB5988">
              <w:rPr>
                <w:b/>
                <w:sz w:val="20"/>
                <w:szCs w:val="20"/>
                <w:lang w:val="en-US"/>
              </w:rPr>
              <w:t xml:space="preserve"> and </w:t>
            </w:r>
            <w:r w:rsidRPr="00FB5988">
              <w:rPr>
                <w:b/>
                <w:sz w:val="20"/>
                <w:szCs w:val="20"/>
                <w:lang w:val="en-US"/>
              </w:rPr>
              <w:t>Canada Revenue Agency</w:t>
            </w:r>
          </w:p>
          <w:p w:rsidR="00A061B8" w:rsidRPr="00FB5988" w:rsidRDefault="00A061B8" w:rsidP="00164321">
            <w:pPr>
              <w:jc w:val="both"/>
              <w:rPr>
                <w:sz w:val="20"/>
              </w:rPr>
            </w:pPr>
            <w:r w:rsidRPr="00FB5988">
              <w:rPr>
                <w:sz w:val="20"/>
              </w:rPr>
              <w:t>(Que.) (Civil) (By Leave)</w:t>
            </w:r>
          </w:p>
        </w:tc>
      </w:tr>
      <w:tr w:rsidR="00A061B8" w:rsidRPr="00FB5988" w:rsidTr="00164321">
        <w:tc>
          <w:tcPr>
            <w:tcW w:w="5000" w:type="pct"/>
            <w:gridSpan w:val="4"/>
          </w:tcPr>
          <w:p w:rsidR="00C24113" w:rsidRPr="00FB5988" w:rsidRDefault="00C24113" w:rsidP="00C24113">
            <w:pPr>
              <w:jc w:val="both"/>
              <w:rPr>
                <w:sz w:val="20"/>
                <w:szCs w:val="20"/>
              </w:rPr>
            </w:pPr>
            <w:r w:rsidRPr="00FB5988">
              <w:rPr>
                <w:sz w:val="20"/>
                <w:szCs w:val="20"/>
              </w:rPr>
              <w:t>The application for leave to appeal from the judgment of the Court of Appeal of Quebec (Montréal), Number 500-09-027787-183, 2020 QCCA 697, dated May 28, 2020, is dismissed with costs.</w:t>
            </w:r>
          </w:p>
          <w:p w:rsidR="00C24113" w:rsidRPr="00FB5988" w:rsidRDefault="00C24113" w:rsidP="00C24113">
            <w:pPr>
              <w:jc w:val="both"/>
              <w:rPr>
                <w:sz w:val="20"/>
                <w:szCs w:val="20"/>
              </w:rPr>
            </w:pPr>
          </w:p>
          <w:p w:rsidR="00A061B8" w:rsidRPr="00FB5988" w:rsidRDefault="00C24113" w:rsidP="00C24113">
            <w:pPr>
              <w:tabs>
                <w:tab w:val="left" w:pos="1751"/>
              </w:tabs>
              <w:jc w:val="both"/>
              <w:rPr>
                <w:sz w:val="20"/>
                <w:szCs w:val="20"/>
                <w:lang w:val="en-US"/>
              </w:rPr>
            </w:pPr>
            <w:r w:rsidRPr="00FB5988">
              <w:rPr>
                <w:sz w:val="20"/>
                <w:szCs w:val="20"/>
                <w:lang w:val="en-US"/>
              </w:rPr>
              <w:t>Côté J. took no part in the judgment.</w:t>
            </w:r>
          </w:p>
          <w:p w:rsidR="00C24113" w:rsidRPr="00FB5988" w:rsidRDefault="00C24113" w:rsidP="00C24113">
            <w:pPr>
              <w:tabs>
                <w:tab w:val="left" w:pos="1751"/>
              </w:tabs>
              <w:jc w:val="both"/>
              <w:rPr>
                <w:sz w:val="20"/>
              </w:rPr>
            </w:pPr>
          </w:p>
        </w:tc>
      </w:tr>
      <w:tr w:rsidR="00A061B8" w:rsidRPr="00FB5988" w:rsidTr="00164321">
        <w:tc>
          <w:tcPr>
            <w:tcW w:w="5000" w:type="pct"/>
            <w:gridSpan w:val="4"/>
          </w:tcPr>
          <w:p w:rsidR="00A061B8" w:rsidRPr="00FB5988" w:rsidRDefault="00A061B8" w:rsidP="00164321">
            <w:pPr>
              <w:tabs>
                <w:tab w:val="left" w:pos="1751"/>
              </w:tabs>
              <w:jc w:val="both"/>
              <w:rPr>
                <w:sz w:val="20"/>
              </w:rPr>
            </w:pPr>
            <w:r w:rsidRPr="00FB5988">
              <w:rPr>
                <w:sz w:val="20"/>
              </w:rPr>
              <w:t xml:space="preserve">Civil liability — Tax audit — Reassessment — Standard of conduct — Abuse of power —  Punitive damages — Unlawful and intentional interference — When is it appropriate to award punitive damages against public defendants for abusing their powers? — In what circumstances can the Superior Court refuse to adjudicate a claim of abuse brought by a taxpayer? — </w:t>
            </w:r>
            <w:r w:rsidRPr="00FB5988">
              <w:rPr>
                <w:i/>
                <w:sz w:val="20"/>
              </w:rPr>
              <w:t>Civil Code of Québec</w:t>
            </w:r>
            <w:r w:rsidRPr="00FB5988">
              <w:rPr>
                <w:sz w:val="20"/>
              </w:rPr>
              <w:t>, CQLR c CCQ</w:t>
            </w:r>
            <w:r w:rsidRPr="00FB5988">
              <w:rPr>
                <w:sz w:val="20"/>
              </w:rPr>
              <w:noBreakHyphen/>
              <w:t>1991, art. 1621 —</w:t>
            </w:r>
            <w:r w:rsidRPr="00FB5988">
              <w:rPr>
                <w:i/>
                <w:sz w:val="20"/>
              </w:rPr>
              <w:t xml:space="preserve"> Charter of Human Rights and Freedoms</w:t>
            </w:r>
            <w:r w:rsidRPr="00FB5988">
              <w:rPr>
                <w:sz w:val="20"/>
              </w:rPr>
              <w:t>, CQLR c C</w:t>
            </w:r>
            <w:r w:rsidRPr="00FB5988">
              <w:rPr>
                <w:sz w:val="20"/>
              </w:rPr>
              <w:noBreakHyphen/>
              <w:t>12, art. 49.</w:t>
            </w:r>
          </w:p>
        </w:tc>
      </w:tr>
      <w:tr w:rsidR="00A061B8" w:rsidRPr="00FB5988" w:rsidTr="00164321">
        <w:tc>
          <w:tcPr>
            <w:tcW w:w="5000" w:type="pct"/>
            <w:gridSpan w:val="4"/>
          </w:tcPr>
          <w:p w:rsidR="00A061B8" w:rsidRPr="00FB5988" w:rsidRDefault="00A061B8" w:rsidP="00164321">
            <w:pPr>
              <w:tabs>
                <w:tab w:val="left" w:pos="1751"/>
              </w:tabs>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t>In 2005, the applicants’ offshore investment vehicle became of interest for the Canada Revenue Agency (“CRA”). They were subject to a tax audit which lasted several years, resulting in a reassessment of more than $25 million in unpaid taxes, interest and penalties. The applicants filed notices of appeal to the Tax Court of Canada, and the CRA ultimately abandoned its claims in 2014. The applicants sued the CRA for over $117 million in damages and punitive damages, alleging that the conduct of the CRA in the course of the audit was abusive and caused the failure of their offshore investment vehicle. The Superior Court granted the applicants’ action in part and ordered the CRA to pay $ 4 844 658 in damages for committing several faults during the tax audit, but dismissed their claim for punitive damages. The Court of Appeal dismissed both the appeal and incidental appeal.</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July 31, 2018</w:t>
            </w:r>
          </w:p>
          <w:p w:rsidR="00A061B8" w:rsidRPr="00FB5988" w:rsidRDefault="00A061B8" w:rsidP="00164321">
            <w:pPr>
              <w:jc w:val="both"/>
              <w:rPr>
                <w:sz w:val="20"/>
              </w:rPr>
            </w:pPr>
            <w:r w:rsidRPr="00FB5988">
              <w:rPr>
                <w:sz w:val="20"/>
              </w:rPr>
              <w:t>Superior Court of Quebec</w:t>
            </w:r>
          </w:p>
          <w:p w:rsidR="00A061B8" w:rsidRPr="00FB5988" w:rsidRDefault="00A061B8" w:rsidP="00164321">
            <w:pPr>
              <w:jc w:val="both"/>
              <w:rPr>
                <w:sz w:val="20"/>
              </w:rPr>
            </w:pPr>
            <w:r w:rsidRPr="00FB5988">
              <w:rPr>
                <w:sz w:val="20"/>
              </w:rPr>
              <w:t>(Hamilton J.)</w:t>
            </w:r>
          </w:p>
          <w:p w:rsidR="00A061B8" w:rsidRPr="00FB5988" w:rsidRDefault="00A061B8" w:rsidP="00164321">
            <w:pPr>
              <w:jc w:val="both"/>
              <w:rPr>
                <w:sz w:val="20"/>
                <w:lang w:val="fr-CA"/>
              </w:rPr>
            </w:pPr>
            <w:r w:rsidRPr="00FB5988">
              <w:rPr>
                <w:sz w:val="20"/>
                <w:lang w:val="fr-CA"/>
              </w:rPr>
              <w:t>500</w:t>
            </w:r>
            <w:r w:rsidRPr="00FB5988">
              <w:rPr>
                <w:sz w:val="20"/>
                <w:lang w:val="fr-CA"/>
              </w:rPr>
              <w:noBreakHyphen/>
              <w:t>17</w:t>
            </w:r>
            <w:r w:rsidRPr="00FB5988">
              <w:rPr>
                <w:sz w:val="20"/>
                <w:lang w:val="fr-CA"/>
              </w:rPr>
              <w:noBreakHyphen/>
              <w:t>076229</w:t>
            </w:r>
            <w:r w:rsidRPr="00FB5988">
              <w:rPr>
                <w:sz w:val="20"/>
                <w:lang w:val="fr-CA"/>
              </w:rPr>
              <w:noBreakHyphen/>
              <w:t>130</w:t>
            </w:r>
          </w:p>
          <w:p w:rsidR="00A061B8" w:rsidRPr="00FB5988" w:rsidRDefault="00EB6AAD" w:rsidP="00164321">
            <w:pPr>
              <w:jc w:val="both"/>
              <w:rPr>
                <w:sz w:val="20"/>
                <w:lang w:val="fr-CA"/>
              </w:rPr>
            </w:pPr>
            <w:hyperlink r:id="rId37" w:history="1">
              <w:r w:rsidR="00A061B8" w:rsidRPr="00FB5988">
                <w:rPr>
                  <w:rStyle w:val="Hyperlink"/>
                  <w:sz w:val="20"/>
                  <w:lang w:val="fr-CA"/>
                </w:rPr>
                <w:t>2018 QCCS 3381</w:t>
              </w:r>
            </w:hyperlink>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Action granted in part.</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May 28, 2020</w:t>
            </w:r>
          </w:p>
          <w:p w:rsidR="00A061B8" w:rsidRPr="00FB5988" w:rsidRDefault="00A061B8" w:rsidP="00164321">
            <w:pPr>
              <w:jc w:val="both"/>
              <w:rPr>
                <w:sz w:val="20"/>
              </w:rPr>
            </w:pPr>
            <w:r w:rsidRPr="00FB5988">
              <w:rPr>
                <w:sz w:val="20"/>
              </w:rPr>
              <w:t>Court of Appeal of Quebec (Montréal)</w:t>
            </w:r>
          </w:p>
          <w:p w:rsidR="00A061B8" w:rsidRPr="00FB5988" w:rsidRDefault="00A061B8" w:rsidP="00164321">
            <w:pPr>
              <w:jc w:val="both"/>
              <w:rPr>
                <w:sz w:val="20"/>
                <w:lang w:val="fr-CA"/>
              </w:rPr>
            </w:pPr>
            <w:r w:rsidRPr="00FB5988">
              <w:rPr>
                <w:sz w:val="20"/>
                <w:lang w:val="fr-CA"/>
              </w:rPr>
              <w:t>(Hilton, Schrager, Sansfaçon JJ.A.)</w:t>
            </w:r>
          </w:p>
          <w:p w:rsidR="00A061B8" w:rsidRPr="00FB5988" w:rsidRDefault="00A061B8" w:rsidP="00164321">
            <w:pPr>
              <w:jc w:val="both"/>
              <w:rPr>
                <w:sz w:val="20"/>
                <w:lang w:val="fr-CA"/>
              </w:rPr>
            </w:pPr>
            <w:r w:rsidRPr="00FB5988">
              <w:rPr>
                <w:sz w:val="20"/>
                <w:lang w:val="fr-CA"/>
              </w:rPr>
              <w:t>500</w:t>
            </w:r>
            <w:r w:rsidRPr="00FB5988">
              <w:rPr>
                <w:sz w:val="20"/>
                <w:lang w:val="fr-CA"/>
              </w:rPr>
              <w:noBreakHyphen/>
              <w:t>09</w:t>
            </w:r>
            <w:r w:rsidRPr="00FB5988">
              <w:rPr>
                <w:sz w:val="20"/>
                <w:lang w:val="fr-CA"/>
              </w:rPr>
              <w:noBreakHyphen/>
              <w:t>027787</w:t>
            </w:r>
            <w:r w:rsidRPr="00FB5988">
              <w:rPr>
                <w:sz w:val="20"/>
                <w:lang w:val="fr-CA"/>
              </w:rPr>
              <w:noBreakHyphen/>
              <w:t>183</w:t>
            </w:r>
          </w:p>
          <w:p w:rsidR="00A061B8" w:rsidRPr="00FB5988" w:rsidRDefault="00EB6AAD" w:rsidP="00164321">
            <w:pPr>
              <w:jc w:val="both"/>
              <w:rPr>
                <w:sz w:val="20"/>
                <w:lang w:val="fr-CA"/>
              </w:rPr>
            </w:pPr>
            <w:hyperlink r:id="rId38" w:history="1">
              <w:r w:rsidR="00A061B8" w:rsidRPr="00FB5988">
                <w:rPr>
                  <w:rStyle w:val="Hyperlink"/>
                  <w:sz w:val="20"/>
                  <w:lang w:val="fr-CA"/>
                </w:rPr>
                <w:t>2020 QCCA 697</w:t>
              </w:r>
            </w:hyperlink>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rPr>
            </w:pPr>
            <w:r w:rsidRPr="00FB5988">
              <w:rPr>
                <w:sz w:val="20"/>
              </w:rPr>
              <w:t xml:space="preserve">Appeal dismissed, incidental appeal dismissed. </w:t>
            </w:r>
          </w:p>
          <w:p w:rsidR="00A061B8" w:rsidRPr="00FB5988" w:rsidRDefault="00A061B8" w:rsidP="00164321">
            <w:pPr>
              <w:jc w:val="both"/>
              <w:rPr>
                <w:sz w:val="20"/>
              </w:rPr>
            </w:pPr>
          </w:p>
        </w:tc>
      </w:tr>
    </w:tbl>
    <w:p w:rsidR="006E184E" w:rsidRPr="00FB5988" w:rsidRDefault="006E184E">
      <w:r w:rsidRPr="00FB5988">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A061B8" w:rsidRPr="00FB5988" w:rsidTr="00164321">
        <w:tc>
          <w:tcPr>
            <w:tcW w:w="2427" w:type="pct"/>
          </w:tcPr>
          <w:p w:rsidR="00A061B8" w:rsidRPr="00FB5988" w:rsidRDefault="00A061B8" w:rsidP="00164321">
            <w:pPr>
              <w:jc w:val="both"/>
              <w:rPr>
                <w:sz w:val="20"/>
              </w:rPr>
            </w:pPr>
            <w:r w:rsidRPr="00FB5988">
              <w:rPr>
                <w:sz w:val="20"/>
              </w:rPr>
              <w:lastRenderedPageBreak/>
              <w:t>September 14, 2020</w:t>
            </w:r>
          </w:p>
          <w:p w:rsidR="00A061B8" w:rsidRPr="00FB5988" w:rsidRDefault="00A061B8" w:rsidP="00164321">
            <w:pPr>
              <w:jc w:val="both"/>
              <w:rPr>
                <w:sz w:val="20"/>
              </w:rPr>
            </w:pPr>
            <w:r w:rsidRPr="00FB5988">
              <w:rPr>
                <w:sz w:val="20"/>
              </w:rPr>
              <w:t>Supreme Court of Canada</w:t>
            </w: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Application for leave to appeal filed.</w:t>
            </w:r>
          </w:p>
          <w:p w:rsidR="00A061B8" w:rsidRPr="00FB5988" w:rsidRDefault="00A061B8" w:rsidP="00164321">
            <w:pPr>
              <w:jc w:val="both"/>
              <w:rPr>
                <w:sz w:val="20"/>
              </w:rPr>
            </w:pPr>
          </w:p>
        </w:tc>
      </w:tr>
    </w:tbl>
    <w:p w:rsidR="00A061B8" w:rsidRPr="00FB5988" w:rsidRDefault="00A061B8" w:rsidP="00A061B8">
      <w:pPr>
        <w:jc w:val="both"/>
        <w:rPr>
          <w:sz w:val="20"/>
        </w:rPr>
      </w:pPr>
    </w:p>
    <w:p w:rsidR="00A061B8" w:rsidRPr="00FB5988" w:rsidRDefault="00EB6AAD" w:rsidP="00A061B8">
      <w:pPr>
        <w:jc w:val="both"/>
        <w:rPr>
          <w:sz w:val="20"/>
        </w:rPr>
      </w:pPr>
      <w:r>
        <w:rPr>
          <w:sz w:val="20"/>
        </w:rPr>
        <w:pict>
          <v:rect id="_x0000_i1044" style="width:2in;height:1pt" o:hrpct="0" o:hralign="center" o:hrstd="t" o:hrnoshade="t" o:hr="t" fillcolor="black [3213]" stroked="f"/>
        </w:pict>
      </w:r>
    </w:p>
    <w:p w:rsidR="00A061B8" w:rsidRPr="00FB5988" w:rsidRDefault="00A061B8" w:rsidP="00A061B8">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lang w:val="fr-CA"/>
              </w:rPr>
            </w:pPr>
            <w:r w:rsidRPr="00FB5988">
              <w:rPr>
                <w:rStyle w:val="SCCFileNumberChar"/>
                <w:sz w:val="20"/>
                <w:szCs w:val="20"/>
                <w:lang w:val="fr-CA"/>
              </w:rPr>
              <w:t>39334</w:t>
            </w:r>
          </w:p>
        </w:tc>
        <w:tc>
          <w:tcPr>
            <w:tcW w:w="4457" w:type="pct"/>
            <w:gridSpan w:val="3"/>
          </w:tcPr>
          <w:p w:rsidR="00A061B8" w:rsidRPr="00FB5988" w:rsidRDefault="00A061B8" w:rsidP="00164321">
            <w:pPr>
              <w:pStyle w:val="SCCLsocParty"/>
              <w:jc w:val="both"/>
              <w:rPr>
                <w:b/>
                <w:sz w:val="20"/>
                <w:szCs w:val="20"/>
              </w:rPr>
            </w:pPr>
            <w:r w:rsidRPr="00FB5988">
              <w:rPr>
                <w:b/>
                <w:sz w:val="20"/>
                <w:szCs w:val="20"/>
              </w:rPr>
              <w:t xml:space="preserve">Irving Ludmer, </w:t>
            </w:r>
            <w:r w:rsidR="00C24113" w:rsidRPr="00FB5988">
              <w:rPr>
                <w:b/>
                <w:sz w:val="20"/>
                <w:szCs w:val="20"/>
              </w:rPr>
              <w:t>3488055 Canada Inc., 3488063 Canada Inc., 3488071 Canada Inc., 2534-2825 Quebec Inc., 4077211 Canada Inc., 4431472 Canada Inc., Joel Pinsky, en reprise d’instance pour Mark Brender, ès qualités de liquidateur de la succession d’Arnold Steinberg, Phil Nadler, ès qualités de liquidateur de la succession d’Arnold Steinberg, Margot Steinberg, ès qualités de liquidatrice de la succession d’Arnold Steinberg, Donna Steinberg, ès qualités de liquidatrice de la succession d’Arnold Steinberg, Habland Investments ULC, en reprise d’instance pour Habland Investments Inc., Stoneview Inc., 3786986 Canada Inc., 3421848 Canada Inc. et 4431481 Canada Inc.</w:t>
            </w:r>
            <w:r w:rsidRPr="00FB5988">
              <w:rPr>
                <w:b/>
                <w:sz w:val="20"/>
                <w:szCs w:val="20"/>
              </w:rPr>
              <w:t xml:space="preserve"> c. Procureur général du Canada</w:t>
            </w:r>
            <w:r w:rsidR="00C24113" w:rsidRPr="00FB5988">
              <w:rPr>
                <w:b/>
                <w:sz w:val="20"/>
                <w:szCs w:val="20"/>
              </w:rPr>
              <w:t xml:space="preserve"> et</w:t>
            </w:r>
            <w:r w:rsidRPr="00FB5988">
              <w:rPr>
                <w:b/>
                <w:sz w:val="20"/>
                <w:szCs w:val="20"/>
              </w:rPr>
              <w:t xml:space="preserve"> Agence du revenu du Canada</w:t>
            </w:r>
          </w:p>
          <w:p w:rsidR="00A061B8" w:rsidRPr="00FB5988" w:rsidRDefault="00A061B8" w:rsidP="00164321">
            <w:pPr>
              <w:jc w:val="both"/>
              <w:rPr>
                <w:sz w:val="20"/>
                <w:lang w:val="fr-CA"/>
              </w:rPr>
            </w:pPr>
            <w:r w:rsidRPr="00FB5988">
              <w:rPr>
                <w:sz w:val="20"/>
                <w:lang w:val="fr-CA"/>
              </w:rPr>
              <w:t>(Qc) (Civile) (Sur autorisation)</w:t>
            </w:r>
          </w:p>
        </w:tc>
      </w:tr>
      <w:tr w:rsidR="00A061B8" w:rsidRPr="00EB6AAD" w:rsidTr="00164321">
        <w:tc>
          <w:tcPr>
            <w:tcW w:w="5000" w:type="pct"/>
            <w:gridSpan w:val="4"/>
          </w:tcPr>
          <w:p w:rsidR="00C24113" w:rsidRPr="00FB5988" w:rsidRDefault="00C24113" w:rsidP="00C24113">
            <w:pPr>
              <w:jc w:val="both"/>
              <w:rPr>
                <w:sz w:val="20"/>
                <w:szCs w:val="20"/>
                <w:lang w:val="fr-CA"/>
              </w:rPr>
            </w:pPr>
            <w:r w:rsidRPr="00FB5988">
              <w:rPr>
                <w:sz w:val="20"/>
                <w:szCs w:val="20"/>
                <w:lang w:val="fr-CA"/>
              </w:rPr>
              <w:t>La demande d’autorisation d’appel de l’arrêt de la Cour d’appel du Québec (Montréal), numéro 500-09-027787-183, 2020 QCCA 697, daté du 28 mai 2020, est rejetée avec  dépens.</w:t>
            </w:r>
          </w:p>
          <w:p w:rsidR="00C24113" w:rsidRPr="00FB5988" w:rsidRDefault="00C24113" w:rsidP="00C24113">
            <w:pPr>
              <w:jc w:val="both"/>
              <w:rPr>
                <w:sz w:val="20"/>
                <w:szCs w:val="20"/>
                <w:lang w:val="fr-CA"/>
              </w:rPr>
            </w:pPr>
          </w:p>
          <w:p w:rsidR="00A061B8" w:rsidRPr="00FB5988" w:rsidRDefault="00C24113" w:rsidP="00C24113">
            <w:pPr>
              <w:tabs>
                <w:tab w:val="left" w:pos="1751"/>
              </w:tabs>
              <w:jc w:val="both"/>
              <w:rPr>
                <w:sz w:val="20"/>
                <w:szCs w:val="20"/>
                <w:lang w:val="fr-CA"/>
              </w:rPr>
            </w:pPr>
            <w:r w:rsidRPr="00FB5988">
              <w:rPr>
                <w:sz w:val="20"/>
                <w:szCs w:val="20"/>
                <w:lang w:val="fr-CA"/>
              </w:rPr>
              <w:t>La juge Côté n’a pas participé au jugement.</w:t>
            </w:r>
          </w:p>
          <w:p w:rsidR="00C24113" w:rsidRPr="00FB5988" w:rsidRDefault="00C24113" w:rsidP="00C24113">
            <w:pPr>
              <w:tabs>
                <w:tab w:val="left" w:pos="1751"/>
              </w:tabs>
              <w:jc w:val="both"/>
              <w:rPr>
                <w:sz w:val="20"/>
                <w:lang w:val="fr-CA"/>
              </w:rPr>
            </w:pPr>
          </w:p>
        </w:tc>
      </w:tr>
      <w:tr w:rsidR="00A061B8" w:rsidRPr="00EB6AAD" w:rsidTr="00164321">
        <w:tc>
          <w:tcPr>
            <w:tcW w:w="5000" w:type="pct"/>
            <w:gridSpan w:val="4"/>
          </w:tcPr>
          <w:p w:rsidR="00A061B8" w:rsidRPr="00FB5988" w:rsidRDefault="00A061B8" w:rsidP="00164321">
            <w:pPr>
              <w:tabs>
                <w:tab w:val="left" w:pos="1751"/>
              </w:tabs>
              <w:jc w:val="both"/>
              <w:rPr>
                <w:sz w:val="20"/>
                <w:lang w:val="fr-CA"/>
              </w:rPr>
            </w:pPr>
            <w:r w:rsidRPr="00FB5988">
              <w:rPr>
                <w:sz w:val="20"/>
                <w:lang w:val="fr-CA"/>
              </w:rPr>
              <w:t>Responsabilité civile — Vérification fiscale — Nouvelle cotisation — Norme de conduite — Abus de pouvoir — Dommages</w:t>
            </w:r>
            <w:r w:rsidRPr="00FB5988">
              <w:rPr>
                <w:sz w:val="20"/>
                <w:lang w:val="fr-CA"/>
              </w:rPr>
              <w:noBreakHyphen/>
              <w:t>intérêts punitifs — Atteinte illicite et intentionnelle — Dans quelles circonstances convient</w:t>
            </w:r>
            <w:r w:rsidRPr="00FB5988">
              <w:rPr>
                <w:sz w:val="20"/>
                <w:lang w:val="fr-CA"/>
              </w:rPr>
              <w:noBreakHyphen/>
              <w:t>il de condamner les autorités publiques défenderesses à payer des dommages</w:t>
            </w:r>
            <w:r w:rsidRPr="00FB5988">
              <w:rPr>
                <w:sz w:val="20"/>
                <w:lang w:val="fr-CA"/>
              </w:rPr>
              <w:noBreakHyphen/>
              <w:t>intérêts punitifs pour cause d’abus de pouvoir? — Dans quelles circonstances la Cour supérieure peut</w:t>
            </w:r>
            <w:r w:rsidRPr="00FB5988">
              <w:rPr>
                <w:sz w:val="20"/>
                <w:lang w:val="fr-CA"/>
              </w:rPr>
              <w:noBreakHyphen/>
              <w:t xml:space="preserve">elle refuser de trancher une demande présentée par un contribuable portant sur l’abus de pouvoir? — </w:t>
            </w:r>
            <w:r w:rsidRPr="00FB5988">
              <w:rPr>
                <w:i/>
                <w:sz w:val="20"/>
                <w:lang w:val="fr-CA"/>
              </w:rPr>
              <w:t>Code civil du Québec</w:t>
            </w:r>
            <w:r w:rsidRPr="00FB5988">
              <w:rPr>
                <w:sz w:val="20"/>
                <w:lang w:val="fr-CA"/>
              </w:rPr>
              <w:t>, CQLR c CCQ</w:t>
            </w:r>
            <w:r w:rsidRPr="00FB5988">
              <w:rPr>
                <w:sz w:val="20"/>
                <w:lang w:val="fr-CA"/>
              </w:rPr>
              <w:noBreakHyphen/>
              <w:t>1991, art. 1621 —</w:t>
            </w:r>
            <w:r w:rsidRPr="00FB5988">
              <w:rPr>
                <w:i/>
                <w:sz w:val="20"/>
                <w:lang w:val="fr-CA"/>
              </w:rPr>
              <w:t xml:space="preserve"> Charte des droits et libertés de la personne</w:t>
            </w:r>
            <w:r w:rsidRPr="00FB5988">
              <w:rPr>
                <w:sz w:val="20"/>
                <w:lang w:val="fr-CA"/>
              </w:rPr>
              <w:t>, RLRQ c C</w:t>
            </w:r>
            <w:r w:rsidRPr="00FB5988">
              <w:rPr>
                <w:sz w:val="20"/>
                <w:lang w:val="fr-CA"/>
              </w:rPr>
              <w:noBreakHyphen/>
              <w:t>12, art. 49.</w:t>
            </w:r>
          </w:p>
        </w:tc>
      </w:tr>
      <w:tr w:rsidR="00A061B8" w:rsidRPr="00EB6AAD" w:rsidTr="00164321">
        <w:tc>
          <w:tcPr>
            <w:tcW w:w="5000" w:type="pct"/>
            <w:gridSpan w:val="4"/>
          </w:tcPr>
          <w:p w:rsidR="00A061B8" w:rsidRPr="00FB5988" w:rsidRDefault="00A061B8" w:rsidP="00164321">
            <w:pPr>
              <w:tabs>
                <w:tab w:val="left" w:pos="1751"/>
              </w:tabs>
              <w:jc w:val="both"/>
              <w:rPr>
                <w:sz w:val="20"/>
                <w:lang w:val="fr-CA"/>
              </w:rPr>
            </w:pPr>
          </w:p>
        </w:tc>
      </w:tr>
      <w:tr w:rsidR="00A061B8" w:rsidRPr="00EB6AAD" w:rsidTr="00164321">
        <w:tc>
          <w:tcPr>
            <w:tcW w:w="5000" w:type="pct"/>
            <w:gridSpan w:val="4"/>
          </w:tcPr>
          <w:p w:rsidR="00A061B8" w:rsidRPr="00FB5988" w:rsidRDefault="00A061B8" w:rsidP="00164321">
            <w:pPr>
              <w:jc w:val="both"/>
              <w:rPr>
                <w:sz w:val="20"/>
                <w:lang w:val="fr-CA"/>
              </w:rPr>
            </w:pPr>
            <w:r w:rsidRPr="00FB5988">
              <w:rPr>
                <w:sz w:val="20"/>
                <w:lang w:val="fr-CA"/>
              </w:rPr>
              <w:t>En 2005, un véhicule de placement à l’étranger des demandeurs a attiré l’attention de l’Agence du Revenu du Canada (« ARC »). Ils ont fait l’objet d’une vérification fiscale, qui a duré pendant de nombreuses années et a entraîné une nouvelle cotisation de plus de 25 millions de dollars en fait d’impôts impayés, d’intérêts et de pénalités. Les demandeurs ont déposé des avis d’appel à la Cour canadienne de l’impôt, et l’ARC a en fin de compte abandonné la poursuite de ses demandes en 2014. Les demandeurs ont poursuivi l’ARC en dommages-intérêts et dommages</w:t>
            </w:r>
            <w:r w:rsidRPr="00FB5988">
              <w:rPr>
                <w:sz w:val="20"/>
                <w:lang w:val="fr-CA"/>
              </w:rPr>
              <w:noBreakHyphen/>
              <w:t>intérêts punitifs s’élevant à plus de 117 millions de dollars, soutenant que la conduite de l’ARC au cours de la vérification était abusive et a entraîné l’échec de leur véhicule de placement à l’étranger. La Cour supérieure a accueilli en partie l’action des demandeurs et a ordonné à l’ARC de payer la somme de 4 844 658 $ en fait de dommages</w:t>
            </w:r>
            <w:r w:rsidRPr="00FB5988">
              <w:rPr>
                <w:sz w:val="20"/>
                <w:lang w:val="fr-CA"/>
              </w:rPr>
              <w:noBreakHyphen/>
              <w:t>intérêts pour avoir commis de nombreuses fautes durant la vérification fiscale, mais a rejeté leur demande de dommages</w:t>
            </w:r>
            <w:r w:rsidRPr="00FB5988">
              <w:rPr>
                <w:sz w:val="20"/>
                <w:lang w:val="fr-CA"/>
              </w:rPr>
              <w:noBreakHyphen/>
              <w:t>intérêts punitifs. La Cour d’appel a rejeté à la fois l’appel et l’appel incident.</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31 juillet 2018</w:t>
            </w:r>
          </w:p>
          <w:p w:rsidR="00A061B8" w:rsidRPr="00FB5988" w:rsidRDefault="00A061B8" w:rsidP="00164321">
            <w:pPr>
              <w:jc w:val="both"/>
              <w:rPr>
                <w:sz w:val="20"/>
                <w:lang w:val="fr-CA"/>
              </w:rPr>
            </w:pPr>
            <w:r w:rsidRPr="00FB5988">
              <w:rPr>
                <w:sz w:val="20"/>
                <w:lang w:val="fr-CA"/>
              </w:rPr>
              <w:t>Cour supérieure du Québec</w:t>
            </w:r>
          </w:p>
          <w:p w:rsidR="00A061B8" w:rsidRPr="00FB5988" w:rsidRDefault="00A061B8" w:rsidP="00164321">
            <w:pPr>
              <w:jc w:val="both"/>
              <w:rPr>
                <w:sz w:val="20"/>
                <w:lang w:val="fr-CA"/>
              </w:rPr>
            </w:pPr>
            <w:r w:rsidRPr="00FB5988">
              <w:rPr>
                <w:sz w:val="20"/>
                <w:lang w:val="fr-CA"/>
              </w:rPr>
              <w:t>(Juge Hamilton)</w:t>
            </w:r>
          </w:p>
          <w:p w:rsidR="00A061B8" w:rsidRPr="00FB5988" w:rsidRDefault="00A061B8" w:rsidP="00164321">
            <w:pPr>
              <w:jc w:val="both"/>
              <w:rPr>
                <w:sz w:val="20"/>
                <w:lang w:val="fr-CA"/>
              </w:rPr>
            </w:pPr>
            <w:r w:rsidRPr="00FB5988">
              <w:rPr>
                <w:sz w:val="20"/>
                <w:lang w:val="fr-CA"/>
              </w:rPr>
              <w:t>500</w:t>
            </w:r>
            <w:r w:rsidRPr="00FB5988">
              <w:rPr>
                <w:sz w:val="20"/>
                <w:lang w:val="fr-CA"/>
              </w:rPr>
              <w:noBreakHyphen/>
              <w:t>17</w:t>
            </w:r>
            <w:r w:rsidRPr="00FB5988">
              <w:rPr>
                <w:sz w:val="20"/>
                <w:lang w:val="fr-CA"/>
              </w:rPr>
              <w:noBreakHyphen/>
              <w:t>076229</w:t>
            </w:r>
            <w:r w:rsidRPr="00FB5988">
              <w:rPr>
                <w:sz w:val="20"/>
                <w:lang w:val="fr-CA"/>
              </w:rPr>
              <w:noBreakHyphen/>
              <w:t>130</w:t>
            </w:r>
          </w:p>
          <w:p w:rsidR="00A061B8" w:rsidRPr="00FB5988" w:rsidRDefault="00EB6AAD" w:rsidP="00164321">
            <w:pPr>
              <w:jc w:val="both"/>
              <w:rPr>
                <w:sz w:val="20"/>
                <w:lang w:val="fr-CA"/>
              </w:rPr>
            </w:pPr>
            <w:hyperlink r:id="rId39" w:history="1">
              <w:r w:rsidR="00A061B8" w:rsidRPr="00FB5988">
                <w:rPr>
                  <w:rStyle w:val="Hyperlink"/>
                  <w:sz w:val="20"/>
                  <w:lang w:val="fr-CA"/>
                </w:rPr>
                <w:t>2018 QCCS 3381</w:t>
              </w:r>
            </w:hyperlink>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L’action est accueillie en partie.</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28 mai 2020</w:t>
            </w:r>
          </w:p>
          <w:p w:rsidR="00A061B8" w:rsidRPr="00FB5988" w:rsidRDefault="00A061B8" w:rsidP="00164321">
            <w:pPr>
              <w:jc w:val="both"/>
              <w:rPr>
                <w:sz w:val="20"/>
                <w:lang w:val="fr-CA"/>
              </w:rPr>
            </w:pPr>
            <w:r w:rsidRPr="00FB5988">
              <w:rPr>
                <w:sz w:val="20"/>
                <w:lang w:val="fr-CA"/>
              </w:rPr>
              <w:t>Cour d’appel du Québec (Montréal)</w:t>
            </w:r>
          </w:p>
          <w:p w:rsidR="00A061B8" w:rsidRPr="00FB5988" w:rsidRDefault="00A061B8" w:rsidP="00164321">
            <w:pPr>
              <w:jc w:val="both"/>
              <w:rPr>
                <w:sz w:val="20"/>
                <w:lang w:val="fr-CA"/>
              </w:rPr>
            </w:pPr>
            <w:r w:rsidRPr="00FB5988">
              <w:rPr>
                <w:sz w:val="20"/>
                <w:lang w:val="fr-CA"/>
              </w:rPr>
              <w:t>(Juges Hilton, Schrager, Sansfaçon)</w:t>
            </w:r>
          </w:p>
          <w:p w:rsidR="00A061B8" w:rsidRPr="00FB5988" w:rsidRDefault="00A061B8" w:rsidP="00164321">
            <w:pPr>
              <w:jc w:val="both"/>
              <w:rPr>
                <w:sz w:val="20"/>
                <w:lang w:val="fr-CA"/>
              </w:rPr>
            </w:pPr>
            <w:r w:rsidRPr="00FB5988">
              <w:rPr>
                <w:sz w:val="20"/>
                <w:lang w:val="fr-CA"/>
              </w:rPr>
              <w:t>500</w:t>
            </w:r>
            <w:r w:rsidRPr="00FB5988">
              <w:rPr>
                <w:sz w:val="20"/>
                <w:lang w:val="fr-CA"/>
              </w:rPr>
              <w:noBreakHyphen/>
              <w:t>09</w:t>
            </w:r>
            <w:r w:rsidRPr="00FB5988">
              <w:rPr>
                <w:sz w:val="20"/>
                <w:lang w:val="fr-CA"/>
              </w:rPr>
              <w:noBreakHyphen/>
              <w:t>027787</w:t>
            </w:r>
            <w:r w:rsidRPr="00FB5988">
              <w:rPr>
                <w:sz w:val="20"/>
                <w:lang w:val="fr-CA"/>
              </w:rPr>
              <w:noBreakHyphen/>
              <w:t>183</w:t>
            </w:r>
          </w:p>
          <w:p w:rsidR="00A061B8" w:rsidRPr="00FB5988" w:rsidRDefault="00EB6AAD" w:rsidP="00164321">
            <w:pPr>
              <w:jc w:val="both"/>
              <w:rPr>
                <w:sz w:val="20"/>
                <w:lang w:val="fr-CA"/>
              </w:rPr>
            </w:pPr>
            <w:hyperlink r:id="rId40" w:history="1">
              <w:r w:rsidR="00A061B8" w:rsidRPr="00FB5988">
                <w:rPr>
                  <w:rStyle w:val="Hyperlink"/>
                  <w:sz w:val="20"/>
                  <w:lang w:val="fr-CA"/>
                </w:rPr>
                <w:t>2020 QCCA 697</w:t>
              </w:r>
            </w:hyperlink>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 xml:space="preserve">L’appel et l’appel incident sont rejetés. </w:t>
            </w:r>
          </w:p>
          <w:p w:rsidR="00A061B8" w:rsidRPr="00FB5988" w:rsidRDefault="00A061B8" w:rsidP="00164321">
            <w:pPr>
              <w:jc w:val="both"/>
              <w:rPr>
                <w:sz w:val="20"/>
                <w:lang w:val="fr-CA"/>
              </w:rPr>
            </w:pPr>
          </w:p>
        </w:tc>
      </w:tr>
    </w:tbl>
    <w:p w:rsidR="006E184E" w:rsidRPr="00FB5988" w:rsidRDefault="006E184E">
      <w:pPr>
        <w:rPr>
          <w:lang w:val="fr-CA"/>
        </w:rPr>
      </w:pPr>
      <w:r w:rsidRPr="00FB5988">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A061B8" w:rsidRPr="00EB6AAD" w:rsidTr="00164321">
        <w:tc>
          <w:tcPr>
            <w:tcW w:w="2427" w:type="pct"/>
          </w:tcPr>
          <w:p w:rsidR="00A061B8" w:rsidRPr="00FB5988" w:rsidRDefault="00A061B8" w:rsidP="00164321">
            <w:pPr>
              <w:jc w:val="both"/>
              <w:rPr>
                <w:sz w:val="20"/>
                <w:lang w:val="fr-CA"/>
              </w:rPr>
            </w:pPr>
            <w:r w:rsidRPr="00FB5988">
              <w:rPr>
                <w:sz w:val="20"/>
                <w:lang w:val="fr-CA"/>
              </w:rPr>
              <w:lastRenderedPageBreak/>
              <w:t>14 septembre 2020</w:t>
            </w:r>
          </w:p>
          <w:p w:rsidR="00A061B8" w:rsidRPr="00FB5988" w:rsidRDefault="00A061B8" w:rsidP="00164321">
            <w:pPr>
              <w:jc w:val="both"/>
              <w:rPr>
                <w:sz w:val="20"/>
                <w:lang w:val="fr-CA"/>
              </w:rPr>
            </w:pPr>
            <w:r w:rsidRPr="00FB5988">
              <w:rPr>
                <w:sz w:val="20"/>
                <w:lang w:val="fr-CA"/>
              </w:rPr>
              <w:t>Cour suprême du Canada</w:t>
            </w: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 demande d’autorisation d’appel est accueillie.</w:t>
            </w:r>
          </w:p>
          <w:p w:rsidR="00A061B8" w:rsidRPr="00FB5988" w:rsidRDefault="00A061B8" w:rsidP="00164321">
            <w:pPr>
              <w:jc w:val="both"/>
              <w:rPr>
                <w:sz w:val="20"/>
                <w:lang w:val="fr-CA"/>
              </w:rPr>
            </w:pPr>
          </w:p>
        </w:tc>
      </w:tr>
    </w:tbl>
    <w:p w:rsidR="00A061B8" w:rsidRPr="00FB5988" w:rsidRDefault="00A061B8" w:rsidP="00A061B8">
      <w:pPr>
        <w:jc w:val="both"/>
        <w:rPr>
          <w:sz w:val="20"/>
          <w:lang w:val="fr-CA"/>
        </w:rPr>
      </w:pPr>
    </w:p>
    <w:p w:rsidR="00A061B8" w:rsidRPr="00FB5988" w:rsidRDefault="00EB6AAD" w:rsidP="00A061B8">
      <w:pPr>
        <w:jc w:val="both"/>
        <w:rPr>
          <w:sz w:val="20"/>
          <w:lang w:val="fr-CA"/>
        </w:rPr>
      </w:pPr>
      <w:r>
        <w:rPr>
          <w:sz w:val="20"/>
        </w:rPr>
        <w:pict>
          <v:rect id="_x0000_i1045" style="width:2in;height:1pt" o:hrpct="0" o:hralign="center" o:hrstd="t" o:hrnoshade="t" o:hr="t" fillcolor="black [3213]" stroked="f"/>
        </w:pict>
      </w:r>
    </w:p>
    <w:p w:rsidR="00A061B8" w:rsidRPr="00FB5988" w:rsidRDefault="00A061B8" w:rsidP="00A061B8">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FB5988" w:rsidTr="00164321">
        <w:tc>
          <w:tcPr>
            <w:tcW w:w="543" w:type="pct"/>
          </w:tcPr>
          <w:p w:rsidR="00A061B8" w:rsidRPr="00FB5988" w:rsidRDefault="00A061B8" w:rsidP="00164321">
            <w:pPr>
              <w:jc w:val="both"/>
              <w:rPr>
                <w:sz w:val="20"/>
              </w:rPr>
            </w:pPr>
            <w:r w:rsidRPr="00FB5988">
              <w:rPr>
                <w:rStyle w:val="SCCFileNumberChar"/>
                <w:sz w:val="20"/>
                <w:szCs w:val="20"/>
              </w:rPr>
              <w:t>39396</w:t>
            </w:r>
          </w:p>
        </w:tc>
        <w:tc>
          <w:tcPr>
            <w:tcW w:w="4457" w:type="pct"/>
            <w:gridSpan w:val="3"/>
          </w:tcPr>
          <w:p w:rsidR="00A061B8" w:rsidRPr="00FB5988" w:rsidRDefault="00A061B8" w:rsidP="00164321">
            <w:pPr>
              <w:pStyle w:val="SCCLsocParty"/>
              <w:jc w:val="both"/>
              <w:rPr>
                <w:b/>
                <w:sz w:val="20"/>
                <w:szCs w:val="20"/>
                <w:lang w:val="en-US"/>
              </w:rPr>
            </w:pPr>
            <w:r w:rsidRPr="00FB5988">
              <w:rPr>
                <w:b/>
                <w:sz w:val="20"/>
                <w:szCs w:val="20"/>
                <w:lang w:val="en-US"/>
              </w:rPr>
              <w:t>3510395 Canada Inc. v. Attorney General of Canada</w:t>
            </w:r>
          </w:p>
          <w:p w:rsidR="00A061B8" w:rsidRPr="00FB5988" w:rsidRDefault="00A061B8" w:rsidP="00164321">
            <w:pPr>
              <w:jc w:val="both"/>
              <w:rPr>
                <w:sz w:val="20"/>
              </w:rPr>
            </w:pPr>
            <w:r w:rsidRPr="00FB5988">
              <w:rPr>
                <w:sz w:val="20"/>
              </w:rPr>
              <w:t>(F.C.) (Civil) (By Leave)</w:t>
            </w:r>
          </w:p>
        </w:tc>
      </w:tr>
      <w:tr w:rsidR="00A061B8" w:rsidRPr="00FB5988" w:rsidTr="00164321">
        <w:tc>
          <w:tcPr>
            <w:tcW w:w="5000" w:type="pct"/>
            <w:gridSpan w:val="4"/>
          </w:tcPr>
          <w:p w:rsidR="006E184E" w:rsidRPr="00FB5988" w:rsidRDefault="006E184E" w:rsidP="006E184E">
            <w:pPr>
              <w:jc w:val="both"/>
              <w:rPr>
                <w:sz w:val="20"/>
                <w:szCs w:val="20"/>
              </w:rPr>
            </w:pPr>
            <w:r w:rsidRPr="00FB5988">
              <w:rPr>
                <w:sz w:val="20"/>
                <w:szCs w:val="20"/>
                <w:lang w:val="en-US"/>
              </w:rPr>
              <w:t>The motion to join two Federal Court of Appeal files in a single application for leave to appeal is granted.</w:t>
            </w:r>
            <w:r w:rsidRPr="00FB5988">
              <w:rPr>
                <w:sz w:val="20"/>
                <w:szCs w:val="20"/>
              </w:rPr>
              <w:t xml:space="preserve"> The application for leave to appeal from the judgments of the Federal Court of Appeal, Numbers A-382-17 and A-383-17, 2020 FCA 103, dated June 5, 2020, is dismissed with costs.</w:t>
            </w:r>
          </w:p>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rPr>
            </w:pPr>
            <w:r w:rsidRPr="00FB5988">
              <w:rPr>
                <w:sz w:val="20"/>
              </w:rPr>
              <w:t xml:space="preserve">Constitutional law — Division of powers — Parliament’s general trade and commerce power — </w:t>
            </w:r>
            <w:r w:rsidRPr="00FB5988">
              <w:rPr>
                <w:i/>
                <w:sz w:val="20"/>
              </w:rPr>
              <w:t>Charter of Rights and Freedoms</w:t>
            </w:r>
            <w:r w:rsidRPr="00FB5988">
              <w:rPr>
                <w:sz w:val="20"/>
              </w:rPr>
              <w:t xml:space="preserve"> — Freedom of expression — CRTC and Federal Court of Appeal finding anti</w:t>
            </w:r>
            <w:r w:rsidRPr="00FB5988">
              <w:rPr>
                <w:sz w:val="20"/>
              </w:rPr>
              <w:noBreakHyphen/>
              <w:t xml:space="preserve">spam legislation </w:t>
            </w:r>
            <w:r w:rsidRPr="00FB5988">
              <w:rPr>
                <w:i/>
                <w:sz w:val="20"/>
              </w:rPr>
              <w:t>intra vires</w:t>
            </w:r>
            <w:r w:rsidRPr="00FB5988">
              <w:rPr>
                <w:sz w:val="20"/>
              </w:rPr>
              <w:t xml:space="preserve"> Parliament’s power and constitutional — Whether ubiquity of online commerce is a “constitutionally significant transformation” bringing regulation of all commercial electronic messages within Parliament’s general trade and commerce power under s. 91(2) of the </w:t>
            </w:r>
            <w:r w:rsidRPr="00FB5988">
              <w:rPr>
                <w:i/>
                <w:sz w:val="20"/>
              </w:rPr>
              <w:t>Constitution Act, 1867</w:t>
            </w:r>
            <w:r w:rsidRPr="00FB5988">
              <w:rPr>
                <w:sz w:val="20"/>
              </w:rPr>
              <w:t xml:space="preserve"> — What makes internet speech “commercial” for purposes of the freedom of expression guaranteed in s. 2(</w:t>
            </w:r>
            <w:r w:rsidRPr="00FB5988">
              <w:rPr>
                <w:i/>
                <w:sz w:val="20"/>
              </w:rPr>
              <w:t>b</w:t>
            </w:r>
            <w:r w:rsidRPr="00FB5988">
              <w:rPr>
                <w:sz w:val="20"/>
              </w:rPr>
              <w:t xml:space="preserve">) of the </w:t>
            </w:r>
            <w:r w:rsidRPr="00FB5988">
              <w:rPr>
                <w:i/>
                <w:sz w:val="20"/>
              </w:rPr>
              <w:t>Charter</w:t>
            </w:r>
            <w:r w:rsidRPr="00FB5988">
              <w:rPr>
                <w:sz w:val="20"/>
              </w:rPr>
              <w:t xml:space="preserve"> — If commercial electronic message provisions under the anti-spam legislation are constitutionally valid, what is proper scope of exceptions to its prohibitions of commercial electronic messages sent without prior consent.</w:t>
            </w:r>
          </w:p>
        </w:tc>
      </w:tr>
      <w:tr w:rsidR="00A061B8" w:rsidRPr="00FB5988" w:rsidTr="00164321">
        <w:tc>
          <w:tcPr>
            <w:tcW w:w="5000" w:type="pct"/>
            <w:gridSpan w:val="4"/>
          </w:tcPr>
          <w:p w:rsidR="00A061B8" w:rsidRPr="00FB5988" w:rsidRDefault="00A061B8" w:rsidP="00164321">
            <w:pPr>
              <w:jc w:val="both"/>
              <w:rPr>
                <w:sz w:val="20"/>
              </w:rPr>
            </w:pPr>
          </w:p>
        </w:tc>
      </w:tr>
      <w:tr w:rsidR="00A061B8" w:rsidRPr="00FB5988" w:rsidTr="00164321">
        <w:tc>
          <w:tcPr>
            <w:tcW w:w="5000" w:type="pct"/>
            <w:gridSpan w:val="4"/>
          </w:tcPr>
          <w:p w:rsidR="00A061B8" w:rsidRPr="00FB5988" w:rsidRDefault="00A061B8" w:rsidP="00164321">
            <w:pPr>
              <w:jc w:val="both"/>
              <w:rPr>
                <w:sz w:val="20"/>
                <w:lang w:val="en"/>
              </w:rPr>
            </w:pPr>
            <w:r w:rsidRPr="00FB5988">
              <w:rPr>
                <w:sz w:val="20"/>
                <w:lang w:val="en"/>
              </w:rPr>
              <w:t xml:space="preserve">Canada’s anti-spam legislation came into force in 2014: </w:t>
            </w:r>
            <w:r w:rsidRPr="00FB5988">
              <w:rPr>
                <w:i/>
                <w:sz w:val="20"/>
                <w:lang w:val="en"/>
              </w:rPr>
              <w:t>An</w:t>
            </w:r>
            <w:r w:rsidRPr="00FB5988">
              <w:rPr>
                <w:sz w:val="20"/>
                <w:lang w:val="en"/>
              </w:rPr>
              <w:t xml:space="preserve"> </w:t>
            </w:r>
            <w:r w:rsidRPr="00FB5988">
              <w:rPr>
                <w:i/>
                <w:sz w:val="20"/>
                <w:lang w:val="en"/>
              </w:rPr>
              <w:t>Act to promote the efficiency and adaptability of the Canadian economy by regulating certain activities that discourage reliance on electronic means of carrying out commercial activities, and to amend the Canadian Radio</w:t>
            </w:r>
            <w:r w:rsidRPr="00FB5988">
              <w:rPr>
                <w:i/>
                <w:sz w:val="20"/>
                <w:lang w:val="en"/>
              </w:rPr>
              <w:noBreakHyphen/>
              <w:t>television and Telecommunications Commission Act, the Competition Act, the Personal Information Protection and Electronic Documents Act and the Telecommunications Act,</w:t>
            </w:r>
            <w:r w:rsidRPr="00FB5988">
              <w:rPr>
                <w:sz w:val="20"/>
                <w:lang w:val="en"/>
              </w:rPr>
              <w:t xml:space="preserve"> S.C. 2010, c. 23 (CASL). It provides for the regulation of certain forms of commercial conduct relating to electronic commerce (e</w:t>
            </w:r>
            <w:r w:rsidRPr="00FB5988">
              <w:rPr>
                <w:sz w:val="20"/>
                <w:lang w:val="en"/>
              </w:rPr>
              <w:noBreakHyphen/>
              <w:t xml:space="preserve">commerce), most notably the sending of commercial electronic messages (CEMs). </w:t>
            </w:r>
          </w:p>
          <w:p w:rsidR="00A061B8" w:rsidRPr="00FB5988" w:rsidRDefault="00A061B8" w:rsidP="00164321">
            <w:pPr>
              <w:jc w:val="both"/>
              <w:rPr>
                <w:sz w:val="20"/>
                <w:lang w:val="en"/>
              </w:rPr>
            </w:pPr>
          </w:p>
          <w:p w:rsidR="00A061B8" w:rsidRPr="00FB5988" w:rsidRDefault="00A061B8" w:rsidP="00164321">
            <w:pPr>
              <w:jc w:val="both"/>
              <w:rPr>
                <w:sz w:val="20"/>
                <w:lang w:val="en"/>
              </w:rPr>
            </w:pPr>
            <w:r w:rsidRPr="00FB5988">
              <w:rPr>
                <w:sz w:val="20"/>
                <w:lang w:val="en"/>
              </w:rPr>
              <w:t>The applicant, 3510395 Canada Inc. was issued a Notice of Violation (NOV) under CASL alleging it had not obtained recipients’ consent prior to sending the CEMs in question. The NOV also alleged that some of the CEMs did not contain a functioning “unsubscribe” link. The NOV imposed a $1,100,000 administrative monetary penalty.</w:t>
            </w:r>
          </w:p>
          <w:p w:rsidR="00A061B8" w:rsidRPr="00FB5988" w:rsidRDefault="00A061B8" w:rsidP="00164321">
            <w:pPr>
              <w:jc w:val="both"/>
              <w:rPr>
                <w:sz w:val="20"/>
              </w:rPr>
            </w:pPr>
          </w:p>
          <w:p w:rsidR="00A061B8" w:rsidRPr="00FB5988" w:rsidRDefault="00A061B8" w:rsidP="00164321">
            <w:pPr>
              <w:jc w:val="both"/>
              <w:rPr>
                <w:sz w:val="20"/>
                <w:lang w:val="en"/>
              </w:rPr>
            </w:pPr>
            <w:r w:rsidRPr="00FB5988">
              <w:rPr>
                <w:sz w:val="20"/>
                <w:lang w:val="en"/>
              </w:rPr>
              <w:t>Two related constitutional and compliance and enforcement decisions of the Canadian Radio</w:t>
            </w:r>
            <w:r w:rsidRPr="00FB5988">
              <w:rPr>
                <w:sz w:val="20"/>
                <w:lang w:val="en"/>
              </w:rPr>
              <w:noBreakHyphen/>
              <w:t xml:space="preserve">Television and Telecommunications Commission were issued. The CRTC determined that the CASL was </w:t>
            </w:r>
            <w:r w:rsidRPr="00FB5988">
              <w:rPr>
                <w:i/>
                <w:sz w:val="20"/>
                <w:lang w:val="en"/>
              </w:rPr>
              <w:t xml:space="preserve">intra vires </w:t>
            </w:r>
            <w:r w:rsidRPr="00FB5988">
              <w:rPr>
                <w:sz w:val="20"/>
                <w:lang w:val="en"/>
              </w:rPr>
              <w:t xml:space="preserve">Parliament’s trade and commerce power under s. 91(2) of the </w:t>
            </w:r>
            <w:r w:rsidRPr="00FB5988">
              <w:rPr>
                <w:i/>
                <w:sz w:val="20"/>
                <w:lang w:val="en"/>
              </w:rPr>
              <w:t>Constitution Act, 1867</w:t>
            </w:r>
            <w:r w:rsidRPr="00FB5988">
              <w:rPr>
                <w:sz w:val="20"/>
                <w:lang w:val="en"/>
              </w:rPr>
              <w:t xml:space="preserve"> and that its infringement of freedom of expression pursuant to s. 2(</w:t>
            </w:r>
            <w:r w:rsidRPr="00FB5988">
              <w:rPr>
                <w:i/>
                <w:sz w:val="20"/>
                <w:lang w:val="en"/>
              </w:rPr>
              <w:t>b</w:t>
            </w:r>
            <w:r w:rsidRPr="00FB5988">
              <w:rPr>
                <w:sz w:val="20"/>
                <w:lang w:val="en"/>
              </w:rPr>
              <w:t xml:space="preserve">) of the </w:t>
            </w:r>
            <w:r w:rsidRPr="00FB5988">
              <w:rPr>
                <w:i/>
                <w:sz w:val="20"/>
                <w:lang w:val="en"/>
              </w:rPr>
              <w:t>Canadian Charter of Rights and Freedoms</w:t>
            </w:r>
            <w:r w:rsidRPr="00FB5988">
              <w:rPr>
                <w:sz w:val="20"/>
                <w:lang w:val="en"/>
              </w:rPr>
              <w:t xml:space="preserve"> was justified under s. 1. The CRTC also dismissed claims under ss. 7, 8 and 11 of the </w:t>
            </w:r>
            <w:r w:rsidRPr="00FB5988">
              <w:rPr>
                <w:i/>
                <w:sz w:val="20"/>
                <w:lang w:val="en"/>
              </w:rPr>
              <w:t>Charter</w:t>
            </w:r>
            <w:r w:rsidRPr="00FB5988">
              <w:rPr>
                <w:sz w:val="20"/>
                <w:lang w:val="en"/>
              </w:rPr>
              <w:t xml:space="preserve">. In the second decision, the CRTC found that the applicant company had committed four violations under CASL and imposed a $200,000 penalty. </w:t>
            </w:r>
          </w:p>
          <w:p w:rsidR="00A061B8" w:rsidRPr="00FB5988" w:rsidRDefault="00A061B8" w:rsidP="00164321">
            <w:pPr>
              <w:jc w:val="both"/>
              <w:rPr>
                <w:sz w:val="20"/>
                <w:lang w:val="en"/>
              </w:rPr>
            </w:pPr>
          </w:p>
          <w:p w:rsidR="00A061B8" w:rsidRPr="00FB5988" w:rsidRDefault="00A061B8" w:rsidP="00164321">
            <w:pPr>
              <w:jc w:val="both"/>
              <w:rPr>
                <w:sz w:val="20"/>
              </w:rPr>
            </w:pPr>
            <w:r w:rsidRPr="00FB5988">
              <w:rPr>
                <w:sz w:val="20"/>
                <w:lang w:val="en"/>
              </w:rPr>
              <w:t xml:space="preserve">The applicant company appealed </w:t>
            </w:r>
            <w:bookmarkStart w:id="4" w:name="par2"/>
            <w:bookmarkEnd w:id="4"/>
            <w:r w:rsidRPr="00FB5988">
              <w:rPr>
                <w:sz w:val="20"/>
                <w:lang w:val="en"/>
              </w:rPr>
              <w:t>the CRTC’s decisions to the Federal Court of Appeal. Both appeals were dismissed.</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October 19, 2017</w:t>
            </w:r>
          </w:p>
          <w:p w:rsidR="00A061B8" w:rsidRPr="00FB5988" w:rsidRDefault="00A061B8" w:rsidP="00164321">
            <w:pPr>
              <w:jc w:val="both"/>
              <w:rPr>
                <w:sz w:val="20"/>
              </w:rPr>
            </w:pPr>
            <w:r w:rsidRPr="00FB5988">
              <w:rPr>
                <w:sz w:val="20"/>
              </w:rPr>
              <w:t>Canadian Radio</w:t>
            </w:r>
            <w:r w:rsidRPr="00FB5988">
              <w:rPr>
                <w:sz w:val="20"/>
              </w:rPr>
              <w:noBreakHyphen/>
              <w:t>Television and Telecommunications Commission</w:t>
            </w:r>
          </w:p>
          <w:p w:rsidR="00A061B8" w:rsidRPr="00FB5988" w:rsidRDefault="00A061B8" w:rsidP="00164321">
            <w:pPr>
              <w:jc w:val="both"/>
              <w:rPr>
                <w:sz w:val="20"/>
                <w:lang w:val="en"/>
              </w:rPr>
            </w:pPr>
            <w:r w:rsidRPr="00FB5988">
              <w:rPr>
                <w:sz w:val="20"/>
                <w:lang w:val="en"/>
              </w:rPr>
              <w:t>Compliance and Enforcement Decision CRTC 2017</w:t>
            </w:r>
            <w:r w:rsidRPr="00FB5988">
              <w:rPr>
                <w:sz w:val="20"/>
                <w:lang w:val="en"/>
              </w:rPr>
              <w:noBreakHyphen/>
              <w:t>367 (the Constitutional Decision)</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 xml:space="preserve">Constitutional challenges raised by CompuFinder dismissed and requested relief denied.  </w:t>
            </w:r>
          </w:p>
        </w:tc>
      </w:tr>
      <w:tr w:rsidR="00A061B8" w:rsidRPr="00FB5988" w:rsidTr="00164321">
        <w:tc>
          <w:tcPr>
            <w:tcW w:w="2427" w:type="pct"/>
            <w:gridSpan w:val="2"/>
          </w:tcPr>
          <w:p w:rsidR="00A061B8" w:rsidRPr="00FB5988" w:rsidRDefault="00A061B8" w:rsidP="00164321">
            <w:pPr>
              <w:jc w:val="both"/>
              <w:rPr>
                <w:sz w:val="20"/>
              </w:rPr>
            </w:pPr>
            <w:r w:rsidRPr="00FB5988">
              <w:rPr>
                <w:sz w:val="20"/>
              </w:rPr>
              <w:t>October 19, 2017</w:t>
            </w:r>
          </w:p>
          <w:p w:rsidR="00A061B8" w:rsidRPr="00FB5988" w:rsidRDefault="00A061B8" w:rsidP="00164321">
            <w:pPr>
              <w:jc w:val="both"/>
              <w:rPr>
                <w:sz w:val="20"/>
              </w:rPr>
            </w:pPr>
            <w:r w:rsidRPr="00FB5988">
              <w:rPr>
                <w:sz w:val="20"/>
              </w:rPr>
              <w:t>Canadian Radio</w:t>
            </w:r>
            <w:r w:rsidRPr="00FB5988">
              <w:rPr>
                <w:sz w:val="20"/>
              </w:rPr>
              <w:noBreakHyphen/>
              <w:t>Television and Telecommunications Commission</w:t>
            </w:r>
          </w:p>
          <w:p w:rsidR="00A061B8" w:rsidRPr="00FB5988" w:rsidRDefault="00A061B8" w:rsidP="00164321">
            <w:pPr>
              <w:jc w:val="both"/>
              <w:rPr>
                <w:sz w:val="20"/>
              </w:rPr>
            </w:pPr>
            <w:r w:rsidRPr="00FB5988">
              <w:rPr>
                <w:sz w:val="20"/>
              </w:rPr>
              <w:t>Compliance and Enforcement Decision</w:t>
            </w:r>
          </w:p>
          <w:p w:rsidR="00A061B8" w:rsidRPr="00FB5988" w:rsidRDefault="00A061B8" w:rsidP="00164321">
            <w:pPr>
              <w:jc w:val="both"/>
              <w:rPr>
                <w:sz w:val="20"/>
              </w:rPr>
            </w:pPr>
            <w:r w:rsidRPr="00FB5988">
              <w:rPr>
                <w:sz w:val="20"/>
              </w:rPr>
              <w:t>CRTC 2017</w:t>
            </w:r>
            <w:r w:rsidRPr="00FB5988">
              <w:rPr>
                <w:sz w:val="20"/>
              </w:rPr>
              <w:noBreakHyphen/>
              <w:t>368 (the Notice of Violation Decision)</w:t>
            </w:r>
          </w:p>
          <w:p w:rsidR="00A061B8" w:rsidRPr="00FB5988" w:rsidRDefault="00A061B8" w:rsidP="00164321">
            <w:pPr>
              <w:jc w:val="both"/>
              <w:rPr>
                <w:sz w:val="20"/>
              </w:rPr>
            </w:pP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 xml:space="preserve">CompuFinder found to have committed four violations and total penalty of $200, 000 imposed.  </w:t>
            </w:r>
          </w:p>
        </w:tc>
      </w:tr>
      <w:tr w:rsidR="00A061B8" w:rsidRPr="00FB5988" w:rsidTr="00164321">
        <w:tc>
          <w:tcPr>
            <w:tcW w:w="2427" w:type="pct"/>
            <w:gridSpan w:val="2"/>
          </w:tcPr>
          <w:p w:rsidR="00A061B8" w:rsidRPr="00FB5988" w:rsidRDefault="00A061B8" w:rsidP="00164321">
            <w:pPr>
              <w:jc w:val="both"/>
              <w:rPr>
                <w:sz w:val="20"/>
              </w:rPr>
            </w:pPr>
            <w:r w:rsidRPr="00FB5988">
              <w:rPr>
                <w:sz w:val="20"/>
              </w:rPr>
              <w:lastRenderedPageBreak/>
              <w:t>June 5, 2020</w:t>
            </w:r>
          </w:p>
          <w:p w:rsidR="00A061B8" w:rsidRPr="00FB5988" w:rsidRDefault="00A061B8" w:rsidP="00164321">
            <w:pPr>
              <w:jc w:val="both"/>
              <w:rPr>
                <w:sz w:val="20"/>
              </w:rPr>
            </w:pPr>
            <w:r w:rsidRPr="00FB5988">
              <w:rPr>
                <w:sz w:val="20"/>
              </w:rPr>
              <w:t>Federal Court of Appeal</w:t>
            </w:r>
          </w:p>
          <w:p w:rsidR="00A061B8" w:rsidRPr="00FB5988" w:rsidRDefault="00A061B8" w:rsidP="00164321">
            <w:pPr>
              <w:jc w:val="both"/>
              <w:rPr>
                <w:sz w:val="20"/>
              </w:rPr>
            </w:pPr>
            <w:r w:rsidRPr="00FB5988">
              <w:rPr>
                <w:sz w:val="20"/>
              </w:rPr>
              <w:t>(Nadon, Webb and Woods JJ.A.)</w:t>
            </w:r>
          </w:p>
          <w:p w:rsidR="00A061B8" w:rsidRPr="00FB5988" w:rsidRDefault="00EB6AAD" w:rsidP="00164321">
            <w:pPr>
              <w:jc w:val="both"/>
              <w:rPr>
                <w:sz w:val="20"/>
                <w:lang w:val="fr-CA"/>
              </w:rPr>
            </w:pPr>
            <w:hyperlink r:id="rId41" w:history="1">
              <w:r w:rsidR="00A061B8" w:rsidRPr="00FB5988">
                <w:rPr>
                  <w:rStyle w:val="Hyperlink"/>
                  <w:sz w:val="20"/>
                  <w:lang w:val="fr-CA"/>
                </w:rPr>
                <w:t>2020 FCA 103</w:t>
              </w:r>
            </w:hyperlink>
          </w:p>
          <w:p w:rsidR="00A061B8" w:rsidRPr="00FB5988" w:rsidRDefault="00A061B8" w:rsidP="00164321">
            <w:pPr>
              <w:jc w:val="both"/>
              <w:rPr>
                <w:sz w:val="20"/>
                <w:lang w:val="fr-CA"/>
              </w:rPr>
            </w:pPr>
            <w:r w:rsidRPr="00FB5988">
              <w:rPr>
                <w:sz w:val="20"/>
                <w:lang w:val="fr-CA"/>
              </w:rPr>
              <w:t>File Nos.: A</w:t>
            </w:r>
            <w:r w:rsidRPr="00FB5988">
              <w:rPr>
                <w:sz w:val="20"/>
                <w:lang w:val="fr-CA"/>
              </w:rPr>
              <w:noBreakHyphen/>
              <w:t>382</w:t>
            </w:r>
            <w:r w:rsidRPr="00FB5988">
              <w:rPr>
                <w:sz w:val="20"/>
                <w:lang w:val="fr-CA"/>
              </w:rPr>
              <w:noBreakHyphen/>
              <w:t>17 &amp; A</w:t>
            </w:r>
            <w:r w:rsidRPr="00FB5988">
              <w:rPr>
                <w:sz w:val="20"/>
                <w:lang w:val="fr-CA"/>
              </w:rPr>
              <w:noBreakHyphen/>
              <w:t>383</w:t>
            </w:r>
            <w:r w:rsidRPr="00FB5988">
              <w:rPr>
                <w:sz w:val="20"/>
                <w:lang w:val="fr-CA"/>
              </w:rPr>
              <w:noBreakHyphen/>
              <w:t>17</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rPr>
            </w:pPr>
            <w:r w:rsidRPr="00FB5988">
              <w:rPr>
                <w:sz w:val="20"/>
              </w:rPr>
              <w:t>Appeals dismissed.</w:t>
            </w:r>
          </w:p>
          <w:p w:rsidR="00A061B8" w:rsidRPr="00FB5988" w:rsidRDefault="00A061B8" w:rsidP="00164321">
            <w:pPr>
              <w:jc w:val="both"/>
              <w:rPr>
                <w:sz w:val="20"/>
              </w:rPr>
            </w:pPr>
          </w:p>
        </w:tc>
      </w:tr>
      <w:tr w:rsidR="00A061B8" w:rsidRPr="00FB5988" w:rsidTr="00164321">
        <w:tc>
          <w:tcPr>
            <w:tcW w:w="2427" w:type="pct"/>
            <w:gridSpan w:val="2"/>
          </w:tcPr>
          <w:p w:rsidR="00A061B8" w:rsidRPr="00FB5988" w:rsidRDefault="00A061B8" w:rsidP="00164321">
            <w:pPr>
              <w:jc w:val="both"/>
              <w:rPr>
                <w:sz w:val="20"/>
              </w:rPr>
            </w:pPr>
            <w:r w:rsidRPr="00FB5988">
              <w:rPr>
                <w:sz w:val="20"/>
              </w:rPr>
              <w:t>November 12, 2020</w:t>
            </w:r>
          </w:p>
          <w:p w:rsidR="00A061B8" w:rsidRPr="00FB5988" w:rsidRDefault="00A061B8" w:rsidP="00164321">
            <w:pPr>
              <w:jc w:val="both"/>
              <w:rPr>
                <w:sz w:val="20"/>
              </w:rPr>
            </w:pPr>
            <w:r w:rsidRPr="00FB5988">
              <w:rPr>
                <w:sz w:val="20"/>
              </w:rPr>
              <w:t>Supreme Court of Canada</w:t>
            </w:r>
          </w:p>
        </w:tc>
        <w:tc>
          <w:tcPr>
            <w:tcW w:w="243" w:type="pct"/>
          </w:tcPr>
          <w:p w:rsidR="00A061B8" w:rsidRPr="00FB5988" w:rsidRDefault="00A061B8" w:rsidP="00164321">
            <w:pPr>
              <w:jc w:val="both"/>
              <w:rPr>
                <w:sz w:val="20"/>
              </w:rPr>
            </w:pPr>
          </w:p>
        </w:tc>
        <w:tc>
          <w:tcPr>
            <w:tcW w:w="2330" w:type="pct"/>
          </w:tcPr>
          <w:p w:rsidR="00A061B8" w:rsidRPr="00FB5988" w:rsidRDefault="00A061B8" w:rsidP="00164321">
            <w:pPr>
              <w:jc w:val="both"/>
              <w:rPr>
                <w:sz w:val="20"/>
              </w:rPr>
            </w:pPr>
            <w:r w:rsidRPr="00FB5988">
              <w:rPr>
                <w:sz w:val="20"/>
              </w:rPr>
              <w:t>Motion to join and application for leave to appeal filed.</w:t>
            </w:r>
          </w:p>
        </w:tc>
      </w:tr>
    </w:tbl>
    <w:p w:rsidR="00A061B8" w:rsidRPr="00FB5988" w:rsidRDefault="00A061B8" w:rsidP="00A061B8">
      <w:pPr>
        <w:jc w:val="both"/>
        <w:rPr>
          <w:sz w:val="20"/>
        </w:rPr>
      </w:pPr>
    </w:p>
    <w:p w:rsidR="00A061B8" w:rsidRPr="00FB5988" w:rsidRDefault="00EB6AAD" w:rsidP="00A061B8">
      <w:pPr>
        <w:jc w:val="both"/>
        <w:rPr>
          <w:sz w:val="20"/>
        </w:rPr>
      </w:pPr>
      <w:r>
        <w:rPr>
          <w:sz w:val="20"/>
        </w:rPr>
        <w:pict>
          <v:rect id="_x0000_i1046" style="width:2in;height:1pt" o:hrpct="0" o:hralign="center" o:hrstd="t" o:hrnoshade="t" o:hr="t" fillcolor="black [3213]" stroked="f"/>
        </w:pict>
      </w:r>
    </w:p>
    <w:p w:rsidR="00A061B8" w:rsidRPr="00FB5988" w:rsidRDefault="00A061B8" w:rsidP="00A061B8">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A061B8" w:rsidRPr="00EB6AAD" w:rsidTr="00164321">
        <w:tc>
          <w:tcPr>
            <w:tcW w:w="543" w:type="pct"/>
          </w:tcPr>
          <w:p w:rsidR="00A061B8" w:rsidRPr="00FB5988" w:rsidRDefault="00A061B8" w:rsidP="00164321">
            <w:pPr>
              <w:jc w:val="both"/>
              <w:rPr>
                <w:sz w:val="20"/>
                <w:lang w:val="fr-CA"/>
              </w:rPr>
            </w:pPr>
            <w:r w:rsidRPr="00FB5988">
              <w:rPr>
                <w:rStyle w:val="SCCFileNumberChar"/>
                <w:sz w:val="20"/>
                <w:szCs w:val="20"/>
                <w:lang w:val="fr-CA"/>
              </w:rPr>
              <w:t>39396</w:t>
            </w:r>
          </w:p>
        </w:tc>
        <w:tc>
          <w:tcPr>
            <w:tcW w:w="4457" w:type="pct"/>
            <w:gridSpan w:val="3"/>
          </w:tcPr>
          <w:p w:rsidR="00A061B8" w:rsidRPr="00FB5988" w:rsidRDefault="00A061B8" w:rsidP="00164321">
            <w:pPr>
              <w:pStyle w:val="SCCLsocParty"/>
              <w:jc w:val="both"/>
              <w:rPr>
                <w:b/>
                <w:sz w:val="20"/>
                <w:szCs w:val="20"/>
              </w:rPr>
            </w:pPr>
            <w:r w:rsidRPr="00FB5988">
              <w:rPr>
                <w:b/>
                <w:sz w:val="20"/>
                <w:szCs w:val="20"/>
              </w:rPr>
              <w:t>3510395 Canada Inc. c. Procureur général du Canada</w:t>
            </w:r>
          </w:p>
          <w:p w:rsidR="00A061B8" w:rsidRPr="00FB5988" w:rsidRDefault="00A061B8" w:rsidP="00164321">
            <w:pPr>
              <w:jc w:val="both"/>
              <w:rPr>
                <w:sz w:val="20"/>
                <w:lang w:val="fr-CA"/>
              </w:rPr>
            </w:pPr>
            <w:r w:rsidRPr="00FB5988">
              <w:rPr>
                <w:sz w:val="20"/>
                <w:lang w:val="fr-CA"/>
              </w:rPr>
              <w:t>(C.F.) (Civile) (Sur autorisation)</w:t>
            </w:r>
          </w:p>
        </w:tc>
      </w:tr>
      <w:tr w:rsidR="00A061B8" w:rsidRPr="00EB6AAD" w:rsidTr="00164321">
        <w:tc>
          <w:tcPr>
            <w:tcW w:w="5000" w:type="pct"/>
            <w:gridSpan w:val="4"/>
          </w:tcPr>
          <w:p w:rsidR="00A061B8" w:rsidRPr="00FB5988" w:rsidRDefault="006E184E" w:rsidP="00164321">
            <w:pPr>
              <w:jc w:val="both"/>
              <w:rPr>
                <w:sz w:val="20"/>
                <w:szCs w:val="20"/>
                <w:lang w:val="fr-CA"/>
              </w:rPr>
            </w:pPr>
            <w:r w:rsidRPr="00FB5988">
              <w:rPr>
                <w:sz w:val="20"/>
                <w:szCs w:val="20"/>
                <w:lang w:val="fr-CA"/>
              </w:rPr>
              <w:t>La requête pour joindre deux dossiers de la Cour d’appel fédérale dans une seule demande d’autorisation d’appel est accueillie. La demande d’autorisation d’appel des arrêts de la Cour d’appel fédérale, numéros A-382-17 et A-383-17, 2020 CAF 103, daté du 5 juin 2020, est rejetée avec dépens.</w:t>
            </w:r>
          </w:p>
          <w:p w:rsidR="006E184E" w:rsidRPr="00FB5988" w:rsidRDefault="006E184E" w:rsidP="00164321">
            <w:pPr>
              <w:jc w:val="both"/>
              <w:rPr>
                <w:sz w:val="20"/>
                <w:lang w:val="fr-CA"/>
              </w:rPr>
            </w:pPr>
          </w:p>
        </w:tc>
      </w:tr>
      <w:tr w:rsidR="00A061B8" w:rsidRPr="00EB6AAD" w:rsidTr="00164321">
        <w:tc>
          <w:tcPr>
            <w:tcW w:w="5000" w:type="pct"/>
            <w:gridSpan w:val="4"/>
          </w:tcPr>
          <w:p w:rsidR="00A061B8" w:rsidRPr="00FB5988" w:rsidRDefault="00A061B8" w:rsidP="00164321">
            <w:pPr>
              <w:jc w:val="both"/>
              <w:rPr>
                <w:sz w:val="20"/>
                <w:lang w:val="fr-CA"/>
              </w:rPr>
            </w:pPr>
            <w:r w:rsidRPr="00FB5988">
              <w:rPr>
                <w:sz w:val="20"/>
                <w:lang w:val="fr-CA"/>
              </w:rPr>
              <w:t xml:space="preserve">Droit constitutionnel — Partage des compétences — Pouvoir général du parlement en matière de trafic et de commerce — </w:t>
            </w:r>
            <w:r w:rsidRPr="00FB5988">
              <w:rPr>
                <w:i/>
                <w:sz w:val="20"/>
                <w:lang w:val="fr-CA"/>
              </w:rPr>
              <w:t>Charte des droits et libertés</w:t>
            </w:r>
            <w:r w:rsidRPr="00FB5988">
              <w:rPr>
                <w:sz w:val="20"/>
                <w:lang w:val="fr-CA"/>
              </w:rPr>
              <w:t xml:space="preserve"> — Liberté d’expression — Le CRTC et la Cour d’appel fédérale ont conclu que la loi anti</w:t>
            </w:r>
            <w:r w:rsidRPr="00FB5988">
              <w:rPr>
                <w:sz w:val="20"/>
                <w:lang w:val="fr-CA"/>
              </w:rPr>
              <w:noBreakHyphen/>
              <w:t xml:space="preserve">pourriel est </w:t>
            </w:r>
            <w:r w:rsidRPr="00FB5988">
              <w:rPr>
                <w:i/>
                <w:sz w:val="20"/>
                <w:lang w:val="fr-CA"/>
              </w:rPr>
              <w:t xml:space="preserve">intra vires </w:t>
            </w:r>
            <w:r w:rsidRPr="00FB5988">
              <w:rPr>
                <w:sz w:val="20"/>
                <w:lang w:val="fr-CA"/>
              </w:rPr>
              <w:t>de</w:t>
            </w:r>
            <w:r w:rsidRPr="00FB5988">
              <w:rPr>
                <w:i/>
                <w:sz w:val="20"/>
                <w:lang w:val="fr-CA"/>
              </w:rPr>
              <w:t xml:space="preserve"> </w:t>
            </w:r>
            <w:r w:rsidRPr="00FB5988">
              <w:rPr>
                <w:sz w:val="20"/>
                <w:lang w:val="fr-CA"/>
              </w:rPr>
              <w:t>la compétence du parlement et constitutionnelle — L’omniprésence du commerce en ligne constitue</w:t>
            </w:r>
            <w:r w:rsidRPr="00FB5988">
              <w:rPr>
                <w:sz w:val="20"/>
                <w:lang w:val="fr-CA"/>
              </w:rPr>
              <w:noBreakHyphen/>
              <w:t>t</w:t>
            </w:r>
            <w:r w:rsidRPr="00FB5988">
              <w:rPr>
                <w:sz w:val="20"/>
                <w:lang w:val="fr-CA"/>
              </w:rPr>
              <w:noBreakHyphen/>
              <w:t xml:space="preserve">elle une « évolution significative ayant une incidence sur le plan constitutionnel » telle que la réglementation de tous les messages électroniques commerciaux tombe sous le coup du pouvoir général du parlement en matière de trafic et de commerce prévu au </w:t>
            </w:r>
            <w:proofErr w:type="spellStart"/>
            <w:r w:rsidRPr="00FB5988">
              <w:rPr>
                <w:sz w:val="20"/>
                <w:lang w:val="fr-CA"/>
              </w:rPr>
              <w:t>par</w:t>
            </w:r>
            <w:proofErr w:type="spellEnd"/>
            <w:r w:rsidRPr="00FB5988">
              <w:rPr>
                <w:sz w:val="20"/>
                <w:lang w:val="fr-CA"/>
              </w:rPr>
              <w:t xml:space="preserve">. 91(2) de la </w:t>
            </w:r>
            <w:r w:rsidRPr="00FB5988">
              <w:rPr>
                <w:i/>
                <w:sz w:val="20"/>
                <w:lang w:val="fr-CA"/>
              </w:rPr>
              <w:t>Loi constitutionnelle de 1867</w:t>
            </w:r>
            <w:r w:rsidRPr="00FB5988">
              <w:rPr>
                <w:sz w:val="20"/>
                <w:lang w:val="fr-CA"/>
              </w:rPr>
              <w:t>? — Qu’est</w:t>
            </w:r>
            <w:r w:rsidRPr="00FB5988">
              <w:rPr>
                <w:sz w:val="20"/>
                <w:lang w:val="fr-CA"/>
              </w:rPr>
              <w:noBreakHyphen/>
              <w:t>ce qui fait en sorte que le discours internet soit « commercial » aux fins de la liberté d’expression protégée par l’al. 2</w:t>
            </w:r>
            <w:r w:rsidRPr="00FB5988">
              <w:rPr>
                <w:i/>
                <w:sz w:val="20"/>
                <w:lang w:val="fr-CA"/>
              </w:rPr>
              <w:t>b</w:t>
            </w:r>
            <w:r w:rsidRPr="00FB5988">
              <w:rPr>
                <w:sz w:val="20"/>
                <w:lang w:val="fr-CA"/>
              </w:rPr>
              <w:t xml:space="preserve">) de la </w:t>
            </w:r>
            <w:r w:rsidRPr="00FB5988">
              <w:rPr>
                <w:i/>
                <w:sz w:val="20"/>
                <w:lang w:val="fr-CA"/>
              </w:rPr>
              <w:t>Charte?</w:t>
            </w:r>
            <w:r w:rsidRPr="00FB5988">
              <w:rPr>
                <w:sz w:val="20"/>
                <w:lang w:val="fr-CA"/>
              </w:rPr>
              <w:t xml:space="preserve"> — S’il s’avère que les dispositions portant sur les messages électroniques commerciaux de la loi anti</w:t>
            </w:r>
            <w:r w:rsidRPr="00FB5988">
              <w:rPr>
                <w:sz w:val="20"/>
                <w:lang w:val="fr-CA"/>
              </w:rPr>
              <w:noBreakHyphen/>
              <w:t>pourriel sont valides sur le plan constitutionnel, quelle portée convient</w:t>
            </w:r>
            <w:r w:rsidRPr="00FB5988">
              <w:rPr>
                <w:sz w:val="20"/>
                <w:lang w:val="fr-CA"/>
              </w:rPr>
              <w:noBreakHyphen/>
              <w:t>il de donner aux exceptions à l’interdiction d’envoyer des messages électroniques commerciaux sans consentement préalable prévues par cette loi?</w:t>
            </w:r>
          </w:p>
        </w:tc>
      </w:tr>
      <w:tr w:rsidR="00A061B8" w:rsidRPr="00EB6AAD" w:rsidTr="00164321">
        <w:tc>
          <w:tcPr>
            <w:tcW w:w="5000" w:type="pct"/>
            <w:gridSpan w:val="4"/>
          </w:tcPr>
          <w:p w:rsidR="00A061B8" w:rsidRPr="00FB5988" w:rsidRDefault="00A061B8" w:rsidP="00164321">
            <w:pPr>
              <w:jc w:val="both"/>
              <w:rPr>
                <w:sz w:val="20"/>
                <w:lang w:val="fr-CA"/>
              </w:rPr>
            </w:pPr>
          </w:p>
        </w:tc>
      </w:tr>
      <w:tr w:rsidR="00A061B8" w:rsidRPr="00FB5988" w:rsidTr="00164321">
        <w:tc>
          <w:tcPr>
            <w:tcW w:w="5000" w:type="pct"/>
            <w:gridSpan w:val="4"/>
          </w:tcPr>
          <w:p w:rsidR="00A061B8" w:rsidRPr="00FB5988" w:rsidRDefault="00A061B8" w:rsidP="00164321">
            <w:pPr>
              <w:jc w:val="both"/>
              <w:rPr>
                <w:sz w:val="20"/>
                <w:lang w:val="fr-FR"/>
              </w:rPr>
            </w:pPr>
            <w:r w:rsidRPr="00FB5988">
              <w:rPr>
                <w:sz w:val="20"/>
                <w:lang w:val="fr-CA"/>
              </w:rPr>
              <w:t>La Loi canadienne anti</w:t>
            </w:r>
            <w:r w:rsidRPr="00FB5988">
              <w:rPr>
                <w:sz w:val="20"/>
                <w:lang w:val="fr-CA"/>
              </w:rPr>
              <w:noBreakHyphen/>
              <w:t xml:space="preserve">pourriel est entrée en vigueur en 2014 : </w:t>
            </w:r>
            <w:r w:rsidRPr="00FB5988">
              <w:rPr>
                <w:i/>
                <w:sz w:val="20"/>
                <w:lang w:val="fr-FR"/>
              </w:rPr>
              <w:t>Loi visant à promouvoir l’efficacité et la capacité d’adaptation de l’économie canadienne par la réglementation de certaines pratiques qui découragent l’exercice des activités commerciales par voie électronique et modifiant la Loi sur le Conseil de la radiodiffusion et des télécommunications canadiennes, la Loi sur la concurrence, la Loi sur la protection des renseignements personnels et les documents électroniques et la Loi sur les télécommunications</w:t>
            </w:r>
            <w:r w:rsidRPr="00FB5988">
              <w:rPr>
                <w:sz w:val="20"/>
                <w:lang w:val="fr-CA"/>
              </w:rPr>
              <w:t xml:space="preserve">, L.C. 2010, ch. 23 (la Loi). Elle prévoit la réglementation de certaines formes de pratiques commerciales relatives au commerce électronique, tout particulièrement, l’envoi de </w:t>
            </w:r>
            <w:r w:rsidRPr="00FB5988">
              <w:rPr>
                <w:sz w:val="20"/>
                <w:lang w:val="fr-FR"/>
              </w:rPr>
              <w:t>messages électroniques commerciaux (MEC)</w:t>
            </w:r>
            <w:r w:rsidRPr="00FB5988">
              <w:rPr>
                <w:sz w:val="20"/>
                <w:lang w:val="fr-CA"/>
              </w:rPr>
              <w:t xml:space="preserve">. </w:t>
            </w:r>
          </w:p>
          <w:p w:rsidR="00A061B8" w:rsidRPr="00FB5988" w:rsidRDefault="00A061B8" w:rsidP="00164321">
            <w:pPr>
              <w:jc w:val="both"/>
              <w:rPr>
                <w:sz w:val="20"/>
                <w:lang w:val="fr-CA"/>
              </w:rPr>
            </w:pPr>
          </w:p>
          <w:p w:rsidR="00A061B8" w:rsidRPr="00FB5988" w:rsidRDefault="00A061B8" w:rsidP="00164321">
            <w:pPr>
              <w:jc w:val="both"/>
              <w:rPr>
                <w:sz w:val="20"/>
                <w:lang w:val="fr-CA"/>
              </w:rPr>
            </w:pPr>
            <w:r w:rsidRPr="00FB5988">
              <w:rPr>
                <w:sz w:val="20"/>
                <w:lang w:val="fr-CA"/>
              </w:rPr>
              <w:t>La demanderesse, 3510395 Canada Inc.,</w:t>
            </w:r>
            <w:r w:rsidRPr="00FB5988">
              <w:rPr>
                <w:sz w:val="20"/>
                <w:lang w:val="fr-FR"/>
              </w:rPr>
              <w:t xml:space="preserve"> s’est vu signifier un procès-verbal de violation (PVV) en vertu de la Loi, dans lequel il était </w:t>
            </w:r>
            <w:r w:rsidRPr="00FB5988">
              <w:rPr>
                <w:sz w:val="20"/>
                <w:lang w:val="fr-CA"/>
              </w:rPr>
              <w:t xml:space="preserve">allégué qu’elle n’avait pas obtenu le consentement des destinataires avant de leur transmettre les MEC en question. Aux termes du </w:t>
            </w:r>
            <w:r w:rsidRPr="00FB5988">
              <w:rPr>
                <w:sz w:val="20"/>
                <w:lang w:val="fr-FR"/>
              </w:rPr>
              <w:t>PVV, il était également allégué que certains des MEC ne comportaient pas de mécanisme d’exclusion sous la forme d’un lien fonctionnel</w:t>
            </w:r>
            <w:r w:rsidRPr="00FB5988">
              <w:rPr>
                <w:sz w:val="20"/>
                <w:lang w:val="fr-CA"/>
              </w:rPr>
              <w:t>. Le PVV prévoyait une</w:t>
            </w:r>
            <w:r w:rsidRPr="00FB5988">
              <w:rPr>
                <w:sz w:val="20"/>
                <w:lang w:val="fr-FR"/>
              </w:rPr>
              <w:t xml:space="preserve"> sanction administrative pécuniaire de</w:t>
            </w:r>
            <w:r w:rsidRPr="00FB5988">
              <w:rPr>
                <w:sz w:val="20"/>
                <w:lang w:val="fr-CA"/>
              </w:rPr>
              <w:t xml:space="preserve"> 1 100 000 $.</w:t>
            </w:r>
          </w:p>
          <w:p w:rsidR="00A061B8" w:rsidRPr="00FB5988" w:rsidRDefault="00A061B8" w:rsidP="00164321">
            <w:pPr>
              <w:jc w:val="both"/>
              <w:rPr>
                <w:sz w:val="20"/>
                <w:lang w:val="fr-CA"/>
              </w:rPr>
            </w:pPr>
          </w:p>
          <w:p w:rsidR="00A061B8" w:rsidRPr="00FB5988" w:rsidRDefault="00A061B8" w:rsidP="00164321">
            <w:pPr>
              <w:jc w:val="both"/>
              <w:rPr>
                <w:sz w:val="20"/>
                <w:lang w:val="fr-CA"/>
              </w:rPr>
            </w:pPr>
            <w:r w:rsidRPr="00FB5988">
              <w:rPr>
                <w:sz w:val="20"/>
                <w:lang w:val="fr-FR"/>
              </w:rPr>
              <w:t>Le Conseil de la radiodiffusion et des télécommunications canadiennes (CRTC) a rendu deux décisions connexes de conformité et enquêtes et en matière constitutionnelle.</w:t>
            </w:r>
            <w:r w:rsidRPr="00FB5988">
              <w:rPr>
                <w:sz w:val="20"/>
                <w:lang w:val="fr-CA"/>
              </w:rPr>
              <w:t xml:space="preserve"> Le CRTC a conclu que la Loi était </w:t>
            </w:r>
            <w:r w:rsidRPr="00FB5988">
              <w:rPr>
                <w:i/>
                <w:sz w:val="20"/>
                <w:lang w:val="fr-CA"/>
              </w:rPr>
              <w:t xml:space="preserve">intra vires </w:t>
            </w:r>
            <w:r w:rsidRPr="00FB5988">
              <w:rPr>
                <w:sz w:val="20"/>
                <w:lang w:val="fr-CA"/>
              </w:rPr>
              <w:t xml:space="preserve">de la compétence du parlement en matière de trafic et de commerce prévu au </w:t>
            </w:r>
            <w:proofErr w:type="spellStart"/>
            <w:r w:rsidRPr="00FB5988">
              <w:rPr>
                <w:sz w:val="20"/>
                <w:lang w:val="fr-CA"/>
              </w:rPr>
              <w:t>par</w:t>
            </w:r>
            <w:proofErr w:type="spellEnd"/>
            <w:r w:rsidRPr="00FB5988">
              <w:rPr>
                <w:sz w:val="20"/>
                <w:lang w:val="fr-CA"/>
              </w:rPr>
              <w:t xml:space="preserve">. 91(2) de la </w:t>
            </w:r>
            <w:r w:rsidRPr="00FB5988">
              <w:rPr>
                <w:i/>
                <w:sz w:val="20"/>
                <w:lang w:val="fr-CA"/>
              </w:rPr>
              <w:t>Loi constitutionnelle de 1867,</w:t>
            </w:r>
            <w:r w:rsidRPr="00FB5988">
              <w:rPr>
                <w:sz w:val="20"/>
                <w:lang w:val="fr-CA"/>
              </w:rPr>
              <w:t xml:space="preserve"> et que l'atteinte par la Loi à la liberté d’expression, en vertu de l’al. 2</w:t>
            </w:r>
            <w:r w:rsidRPr="00FB5988">
              <w:rPr>
                <w:i/>
                <w:sz w:val="20"/>
                <w:lang w:val="fr-CA"/>
              </w:rPr>
              <w:t>b</w:t>
            </w:r>
            <w:r w:rsidRPr="00FB5988">
              <w:rPr>
                <w:sz w:val="20"/>
                <w:lang w:val="fr-CA"/>
              </w:rPr>
              <w:t xml:space="preserve">) de la </w:t>
            </w:r>
            <w:r w:rsidRPr="00FB5988">
              <w:rPr>
                <w:i/>
                <w:sz w:val="20"/>
                <w:lang w:val="fr-CA"/>
              </w:rPr>
              <w:t>Charte canadienne des droits et libertés,</w:t>
            </w:r>
            <w:r w:rsidRPr="00FB5988">
              <w:rPr>
                <w:sz w:val="20"/>
                <w:lang w:val="fr-CA"/>
              </w:rPr>
              <w:t xml:space="preserve"> était justifiée au regard de l’article premier. Le CRTC a en outre rejeté les demandes en vertu </w:t>
            </w:r>
            <w:proofErr w:type="gramStart"/>
            <w:r w:rsidRPr="00FB5988">
              <w:rPr>
                <w:sz w:val="20"/>
                <w:lang w:val="fr-CA"/>
              </w:rPr>
              <w:t>des art</w:t>
            </w:r>
            <w:proofErr w:type="gramEnd"/>
            <w:r w:rsidRPr="00FB5988">
              <w:rPr>
                <w:sz w:val="20"/>
                <w:lang w:val="fr-CA"/>
              </w:rPr>
              <w:t xml:space="preserve">. 7, 8 et 11 de la </w:t>
            </w:r>
            <w:r w:rsidRPr="00FB5988">
              <w:rPr>
                <w:i/>
                <w:sz w:val="20"/>
                <w:lang w:val="fr-CA"/>
              </w:rPr>
              <w:t>Charte</w:t>
            </w:r>
            <w:r w:rsidRPr="00FB5988">
              <w:rPr>
                <w:sz w:val="20"/>
                <w:lang w:val="fr-CA"/>
              </w:rPr>
              <w:t xml:space="preserve">. Dans la deuxième décision, le CRTC a conclu que la société demanderesse avait commis quatre violations de la Loi et lui a imposé une sanction de 200 000 $. </w:t>
            </w:r>
          </w:p>
          <w:p w:rsidR="00A061B8" w:rsidRPr="00FB5988" w:rsidRDefault="00A061B8" w:rsidP="00164321">
            <w:pPr>
              <w:jc w:val="both"/>
              <w:rPr>
                <w:sz w:val="20"/>
                <w:lang w:val="fr-CA"/>
              </w:rPr>
            </w:pPr>
          </w:p>
          <w:p w:rsidR="00A061B8" w:rsidRPr="00FB5988" w:rsidRDefault="00A061B8" w:rsidP="00164321">
            <w:pPr>
              <w:jc w:val="both"/>
              <w:rPr>
                <w:sz w:val="20"/>
                <w:lang w:val="fr-CA"/>
              </w:rPr>
            </w:pPr>
            <w:r w:rsidRPr="00FB5988">
              <w:rPr>
                <w:sz w:val="20"/>
                <w:lang w:val="fr-CA"/>
              </w:rPr>
              <w:t>La société demanderesse a porté les décisions du CRTC en appel devant la Cour d’appel fédérale. Les deux appels ont été rejetés.</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lastRenderedPageBreak/>
              <w:t>19 octobre 2017</w:t>
            </w:r>
          </w:p>
          <w:p w:rsidR="00A061B8" w:rsidRPr="00FB5988" w:rsidRDefault="00A061B8" w:rsidP="00164321">
            <w:pPr>
              <w:jc w:val="both"/>
              <w:rPr>
                <w:sz w:val="20"/>
                <w:lang w:val="fr-CA"/>
              </w:rPr>
            </w:pPr>
            <w:r w:rsidRPr="00FB5988">
              <w:rPr>
                <w:sz w:val="20"/>
                <w:lang w:val="fr-FR"/>
              </w:rPr>
              <w:t>Conseil de la radiodiffusion et des télécommunications canadiennes</w:t>
            </w:r>
          </w:p>
          <w:p w:rsidR="00A061B8" w:rsidRPr="00FB5988" w:rsidRDefault="00A061B8" w:rsidP="00164321">
            <w:pPr>
              <w:jc w:val="both"/>
              <w:rPr>
                <w:sz w:val="20"/>
                <w:lang w:val="fr-CA"/>
              </w:rPr>
            </w:pPr>
            <w:r w:rsidRPr="00FB5988">
              <w:rPr>
                <w:sz w:val="20"/>
                <w:lang w:val="fr-CA"/>
              </w:rPr>
              <w:t>Décision de Conformité et Enquêtes CRTC 2017</w:t>
            </w:r>
            <w:r w:rsidRPr="00FB5988">
              <w:rPr>
                <w:sz w:val="20"/>
                <w:lang w:val="fr-CA"/>
              </w:rPr>
              <w:noBreakHyphen/>
              <w:t>367 (la décision en matière constitutionnelle)</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 xml:space="preserve">Les contestations constitutionnelles soulevées par CompuFinder sont rejetées, ainsi que sa demande de réparation.  </w:t>
            </w: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19 octobre 2017</w:t>
            </w:r>
          </w:p>
          <w:p w:rsidR="00A061B8" w:rsidRPr="00FB5988" w:rsidRDefault="00A061B8" w:rsidP="00164321">
            <w:pPr>
              <w:jc w:val="both"/>
              <w:rPr>
                <w:sz w:val="20"/>
                <w:lang w:val="fr-CA"/>
              </w:rPr>
            </w:pPr>
            <w:r w:rsidRPr="00FB5988">
              <w:rPr>
                <w:sz w:val="20"/>
                <w:lang w:val="fr-FR"/>
              </w:rPr>
              <w:t>Conseil de la radiodiffusion et des télécommunications canadiennes</w:t>
            </w:r>
          </w:p>
          <w:p w:rsidR="00A061B8" w:rsidRPr="00FB5988" w:rsidRDefault="00A061B8" w:rsidP="00164321">
            <w:pPr>
              <w:jc w:val="both"/>
              <w:rPr>
                <w:sz w:val="20"/>
                <w:lang w:val="fr-CA"/>
              </w:rPr>
            </w:pPr>
            <w:r w:rsidRPr="00FB5988">
              <w:rPr>
                <w:sz w:val="20"/>
                <w:lang w:val="fr-CA"/>
              </w:rPr>
              <w:t>Décision de Conformité et Enquêtes CRTC 2017</w:t>
            </w:r>
            <w:r w:rsidRPr="00FB5988">
              <w:rPr>
                <w:sz w:val="20"/>
                <w:lang w:val="fr-CA"/>
              </w:rPr>
              <w:noBreakHyphen/>
              <w:t xml:space="preserve">368 (la décision à l’égard du </w:t>
            </w:r>
            <w:r w:rsidRPr="00FB5988">
              <w:rPr>
                <w:sz w:val="20"/>
                <w:lang w:val="fr-FR"/>
              </w:rPr>
              <w:t>procès</w:t>
            </w:r>
            <w:r w:rsidRPr="00FB5988">
              <w:rPr>
                <w:sz w:val="20"/>
                <w:lang w:val="fr-FR"/>
              </w:rPr>
              <w:noBreakHyphen/>
              <w:t>verbal de violation</w:t>
            </w:r>
            <w:r w:rsidRPr="00FB5988">
              <w:rPr>
                <w:sz w:val="20"/>
                <w:lang w:val="fr-CA"/>
              </w:rPr>
              <w:t>)</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 xml:space="preserve">CompuFinder est tenu responsable d’avoir commis quatre violations et se voit imposer une sanction d’une valeur totale de 200 000 $.  </w:t>
            </w:r>
          </w:p>
        </w:tc>
      </w:tr>
      <w:tr w:rsidR="00A061B8" w:rsidRPr="00FB5988" w:rsidTr="00164321">
        <w:tc>
          <w:tcPr>
            <w:tcW w:w="2427" w:type="pct"/>
            <w:gridSpan w:val="2"/>
          </w:tcPr>
          <w:p w:rsidR="00A061B8" w:rsidRPr="00FB5988" w:rsidRDefault="00A061B8" w:rsidP="00164321">
            <w:pPr>
              <w:jc w:val="both"/>
              <w:rPr>
                <w:sz w:val="20"/>
                <w:lang w:val="fr-CA"/>
              </w:rPr>
            </w:pPr>
            <w:r w:rsidRPr="00FB5988">
              <w:rPr>
                <w:sz w:val="20"/>
                <w:lang w:val="fr-CA"/>
              </w:rPr>
              <w:t>5 juin 2020</w:t>
            </w:r>
          </w:p>
          <w:p w:rsidR="00A061B8" w:rsidRPr="00FB5988" w:rsidRDefault="00A061B8" w:rsidP="00164321">
            <w:pPr>
              <w:jc w:val="both"/>
              <w:rPr>
                <w:sz w:val="20"/>
                <w:lang w:val="fr-CA"/>
              </w:rPr>
            </w:pPr>
            <w:r w:rsidRPr="00FB5988">
              <w:rPr>
                <w:sz w:val="20"/>
                <w:lang w:val="fr-CA"/>
              </w:rPr>
              <w:t>Cour d’appel fédérale</w:t>
            </w:r>
          </w:p>
          <w:p w:rsidR="00A061B8" w:rsidRPr="00FB5988" w:rsidRDefault="00A061B8" w:rsidP="00164321">
            <w:pPr>
              <w:jc w:val="both"/>
              <w:rPr>
                <w:sz w:val="20"/>
                <w:lang w:val="fr-CA"/>
              </w:rPr>
            </w:pPr>
            <w:r w:rsidRPr="00FB5988">
              <w:rPr>
                <w:sz w:val="20"/>
                <w:lang w:val="fr-CA"/>
              </w:rPr>
              <w:t>(Juges Nadon, Webb et Woods)</w:t>
            </w:r>
          </w:p>
          <w:p w:rsidR="00A061B8" w:rsidRPr="00FB5988" w:rsidRDefault="00EB6AAD" w:rsidP="00164321">
            <w:pPr>
              <w:jc w:val="both"/>
              <w:rPr>
                <w:sz w:val="20"/>
                <w:lang w:val="fr-CA"/>
              </w:rPr>
            </w:pPr>
            <w:hyperlink r:id="rId42" w:history="1">
              <w:r w:rsidR="00A061B8" w:rsidRPr="00FB5988">
                <w:rPr>
                  <w:rStyle w:val="Hyperlink"/>
                  <w:sz w:val="20"/>
                  <w:lang w:val="fr-CA"/>
                </w:rPr>
                <w:t>2020 CAF 103</w:t>
              </w:r>
            </w:hyperlink>
          </w:p>
          <w:p w:rsidR="00A061B8" w:rsidRPr="00FB5988" w:rsidRDefault="00A061B8" w:rsidP="00164321">
            <w:pPr>
              <w:jc w:val="both"/>
              <w:rPr>
                <w:sz w:val="20"/>
                <w:lang w:val="fr-CA"/>
              </w:rPr>
            </w:pPr>
            <w:r w:rsidRPr="00FB5988">
              <w:rPr>
                <w:sz w:val="20"/>
                <w:lang w:val="fr-CA"/>
              </w:rPr>
              <w:t>N</w:t>
            </w:r>
            <w:r w:rsidRPr="00FB5988">
              <w:rPr>
                <w:sz w:val="20"/>
                <w:vertAlign w:val="superscript"/>
                <w:lang w:val="fr-CA"/>
              </w:rPr>
              <w:t>o</w:t>
            </w:r>
            <w:r w:rsidRPr="00FB5988">
              <w:rPr>
                <w:sz w:val="20"/>
                <w:lang w:val="fr-CA"/>
              </w:rPr>
              <w:t xml:space="preserve"> de dossier : A</w:t>
            </w:r>
            <w:r w:rsidRPr="00FB5988">
              <w:rPr>
                <w:sz w:val="20"/>
                <w:lang w:val="fr-CA"/>
              </w:rPr>
              <w:noBreakHyphen/>
              <w:t>382</w:t>
            </w:r>
            <w:r w:rsidRPr="00FB5988">
              <w:rPr>
                <w:sz w:val="20"/>
                <w:lang w:val="fr-CA"/>
              </w:rPr>
              <w:noBreakHyphen/>
              <w:t>17 et A</w:t>
            </w:r>
            <w:r w:rsidRPr="00FB5988">
              <w:rPr>
                <w:sz w:val="20"/>
                <w:lang w:val="fr-CA"/>
              </w:rPr>
              <w:noBreakHyphen/>
              <w:t>383</w:t>
            </w:r>
            <w:r w:rsidRPr="00FB5988">
              <w:rPr>
                <w:sz w:val="20"/>
                <w:lang w:val="fr-CA"/>
              </w:rPr>
              <w:noBreakHyphen/>
              <w:t>17</w:t>
            </w:r>
          </w:p>
          <w:p w:rsidR="00A061B8" w:rsidRPr="00FB5988" w:rsidRDefault="00A061B8" w:rsidP="00164321">
            <w:pPr>
              <w:jc w:val="both"/>
              <w:rPr>
                <w:sz w:val="20"/>
                <w:lang w:val="fr-CA"/>
              </w:rPr>
            </w:pP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Les appels sont rejetés.</w:t>
            </w:r>
          </w:p>
          <w:p w:rsidR="00A061B8" w:rsidRPr="00FB5988" w:rsidRDefault="00A061B8" w:rsidP="00164321">
            <w:pPr>
              <w:jc w:val="both"/>
              <w:rPr>
                <w:sz w:val="20"/>
                <w:lang w:val="fr-CA"/>
              </w:rPr>
            </w:pPr>
          </w:p>
        </w:tc>
      </w:tr>
      <w:tr w:rsidR="00A061B8" w:rsidRPr="00EB6AAD" w:rsidTr="00164321">
        <w:tc>
          <w:tcPr>
            <w:tcW w:w="2427" w:type="pct"/>
            <w:gridSpan w:val="2"/>
          </w:tcPr>
          <w:p w:rsidR="00A061B8" w:rsidRPr="00FB5988" w:rsidRDefault="00A061B8" w:rsidP="00164321">
            <w:pPr>
              <w:jc w:val="both"/>
              <w:rPr>
                <w:sz w:val="20"/>
                <w:lang w:val="fr-CA"/>
              </w:rPr>
            </w:pPr>
            <w:r w:rsidRPr="00FB5988">
              <w:rPr>
                <w:sz w:val="20"/>
                <w:lang w:val="fr-CA"/>
              </w:rPr>
              <w:t>12 novembre 2020</w:t>
            </w:r>
          </w:p>
          <w:p w:rsidR="00A061B8" w:rsidRPr="00FB5988" w:rsidRDefault="00A061B8" w:rsidP="00164321">
            <w:pPr>
              <w:jc w:val="both"/>
              <w:rPr>
                <w:sz w:val="20"/>
                <w:lang w:val="fr-CA"/>
              </w:rPr>
            </w:pPr>
            <w:r w:rsidRPr="00FB5988">
              <w:rPr>
                <w:sz w:val="20"/>
                <w:lang w:val="fr-CA"/>
              </w:rPr>
              <w:t>Cour suprême du Canada</w:t>
            </w:r>
          </w:p>
        </w:tc>
        <w:tc>
          <w:tcPr>
            <w:tcW w:w="243" w:type="pct"/>
          </w:tcPr>
          <w:p w:rsidR="00A061B8" w:rsidRPr="00FB5988" w:rsidRDefault="00A061B8" w:rsidP="00164321">
            <w:pPr>
              <w:jc w:val="both"/>
              <w:rPr>
                <w:sz w:val="20"/>
                <w:lang w:val="fr-CA"/>
              </w:rPr>
            </w:pPr>
          </w:p>
        </w:tc>
        <w:tc>
          <w:tcPr>
            <w:tcW w:w="2330" w:type="pct"/>
          </w:tcPr>
          <w:p w:rsidR="00A061B8" w:rsidRPr="00FB5988" w:rsidRDefault="00A061B8" w:rsidP="00164321">
            <w:pPr>
              <w:jc w:val="both"/>
              <w:rPr>
                <w:sz w:val="20"/>
                <w:lang w:val="fr-CA"/>
              </w:rPr>
            </w:pPr>
            <w:r w:rsidRPr="00FB5988">
              <w:rPr>
                <w:sz w:val="20"/>
                <w:lang w:val="fr-CA"/>
              </w:rPr>
              <w:t>La requête en réunion des demandes et la demande d’autorisation d’appel sont présentées.</w:t>
            </w:r>
          </w:p>
        </w:tc>
      </w:tr>
    </w:tbl>
    <w:p w:rsidR="004B2E86" w:rsidRPr="00FB5988" w:rsidRDefault="004B2E86" w:rsidP="004B2E86">
      <w:pPr>
        <w:jc w:val="both"/>
        <w:rPr>
          <w:sz w:val="20"/>
          <w:szCs w:val="20"/>
          <w:lang w:val="fr-CA"/>
        </w:rPr>
      </w:pPr>
    </w:p>
    <w:p w:rsidR="00102792" w:rsidRPr="00FB5988" w:rsidRDefault="00EB6AAD" w:rsidP="004B2E86">
      <w:pPr>
        <w:jc w:val="both"/>
        <w:rPr>
          <w:sz w:val="20"/>
          <w:szCs w:val="20"/>
          <w:lang w:val="fr-CA"/>
        </w:rPr>
      </w:pPr>
      <w:r>
        <w:rPr>
          <w:sz w:val="20"/>
          <w:szCs w:val="20"/>
        </w:rPr>
        <w:pict>
          <v:rect id="_x0000_i1047" style="width:2in;height:1pt" o:hrpct="0" o:hralign="center" o:hrstd="t" o:hrnoshade="t" o:hr="t" fillcolor="black" stroked="f"/>
        </w:pict>
      </w:r>
    </w:p>
    <w:p w:rsidR="00E06F20" w:rsidRPr="00FB5988" w:rsidRDefault="00E06F20" w:rsidP="00102792">
      <w:pPr>
        <w:jc w:val="both"/>
        <w:rPr>
          <w:sz w:val="20"/>
          <w:lang w:val="fr-CA"/>
        </w:rPr>
      </w:pPr>
    </w:p>
    <w:p w:rsidR="00FB5988" w:rsidRPr="00FB5988" w:rsidRDefault="00FB5988" w:rsidP="00102792">
      <w:pPr>
        <w:jc w:val="both"/>
        <w:rPr>
          <w:sz w:val="20"/>
          <w:lang w:val="fr-CA"/>
        </w:rPr>
      </w:pPr>
    </w:p>
    <w:p w:rsidR="00FB5988" w:rsidRPr="00FB5988" w:rsidRDefault="00FB5988" w:rsidP="00FB5988">
      <w:pPr>
        <w:jc w:val="both"/>
        <w:rPr>
          <w:sz w:val="20"/>
          <w:szCs w:val="20"/>
        </w:rPr>
      </w:pPr>
    </w:p>
    <w:p w:rsidR="00FB5988" w:rsidRPr="00FB5988" w:rsidRDefault="00FB5988" w:rsidP="00FB5988">
      <w:pPr>
        <w:spacing w:line="0" w:lineRule="atLeast"/>
        <w:rPr>
          <w:sz w:val="20"/>
          <w:szCs w:val="20"/>
          <w:lang w:val="fr-CA"/>
        </w:rPr>
      </w:pPr>
    </w:p>
    <w:p w:rsidR="00FB5988" w:rsidRPr="00FB5988" w:rsidRDefault="00FB5988" w:rsidP="00FB5988">
      <w:pPr>
        <w:spacing w:line="0" w:lineRule="atLeast"/>
        <w:rPr>
          <w:sz w:val="20"/>
          <w:szCs w:val="20"/>
          <w:lang w:val="fr-CA"/>
        </w:rPr>
        <w:sectPr w:rsidR="00FB5988" w:rsidRPr="00FB5988" w:rsidSect="00890FEB">
          <w:headerReference w:type="even" r:id="rId43"/>
          <w:headerReference w:type="default" r:id="rId44"/>
          <w:footerReference w:type="even" r:id="rId45"/>
          <w:footerReference w:type="default" r:id="rId46"/>
          <w:headerReference w:type="first" r:id="rId47"/>
          <w:footerReference w:type="first" r:id="rId48"/>
          <w:pgSz w:w="12240" w:h="15840"/>
          <w:pgMar w:top="720" w:right="965" w:bottom="1080" w:left="1656" w:header="720" w:footer="965" w:gutter="0"/>
          <w:cols w:space="720"/>
          <w:titlePg/>
          <w:docGrid w:linePitch="326"/>
        </w:sectPr>
      </w:pPr>
    </w:p>
    <w:p w:rsidR="00FB5988" w:rsidRPr="00FB5988" w:rsidRDefault="00FB5988" w:rsidP="00FB5988">
      <w:pPr>
        <w:pStyle w:val="Header1StyleE"/>
        <w:pBdr>
          <w:bottom w:val="single" w:sz="12" w:space="1" w:color="auto"/>
        </w:pBdr>
        <w:rPr>
          <w:lang w:val="fr-CA"/>
        </w:rPr>
      </w:pPr>
      <w:bookmarkStart w:id="5" w:name="_Toc65664224"/>
      <w:bookmarkStart w:id="6" w:name="_Toc65833387"/>
      <w:r w:rsidRPr="00FB5988">
        <w:rPr>
          <w:lang w:val="fr-CA"/>
        </w:rPr>
        <w:lastRenderedPageBreak/>
        <w:t xml:space="preserve">Motions / </w:t>
      </w:r>
      <w:r w:rsidRPr="00FB5988">
        <w:rPr>
          <w:lang w:val="fr-CA"/>
        </w:rPr>
        <w:br/>
        <w:t>Requêtes</w:t>
      </w:r>
      <w:bookmarkEnd w:id="5"/>
      <w:bookmarkEnd w:id="6"/>
    </w:p>
    <w:p w:rsidR="00FB5988" w:rsidRPr="00FB5988" w:rsidRDefault="00FB5988" w:rsidP="00FB5988">
      <w:pPr>
        <w:rPr>
          <w:sz w:val="20"/>
          <w:szCs w:val="20"/>
          <w:lang w:val="fr-CA"/>
        </w:rPr>
      </w:pPr>
    </w:p>
    <w:p w:rsidR="00FB5988" w:rsidRPr="00FB5988" w:rsidRDefault="00FB5988" w:rsidP="00FB5988">
      <w:pPr>
        <w:rPr>
          <w:b/>
          <w:sz w:val="20"/>
          <w:szCs w:val="20"/>
          <w:lang w:val="fr-CA"/>
        </w:rPr>
      </w:pPr>
      <w:r w:rsidRPr="00FB5988">
        <w:rPr>
          <w:b/>
          <w:sz w:val="20"/>
          <w:szCs w:val="20"/>
          <w:lang w:val="fr-CA"/>
        </w:rPr>
        <w:t>MARCH 2, 2021 / LE 2 MARS 2021</w:t>
      </w:r>
    </w:p>
    <w:p w:rsidR="00FB5988" w:rsidRPr="00FB5988" w:rsidRDefault="00FB5988" w:rsidP="00FB5988">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FB5988" w:rsidRPr="00EB6AAD" w:rsidTr="006671CD">
        <w:tc>
          <w:tcPr>
            <w:tcW w:w="4410" w:type="dxa"/>
            <w:tcBorders>
              <w:top w:val="nil"/>
              <w:left w:val="nil"/>
              <w:bottom w:val="nil"/>
              <w:right w:val="nil"/>
            </w:tcBorders>
          </w:tcPr>
          <w:p w:rsidR="00FB5988" w:rsidRPr="00FB5988" w:rsidRDefault="00FB5988" w:rsidP="006671CD">
            <w:pPr>
              <w:jc w:val="both"/>
              <w:rPr>
                <w:rFonts w:cs="Times New Roman"/>
                <w:b/>
                <w:bCs/>
                <w:sz w:val="20"/>
                <w:szCs w:val="20"/>
                <w:lang w:val="en-US"/>
              </w:rPr>
            </w:pPr>
            <w:r w:rsidRPr="00FB5988">
              <w:rPr>
                <w:rFonts w:eastAsia="Times New Roman" w:cs="Times New Roman"/>
                <w:b/>
                <w:sz w:val="20"/>
                <w:szCs w:val="20"/>
                <w:lang w:val="en-US" w:eastAsia="en-CA"/>
              </w:rPr>
              <w:t>Motion to add or substitute parties</w:t>
            </w:r>
          </w:p>
        </w:tc>
        <w:tc>
          <w:tcPr>
            <w:tcW w:w="810" w:type="dxa"/>
            <w:tcBorders>
              <w:top w:val="nil"/>
              <w:left w:val="nil"/>
              <w:bottom w:val="nil"/>
              <w:right w:val="nil"/>
            </w:tcBorders>
          </w:tcPr>
          <w:p w:rsidR="00FB5988" w:rsidRPr="00FB5988" w:rsidRDefault="00FB5988" w:rsidP="006671CD">
            <w:pPr>
              <w:jc w:val="both"/>
              <w:rPr>
                <w:rFonts w:cs="Times New Roman"/>
                <w:b/>
                <w:bCs/>
                <w:sz w:val="20"/>
                <w:szCs w:val="20"/>
                <w:lang w:val="en-US"/>
              </w:rPr>
            </w:pPr>
          </w:p>
        </w:tc>
        <w:tc>
          <w:tcPr>
            <w:tcW w:w="4399" w:type="dxa"/>
            <w:tcBorders>
              <w:top w:val="nil"/>
              <w:left w:val="nil"/>
              <w:bottom w:val="nil"/>
              <w:right w:val="nil"/>
            </w:tcBorders>
          </w:tcPr>
          <w:p w:rsidR="00FB5988" w:rsidRPr="00FB5988" w:rsidRDefault="00FB5988" w:rsidP="006671CD">
            <w:pPr>
              <w:jc w:val="both"/>
              <w:rPr>
                <w:rFonts w:cs="Times New Roman"/>
                <w:b/>
                <w:bCs/>
                <w:sz w:val="20"/>
                <w:szCs w:val="20"/>
                <w:lang w:val="fr-CA"/>
              </w:rPr>
            </w:pPr>
            <w:r w:rsidRPr="00FB5988">
              <w:rPr>
                <w:rFonts w:eastAsia="Times New Roman" w:cs="Times New Roman"/>
                <w:b/>
                <w:sz w:val="20"/>
                <w:szCs w:val="20"/>
                <w:lang w:val="fr-CA" w:eastAsia="en-CA"/>
              </w:rPr>
              <w:t>Requête en jonction ou en substitution de parties</w:t>
            </w:r>
          </w:p>
        </w:tc>
      </w:tr>
    </w:tbl>
    <w:p w:rsidR="00FB5988" w:rsidRPr="00FB5988" w:rsidRDefault="00FB5988" w:rsidP="00FB5988">
      <w:pPr>
        <w:tabs>
          <w:tab w:val="left" w:pos="-1440"/>
          <w:tab w:val="left" w:pos="-720"/>
        </w:tabs>
        <w:jc w:val="both"/>
        <w:rPr>
          <w:rFonts w:eastAsia="Times New Roman" w:cs="Times New Roman"/>
          <w:sz w:val="20"/>
          <w:szCs w:val="20"/>
          <w:lang w:val="fr-CA" w:eastAsia="en-CA"/>
        </w:rPr>
      </w:pPr>
    </w:p>
    <w:p w:rsidR="00FB5988" w:rsidRPr="00FB5988" w:rsidRDefault="00FB5988" w:rsidP="00FB5988">
      <w:pPr>
        <w:tabs>
          <w:tab w:val="left" w:pos="-1440"/>
          <w:tab w:val="left" w:pos="-720"/>
        </w:tabs>
        <w:jc w:val="both"/>
        <w:rPr>
          <w:rFonts w:eastAsia="Times New Roman" w:cs="Times New Roman"/>
          <w:sz w:val="20"/>
          <w:szCs w:val="20"/>
          <w:lang w:val="fr-CA" w:eastAsia="en-CA"/>
        </w:rPr>
      </w:pP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b/>
          <w:bCs/>
          <w:sz w:val="20"/>
          <w:szCs w:val="20"/>
          <w:lang w:val="fr-CA"/>
        </w:rPr>
      </w:pPr>
      <w:r w:rsidRPr="00FB5988">
        <w:rPr>
          <w:rFonts w:eastAsiaTheme="minorEastAsia"/>
          <w:b/>
          <w:bCs/>
          <w:caps/>
          <w:sz w:val="20"/>
          <w:szCs w:val="20"/>
          <w:lang w:val="fr-CA"/>
        </w:rPr>
        <w:t xml:space="preserve">VILLE DE MONTRÉAL </w:t>
      </w:r>
      <w:r w:rsidRPr="00FB5988">
        <w:rPr>
          <w:rFonts w:eastAsiaTheme="minorEastAsia"/>
          <w:b/>
          <w:bCs/>
          <w:sz w:val="20"/>
          <w:szCs w:val="20"/>
          <w:lang w:val="fr-CA"/>
        </w:rPr>
        <w:t xml:space="preserve">c. </w:t>
      </w:r>
      <w:r w:rsidRPr="00FB5988">
        <w:rPr>
          <w:rFonts w:eastAsiaTheme="minorEastAsia"/>
          <w:b/>
          <w:bCs/>
          <w:caps/>
          <w:sz w:val="20"/>
          <w:szCs w:val="20"/>
          <w:lang w:val="fr-CA"/>
        </w:rPr>
        <w:t>GROUPE SMI INC., GROUPE SM INC., CLAULAC INC., SMI CONSTRUCTION INC., ENERPRO INC. ET GROUPE SM INTERNATIONAL (CONSTRUCTION) INC.</w:t>
      </w:r>
    </w:p>
    <w:p w:rsidR="00FB5988" w:rsidRPr="00FB5988" w:rsidRDefault="00FB5988" w:rsidP="00FB5988">
      <w:pPr>
        <w:jc w:val="both"/>
        <w:rPr>
          <w:sz w:val="20"/>
          <w:szCs w:val="20"/>
          <w:lang w:val="fr-CA"/>
        </w:rPr>
      </w:pPr>
      <w:r w:rsidRPr="00FB5988">
        <w:rPr>
          <w:sz w:val="20"/>
          <w:szCs w:val="20"/>
          <w:lang w:val="fr-CA"/>
        </w:rPr>
        <w:t xml:space="preserve">(Qc) (39186) </w:t>
      </w:r>
    </w:p>
    <w:p w:rsidR="00FB5988" w:rsidRPr="00FB5988" w:rsidRDefault="00FB5988" w:rsidP="00FB5988">
      <w:pPr>
        <w:rPr>
          <w:sz w:val="20"/>
          <w:szCs w:val="20"/>
          <w:lang w:val="fr-CA"/>
        </w:rPr>
      </w:pPr>
    </w:p>
    <w:p w:rsidR="00FB5988" w:rsidRPr="00FB5988" w:rsidRDefault="00FB5988" w:rsidP="00FB5988">
      <w:pPr>
        <w:autoSpaceDE w:val="0"/>
        <w:autoSpaceDN w:val="0"/>
        <w:adjustRightInd w:val="0"/>
        <w:jc w:val="both"/>
        <w:rPr>
          <w:rFonts w:eastAsiaTheme="minorEastAsia"/>
          <w:b/>
          <w:bCs/>
          <w:sz w:val="20"/>
          <w:szCs w:val="20"/>
          <w:lang w:val="fr-CA"/>
        </w:rPr>
      </w:pPr>
      <w:r w:rsidRPr="00FB5988">
        <w:rPr>
          <w:rFonts w:eastAsiaTheme="minorEastAsia"/>
          <w:b/>
          <w:bCs/>
          <w:sz w:val="20"/>
          <w:szCs w:val="20"/>
          <w:u w:val="single"/>
          <w:lang w:val="fr-CA"/>
        </w:rPr>
        <w:t>LA JUGE CÔTÉ</w:t>
      </w:r>
      <w:r w:rsidRPr="00FB5988">
        <w:rPr>
          <w:rFonts w:eastAsiaTheme="minorEastAsia"/>
          <w:b/>
          <w:bCs/>
          <w:sz w:val="20"/>
          <w:szCs w:val="20"/>
          <w:lang w:val="fr-CA"/>
        </w:rPr>
        <w:t xml:space="preserve"> :</w:t>
      </w:r>
    </w:p>
    <w:p w:rsidR="00FB5988" w:rsidRPr="00FB5988" w:rsidRDefault="00FB5988" w:rsidP="00FB5988">
      <w:pPr>
        <w:autoSpaceDE w:val="0"/>
        <w:autoSpaceDN w:val="0"/>
        <w:adjustRightInd w:val="0"/>
        <w:jc w:val="both"/>
        <w:rPr>
          <w:rFonts w:eastAsiaTheme="minorEastAsia"/>
          <w:sz w:val="20"/>
          <w:szCs w:val="20"/>
          <w:lang w:val="fr-CA"/>
        </w:rPr>
      </w:pP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0"/>
          <w:szCs w:val="20"/>
          <w:lang w:val="fr-CA"/>
        </w:rPr>
      </w:pPr>
      <w:r w:rsidRPr="00FB5988">
        <w:rPr>
          <w:b/>
          <w:bCs/>
          <w:sz w:val="20"/>
          <w:szCs w:val="20"/>
          <w:lang w:val="fr-CA"/>
        </w:rPr>
        <w:t>À LA SUITE DE LA DEMANDE</w:t>
      </w:r>
      <w:r w:rsidRPr="00FB5988">
        <w:rPr>
          <w:sz w:val="20"/>
          <w:szCs w:val="20"/>
          <w:lang w:val="fr-CA"/>
        </w:rPr>
        <w:t xml:space="preserve"> présentée par l’intervenante, Restructuration Deloitte inc., en vue d’être substituée à titre d’intimée dans le présent appel, en application des </w:t>
      </w:r>
      <w:proofErr w:type="gramStart"/>
      <w:r w:rsidRPr="00FB5988">
        <w:rPr>
          <w:sz w:val="20"/>
          <w:szCs w:val="20"/>
          <w:lang w:val="fr-CA"/>
        </w:rPr>
        <w:t>art</w:t>
      </w:r>
      <w:proofErr w:type="gramEnd"/>
      <w:r w:rsidRPr="00FB5988">
        <w:rPr>
          <w:sz w:val="20"/>
          <w:szCs w:val="20"/>
          <w:lang w:val="fr-CA"/>
        </w:rPr>
        <w:t xml:space="preserve">. 18 et 47 des </w:t>
      </w:r>
      <w:r w:rsidRPr="00FB5988">
        <w:rPr>
          <w:i/>
          <w:sz w:val="20"/>
          <w:szCs w:val="20"/>
          <w:lang w:val="fr-CA"/>
        </w:rPr>
        <w:t>Règles de la Cour suprême du Canada</w:t>
      </w:r>
      <w:r w:rsidRPr="00FB5988">
        <w:rPr>
          <w:sz w:val="20"/>
          <w:szCs w:val="20"/>
          <w:lang w:val="fr-CA"/>
        </w:rPr>
        <w:t>;</w:t>
      </w:r>
    </w:p>
    <w:p w:rsidR="00FB5988" w:rsidRPr="00FB5988" w:rsidRDefault="00FB5988" w:rsidP="00FB5988">
      <w:pPr>
        <w:jc w:val="both"/>
        <w:rPr>
          <w:bCs/>
          <w:sz w:val="20"/>
          <w:szCs w:val="20"/>
          <w:lang w:val="fr-CA"/>
        </w:rPr>
      </w:pP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bCs/>
          <w:sz w:val="20"/>
          <w:szCs w:val="20"/>
          <w:lang w:val="fr-CA"/>
        </w:rPr>
      </w:pPr>
      <w:r w:rsidRPr="00FB5988">
        <w:rPr>
          <w:rFonts w:eastAsiaTheme="minorEastAsia"/>
          <w:b/>
          <w:bCs/>
          <w:sz w:val="20"/>
          <w:szCs w:val="20"/>
          <w:lang w:val="fr-CA"/>
        </w:rPr>
        <w:t xml:space="preserve">ET APRÈS EXAMEN </w:t>
      </w:r>
      <w:r w:rsidRPr="00FB5988">
        <w:rPr>
          <w:rFonts w:eastAsiaTheme="minorEastAsia"/>
          <w:sz w:val="20"/>
          <w:szCs w:val="20"/>
          <w:lang w:val="fr-CA"/>
        </w:rPr>
        <w:t>des documents déposés;</w:t>
      </w:r>
    </w:p>
    <w:p w:rsidR="00FB5988" w:rsidRPr="00FB5988" w:rsidRDefault="00FB5988" w:rsidP="00FB5988">
      <w:pPr>
        <w:jc w:val="both"/>
        <w:rPr>
          <w:bCs/>
          <w:sz w:val="20"/>
          <w:szCs w:val="20"/>
          <w:lang w:val="fr-CA"/>
        </w:rPr>
      </w:pP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b/>
          <w:bCs/>
          <w:sz w:val="20"/>
          <w:szCs w:val="20"/>
          <w:lang w:val="fr-CA"/>
        </w:rPr>
      </w:pPr>
      <w:r w:rsidRPr="00FB5988">
        <w:rPr>
          <w:rFonts w:eastAsiaTheme="minorEastAsia"/>
          <w:b/>
          <w:bCs/>
          <w:sz w:val="20"/>
          <w:szCs w:val="20"/>
          <w:lang w:val="fr-CA"/>
        </w:rPr>
        <w:t>IL EST PAR LA PRÉSENTE ORDONNÉ CE QUI SUIT :</w:t>
      </w:r>
    </w:p>
    <w:p w:rsidR="00FB5988" w:rsidRPr="00FB5988" w:rsidRDefault="00FB5988" w:rsidP="00FB5988">
      <w:pPr>
        <w:jc w:val="both"/>
        <w:rPr>
          <w:bCs/>
          <w:sz w:val="20"/>
          <w:szCs w:val="20"/>
          <w:lang w:val="fr-CA"/>
        </w:rPr>
      </w:pP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0" w:lineRule="auto"/>
        <w:jc w:val="both"/>
        <w:rPr>
          <w:rFonts w:eastAsiaTheme="minorEastAsia"/>
          <w:sz w:val="20"/>
          <w:szCs w:val="20"/>
          <w:lang w:val="fr-CA"/>
        </w:rPr>
      </w:pPr>
      <w:r w:rsidRPr="00FB5988">
        <w:rPr>
          <w:rFonts w:eastAsiaTheme="minorEastAsia"/>
          <w:sz w:val="20"/>
          <w:szCs w:val="20"/>
          <w:lang w:val="fr-CA"/>
        </w:rPr>
        <w:t>La requête est accueillie.</w:t>
      </w: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0" w:lineRule="auto"/>
        <w:jc w:val="both"/>
        <w:rPr>
          <w:rFonts w:eastAsiaTheme="minorEastAsia"/>
          <w:sz w:val="20"/>
          <w:szCs w:val="20"/>
          <w:lang w:val="fr-CA"/>
        </w:rPr>
      </w:pP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0" w:lineRule="auto"/>
        <w:jc w:val="both"/>
        <w:rPr>
          <w:sz w:val="20"/>
          <w:szCs w:val="20"/>
          <w:lang w:val="fr-CA"/>
        </w:rPr>
      </w:pPr>
      <w:r w:rsidRPr="00FB5988">
        <w:rPr>
          <w:sz w:val="20"/>
          <w:szCs w:val="20"/>
          <w:lang w:val="fr-CA"/>
        </w:rPr>
        <w:t xml:space="preserve">Restructuration Deloitte inc. est substituée à titre d’intimée dans les procédures devant la Cour en conformité avec le paragraphe 18(1) des </w:t>
      </w:r>
      <w:r w:rsidRPr="00FB5988">
        <w:rPr>
          <w:i/>
          <w:sz w:val="20"/>
          <w:szCs w:val="20"/>
          <w:lang w:val="fr-CA"/>
        </w:rPr>
        <w:t>Règles de la Cour suprême du Canada</w:t>
      </w:r>
      <w:r w:rsidRPr="00FB5988">
        <w:rPr>
          <w:sz w:val="20"/>
          <w:szCs w:val="20"/>
          <w:lang w:val="fr-CA"/>
        </w:rPr>
        <w:t>, et l’intitulé de la cause sera modifié en conséquence.</w:t>
      </w: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0" w:lineRule="auto"/>
        <w:jc w:val="both"/>
        <w:rPr>
          <w:sz w:val="20"/>
          <w:szCs w:val="20"/>
          <w:lang w:val="fr-CA"/>
        </w:rPr>
      </w:pP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0" w:lineRule="auto"/>
        <w:jc w:val="both"/>
        <w:rPr>
          <w:rFonts w:eastAsiaTheme="minorEastAsia"/>
          <w:sz w:val="20"/>
          <w:szCs w:val="20"/>
          <w:lang w:val="fr-CA"/>
        </w:rPr>
      </w:pPr>
      <w:r w:rsidRPr="00FB5988">
        <w:rPr>
          <w:sz w:val="20"/>
          <w:szCs w:val="20"/>
          <w:lang w:val="fr-CA"/>
        </w:rPr>
        <w:t xml:space="preserve">Restructuration Deloitte Inc. doit signifier et déposer </w:t>
      </w:r>
      <w:proofErr w:type="gramStart"/>
      <w:r w:rsidRPr="00FB5988">
        <w:rPr>
          <w:sz w:val="20"/>
          <w:szCs w:val="20"/>
          <w:lang w:val="fr-CA"/>
        </w:rPr>
        <w:t>ses dossier</w:t>
      </w:r>
      <w:proofErr w:type="gramEnd"/>
      <w:r w:rsidRPr="00FB5988">
        <w:rPr>
          <w:sz w:val="20"/>
          <w:szCs w:val="20"/>
          <w:lang w:val="fr-CA"/>
        </w:rPr>
        <w:t>, mémoire et recueil de sources en tant qu’intimée, le cas échéant, au plus tard le 6 avril 2021.</w:t>
      </w:r>
    </w:p>
    <w:p w:rsidR="00FB5988" w:rsidRPr="00FB5988" w:rsidRDefault="00FB5988" w:rsidP="00FB5988">
      <w:pPr>
        <w:spacing w:line="228" w:lineRule="auto"/>
        <w:rPr>
          <w:sz w:val="20"/>
          <w:szCs w:val="20"/>
          <w:lang w:val="fr-CA"/>
        </w:rPr>
      </w:pPr>
    </w:p>
    <w:p w:rsidR="00FB5988" w:rsidRPr="00FB5988" w:rsidRDefault="00FB5988" w:rsidP="00FB5988">
      <w:pPr>
        <w:spacing w:line="228" w:lineRule="auto"/>
        <w:rPr>
          <w:sz w:val="20"/>
          <w:szCs w:val="20"/>
          <w:lang w:val="fr-CA"/>
        </w:rPr>
      </w:pP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0"/>
          <w:szCs w:val="20"/>
        </w:rPr>
      </w:pPr>
      <w:r w:rsidRPr="00FB5988">
        <w:rPr>
          <w:b/>
          <w:bCs/>
          <w:sz w:val="20"/>
          <w:szCs w:val="20"/>
        </w:rPr>
        <w:t>UPON APPLICATION</w:t>
      </w:r>
      <w:r w:rsidRPr="00FB5988">
        <w:rPr>
          <w:sz w:val="20"/>
          <w:szCs w:val="20"/>
        </w:rPr>
        <w:t xml:space="preserve"> by the intervener, Deloitte Restructuring Inc., for an order to be substituted as a respondent in the above appeal, pursuant to Rules 18 and 47 of the </w:t>
      </w:r>
      <w:r w:rsidRPr="00FB5988">
        <w:rPr>
          <w:i/>
          <w:sz w:val="20"/>
          <w:szCs w:val="20"/>
        </w:rPr>
        <w:t>Rules of the Supreme Court of Canada</w:t>
      </w:r>
      <w:r w:rsidRPr="00FB5988">
        <w:rPr>
          <w:sz w:val="20"/>
          <w:szCs w:val="20"/>
        </w:rPr>
        <w:t>;</w:t>
      </w:r>
    </w:p>
    <w:p w:rsidR="00FB5988" w:rsidRPr="00FB5988" w:rsidRDefault="00FB5988" w:rsidP="00FB5988">
      <w:pPr>
        <w:widowControl w:val="0"/>
        <w:autoSpaceDE w:val="0"/>
        <w:autoSpaceDN w:val="0"/>
        <w:adjustRightInd w:val="0"/>
        <w:rPr>
          <w:rFonts w:eastAsiaTheme="minorEastAsia"/>
          <w:sz w:val="20"/>
          <w:szCs w:val="20"/>
        </w:rPr>
      </w:pP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sz w:val="20"/>
          <w:szCs w:val="20"/>
        </w:rPr>
      </w:pPr>
      <w:r w:rsidRPr="00FB5988">
        <w:rPr>
          <w:rFonts w:eastAsiaTheme="minorEastAsia"/>
          <w:b/>
          <w:bCs/>
          <w:sz w:val="20"/>
          <w:szCs w:val="20"/>
        </w:rPr>
        <w:t>AND THE MATERIAL FILED</w:t>
      </w:r>
      <w:r w:rsidRPr="00FB5988">
        <w:rPr>
          <w:rFonts w:eastAsiaTheme="minorEastAsia"/>
          <w:sz w:val="20"/>
          <w:szCs w:val="20"/>
        </w:rPr>
        <w:t xml:space="preserve"> having been read;</w:t>
      </w:r>
    </w:p>
    <w:p w:rsidR="00FB5988" w:rsidRPr="00FB5988" w:rsidRDefault="00FB5988" w:rsidP="00FB5988">
      <w:pPr>
        <w:widowControl w:val="0"/>
        <w:autoSpaceDE w:val="0"/>
        <w:autoSpaceDN w:val="0"/>
        <w:adjustRightInd w:val="0"/>
        <w:rPr>
          <w:rFonts w:eastAsiaTheme="minorEastAsia"/>
          <w:sz w:val="20"/>
          <w:szCs w:val="20"/>
        </w:rPr>
      </w:pP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b/>
          <w:bCs/>
          <w:sz w:val="20"/>
          <w:szCs w:val="20"/>
        </w:rPr>
      </w:pPr>
      <w:r w:rsidRPr="00FB5988">
        <w:rPr>
          <w:rFonts w:eastAsiaTheme="minorEastAsia"/>
          <w:b/>
          <w:bCs/>
          <w:sz w:val="20"/>
          <w:szCs w:val="20"/>
        </w:rPr>
        <w:t>IT IS HEREBY ORDERED THAT:</w:t>
      </w: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0" w:lineRule="auto"/>
        <w:jc w:val="both"/>
        <w:rPr>
          <w:rFonts w:eastAsiaTheme="minorEastAsia"/>
          <w:sz w:val="20"/>
          <w:szCs w:val="20"/>
        </w:rPr>
      </w:pP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0" w:lineRule="auto"/>
        <w:jc w:val="both"/>
        <w:rPr>
          <w:rFonts w:eastAsiaTheme="minorEastAsia"/>
          <w:sz w:val="20"/>
          <w:szCs w:val="20"/>
        </w:rPr>
      </w:pPr>
      <w:r w:rsidRPr="00FB5988">
        <w:rPr>
          <w:rFonts w:eastAsiaTheme="minorEastAsia"/>
          <w:sz w:val="20"/>
          <w:szCs w:val="20"/>
        </w:rPr>
        <w:t>The motion is granted.</w:t>
      </w:r>
    </w:p>
    <w:p w:rsidR="00FB5988" w:rsidRPr="00FB5988" w:rsidRDefault="00FB5988" w:rsidP="00FB5988">
      <w:pPr>
        <w:widowControl w:val="0"/>
        <w:autoSpaceDE w:val="0"/>
        <w:autoSpaceDN w:val="0"/>
        <w:adjustRightInd w:val="0"/>
        <w:rPr>
          <w:rFonts w:eastAsiaTheme="minorEastAsia"/>
          <w:sz w:val="20"/>
          <w:szCs w:val="20"/>
        </w:rPr>
      </w:pPr>
    </w:p>
    <w:p w:rsidR="00FB5988" w:rsidRPr="00FB5988" w:rsidRDefault="00FB5988" w:rsidP="00FB59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0" w:lineRule="auto"/>
        <w:jc w:val="both"/>
        <w:rPr>
          <w:rFonts w:eastAsiaTheme="minorEastAsia"/>
          <w:sz w:val="20"/>
          <w:szCs w:val="20"/>
        </w:rPr>
      </w:pPr>
      <w:r w:rsidRPr="00FB5988">
        <w:rPr>
          <w:sz w:val="20"/>
          <w:szCs w:val="20"/>
        </w:rPr>
        <w:t xml:space="preserve">Deloitte Restructuring Inc. is substituted as a respondent in the proceedings before this Court pursuant to Rule 18(1) of the </w:t>
      </w:r>
      <w:r w:rsidRPr="00FB5988">
        <w:rPr>
          <w:i/>
          <w:sz w:val="20"/>
          <w:szCs w:val="20"/>
        </w:rPr>
        <w:t>Rules of the Supreme Court of Canada</w:t>
      </w:r>
      <w:r w:rsidRPr="00FB5988">
        <w:rPr>
          <w:sz w:val="20"/>
          <w:szCs w:val="20"/>
        </w:rPr>
        <w:t xml:space="preserve"> and </w:t>
      </w:r>
      <w:r w:rsidRPr="00FB5988">
        <w:rPr>
          <w:rFonts w:eastAsiaTheme="minorEastAsia"/>
          <w:sz w:val="20"/>
          <w:szCs w:val="20"/>
        </w:rPr>
        <w:t xml:space="preserve">the style of cause shall be modified to reflect this change. </w:t>
      </w:r>
    </w:p>
    <w:p w:rsidR="00FB5988" w:rsidRPr="00FB5988" w:rsidRDefault="00FB5988" w:rsidP="00FB5988">
      <w:pPr>
        <w:widowControl w:val="0"/>
        <w:autoSpaceDE w:val="0"/>
        <w:autoSpaceDN w:val="0"/>
        <w:adjustRightInd w:val="0"/>
        <w:rPr>
          <w:rFonts w:eastAsiaTheme="minorEastAsia"/>
          <w:sz w:val="20"/>
          <w:szCs w:val="20"/>
        </w:rPr>
      </w:pPr>
    </w:p>
    <w:p w:rsidR="00FB5988" w:rsidRPr="00FB5988" w:rsidRDefault="00FB5988" w:rsidP="00FB5988">
      <w:pPr>
        <w:widowControl w:val="0"/>
        <w:autoSpaceDE w:val="0"/>
        <w:autoSpaceDN w:val="0"/>
        <w:adjustRightInd w:val="0"/>
        <w:rPr>
          <w:rFonts w:eastAsiaTheme="minorEastAsia"/>
          <w:sz w:val="20"/>
          <w:szCs w:val="20"/>
        </w:rPr>
      </w:pPr>
    </w:p>
    <w:p w:rsidR="00FB5988" w:rsidRPr="00FB5988" w:rsidRDefault="00FB5988" w:rsidP="00FB5988">
      <w:pPr>
        <w:spacing w:line="228" w:lineRule="auto"/>
        <w:rPr>
          <w:i/>
          <w:sz w:val="20"/>
          <w:szCs w:val="20"/>
          <w:lang w:val="en-US"/>
        </w:rPr>
      </w:pPr>
      <w:r w:rsidRPr="00FB5988">
        <w:rPr>
          <w:sz w:val="20"/>
          <w:szCs w:val="20"/>
        </w:rPr>
        <w:t>Deloitte Restructuring Inc. shall serve and file its respondent’s record, factum and books of authorities, if any, on or before April 6, 2021.</w:t>
      </w:r>
    </w:p>
    <w:p w:rsidR="00FB5988" w:rsidRPr="00FB5988" w:rsidRDefault="00FB5988" w:rsidP="00FB5988">
      <w:pPr>
        <w:spacing w:line="232" w:lineRule="auto"/>
        <w:rPr>
          <w:rFonts w:cs="Times New Roman"/>
          <w:sz w:val="20"/>
          <w:lang w:val="en-US"/>
        </w:rPr>
      </w:pPr>
    </w:p>
    <w:p w:rsidR="00FB5988" w:rsidRPr="00FB5988" w:rsidRDefault="00EB6AAD" w:rsidP="00FB5988">
      <w:pPr>
        <w:widowControl w:val="0"/>
        <w:rPr>
          <w:rFonts w:eastAsia="Times New Roman" w:cs="Times New Roman"/>
          <w:sz w:val="20"/>
          <w:szCs w:val="20"/>
          <w:lang w:val="fr-CA" w:eastAsia="en-CA"/>
        </w:rPr>
      </w:pPr>
      <w:r>
        <w:rPr>
          <w:rFonts w:eastAsia="Times New Roman" w:cs="Times New Roman"/>
          <w:sz w:val="20"/>
          <w:szCs w:val="20"/>
          <w:lang w:val="fr-CA" w:eastAsia="en-CA"/>
        </w:rPr>
        <w:pict>
          <v:rect id="_x0000_i1050" style="width:2in;height:1pt" o:hrpct="0" o:hralign="center" o:hrstd="t" o:hrnoshade="t" o:hr="t" fillcolor="black [3213]" stroked="f"/>
        </w:pict>
      </w:r>
    </w:p>
    <w:p w:rsidR="00FB5988" w:rsidRPr="00FB5988" w:rsidRDefault="00FB5988" w:rsidP="00FB5988">
      <w:pPr>
        <w:rPr>
          <w:rFonts w:eastAsia="Times New Roman" w:cs="Times New Roman"/>
          <w:sz w:val="20"/>
          <w:szCs w:val="20"/>
          <w:lang w:val="fr-CA" w:eastAsia="en-CA"/>
        </w:rPr>
      </w:pPr>
    </w:p>
    <w:p w:rsidR="00FB5988" w:rsidRPr="00FB5988" w:rsidRDefault="00FB5988" w:rsidP="00FB5988">
      <w:pPr>
        <w:tabs>
          <w:tab w:val="left" w:pos="-1440"/>
          <w:tab w:val="left" w:pos="-720"/>
        </w:tabs>
        <w:jc w:val="both"/>
        <w:rPr>
          <w:sz w:val="20"/>
          <w:szCs w:val="20"/>
          <w:lang w:val="fr-CA"/>
        </w:rPr>
      </w:pPr>
    </w:p>
    <w:p w:rsidR="00FB5988" w:rsidRPr="00FB5988" w:rsidRDefault="00FB5988" w:rsidP="00FB5988">
      <w:pPr>
        <w:jc w:val="both"/>
        <w:rPr>
          <w:sz w:val="20"/>
          <w:szCs w:val="20"/>
          <w:lang w:val="fr-CA"/>
        </w:rPr>
      </w:pPr>
    </w:p>
    <w:p w:rsidR="00FB5988" w:rsidRPr="00FB5988" w:rsidRDefault="00FB5988" w:rsidP="00FB5988">
      <w:pPr>
        <w:jc w:val="both"/>
        <w:rPr>
          <w:sz w:val="20"/>
          <w:szCs w:val="20"/>
          <w:lang w:val="fr-CA"/>
        </w:rPr>
        <w:sectPr w:rsidR="00FB5988" w:rsidRPr="00FB5988" w:rsidSect="00831CA9">
          <w:headerReference w:type="even" r:id="rId49"/>
          <w:headerReference w:type="default" r:id="rId50"/>
          <w:footerReference w:type="even" r:id="rId51"/>
          <w:footerReference w:type="default" r:id="rId52"/>
          <w:headerReference w:type="first" r:id="rId53"/>
          <w:footerReference w:type="first" r:id="rId54"/>
          <w:pgSz w:w="12240" w:h="15840"/>
          <w:pgMar w:top="720" w:right="965" w:bottom="1080" w:left="1656" w:header="720" w:footer="965" w:gutter="0"/>
          <w:cols w:space="720"/>
          <w:titlePg/>
          <w:docGrid w:linePitch="326"/>
        </w:sectPr>
      </w:pPr>
    </w:p>
    <w:p w:rsidR="00567602" w:rsidRPr="00FB5988" w:rsidRDefault="001434B9" w:rsidP="00567602">
      <w:pPr>
        <w:pStyle w:val="Header1StyleE"/>
        <w:pBdr>
          <w:bottom w:val="single" w:sz="12" w:space="1" w:color="auto"/>
        </w:pBdr>
        <w:rPr>
          <w:sz w:val="20"/>
          <w:lang w:val="en-US"/>
        </w:rPr>
      </w:pPr>
      <w:bookmarkStart w:id="7" w:name="_Toc65833388"/>
      <w:r w:rsidRPr="00FB5988">
        <w:lastRenderedPageBreak/>
        <w:t>Notices of appeal filed since the last issue</w:t>
      </w:r>
      <w:r w:rsidR="00271E1E" w:rsidRPr="00FB5988">
        <w:t xml:space="preserve"> / </w:t>
      </w:r>
      <w:r w:rsidR="00567602" w:rsidRPr="00FB5988">
        <w:br/>
      </w:r>
      <w:r w:rsidRPr="00FB5988">
        <w:rPr>
          <w:lang w:val="fr-CA"/>
        </w:rPr>
        <w:t>Avis d’appel déposés depuis la dernière parution</w:t>
      </w:r>
      <w:bookmarkEnd w:id="7"/>
    </w:p>
    <w:p w:rsidR="00FB1DB6" w:rsidRPr="00FB5988"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FB5988" w:rsidTr="005F1ED8">
        <w:trPr>
          <w:cantSplit/>
        </w:trPr>
        <w:tc>
          <w:tcPr>
            <w:tcW w:w="2206" w:type="pct"/>
            <w:tcMar>
              <w:left w:w="0" w:type="dxa"/>
              <w:right w:w="0" w:type="dxa"/>
            </w:tcMar>
          </w:tcPr>
          <w:p w:rsidR="0086340B" w:rsidRPr="00FB5988" w:rsidRDefault="005142E4" w:rsidP="005F1ED8">
            <w:pPr>
              <w:rPr>
                <w:sz w:val="20"/>
                <w:szCs w:val="20"/>
              </w:rPr>
            </w:pPr>
            <w:r w:rsidRPr="00FB5988">
              <w:rPr>
                <w:sz w:val="20"/>
                <w:szCs w:val="20"/>
              </w:rPr>
              <w:t>February</w:t>
            </w:r>
            <w:r w:rsidR="008859F1" w:rsidRPr="00FB5988">
              <w:rPr>
                <w:sz w:val="20"/>
                <w:szCs w:val="20"/>
              </w:rPr>
              <w:t xml:space="preserve"> </w:t>
            </w:r>
            <w:r w:rsidRPr="00FB5988">
              <w:rPr>
                <w:sz w:val="20"/>
                <w:szCs w:val="20"/>
              </w:rPr>
              <w:t>2</w:t>
            </w:r>
            <w:r w:rsidR="009B36BA" w:rsidRPr="00FB5988">
              <w:rPr>
                <w:sz w:val="20"/>
                <w:szCs w:val="20"/>
              </w:rPr>
              <w:t>4</w:t>
            </w:r>
            <w:r w:rsidR="008859F1" w:rsidRPr="00FB5988">
              <w:rPr>
                <w:sz w:val="20"/>
                <w:szCs w:val="20"/>
              </w:rPr>
              <w:t>, 20</w:t>
            </w:r>
            <w:r w:rsidR="005967EF" w:rsidRPr="00FB5988">
              <w:rPr>
                <w:sz w:val="20"/>
                <w:szCs w:val="20"/>
              </w:rPr>
              <w:t>2</w:t>
            </w:r>
            <w:r w:rsidR="009B36BA" w:rsidRPr="00FB5988">
              <w:rPr>
                <w:sz w:val="20"/>
                <w:szCs w:val="20"/>
              </w:rPr>
              <w:t>1</w:t>
            </w:r>
          </w:p>
          <w:p w:rsidR="0034657E" w:rsidRPr="00FB5988" w:rsidRDefault="0034657E" w:rsidP="005F1ED8">
            <w:pPr>
              <w:rPr>
                <w:sz w:val="20"/>
                <w:szCs w:val="20"/>
              </w:rPr>
            </w:pPr>
          </w:p>
          <w:p w:rsidR="0086340B" w:rsidRPr="00FB5988" w:rsidRDefault="005142E4" w:rsidP="005F1ED8">
            <w:pPr>
              <w:rPr>
                <w:b/>
                <w:sz w:val="20"/>
                <w:szCs w:val="20"/>
              </w:rPr>
            </w:pPr>
            <w:r w:rsidRPr="00FB5988">
              <w:rPr>
                <w:b/>
                <w:sz w:val="20"/>
                <w:szCs w:val="20"/>
              </w:rPr>
              <w:t>Tyler Gordon Strathdee</w:t>
            </w:r>
          </w:p>
          <w:p w:rsidR="0086340B" w:rsidRPr="00FB5988" w:rsidRDefault="0086340B" w:rsidP="005F1ED8">
            <w:pPr>
              <w:rPr>
                <w:sz w:val="20"/>
                <w:szCs w:val="20"/>
              </w:rPr>
            </w:pPr>
          </w:p>
          <w:p w:rsidR="0086340B" w:rsidRPr="00FB5988" w:rsidRDefault="0086340B" w:rsidP="005F1ED8">
            <w:pPr>
              <w:rPr>
                <w:b/>
                <w:sz w:val="20"/>
                <w:szCs w:val="20"/>
              </w:rPr>
            </w:pPr>
            <w:r w:rsidRPr="00FB5988">
              <w:rPr>
                <w:b/>
                <w:sz w:val="20"/>
                <w:szCs w:val="20"/>
              </w:rPr>
              <w:tab/>
              <w:t>v. (39</w:t>
            </w:r>
            <w:r w:rsidR="005142E4" w:rsidRPr="00FB5988">
              <w:rPr>
                <w:b/>
                <w:sz w:val="20"/>
                <w:szCs w:val="20"/>
              </w:rPr>
              <w:t>556</w:t>
            </w:r>
            <w:r w:rsidRPr="00FB5988">
              <w:rPr>
                <w:b/>
                <w:sz w:val="20"/>
                <w:szCs w:val="20"/>
              </w:rPr>
              <w:t>)</w:t>
            </w:r>
          </w:p>
          <w:p w:rsidR="0086340B" w:rsidRPr="00FB5988" w:rsidRDefault="0086340B" w:rsidP="005F1ED8">
            <w:pPr>
              <w:rPr>
                <w:sz w:val="20"/>
                <w:szCs w:val="20"/>
              </w:rPr>
            </w:pPr>
          </w:p>
          <w:p w:rsidR="0086340B" w:rsidRPr="00FB5988" w:rsidRDefault="005142E4" w:rsidP="005F1ED8">
            <w:pPr>
              <w:rPr>
                <w:b/>
                <w:sz w:val="20"/>
                <w:szCs w:val="20"/>
              </w:rPr>
            </w:pPr>
            <w:r w:rsidRPr="00FB5988">
              <w:rPr>
                <w:b/>
                <w:sz w:val="20"/>
                <w:szCs w:val="20"/>
              </w:rPr>
              <w:t>Her Majesty the Queen</w:t>
            </w:r>
            <w:r w:rsidR="0086340B" w:rsidRPr="00FB5988">
              <w:rPr>
                <w:b/>
                <w:sz w:val="20"/>
                <w:szCs w:val="20"/>
              </w:rPr>
              <w:t xml:space="preserve"> (</w:t>
            </w:r>
            <w:r w:rsidRPr="00FB5988">
              <w:rPr>
                <w:b/>
                <w:sz w:val="20"/>
                <w:szCs w:val="20"/>
              </w:rPr>
              <w:t>Alta</w:t>
            </w:r>
            <w:r w:rsidR="0086340B" w:rsidRPr="00FB5988">
              <w:rPr>
                <w:b/>
                <w:sz w:val="20"/>
                <w:szCs w:val="20"/>
              </w:rPr>
              <w:t>.)</w:t>
            </w:r>
          </w:p>
          <w:p w:rsidR="0086340B" w:rsidRPr="00FB5988" w:rsidRDefault="0086340B" w:rsidP="005F1ED8">
            <w:pPr>
              <w:rPr>
                <w:sz w:val="20"/>
                <w:szCs w:val="20"/>
              </w:rPr>
            </w:pPr>
          </w:p>
          <w:p w:rsidR="0086340B" w:rsidRPr="00FB5988" w:rsidRDefault="0086340B" w:rsidP="005F1ED8">
            <w:pPr>
              <w:rPr>
                <w:sz w:val="20"/>
                <w:szCs w:val="20"/>
              </w:rPr>
            </w:pPr>
            <w:r w:rsidRPr="00FB5988">
              <w:rPr>
                <w:sz w:val="20"/>
                <w:szCs w:val="20"/>
              </w:rPr>
              <w:t>(</w:t>
            </w:r>
            <w:r w:rsidR="005142E4" w:rsidRPr="00FB5988">
              <w:rPr>
                <w:sz w:val="20"/>
                <w:szCs w:val="20"/>
              </w:rPr>
              <w:t>As of Right</w:t>
            </w:r>
            <w:r w:rsidRPr="00FB5988">
              <w:rPr>
                <w:sz w:val="20"/>
                <w:szCs w:val="20"/>
              </w:rPr>
              <w:t>)</w:t>
            </w:r>
          </w:p>
          <w:p w:rsidR="0086340B" w:rsidRPr="00FB5988" w:rsidRDefault="0086340B" w:rsidP="005F1ED8">
            <w:pPr>
              <w:rPr>
                <w:sz w:val="20"/>
                <w:szCs w:val="20"/>
              </w:rPr>
            </w:pPr>
          </w:p>
          <w:p w:rsidR="0086340B" w:rsidRPr="00FB5988" w:rsidRDefault="00EB6AAD" w:rsidP="005F1ED8">
            <w:pPr>
              <w:rPr>
                <w:sz w:val="20"/>
                <w:szCs w:val="20"/>
                <w:lang w:val="fr-CA"/>
              </w:rPr>
            </w:pPr>
            <w:r>
              <w:rPr>
                <w:sz w:val="20"/>
                <w:szCs w:val="20"/>
                <w:lang w:val="fr-CA"/>
              </w:rPr>
              <w:pict>
                <v:rect id="_x0000_i1053" style="width:106.1pt;height:1pt" o:hrpct="500" o:hrstd="t" o:hrnoshade="t" o:hr="t" fillcolor="black [3213]" stroked="f"/>
              </w:pict>
            </w:r>
          </w:p>
        </w:tc>
        <w:tc>
          <w:tcPr>
            <w:tcW w:w="588" w:type="pct"/>
          </w:tcPr>
          <w:p w:rsidR="0086340B" w:rsidRPr="00FB5988" w:rsidRDefault="0086340B" w:rsidP="005F1ED8">
            <w:pPr>
              <w:jc w:val="center"/>
              <w:rPr>
                <w:sz w:val="20"/>
                <w:szCs w:val="20"/>
              </w:rPr>
            </w:pPr>
          </w:p>
          <w:p w:rsidR="0086340B" w:rsidRPr="00FB5988" w:rsidRDefault="0086340B" w:rsidP="005F1ED8">
            <w:pPr>
              <w:jc w:val="center"/>
              <w:rPr>
                <w:sz w:val="20"/>
                <w:szCs w:val="20"/>
              </w:rPr>
            </w:pPr>
          </w:p>
          <w:p w:rsidR="0086340B" w:rsidRPr="00FB5988" w:rsidRDefault="0086340B" w:rsidP="005F1ED8">
            <w:pPr>
              <w:jc w:val="center"/>
              <w:rPr>
                <w:sz w:val="20"/>
                <w:szCs w:val="20"/>
              </w:rPr>
            </w:pPr>
          </w:p>
          <w:p w:rsidR="0086340B" w:rsidRPr="00FB5988" w:rsidRDefault="0086340B" w:rsidP="005F1ED8">
            <w:pPr>
              <w:jc w:val="center"/>
              <w:rPr>
                <w:sz w:val="20"/>
                <w:szCs w:val="20"/>
              </w:rPr>
            </w:pPr>
          </w:p>
          <w:p w:rsidR="0086340B" w:rsidRPr="00FB5988" w:rsidRDefault="0086340B" w:rsidP="005F1ED8">
            <w:pPr>
              <w:jc w:val="center"/>
              <w:rPr>
                <w:sz w:val="20"/>
                <w:szCs w:val="20"/>
              </w:rPr>
            </w:pPr>
          </w:p>
          <w:p w:rsidR="0086340B" w:rsidRPr="00FB5988" w:rsidRDefault="0086340B" w:rsidP="005F1ED8">
            <w:pPr>
              <w:jc w:val="center"/>
              <w:rPr>
                <w:sz w:val="20"/>
                <w:szCs w:val="20"/>
              </w:rPr>
            </w:pPr>
          </w:p>
          <w:p w:rsidR="0086340B" w:rsidRPr="00FB5988" w:rsidRDefault="0086340B" w:rsidP="005F1ED8">
            <w:pPr>
              <w:jc w:val="center"/>
              <w:rPr>
                <w:sz w:val="20"/>
                <w:szCs w:val="20"/>
              </w:rPr>
            </w:pPr>
          </w:p>
          <w:p w:rsidR="0086340B" w:rsidRPr="00FB5988" w:rsidRDefault="0086340B" w:rsidP="005F1ED8">
            <w:pPr>
              <w:jc w:val="center"/>
              <w:rPr>
                <w:sz w:val="20"/>
                <w:szCs w:val="20"/>
              </w:rPr>
            </w:pPr>
          </w:p>
          <w:p w:rsidR="0086340B" w:rsidRPr="00FB5988" w:rsidRDefault="0086340B" w:rsidP="005F1ED8">
            <w:pPr>
              <w:jc w:val="center"/>
              <w:rPr>
                <w:sz w:val="20"/>
                <w:szCs w:val="20"/>
              </w:rPr>
            </w:pPr>
          </w:p>
          <w:p w:rsidR="0086340B" w:rsidRPr="00FB5988" w:rsidRDefault="0086340B" w:rsidP="005F1ED8">
            <w:pPr>
              <w:jc w:val="center"/>
              <w:rPr>
                <w:sz w:val="20"/>
                <w:szCs w:val="20"/>
              </w:rPr>
            </w:pPr>
          </w:p>
          <w:p w:rsidR="0086340B" w:rsidRPr="00FB5988" w:rsidRDefault="0086340B" w:rsidP="005F1ED8">
            <w:pPr>
              <w:jc w:val="center"/>
              <w:rPr>
                <w:sz w:val="20"/>
                <w:szCs w:val="20"/>
              </w:rPr>
            </w:pPr>
          </w:p>
          <w:p w:rsidR="0086340B" w:rsidRPr="00FB5988" w:rsidRDefault="0086340B" w:rsidP="005F1ED8">
            <w:pPr>
              <w:jc w:val="center"/>
              <w:rPr>
                <w:sz w:val="20"/>
                <w:szCs w:val="20"/>
              </w:rPr>
            </w:pPr>
          </w:p>
        </w:tc>
        <w:tc>
          <w:tcPr>
            <w:tcW w:w="2206" w:type="pct"/>
          </w:tcPr>
          <w:p w:rsidR="0086340B" w:rsidRPr="00FB5988" w:rsidRDefault="0086340B" w:rsidP="005F1ED8">
            <w:pPr>
              <w:rPr>
                <w:sz w:val="20"/>
                <w:szCs w:val="20"/>
              </w:rPr>
            </w:pPr>
          </w:p>
        </w:tc>
      </w:tr>
    </w:tbl>
    <w:p w:rsidR="008277C4" w:rsidRPr="00FB5988" w:rsidRDefault="008277C4" w:rsidP="00F40249">
      <w:pPr>
        <w:rPr>
          <w:sz w:val="20"/>
          <w:szCs w:val="20"/>
        </w:rPr>
      </w:pPr>
    </w:p>
    <w:p w:rsidR="008277C4" w:rsidRPr="00FB5988" w:rsidRDefault="008277C4" w:rsidP="00F40249">
      <w:pPr>
        <w:rPr>
          <w:sz w:val="20"/>
          <w:szCs w:val="20"/>
        </w:rPr>
      </w:pPr>
    </w:p>
    <w:p w:rsidR="0010587F" w:rsidRPr="00FB5988" w:rsidRDefault="0010587F" w:rsidP="00F40249">
      <w:pPr>
        <w:rPr>
          <w:sz w:val="20"/>
          <w:szCs w:val="20"/>
        </w:rPr>
      </w:pPr>
    </w:p>
    <w:p w:rsidR="00EB2B90" w:rsidRPr="00FB5988" w:rsidRDefault="00EB2B90" w:rsidP="00F40249">
      <w:pPr>
        <w:rPr>
          <w:sz w:val="20"/>
          <w:szCs w:val="20"/>
        </w:rPr>
        <w:sectPr w:rsidR="00EB2B90" w:rsidRPr="00FB5988" w:rsidSect="00F40249">
          <w:headerReference w:type="even" r:id="rId55"/>
          <w:headerReference w:type="default" r:id="rId56"/>
          <w:footerReference w:type="even" r:id="rId57"/>
          <w:footerReference w:type="default" r:id="rId58"/>
          <w:headerReference w:type="first" r:id="rId59"/>
          <w:footerReference w:type="first" r:id="rId60"/>
          <w:pgSz w:w="12240" w:h="15840"/>
          <w:pgMar w:top="720" w:right="965" w:bottom="1080" w:left="1656" w:header="720" w:footer="965" w:gutter="0"/>
          <w:cols w:space="720"/>
          <w:titlePg/>
          <w:docGrid w:linePitch="326"/>
        </w:sectPr>
      </w:pPr>
    </w:p>
    <w:p w:rsidR="00567602" w:rsidRPr="00FB5988" w:rsidRDefault="001434B9" w:rsidP="00567602">
      <w:pPr>
        <w:pStyle w:val="Header1StyleE"/>
        <w:pBdr>
          <w:bottom w:val="single" w:sz="12" w:space="1" w:color="auto"/>
        </w:pBdr>
        <w:rPr>
          <w:lang w:val="fr-CA"/>
        </w:rPr>
      </w:pPr>
      <w:bookmarkStart w:id="8" w:name="_Toc65833389"/>
      <w:r w:rsidRPr="00FB5988">
        <w:rPr>
          <w:lang w:val="fr-CA"/>
        </w:rPr>
        <w:lastRenderedPageBreak/>
        <w:t>Pronouncements of reserved</w:t>
      </w:r>
      <w:r w:rsidR="00271E1E" w:rsidRPr="00FB5988">
        <w:rPr>
          <w:lang w:val="fr-CA"/>
        </w:rPr>
        <w:t xml:space="preserve"> appeals / </w:t>
      </w:r>
      <w:r w:rsidR="00567602" w:rsidRPr="00FB5988">
        <w:rPr>
          <w:lang w:val="fr-CA"/>
        </w:rPr>
        <w:br/>
      </w:r>
      <w:r w:rsidRPr="00FB5988">
        <w:rPr>
          <w:lang w:val="fr-CA"/>
        </w:rPr>
        <w:t>Jugements rendus sur les appels en délibéré</w:t>
      </w:r>
      <w:bookmarkEnd w:id="8"/>
    </w:p>
    <w:p w:rsidR="00FF6EEC" w:rsidRPr="00FB5988" w:rsidRDefault="00FF6EEC" w:rsidP="00FF6EEC">
      <w:pPr>
        <w:rPr>
          <w:sz w:val="20"/>
          <w:szCs w:val="20"/>
          <w:lang w:val="fr-CA"/>
        </w:rPr>
      </w:pPr>
    </w:p>
    <w:p w:rsidR="00102792" w:rsidRPr="00FB5988" w:rsidRDefault="00403F21" w:rsidP="00102792">
      <w:pPr>
        <w:rPr>
          <w:b/>
          <w:sz w:val="20"/>
          <w:szCs w:val="20"/>
          <w:lang w:val="en-US"/>
        </w:rPr>
      </w:pPr>
      <w:r w:rsidRPr="00FB5988">
        <w:rPr>
          <w:b/>
          <w:sz w:val="20"/>
          <w:szCs w:val="20"/>
          <w:lang w:val="en-US"/>
        </w:rPr>
        <w:t>MARCH</w:t>
      </w:r>
      <w:r w:rsidR="00102792" w:rsidRPr="00FB5988">
        <w:rPr>
          <w:b/>
          <w:sz w:val="20"/>
          <w:szCs w:val="20"/>
          <w:lang w:val="en-US"/>
        </w:rPr>
        <w:t xml:space="preserve"> </w:t>
      </w:r>
      <w:r w:rsidRPr="00FB5988">
        <w:rPr>
          <w:b/>
          <w:sz w:val="20"/>
          <w:szCs w:val="20"/>
          <w:lang w:val="en-US"/>
        </w:rPr>
        <w:t>5</w:t>
      </w:r>
      <w:r w:rsidR="00102792" w:rsidRPr="00FB5988">
        <w:rPr>
          <w:b/>
          <w:sz w:val="20"/>
          <w:szCs w:val="20"/>
          <w:lang w:val="en-US"/>
        </w:rPr>
        <w:t xml:space="preserve">, </w:t>
      </w:r>
      <w:r w:rsidR="0034657E" w:rsidRPr="00FB5988">
        <w:rPr>
          <w:b/>
          <w:sz w:val="20"/>
          <w:szCs w:val="20"/>
          <w:lang w:val="en-US"/>
        </w:rPr>
        <w:t>20</w:t>
      </w:r>
      <w:r w:rsidR="00172473" w:rsidRPr="00FB5988">
        <w:rPr>
          <w:b/>
          <w:sz w:val="20"/>
          <w:szCs w:val="20"/>
          <w:lang w:val="en-US"/>
        </w:rPr>
        <w:t>2</w:t>
      </w:r>
      <w:r w:rsidR="009B36BA" w:rsidRPr="00FB5988">
        <w:rPr>
          <w:b/>
          <w:sz w:val="20"/>
          <w:szCs w:val="20"/>
          <w:lang w:val="en-US"/>
        </w:rPr>
        <w:t>1</w:t>
      </w:r>
      <w:r w:rsidR="00102792" w:rsidRPr="00FB5988">
        <w:rPr>
          <w:b/>
          <w:sz w:val="20"/>
          <w:szCs w:val="20"/>
          <w:lang w:val="en-US"/>
        </w:rPr>
        <w:t xml:space="preserve"> / LE </w:t>
      </w:r>
      <w:r w:rsidRPr="00FB5988">
        <w:rPr>
          <w:b/>
          <w:sz w:val="20"/>
          <w:szCs w:val="20"/>
          <w:lang w:val="en-US"/>
        </w:rPr>
        <w:t>5</w:t>
      </w:r>
      <w:r w:rsidR="00102792" w:rsidRPr="00FB5988">
        <w:rPr>
          <w:b/>
          <w:sz w:val="20"/>
          <w:szCs w:val="20"/>
          <w:lang w:val="en-US"/>
        </w:rPr>
        <w:t xml:space="preserve"> </w:t>
      </w:r>
      <w:r w:rsidRPr="00FB5988">
        <w:rPr>
          <w:b/>
          <w:sz w:val="20"/>
          <w:szCs w:val="20"/>
          <w:lang w:val="en-US"/>
        </w:rPr>
        <w:t>MARS</w:t>
      </w:r>
    </w:p>
    <w:p w:rsidR="00102792" w:rsidRPr="00FB5988" w:rsidRDefault="00102792" w:rsidP="00102792">
      <w:pPr>
        <w:rPr>
          <w:sz w:val="20"/>
          <w:szCs w:val="20"/>
          <w:lang w:val="en-US"/>
        </w:rPr>
      </w:pPr>
    </w:p>
    <w:p w:rsidR="00102792" w:rsidRPr="00FB5988" w:rsidRDefault="00102792" w:rsidP="00102792">
      <w:pPr>
        <w:ind w:left="1440" w:hanging="1440"/>
        <w:jc w:val="both"/>
        <w:rPr>
          <w:rFonts w:eastAsia="Times New Roman" w:cs="Times New Roman"/>
          <w:color w:val="000000"/>
          <w:sz w:val="20"/>
          <w:szCs w:val="20"/>
          <w:lang w:val="en-US"/>
        </w:rPr>
      </w:pPr>
      <w:r w:rsidRPr="00FB5988">
        <w:rPr>
          <w:rFonts w:eastAsia="Times New Roman" w:cs="Times New Roman"/>
          <w:b/>
          <w:bCs/>
          <w:color w:val="000000"/>
          <w:sz w:val="20"/>
          <w:szCs w:val="20"/>
          <w:lang w:val="en-US"/>
        </w:rPr>
        <w:t>3</w:t>
      </w:r>
      <w:r w:rsidR="00403F21" w:rsidRPr="00FB5988">
        <w:rPr>
          <w:rFonts w:eastAsia="Times New Roman" w:cs="Times New Roman"/>
          <w:b/>
          <w:bCs/>
          <w:color w:val="000000"/>
          <w:sz w:val="20"/>
          <w:szCs w:val="20"/>
          <w:lang w:val="en-US"/>
        </w:rPr>
        <w:t>8861</w:t>
      </w:r>
      <w:r w:rsidR="00172473" w:rsidRPr="00FB5988">
        <w:rPr>
          <w:rFonts w:eastAsia="Times New Roman" w:cs="Times New Roman"/>
          <w:b/>
          <w:bCs/>
          <w:color w:val="000000"/>
          <w:sz w:val="20"/>
          <w:szCs w:val="20"/>
          <w:lang w:val="en-US"/>
        </w:rPr>
        <w:tab/>
      </w:r>
      <w:r w:rsidR="00403F21" w:rsidRPr="00FB5988">
        <w:rPr>
          <w:b/>
          <w:sz w:val="20"/>
        </w:rPr>
        <w:t xml:space="preserve">Her Majesty </w:t>
      </w:r>
      <w:r w:rsidR="005D4E04" w:rsidRPr="00FB5988">
        <w:rPr>
          <w:b/>
          <w:sz w:val="20"/>
        </w:rPr>
        <w:t>T</w:t>
      </w:r>
      <w:r w:rsidR="00403F21" w:rsidRPr="00FB5988">
        <w:rPr>
          <w:b/>
          <w:sz w:val="20"/>
        </w:rPr>
        <w:t>he Queen in Right of Canada v. Chiheb Esseghaier and Raed Jaser - and - Attorney General of Ontario, Attorney General of Alberta and Criminal Lawyers’ Association (Ontario)</w:t>
      </w:r>
      <w:r w:rsidR="00281DA2" w:rsidRPr="00FB5988">
        <w:rPr>
          <w:rFonts w:eastAsia="Times New Roman" w:cs="Times New Roman"/>
          <w:b/>
          <w:bCs/>
          <w:color w:val="000000"/>
          <w:sz w:val="20"/>
          <w:szCs w:val="20"/>
          <w:lang w:val="en-US"/>
        </w:rPr>
        <w:t xml:space="preserve"> </w:t>
      </w:r>
      <w:r w:rsidRPr="00FB5988">
        <w:rPr>
          <w:rFonts w:eastAsia="Times New Roman" w:cs="Times New Roman"/>
          <w:color w:val="000000"/>
          <w:sz w:val="20"/>
          <w:szCs w:val="20"/>
          <w:lang w:val="en-US"/>
        </w:rPr>
        <w:t>(</w:t>
      </w:r>
      <w:r w:rsidR="00403F21" w:rsidRPr="00FB5988">
        <w:rPr>
          <w:rFonts w:eastAsia="Times New Roman" w:cs="Times New Roman"/>
          <w:color w:val="000000"/>
          <w:sz w:val="20"/>
          <w:szCs w:val="20"/>
          <w:lang w:val="en-US"/>
        </w:rPr>
        <w:t>Ont</w:t>
      </w:r>
      <w:r w:rsidRPr="00FB5988">
        <w:rPr>
          <w:rFonts w:eastAsia="Times New Roman" w:cs="Times New Roman"/>
          <w:color w:val="000000"/>
          <w:sz w:val="20"/>
          <w:szCs w:val="20"/>
          <w:lang w:val="en-US"/>
        </w:rPr>
        <w:t>.)</w:t>
      </w:r>
    </w:p>
    <w:p w:rsidR="00102792" w:rsidRPr="00FB5988" w:rsidRDefault="00102792" w:rsidP="00102792">
      <w:pPr>
        <w:ind w:left="1440"/>
        <w:jc w:val="both"/>
        <w:rPr>
          <w:rFonts w:eastAsia="Times New Roman" w:cs="Times New Roman"/>
          <w:color w:val="000000"/>
          <w:sz w:val="20"/>
          <w:szCs w:val="20"/>
          <w:lang w:val="en-US"/>
        </w:rPr>
      </w:pPr>
      <w:r w:rsidRPr="00FB5988">
        <w:rPr>
          <w:rFonts w:eastAsia="Times New Roman" w:cs="Times New Roman"/>
          <w:b/>
          <w:bCs/>
          <w:color w:val="000000"/>
          <w:sz w:val="20"/>
          <w:szCs w:val="20"/>
          <w:lang w:val="en-US"/>
        </w:rPr>
        <w:t>20</w:t>
      </w:r>
      <w:r w:rsidR="00172473" w:rsidRPr="00FB5988">
        <w:rPr>
          <w:rFonts w:eastAsia="Times New Roman" w:cs="Times New Roman"/>
          <w:b/>
          <w:bCs/>
          <w:color w:val="000000"/>
          <w:sz w:val="20"/>
          <w:szCs w:val="20"/>
          <w:lang w:val="en-US"/>
        </w:rPr>
        <w:t>2</w:t>
      </w:r>
      <w:r w:rsidR="009B36BA" w:rsidRPr="00FB5988">
        <w:rPr>
          <w:rFonts w:eastAsia="Times New Roman" w:cs="Times New Roman"/>
          <w:b/>
          <w:bCs/>
          <w:color w:val="000000"/>
          <w:sz w:val="20"/>
          <w:szCs w:val="20"/>
          <w:lang w:val="en-US"/>
        </w:rPr>
        <w:t>1</w:t>
      </w:r>
      <w:r w:rsidRPr="00FB5988">
        <w:rPr>
          <w:rFonts w:eastAsia="Times New Roman" w:cs="Times New Roman"/>
          <w:b/>
          <w:bCs/>
          <w:color w:val="000000"/>
          <w:sz w:val="20"/>
          <w:szCs w:val="20"/>
          <w:lang w:val="en-US"/>
        </w:rPr>
        <w:t xml:space="preserve"> SCC </w:t>
      </w:r>
      <w:r w:rsidR="00403F21" w:rsidRPr="00FB5988">
        <w:rPr>
          <w:rFonts w:eastAsia="Times New Roman" w:cs="Times New Roman"/>
          <w:b/>
          <w:bCs/>
          <w:color w:val="000000"/>
          <w:sz w:val="20"/>
          <w:szCs w:val="20"/>
          <w:lang w:val="en-US"/>
        </w:rPr>
        <w:t>9</w:t>
      </w:r>
      <w:r w:rsidRPr="00FB5988">
        <w:rPr>
          <w:rFonts w:eastAsia="Times New Roman" w:cs="Times New Roman"/>
          <w:b/>
          <w:bCs/>
          <w:color w:val="000000"/>
          <w:sz w:val="20"/>
          <w:szCs w:val="20"/>
          <w:lang w:val="en-US"/>
        </w:rPr>
        <w:t xml:space="preserve"> / 20</w:t>
      </w:r>
      <w:r w:rsidR="00172473" w:rsidRPr="00FB5988">
        <w:rPr>
          <w:rFonts w:eastAsia="Times New Roman" w:cs="Times New Roman"/>
          <w:b/>
          <w:bCs/>
          <w:color w:val="000000"/>
          <w:sz w:val="20"/>
          <w:szCs w:val="20"/>
          <w:lang w:val="en-US"/>
        </w:rPr>
        <w:t>2</w:t>
      </w:r>
      <w:r w:rsidR="009B36BA" w:rsidRPr="00FB5988">
        <w:rPr>
          <w:rFonts w:eastAsia="Times New Roman" w:cs="Times New Roman"/>
          <w:b/>
          <w:bCs/>
          <w:color w:val="000000"/>
          <w:sz w:val="20"/>
          <w:szCs w:val="20"/>
          <w:lang w:val="en-US"/>
        </w:rPr>
        <w:t>1</w:t>
      </w:r>
      <w:r w:rsidRPr="00FB5988">
        <w:rPr>
          <w:rFonts w:eastAsia="Times New Roman" w:cs="Times New Roman"/>
          <w:b/>
          <w:bCs/>
          <w:color w:val="000000"/>
          <w:sz w:val="20"/>
          <w:szCs w:val="20"/>
          <w:lang w:val="en-US"/>
        </w:rPr>
        <w:t xml:space="preserve"> CSC </w:t>
      </w:r>
      <w:r w:rsidR="00403F21" w:rsidRPr="00FB5988">
        <w:rPr>
          <w:rFonts w:eastAsia="Times New Roman" w:cs="Times New Roman"/>
          <w:b/>
          <w:bCs/>
          <w:color w:val="000000"/>
          <w:sz w:val="20"/>
          <w:szCs w:val="20"/>
          <w:lang w:val="en-US"/>
        </w:rPr>
        <w:t>9</w:t>
      </w:r>
    </w:p>
    <w:p w:rsidR="00102792" w:rsidRPr="00FB5988" w:rsidRDefault="00102792" w:rsidP="00102792">
      <w:pPr>
        <w:jc w:val="both"/>
        <w:rPr>
          <w:rFonts w:eastAsia="Times New Roman" w:cs="Times New Roman"/>
          <w:color w:val="000000"/>
          <w:sz w:val="20"/>
          <w:szCs w:val="20"/>
          <w:lang w:val="en-US"/>
        </w:rPr>
      </w:pPr>
    </w:p>
    <w:p w:rsidR="00102792" w:rsidRPr="00FB5988" w:rsidRDefault="00172473" w:rsidP="00102792">
      <w:pPr>
        <w:ind w:left="1440" w:hanging="1440"/>
        <w:rPr>
          <w:rFonts w:eastAsia="Times New Roman" w:cs="Times New Roman"/>
          <w:color w:val="000000"/>
          <w:sz w:val="20"/>
          <w:szCs w:val="20"/>
          <w:lang w:val="en-US"/>
        </w:rPr>
      </w:pPr>
      <w:r w:rsidRPr="00FB5988">
        <w:rPr>
          <w:rFonts w:eastAsia="Times New Roman" w:cs="Times New Roman"/>
          <w:color w:val="000000"/>
          <w:sz w:val="20"/>
          <w:szCs w:val="20"/>
          <w:lang w:val="en-US"/>
        </w:rPr>
        <w:t>Coram:</w:t>
      </w:r>
      <w:r w:rsidRPr="00FB5988">
        <w:rPr>
          <w:rFonts w:eastAsia="Times New Roman" w:cs="Times New Roman"/>
          <w:color w:val="000000"/>
          <w:sz w:val="20"/>
          <w:szCs w:val="20"/>
          <w:lang w:val="en-US"/>
        </w:rPr>
        <w:tab/>
      </w:r>
      <w:r w:rsidR="00102792" w:rsidRPr="00FB5988">
        <w:rPr>
          <w:rFonts w:eastAsia="Times New Roman" w:cs="Times New Roman"/>
          <w:color w:val="000000"/>
          <w:sz w:val="20"/>
          <w:szCs w:val="20"/>
          <w:lang w:val="en-US"/>
        </w:rPr>
        <w:t>Wagner C.J. and Abella, Moldaver, Karakatsanis, Côté, Brown, Rowe</w:t>
      </w:r>
      <w:r w:rsidRPr="00FB5988">
        <w:rPr>
          <w:rFonts w:eastAsia="Times New Roman" w:cs="Times New Roman"/>
          <w:color w:val="000000"/>
          <w:sz w:val="20"/>
          <w:szCs w:val="20"/>
          <w:lang w:val="en-US"/>
        </w:rPr>
        <w:t xml:space="preserve">, </w:t>
      </w:r>
      <w:r w:rsidR="00102792" w:rsidRPr="00FB5988">
        <w:rPr>
          <w:rFonts w:eastAsia="Times New Roman" w:cs="Times New Roman"/>
          <w:color w:val="000000"/>
          <w:sz w:val="20"/>
          <w:szCs w:val="20"/>
          <w:lang w:val="en-US"/>
        </w:rPr>
        <w:t>Martin</w:t>
      </w:r>
      <w:r w:rsidRPr="00FB5988">
        <w:rPr>
          <w:rFonts w:eastAsia="Times New Roman" w:cs="Times New Roman"/>
          <w:color w:val="000000"/>
          <w:sz w:val="20"/>
          <w:szCs w:val="20"/>
          <w:lang w:val="en-US"/>
        </w:rPr>
        <w:t xml:space="preserve"> and Kasirer</w:t>
      </w:r>
      <w:r w:rsidR="00102792" w:rsidRPr="00FB5988">
        <w:rPr>
          <w:rFonts w:eastAsia="Times New Roman" w:cs="Times New Roman"/>
          <w:color w:val="000000"/>
          <w:sz w:val="20"/>
          <w:szCs w:val="20"/>
          <w:lang w:val="en-US"/>
        </w:rPr>
        <w:t xml:space="preserve"> JJ.</w:t>
      </w:r>
    </w:p>
    <w:p w:rsidR="00102792" w:rsidRPr="00FB5988" w:rsidRDefault="00102792" w:rsidP="00102792">
      <w:pPr>
        <w:ind w:left="1440" w:hanging="1440"/>
        <w:rPr>
          <w:rFonts w:eastAsia="Times New Roman" w:cs="Times New Roman"/>
          <w:color w:val="000000"/>
          <w:sz w:val="20"/>
          <w:szCs w:val="20"/>
          <w:lang w:val="en-US"/>
        </w:rPr>
      </w:pPr>
    </w:p>
    <w:p w:rsidR="00403F21" w:rsidRPr="00FB5988" w:rsidRDefault="00403F21" w:rsidP="00403F21">
      <w:pPr>
        <w:rPr>
          <w:rStyle w:val="SCCSsocChar0"/>
          <w:b/>
          <w:i w:val="0"/>
          <w:sz w:val="20"/>
        </w:rPr>
      </w:pPr>
      <w:r w:rsidRPr="00FB5988">
        <w:rPr>
          <w:b/>
          <w:sz w:val="20"/>
        </w:rPr>
        <w:t>REASONS RELEASED / MOTIFS DÉPOSÉS</w:t>
      </w:r>
    </w:p>
    <w:p w:rsidR="00102792" w:rsidRPr="00FB5988" w:rsidRDefault="00102792" w:rsidP="00102792">
      <w:pPr>
        <w:rPr>
          <w:sz w:val="20"/>
          <w:szCs w:val="20"/>
          <w:lang w:val="fr-CA"/>
        </w:rPr>
      </w:pPr>
    </w:p>
    <w:p w:rsidR="00102792" w:rsidRPr="00FB5988" w:rsidRDefault="00EB6AAD" w:rsidP="00102792">
      <w:pPr>
        <w:rPr>
          <w:sz w:val="20"/>
          <w:szCs w:val="20"/>
          <w:lang w:val="fr-CA"/>
        </w:rPr>
      </w:pPr>
      <w:hyperlink r:id="rId61" w:history="1">
        <w:r w:rsidR="00506BE1" w:rsidRPr="00FB5988">
          <w:rPr>
            <w:rStyle w:val="Hyperlink"/>
            <w:sz w:val="20"/>
            <w:szCs w:val="20"/>
            <w:lang w:val="fr-CA"/>
          </w:rPr>
          <w:t xml:space="preserve">LINK TO </w:t>
        </w:r>
        <w:r w:rsidR="00D82BFF" w:rsidRPr="00FB5988">
          <w:rPr>
            <w:rStyle w:val="Hyperlink"/>
            <w:sz w:val="20"/>
            <w:szCs w:val="20"/>
            <w:lang w:val="fr-CA"/>
          </w:rPr>
          <w:t>REASONS</w:t>
        </w:r>
      </w:hyperlink>
      <w:r w:rsidR="00102792" w:rsidRPr="00FB5988">
        <w:rPr>
          <w:sz w:val="20"/>
          <w:szCs w:val="20"/>
          <w:lang w:val="fr-CA"/>
        </w:rPr>
        <w:t xml:space="preserve"> / </w:t>
      </w:r>
      <w:hyperlink r:id="rId62" w:history="1">
        <w:r w:rsidR="00D82BFF" w:rsidRPr="00FB5988">
          <w:rPr>
            <w:rStyle w:val="Hyperlink"/>
            <w:sz w:val="20"/>
            <w:szCs w:val="20"/>
            <w:lang w:val="fr-CA"/>
          </w:rPr>
          <w:t>LIEN VERS LES MOTIFS</w:t>
        </w:r>
      </w:hyperlink>
    </w:p>
    <w:p w:rsidR="00102792" w:rsidRPr="00FB5988" w:rsidRDefault="00102792" w:rsidP="00102792">
      <w:pPr>
        <w:rPr>
          <w:sz w:val="20"/>
          <w:szCs w:val="20"/>
          <w:lang w:val="fr-CA"/>
        </w:rPr>
      </w:pPr>
    </w:p>
    <w:p w:rsidR="00D004FC" w:rsidRPr="00FB5988" w:rsidRDefault="00EB6AAD" w:rsidP="00102792">
      <w:pPr>
        <w:jc w:val="both"/>
        <w:rPr>
          <w:rFonts w:cs="Times New Roman"/>
          <w:b/>
          <w:sz w:val="20"/>
          <w:szCs w:val="20"/>
        </w:rPr>
      </w:pPr>
      <w:r>
        <w:rPr>
          <w:b/>
          <w:sz w:val="20"/>
          <w:szCs w:val="20"/>
        </w:rPr>
        <w:pict>
          <v:rect id="_x0000_i1056" style="width:144.3pt;height:1pt" o:hrpct="300" o:hralign="center" o:hrstd="t" o:hrnoshade="t" o:hr="t" fillcolor="black [3213]" stroked="f"/>
        </w:pict>
      </w:r>
    </w:p>
    <w:p w:rsidR="00D004FC" w:rsidRPr="00FB5988" w:rsidRDefault="00D004FC" w:rsidP="00D004FC">
      <w:pPr>
        <w:jc w:val="both"/>
        <w:rPr>
          <w:rFonts w:cs="Times New Roman"/>
          <w:sz w:val="20"/>
          <w:szCs w:val="20"/>
        </w:rPr>
      </w:pPr>
    </w:p>
    <w:p w:rsidR="00281DA2" w:rsidRPr="00FB5988" w:rsidRDefault="00281DA2" w:rsidP="00D004FC">
      <w:pPr>
        <w:jc w:val="both"/>
        <w:rPr>
          <w:rFonts w:cs="Times New Roman"/>
          <w:sz w:val="20"/>
          <w:szCs w:val="20"/>
        </w:rPr>
      </w:pPr>
    </w:p>
    <w:p w:rsidR="0056248C" w:rsidRPr="00FB5988" w:rsidRDefault="0056248C" w:rsidP="00091BA6">
      <w:pPr>
        <w:rPr>
          <w:sz w:val="20"/>
          <w:szCs w:val="20"/>
          <w:lang w:val="fr-CA"/>
        </w:rPr>
      </w:pPr>
    </w:p>
    <w:p w:rsidR="00102926" w:rsidRPr="00FB5988" w:rsidRDefault="00102926" w:rsidP="00782AE4">
      <w:pPr>
        <w:jc w:val="both"/>
        <w:rPr>
          <w:sz w:val="20"/>
          <w:szCs w:val="20"/>
        </w:rPr>
        <w:sectPr w:rsidR="00102926" w:rsidRPr="00FB5988" w:rsidSect="00782AE4">
          <w:headerReference w:type="even" r:id="rId63"/>
          <w:headerReference w:type="default" r:id="rId64"/>
          <w:footerReference w:type="even" r:id="rId65"/>
          <w:footerReference w:type="default" r:id="rId66"/>
          <w:headerReference w:type="first" r:id="rId67"/>
          <w:footerReference w:type="first" r:id="rId68"/>
          <w:pgSz w:w="12240" w:h="15840"/>
          <w:pgMar w:top="720" w:right="965" w:bottom="1080" w:left="1656" w:header="576" w:footer="960" w:gutter="0"/>
          <w:cols w:space="720"/>
          <w:titlePg/>
          <w:docGrid w:linePitch="272"/>
        </w:sectPr>
      </w:pPr>
    </w:p>
    <w:p w:rsidR="00567602" w:rsidRPr="00FB5988" w:rsidRDefault="001434B9" w:rsidP="001434B9">
      <w:pPr>
        <w:pStyle w:val="Header1StyleE"/>
        <w:pBdr>
          <w:bottom w:val="single" w:sz="12" w:space="0" w:color="auto"/>
        </w:pBdr>
        <w:rPr>
          <w:lang w:val="fr-CA"/>
        </w:rPr>
      </w:pPr>
      <w:bookmarkStart w:id="9" w:name="_Toc65833390"/>
      <w:r w:rsidRPr="00FB5988">
        <w:rPr>
          <w:lang w:val="fr-CA"/>
        </w:rPr>
        <w:lastRenderedPageBreak/>
        <w:t xml:space="preserve">Agenda and case summaries for </w:t>
      </w:r>
      <w:r w:rsidR="00403F21" w:rsidRPr="00FB5988">
        <w:rPr>
          <w:lang w:val="fr-CA"/>
        </w:rPr>
        <w:t>March</w:t>
      </w:r>
      <w:r w:rsidR="00567602" w:rsidRPr="00FB5988">
        <w:rPr>
          <w:lang w:val="fr-CA"/>
        </w:rPr>
        <w:t xml:space="preserve"> </w:t>
      </w:r>
      <w:r w:rsidR="0034657E" w:rsidRPr="00FB5988">
        <w:rPr>
          <w:lang w:val="fr-CA"/>
        </w:rPr>
        <w:t>20</w:t>
      </w:r>
      <w:r w:rsidR="00172473" w:rsidRPr="00FB5988">
        <w:rPr>
          <w:lang w:val="fr-CA"/>
        </w:rPr>
        <w:t>2</w:t>
      </w:r>
      <w:r w:rsidR="009B36BA" w:rsidRPr="00FB5988">
        <w:rPr>
          <w:lang w:val="fr-CA"/>
        </w:rPr>
        <w:t>1</w:t>
      </w:r>
      <w:r w:rsidR="00271E1E" w:rsidRPr="00FB5988">
        <w:rPr>
          <w:lang w:val="fr-CA"/>
        </w:rPr>
        <w:t xml:space="preserve"> / </w:t>
      </w:r>
      <w:r w:rsidR="00567602" w:rsidRPr="00FB5988">
        <w:rPr>
          <w:lang w:val="fr-CA"/>
        </w:rPr>
        <w:br/>
      </w:r>
      <w:r w:rsidRPr="00FB5988">
        <w:rPr>
          <w:lang w:val="fr-CA"/>
        </w:rPr>
        <w:t>Calendrier et sommaires des causes d</w:t>
      </w:r>
      <w:r w:rsidR="00172473" w:rsidRPr="00FB5988">
        <w:rPr>
          <w:lang w:val="fr-CA"/>
        </w:rPr>
        <w:t xml:space="preserve">e </w:t>
      </w:r>
      <w:r w:rsidR="00403F21" w:rsidRPr="00FB5988">
        <w:rPr>
          <w:lang w:val="fr-CA"/>
        </w:rPr>
        <w:t>March</w:t>
      </w:r>
      <w:r w:rsidR="00172473" w:rsidRPr="00FB5988">
        <w:rPr>
          <w:lang w:val="fr-CA"/>
        </w:rPr>
        <w:t xml:space="preserve"> </w:t>
      </w:r>
      <w:r w:rsidR="0034657E" w:rsidRPr="00FB5988">
        <w:rPr>
          <w:lang w:val="fr-CA"/>
        </w:rPr>
        <w:t>20</w:t>
      </w:r>
      <w:r w:rsidR="00172473" w:rsidRPr="00FB5988">
        <w:rPr>
          <w:lang w:val="fr-CA"/>
        </w:rPr>
        <w:t>2</w:t>
      </w:r>
      <w:r w:rsidR="009B36BA" w:rsidRPr="00FB5988">
        <w:rPr>
          <w:lang w:val="fr-CA"/>
        </w:rPr>
        <w:t>1</w:t>
      </w:r>
      <w:bookmarkEnd w:id="9"/>
    </w:p>
    <w:p w:rsidR="00567602" w:rsidRPr="00FB5988" w:rsidRDefault="00567602" w:rsidP="004B66B4">
      <w:pPr>
        <w:rPr>
          <w:sz w:val="20"/>
          <w:szCs w:val="20"/>
          <w:lang w:val="fr-CA"/>
        </w:rPr>
      </w:pPr>
    </w:p>
    <w:p w:rsidR="00102926" w:rsidRPr="00FB5988" w:rsidRDefault="00403F21" w:rsidP="00782AE4">
      <w:pPr>
        <w:jc w:val="both"/>
        <w:rPr>
          <w:b/>
          <w:sz w:val="20"/>
          <w:szCs w:val="20"/>
          <w:lang w:val="fr-CA"/>
        </w:rPr>
      </w:pPr>
      <w:r w:rsidRPr="00FB5988">
        <w:rPr>
          <w:b/>
          <w:sz w:val="20"/>
          <w:szCs w:val="20"/>
          <w:lang w:val="fr-CA"/>
        </w:rPr>
        <w:t>MARCH</w:t>
      </w:r>
      <w:r w:rsidR="00102792" w:rsidRPr="00FB5988">
        <w:rPr>
          <w:b/>
          <w:sz w:val="20"/>
          <w:szCs w:val="20"/>
          <w:lang w:val="fr-CA"/>
        </w:rPr>
        <w:t xml:space="preserve"> </w:t>
      </w:r>
      <w:r w:rsidRPr="00FB5988">
        <w:rPr>
          <w:b/>
          <w:sz w:val="20"/>
          <w:szCs w:val="20"/>
          <w:lang w:val="fr-CA"/>
        </w:rPr>
        <w:t>5</w:t>
      </w:r>
      <w:r w:rsidR="00102792" w:rsidRPr="00FB5988">
        <w:rPr>
          <w:b/>
          <w:sz w:val="20"/>
          <w:szCs w:val="20"/>
          <w:lang w:val="fr-CA"/>
        </w:rPr>
        <w:t xml:space="preserve">, </w:t>
      </w:r>
      <w:r w:rsidR="0034657E" w:rsidRPr="00FB5988">
        <w:rPr>
          <w:b/>
          <w:sz w:val="20"/>
          <w:szCs w:val="20"/>
          <w:lang w:val="fr-CA"/>
        </w:rPr>
        <w:t>20</w:t>
      </w:r>
      <w:r w:rsidR="00172473" w:rsidRPr="00FB5988">
        <w:rPr>
          <w:b/>
          <w:sz w:val="20"/>
          <w:szCs w:val="20"/>
          <w:lang w:val="fr-CA"/>
        </w:rPr>
        <w:t>2</w:t>
      </w:r>
      <w:r w:rsidR="00873743" w:rsidRPr="00FB5988">
        <w:rPr>
          <w:b/>
          <w:sz w:val="20"/>
          <w:szCs w:val="20"/>
          <w:lang w:val="fr-CA"/>
        </w:rPr>
        <w:t>1</w:t>
      </w:r>
      <w:r w:rsidR="00102792" w:rsidRPr="00FB5988">
        <w:rPr>
          <w:b/>
          <w:sz w:val="20"/>
          <w:szCs w:val="20"/>
          <w:lang w:val="fr-CA"/>
        </w:rPr>
        <w:t xml:space="preserve"> / LE </w:t>
      </w:r>
      <w:r w:rsidRPr="00FB5988">
        <w:rPr>
          <w:b/>
          <w:sz w:val="20"/>
          <w:szCs w:val="20"/>
          <w:lang w:val="fr-CA"/>
        </w:rPr>
        <w:t>5</w:t>
      </w:r>
      <w:r w:rsidR="00102792" w:rsidRPr="00FB5988">
        <w:rPr>
          <w:b/>
          <w:sz w:val="20"/>
          <w:szCs w:val="20"/>
          <w:lang w:val="fr-CA"/>
        </w:rPr>
        <w:t xml:space="preserve"> </w:t>
      </w:r>
      <w:r w:rsidRPr="00FB5988">
        <w:rPr>
          <w:b/>
          <w:sz w:val="20"/>
          <w:szCs w:val="20"/>
          <w:lang w:val="fr-CA"/>
        </w:rPr>
        <w:t>MARS</w:t>
      </w:r>
      <w:r w:rsidR="00102792" w:rsidRPr="00FB5988">
        <w:rPr>
          <w:b/>
          <w:sz w:val="20"/>
          <w:szCs w:val="20"/>
          <w:lang w:val="fr-CA"/>
        </w:rPr>
        <w:t xml:space="preserve"> </w:t>
      </w:r>
      <w:r w:rsidR="0034657E" w:rsidRPr="00FB5988">
        <w:rPr>
          <w:b/>
          <w:sz w:val="20"/>
          <w:szCs w:val="20"/>
          <w:lang w:val="fr-CA"/>
        </w:rPr>
        <w:t>20</w:t>
      </w:r>
      <w:r w:rsidR="00172473" w:rsidRPr="00FB5988">
        <w:rPr>
          <w:b/>
          <w:sz w:val="20"/>
          <w:szCs w:val="20"/>
          <w:lang w:val="fr-CA"/>
        </w:rPr>
        <w:t>2</w:t>
      </w:r>
      <w:r w:rsidR="00873743" w:rsidRPr="00FB5988">
        <w:rPr>
          <w:b/>
          <w:sz w:val="20"/>
          <w:szCs w:val="20"/>
          <w:lang w:val="fr-CA"/>
        </w:rPr>
        <w:t>1</w:t>
      </w:r>
    </w:p>
    <w:p w:rsidR="00102792" w:rsidRPr="00FB5988" w:rsidRDefault="00102792" w:rsidP="00782AE4">
      <w:pPr>
        <w:jc w:val="both"/>
        <w:rPr>
          <w:sz w:val="20"/>
          <w:szCs w:val="20"/>
          <w:lang w:val="fr-CA"/>
        </w:rPr>
      </w:pPr>
    </w:p>
    <w:tbl>
      <w:tblPr>
        <w:tblW w:w="9570" w:type="dxa"/>
        <w:tblCellMar>
          <w:left w:w="0" w:type="dxa"/>
          <w:right w:w="0" w:type="dxa"/>
        </w:tblCellMar>
        <w:tblLook w:val="04A0" w:firstRow="1" w:lastRow="0" w:firstColumn="1" w:lastColumn="0" w:noHBand="0" w:noVBand="1"/>
      </w:tblPr>
      <w:tblGrid>
        <w:gridCol w:w="2397"/>
        <w:gridCol w:w="7173"/>
      </w:tblGrid>
      <w:tr w:rsidR="00102792" w:rsidRPr="00EB6AAD" w:rsidTr="00E6166B">
        <w:tc>
          <w:tcPr>
            <w:tcW w:w="2397" w:type="dxa"/>
            <w:tcMar>
              <w:top w:w="58" w:type="dxa"/>
              <w:left w:w="58" w:type="dxa"/>
              <w:bottom w:w="58" w:type="dxa"/>
              <w:right w:w="58" w:type="dxa"/>
            </w:tcMar>
            <w:hideMark/>
          </w:tcPr>
          <w:p w:rsidR="00102792" w:rsidRPr="00FB5988" w:rsidRDefault="00102792">
            <w:pPr>
              <w:rPr>
                <w:b/>
                <w:color w:val="000000"/>
                <w:lang w:val="en-US"/>
              </w:rPr>
            </w:pPr>
            <w:r w:rsidRPr="00FB5988">
              <w:rPr>
                <w:b/>
                <w:color w:val="000000"/>
                <w:sz w:val="20"/>
                <w:szCs w:val="20"/>
              </w:rPr>
              <w:t>DATE OF HEARING /</w:t>
            </w:r>
          </w:p>
          <w:p w:rsidR="00102792" w:rsidRPr="00FB5988" w:rsidRDefault="00102792">
            <w:pPr>
              <w:rPr>
                <w:color w:val="000000"/>
              </w:rPr>
            </w:pPr>
            <w:r w:rsidRPr="00FB5988">
              <w:rPr>
                <w:b/>
                <w:color w:val="000000"/>
                <w:sz w:val="20"/>
                <w:szCs w:val="20"/>
              </w:rPr>
              <w:t>DATE D’AUDITION</w:t>
            </w:r>
          </w:p>
        </w:tc>
        <w:tc>
          <w:tcPr>
            <w:tcW w:w="7173" w:type="dxa"/>
            <w:tcMar>
              <w:top w:w="58" w:type="dxa"/>
              <w:left w:w="58" w:type="dxa"/>
              <w:bottom w:w="58" w:type="dxa"/>
              <w:right w:w="58" w:type="dxa"/>
            </w:tcMar>
            <w:hideMark/>
          </w:tcPr>
          <w:p w:rsidR="00102792" w:rsidRPr="00FB5988" w:rsidRDefault="00102792">
            <w:pPr>
              <w:rPr>
                <w:b/>
                <w:color w:val="000000"/>
                <w:lang w:val="fr-CA"/>
              </w:rPr>
            </w:pPr>
            <w:r w:rsidRPr="00FB5988">
              <w:rPr>
                <w:b/>
                <w:color w:val="000000"/>
                <w:sz w:val="20"/>
                <w:szCs w:val="20"/>
                <w:lang w:val="fr-CA"/>
              </w:rPr>
              <w:t>NAME AND CASE NUMBER /</w:t>
            </w:r>
          </w:p>
          <w:p w:rsidR="00102792" w:rsidRPr="00FB5988" w:rsidRDefault="00102792">
            <w:pPr>
              <w:rPr>
                <w:color w:val="000000"/>
                <w:lang w:val="fr-CA"/>
              </w:rPr>
            </w:pPr>
            <w:r w:rsidRPr="00FB5988">
              <w:rPr>
                <w:b/>
                <w:color w:val="000000"/>
                <w:sz w:val="20"/>
                <w:szCs w:val="20"/>
                <w:lang w:val="fr-CA"/>
              </w:rPr>
              <w:t>NOM DE LA CAUSE ET NUMÉRO</w:t>
            </w:r>
          </w:p>
        </w:tc>
      </w:tr>
      <w:tr w:rsidR="00102792" w:rsidRPr="00FB5988" w:rsidTr="00102792">
        <w:tc>
          <w:tcPr>
            <w:tcW w:w="2398" w:type="dxa"/>
            <w:tcMar>
              <w:top w:w="58" w:type="dxa"/>
              <w:left w:w="58" w:type="dxa"/>
              <w:bottom w:w="58" w:type="dxa"/>
              <w:right w:w="58" w:type="dxa"/>
            </w:tcMar>
            <w:hideMark/>
          </w:tcPr>
          <w:p w:rsidR="00102792" w:rsidRPr="00FB5988" w:rsidRDefault="00102792" w:rsidP="00AA42EB">
            <w:pPr>
              <w:rPr>
                <w:color w:val="000000"/>
              </w:rPr>
            </w:pPr>
            <w:r w:rsidRPr="00FB5988">
              <w:rPr>
                <w:color w:val="000000"/>
                <w:sz w:val="20"/>
                <w:szCs w:val="20"/>
              </w:rPr>
              <w:t>20</w:t>
            </w:r>
            <w:r w:rsidR="00172473" w:rsidRPr="00FB5988">
              <w:rPr>
                <w:color w:val="000000"/>
                <w:sz w:val="20"/>
                <w:szCs w:val="20"/>
              </w:rPr>
              <w:t>2</w:t>
            </w:r>
            <w:r w:rsidR="00873743" w:rsidRPr="00FB5988">
              <w:rPr>
                <w:color w:val="000000"/>
                <w:sz w:val="20"/>
                <w:szCs w:val="20"/>
              </w:rPr>
              <w:t>1</w:t>
            </w:r>
            <w:r w:rsidRPr="00FB5988">
              <w:rPr>
                <w:color w:val="000000"/>
                <w:sz w:val="20"/>
                <w:szCs w:val="20"/>
              </w:rPr>
              <w:t>-</w:t>
            </w:r>
            <w:r w:rsidR="00172473" w:rsidRPr="00FB5988">
              <w:rPr>
                <w:color w:val="000000"/>
                <w:sz w:val="20"/>
                <w:szCs w:val="20"/>
              </w:rPr>
              <w:t>0</w:t>
            </w:r>
            <w:r w:rsidR="00AA42EB" w:rsidRPr="00FB5988">
              <w:rPr>
                <w:color w:val="000000"/>
                <w:sz w:val="20"/>
                <w:szCs w:val="20"/>
              </w:rPr>
              <w:t>3</w:t>
            </w:r>
            <w:r w:rsidRPr="00FB5988">
              <w:rPr>
                <w:color w:val="000000"/>
                <w:sz w:val="20"/>
                <w:szCs w:val="20"/>
              </w:rPr>
              <w:t>-</w:t>
            </w:r>
            <w:r w:rsidR="00AA42EB" w:rsidRPr="00FB5988">
              <w:rPr>
                <w:color w:val="000000"/>
                <w:sz w:val="20"/>
                <w:szCs w:val="20"/>
              </w:rPr>
              <w:t>16</w:t>
            </w:r>
          </w:p>
        </w:tc>
        <w:tc>
          <w:tcPr>
            <w:tcW w:w="7178" w:type="dxa"/>
            <w:tcMar>
              <w:top w:w="58" w:type="dxa"/>
              <w:left w:w="58" w:type="dxa"/>
              <w:bottom w:w="58" w:type="dxa"/>
              <w:right w:w="58" w:type="dxa"/>
            </w:tcMar>
            <w:hideMark/>
          </w:tcPr>
          <w:p w:rsidR="00102792" w:rsidRPr="00FB5988" w:rsidRDefault="00AA42EB">
            <w:pPr>
              <w:rPr>
                <w:color w:val="000000"/>
              </w:rPr>
            </w:pPr>
            <w:r w:rsidRPr="00FB5988">
              <w:rPr>
                <w:i/>
                <w:iCs/>
                <w:color w:val="333333"/>
                <w:sz w:val="20"/>
              </w:rPr>
              <w:t xml:space="preserve">City of Toronto v. Attorney General of Ontario </w:t>
            </w:r>
            <w:r w:rsidRPr="00FB5988">
              <w:rPr>
                <w:color w:val="333333"/>
                <w:sz w:val="20"/>
              </w:rPr>
              <w:t>(Ont.) (Civil) (By Leave) (</w:t>
            </w:r>
            <w:hyperlink r:id="rId69" w:history="1">
              <w:r w:rsidRPr="00FB5988">
                <w:rPr>
                  <w:rStyle w:val="Hyperlink"/>
                  <w:sz w:val="20"/>
                </w:rPr>
                <w:t>38921</w:t>
              </w:r>
            </w:hyperlink>
            <w:r w:rsidRPr="00FB5988">
              <w:rPr>
                <w:color w:val="333333"/>
                <w:sz w:val="20"/>
              </w:rPr>
              <w:t>)</w:t>
            </w:r>
          </w:p>
        </w:tc>
      </w:tr>
      <w:tr w:rsidR="00102792" w:rsidRPr="00FB5988" w:rsidTr="00102792">
        <w:tc>
          <w:tcPr>
            <w:tcW w:w="2398" w:type="dxa"/>
            <w:tcMar>
              <w:top w:w="58" w:type="dxa"/>
              <w:left w:w="58" w:type="dxa"/>
              <w:bottom w:w="58" w:type="dxa"/>
              <w:right w:w="58" w:type="dxa"/>
            </w:tcMar>
            <w:hideMark/>
          </w:tcPr>
          <w:p w:rsidR="00102792" w:rsidRPr="00FB5988" w:rsidRDefault="00102792" w:rsidP="00AA42EB">
            <w:pPr>
              <w:rPr>
                <w:color w:val="000000"/>
              </w:rPr>
            </w:pPr>
            <w:r w:rsidRPr="00FB5988">
              <w:rPr>
                <w:color w:val="000000"/>
                <w:sz w:val="20"/>
                <w:szCs w:val="20"/>
              </w:rPr>
              <w:t>20</w:t>
            </w:r>
            <w:r w:rsidR="00172473" w:rsidRPr="00FB5988">
              <w:rPr>
                <w:color w:val="000000"/>
                <w:sz w:val="20"/>
                <w:szCs w:val="20"/>
              </w:rPr>
              <w:t>2</w:t>
            </w:r>
            <w:r w:rsidR="00873743" w:rsidRPr="00FB5988">
              <w:rPr>
                <w:color w:val="000000"/>
                <w:sz w:val="20"/>
                <w:szCs w:val="20"/>
              </w:rPr>
              <w:t>1</w:t>
            </w:r>
            <w:r w:rsidRPr="00FB5988">
              <w:rPr>
                <w:color w:val="000000"/>
                <w:sz w:val="20"/>
                <w:szCs w:val="20"/>
              </w:rPr>
              <w:t>-</w:t>
            </w:r>
            <w:r w:rsidR="00172473" w:rsidRPr="00FB5988">
              <w:rPr>
                <w:color w:val="000000"/>
                <w:sz w:val="20"/>
                <w:szCs w:val="20"/>
              </w:rPr>
              <w:t>0</w:t>
            </w:r>
            <w:r w:rsidR="00AA42EB" w:rsidRPr="00FB5988">
              <w:rPr>
                <w:color w:val="000000"/>
                <w:sz w:val="20"/>
                <w:szCs w:val="20"/>
              </w:rPr>
              <w:t>3</w:t>
            </w:r>
            <w:r w:rsidRPr="00FB5988">
              <w:rPr>
                <w:color w:val="000000"/>
                <w:sz w:val="20"/>
                <w:szCs w:val="20"/>
              </w:rPr>
              <w:t>-</w:t>
            </w:r>
            <w:r w:rsidR="00AA42EB" w:rsidRPr="00FB5988">
              <w:rPr>
                <w:color w:val="000000"/>
                <w:sz w:val="20"/>
                <w:szCs w:val="20"/>
              </w:rPr>
              <w:t>17</w:t>
            </w:r>
          </w:p>
        </w:tc>
        <w:tc>
          <w:tcPr>
            <w:tcW w:w="7178" w:type="dxa"/>
            <w:tcMar>
              <w:top w:w="58" w:type="dxa"/>
              <w:left w:w="58" w:type="dxa"/>
              <w:bottom w:w="58" w:type="dxa"/>
              <w:right w:w="58" w:type="dxa"/>
            </w:tcMar>
            <w:hideMark/>
          </w:tcPr>
          <w:p w:rsidR="00102792" w:rsidRPr="00FB5988" w:rsidRDefault="00AA42EB">
            <w:pPr>
              <w:rPr>
                <w:color w:val="000000"/>
                <w:lang w:val="fr-CA"/>
              </w:rPr>
            </w:pPr>
            <w:r w:rsidRPr="00FB5988">
              <w:rPr>
                <w:i/>
                <w:iCs/>
                <w:color w:val="333333"/>
                <w:sz w:val="20"/>
              </w:rPr>
              <w:t xml:space="preserve">Canadian Broadcasting Corporation v. Her Majesty the Queen, et al. </w:t>
            </w:r>
            <w:r w:rsidRPr="00FB5988">
              <w:rPr>
                <w:color w:val="333333"/>
                <w:sz w:val="20"/>
              </w:rPr>
              <w:t>(Man.) (Civil) (By Leave) (</w:t>
            </w:r>
            <w:hyperlink r:id="rId70" w:history="1">
              <w:r w:rsidRPr="00FB5988">
                <w:rPr>
                  <w:rStyle w:val="Hyperlink"/>
                  <w:sz w:val="20"/>
                </w:rPr>
                <w:t>38992</w:t>
              </w:r>
            </w:hyperlink>
            <w:r w:rsidRPr="00FB5988">
              <w:rPr>
                <w:color w:val="333333"/>
                <w:sz w:val="20"/>
              </w:rPr>
              <w:t>)</w:t>
            </w:r>
          </w:p>
        </w:tc>
      </w:tr>
      <w:tr w:rsidR="00102792" w:rsidRPr="00FB5988" w:rsidTr="00102792">
        <w:tc>
          <w:tcPr>
            <w:tcW w:w="2398" w:type="dxa"/>
            <w:tcMar>
              <w:top w:w="58" w:type="dxa"/>
              <w:left w:w="58" w:type="dxa"/>
              <w:bottom w:w="58" w:type="dxa"/>
              <w:right w:w="58" w:type="dxa"/>
            </w:tcMar>
            <w:hideMark/>
          </w:tcPr>
          <w:p w:rsidR="00102792" w:rsidRPr="00FB5988" w:rsidRDefault="00102792" w:rsidP="00AA42EB">
            <w:pPr>
              <w:rPr>
                <w:color w:val="000000"/>
              </w:rPr>
            </w:pPr>
            <w:r w:rsidRPr="00FB5988">
              <w:rPr>
                <w:color w:val="000000"/>
                <w:sz w:val="20"/>
                <w:szCs w:val="20"/>
              </w:rPr>
              <w:t>20</w:t>
            </w:r>
            <w:r w:rsidR="00172473" w:rsidRPr="00FB5988">
              <w:rPr>
                <w:color w:val="000000"/>
                <w:sz w:val="20"/>
                <w:szCs w:val="20"/>
              </w:rPr>
              <w:t>2</w:t>
            </w:r>
            <w:r w:rsidR="00873743" w:rsidRPr="00FB5988">
              <w:rPr>
                <w:color w:val="000000"/>
                <w:sz w:val="20"/>
                <w:szCs w:val="20"/>
              </w:rPr>
              <w:t>1</w:t>
            </w:r>
            <w:r w:rsidRPr="00FB5988">
              <w:rPr>
                <w:color w:val="000000"/>
                <w:sz w:val="20"/>
                <w:szCs w:val="20"/>
              </w:rPr>
              <w:t>-</w:t>
            </w:r>
            <w:r w:rsidR="00172473" w:rsidRPr="00FB5988">
              <w:rPr>
                <w:color w:val="000000"/>
                <w:sz w:val="20"/>
                <w:szCs w:val="20"/>
              </w:rPr>
              <w:t>0</w:t>
            </w:r>
            <w:r w:rsidR="00AA42EB" w:rsidRPr="00FB5988">
              <w:rPr>
                <w:color w:val="000000"/>
                <w:sz w:val="20"/>
                <w:szCs w:val="20"/>
              </w:rPr>
              <w:t>3</w:t>
            </w:r>
            <w:r w:rsidRPr="00FB5988">
              <w:rPr>
                <w:color w:val="000000"/>
                <w:sz w:val="20"/>
                <w:szCs w:val="20"/>
              </w:rPr>
              <w:t>-</w:t>
            </w:r>
            <w:r w:rsidR="00AA42EB" w:rsidRPr="00FB5988">
              <w:rPr>
                <w:color w:val="000000"/>
                <w:sz w:val="20"/>
                <w:szCs w:val="20"/>
              </w:rPr>
              <w:t>18</w:t>
            </w:r>
          </w:p>
        </w:tc>
        <w:tc>
          <w:tcPr>
            <w:tcW w:w="7178" w:type="dxa"/>
            <w:tcMar>
              <w:top w:w="58" w:type="dxa"/>
              <w:left w:w="58" w:type="dxa"/>
              <w:bottom w:w="58" w:type="dxa"/>
              <w:right w:w="58" w:type="dxa"/>
            </w:tcMar>
            <w:hideMark/>
          </w:tcPr>
          <w:p w:rsidR="00102792" w:rsidRPr="00FB5988" w:rsidRDefault="00AA42EB">
            <w:pPr>
              <w:rPr>
                <w:color w:val="000000"/>
              </w:rPr>
            </w:pPr>
            <w:r w:rsidRPr="00FB5988">
              <w:rPr>
                <w:i/>
                <w:iCs/>
                <w:color w:val="333333"/>
                <w:sz w:val="20"/>
                <w:lang w:val="fr-CA"/>
              </w:rPr>
              <w:t>Association de médiation familiale du Québec c. Isabelle Bisaillon, et al.</w:t>
            </w:r>
            <w:r w:rsidRPr="00FB5988">
              <w:rPr>
                <w:color w:val="333333"/>
                <w:sz w:val="20"/>
                <w:lang w:val="fr-CA"/>
              </w:rPr>
              <w:t xml:space="preserve"> (Qc) (Civile) (Autorisation) (</w:t>
            </w:r>
            <w:hyperlink r:id="rId71" w:history="1">
              <w:r w:rsidRPr="00FB5988">
                <w:rPr>
                  <w:rStyle w:val="Hyperlink"/>
                  <w:sz w:val="20"/>
                  <w:lang w:val="fr-CA"/>
                </w:rPr>
                <w:t>39155</w:t>
              </w:r>
            </w:hyperlink>
            <w:r w:rsidRPr="00FB5988">
              <w:rPr>
                <w:color w:val="333333"/>
                <w:sz w:val="20"/>
                <w:lang w:val="fr-CA"/>
              </w:rPr>
              <w:t>)</w:t>
            </w:r>
          </w:p>
        </w:tc>
      </w:tr>
      <w:tr w:rsidR="00102792" w:rsidRPr="00FB5988" w:rsidTr="00102792">
        <w:trPr>
          <w:trHeight w:val="302"/>
        </w:trPr>
        <w:tc>
          <w:tcPr>
            <w:tcW w:w="2398" w:type="dxa"/>
            <w:tcMar>
              <w:top w:w="58" w:type="dxa"/>
              <w:left w:w="58" w:type="dxa"/>
              <w:bottom w:w="58" w:type="dxa"/>
              <w:right w:w="58" w:type="dxa"/>
            </w:tcMar>
            <w:hideMark/>
          </w:tcPr>
          <w:p w:rsidR="00102792" w:rsidRPr="00FB5988" w:rsidRDefault="00102792" w:rsidP="00AA42EB">
            <w:pPr>
              <w:rPr>
                <w:color w:val="000000"/>
              </w:rPr>
            </w:pPr>
            <w:r w:rsidRPr="00FB5988">
              <w:rPr>
                <w:color w:val="000000"/>
                <w:sz w:val="20"/>
                <w:szCs w:val="20"/>
              </w:rPr>
              <w:t>20</w:t>
            </w:r>
            <w:r w:rsidR="00172473" w:rsidRPr="00FB5988">
              <w:rPr>
                <w:color w:val="000000"/>
                <w:sz w:val="20"/>
                <w:szCs w:val="20"/>
              </w:rPr>
              <w:t>2</w:t>
            </w:r>
            <w:r w:rsidR="00873743" w:rsidRPr="00FB5988">
              <w:rPr>
                <w:color w:val="000000"/>
                <w:sz w:val="20"/>
                <w:szCs w:val="20"/>
              </w:rPr>
              <w:t>1</w:t>
            </w:r>
            <w:r w:rsidRPr="00FB5988">
              <w:rPr>
                <w:color w:val="000000"/>
                <w:sz w:val="20"/>
                <w:szCs w:val="20"/>
              </w:rPr>
              <w:t>-</w:t>
            </w:r>
            <w:r w:rsidR="00172473" w:rsidRPr="00FB5988">
              <w:rPr>
                <w:color w:val="000000"/>
                <w:sz w:val="20"/>
                <w:szCs w:val="20"/>
              </w:rPr>
              <w:t>0</w:t>
            </w:r>
            <w:r w:rsidR="00AA42EB" w:rsidRPr="00FB5988">
              <w:rPr>
                <w:color w:val="000000"/>
                <w:sz w:val="20"/>
                <w:szCs w:val="20"/>
              </w:rPr>
              <w:t>3</w:t>
            </w:r>
            <w:r w:rsidRPr="00FB5988">
              <w:rPr>
                <w:color w:val="000000"/>
                <w:sz w:val="20"/>
                <w:szCs w:val="20"/>
              </w:rPr>
              <w:t>-</w:t>
            </w:r>
            <w:r w:rsidR="00AA42EB" w:rsidRPr="00FB5988">
              <w:rPr>
                <w:color w:val="000000"/>
                <w:sz w:val="20"/>
                <w:szCs w:val="20"/>
              </w:rPr>
              <w:t>19</w:t>
            </w:r>
          </w:p>
        </w:tc>
        <w:tc>
          <w:tcPr>
            <w:tcW w:w="7178" w:type="dxa"/>
            <w:tcMar>
              <w:top w:w="58" w:type="dxa"/>
              <w:left w:w="58" w:type="dxa"/>
              <w:bottom w:w="58" w:type="dxa"/>
              <w:right w:w="58" w:type="dxa"/>
            </w:tcMar>
            <w:hideMark/>
          </w:tcPr>
          <w:p w:rsidR="00102792" w:rsidRDefault="00AA42EB">
            <w:pPr>
              <w:rPr>
                <w:color w:val="333333"/>
                <w:sz w:val="20"/>
              </w:rPr>
            </w:pPr>
            <w:r w:rsidRPr="00FB5988">
              <w:rPr>
                <w:i/>
                <w:iCs/>
                <w:color w:val="333333"/>
                <w:sz w:val="20"/>
              </w:rPr>
              <w:t xml:space="preserve">Her Majesty the Queen v. Alta Energy Luxembourg SARL </w:t>
            </w:r>
            <w:r w:rsidRPr="00FB5988">
              <w:rPr>
                <w:color w:val="333333"/>
                <w:sz w:val="20"/>
              </w:rPr>
              <w:t>(F.C.) (Civil) (By Leave) (</w:t>
            </w:r>
            <w:hyperlink r:id="rId72" w:history="1">
              <w:r w:rsidRPr="00FB5988">
                <w:rPr>
                  <w:rStyle w:val="Hyperlink"/>
                  <w:sz w:val="20"/>
                </w:rPr>
                <w:t>39113</w:t>
              </w:r>
            </w:hyperlink>
            <w:r w:rsidRPr="00FB5988">
              <w:rPr>
                <w:color w:val="333333"/>
                <w:sz w:val="20"/>
              </w:rPr>
              <w:t>)</w:t>
            </w:r>
          </w:p>
          <w:p w:rsidR="00EB6AAD" w:rsidRPr="00FB5988" w:rsidRDefault="00EB6AAD">
            <w:pPr>
              <w:rPr>
                <w:color w:val="000000"/>
              </w:rPr>
            </w:pPr>
            <w:r>
              <w:rPr>
                <w:color w:val="333333"/>
                <w:sz w:val="20"/>
                <w:szCs w:val="20"/>
              </w:rPr>
              <w:t>(Later start time: 10:30 a.m. / Horaire modifié: audience débutant à 10 h 30)</w:t>
            </w:r>
          </w:p>
        </w:tc>
      </w:tr>
      <w:tr w:rsidR="00102792" w:rsidRPr="00FB5988" w:rsidTr="00102792">
        <w:tc>
          <w:tcPr>
            <w:tcW w:w="2398" w:type="dxa"/>
            <w:tcMar>
              <w:top w:w="58" w:type="dxa"/>
              <w:left w:w="58" w:type="dxa"/>
              <w:bottom w:w="58" w:type="dxa"/>
              <w:right w:w="58" w:type="dxa"/>
            </w:tcMar>
            <w:hideMark/>
          </w:tcPr>
          <w:p w:rsidR="00102792" w:rsidRPr="00FB5988" w:rsidRDefault="00102792" w:rsidP="00AA42EB">
            <w:pPr>
              <w:rPr>
                <w:color w:val="000000"/>
              </w:rPr>
            </w:pPr>
            <w:r w:rsidRPr="00FB5988">
              <w:rPr>
                <w:color w:val="000000"/>
                <w:sz w:val="20"/>
                <w:szCs w:val="20"/>
              </w:rPr>
              <w:t>20</w:t>
            </w:r>
            <w:r w:rsidR="00172473" w:rsidRPr="00FB5988">
              <w:rPr>
                <w:color w:val="000000"/>
                <w:sz w:val="20"/>
                <w:szCs w:val="20"/>
              </w:rPr>
              <w:t>2</w:t>
            </w:r>
            <w:r w:rsidR="00873743" w:rsidRPr="00FB5988">
              <w:rPr>
                <w:color w:val="000000"/>
                <w:sz w:val="20"/>
                <w:szCs w:val="20"/>
              </w:rPr>
              <w:t>1</w:t>
            </w:r>
            <w:r w:rsidRPr="00FB5988">
              <w:rPr>
                <w:color w:val="000000"/>
                <w:sz w:val="20"/>
                <w:szCs w:val="20"/>
              </w:rPr>
              <w:t>-</w:t>
            </w:r>
            <w:r w:rsidR="00172473" w:rsidRPr="00FB5988">
              <w:rPr>
                <w:color w:val="000000"/>
                <w:sz w:val="20"/>
                <w:szCs w:val="20"/>
              </w:rPr>
              <w:t>0</w:t>
            </w:r>
            <w:r w:rsidR="00AA42EB" w:rsidRPr="00FB5988">
              <w:rPr>
                <w:color w:val="000000"/>
                <w:sz w:val="20"/>
                <w:szCs w:val="20"/>
              </w:rPr>
              <w:t>3</w:t>
            </w:r>
            <w:r w:rsidRPr="00FB5988">
              <w:rPr>
                <w:color w:val="000000"/>
                <w:sz w:val="20"/>
                <w:szCs w:val="20"/>
              </w:rPr>
              <w:t>-</w:t>
            </w:r>
            <w:r w:rsidR="00AA42EB" w:rsidRPr="00FB5988">
              <w:rPr>
                <w:color w:val="000000"/>
                <w:sz w:val="20"/>
                <w:szCs w:val="20"/>
              </w:rPr>
              <w:t>23</w:t>
            </w:r>
          </w:p>
        </w:tc>
        <w:tc>
          <w:tcPr>
            <w:tcW w:w="7178" w:type="dxa"/>
            <w:tcMar>
              <w:top w:w="58" w:type="dxa"/>
              <w:left w:w="58" w:type="dxa"/>
              <w:bottom w:w="58" w:type="dxa"/>
              <w:right w:w="58" w:type="dxa"/>
            </w:tcMar>
            <w:hideMark/>
          </w:tcPr>
          <w:p w:rsidR="00102792" w:rsidRPr="00FB5988" w:rsidRDefault="00AA42EB">
            <w:pPr>
              <w:rPr>
                <w:color w:val="000000"/>
              </w:rPr>
            </w:pPr>
            <w:r w:rsidRPr="00FB5988">
              <w:rPr>
                <w:i/>
                <w:iCs/>
                <w:color w:val="333333"/>
                <w:sz w:val="20"/>
              </w:rPr>
              <w:t xml:space="preserve">City of Corner Brook v. Mary Bailey </w:t>
            </w:r>
            <w:r w:rsidRPr="00FB5988">
              <w:rPr>
                <w:color w:val="333333"/>
                <w:sz w:val="20"/>
              </w:rPr>
              <w:t>(N.L.) (Civil) (By Leave) (</w:t>
            </w:r>
            <w:hyperlink r:id="rId73" w:history="1">
              <w:r w:rsidRPr="00FB5988">
                <w:rPr>
                  <w:rStyle w:val="Hyperlink"/>
                  <w:sz w:val="20"/>
                </w:rPr>
                <w:t>39122</w:t>
              </w:r>
            </w:hyperlink>
            <w:r w:rsidRPr="00FB5988">
              <w:rPr>
                <w:color w:val="333333"/>
                <w:sz w:val="20"/>
              </w:rPr>
              <w:t>)</w:t>
            </w:r>
          </w:p>
        </w:tc>
      </w:tr>
      <w:tr w:rsidR="00102792" w:rsidRPr="00FB5988" w:rsidTr="00E6166B">
        <w:tc>
          <w:tcPr>
            <w:tcW w:w="2397" w:type="dxa"/>
            <w:tcMar>
              <w:top w:w="58" w:type="dxa"/>
              <w:left w:w="58" w:type="dxa"/>
              <w:bottom w:w="58" w:type="dxa"/>
              <w:right w:w="58" w:type="dxa"/>
            </w:tcMar>
            <w:hideMark/>
          </w:tcPr>
          <w:p w:rsidR="00102792" w:rsidRPr="00FB5988" w:rsidRDefault="00102792" w:rsidP="00AA42EB">
            <w:pPr>
              <w:rPr>
                <w:color w:val="000000"/>
              </w:rPr>
            </w:pPr>
            <w:r w:rsidRPr="00FB5988">
              <w:rPr>
                <w:color w:val="000000"/>
                <w:sz w:val="20"/>
                <w:szCs w:val="20"/>
              </w:rPr>
              <w:t>20</w:t>
            </w:r>
            <w:r w:rsidR="00172473" w:rsidRPr="00FB5988">
              <w:rPr>
                <w:color w:val="000000"/>
                <w:sz w:val="20"/>
                <w:szCs w:val="20"/>
              </w:rPr>
              <w:t>2</w:t>
            </w:r>
            <w:r w:rsidR="00873743" w:rsidRPr="00FB5988">
              <w:rPr>
                <w:color w:val="000000"/>
                <w:sz w:val="20"/>
                <w:szCs w:val="20"/>
              </w:rPr>
              <w:t>1</w:t>
            </w:r>
            <w:r w:rsidRPr="00FB5988">
              <w:rPr>
                <w:color w:val="000000"/>
                <w:sz w:val="20"/>
                <w:szCs w:val="20"/>
              </w:rPr>
              <w:t>-</w:t>
            </w:r>
            <w:r w:rsidR="00172473" w:rsidRPr="00FB5988">
              <w:rPr>
                <w:color w:val="000000"/>
                <w:sz w:val="20"/>
                <w:szCs w:val="20"/>
              </w:rPr>
              <w:t>0</w:t>
            </w:r>
            <w:r w:rsidR="00AA42EB" w:rsidRPr="00FB5988">
              <w:rPr>
                <w:color w:val="000000"/>
                <w:sz w:val="20"/>
                <w:szCs w:val="20"/>
              </w:rPr>
              <w:t>3</w:t>
            </w:r>
            <w:r w:rsidRPr="00FB5988">
              <w:rPr>
                <w:color w:val="000000"/>
                <w:sz w:val="20"/>
                <w:szCs w:val="20"/>
              </w:rPr>
              <w:t>-</w:t>
            </w:r>
            <w:r w:rsidR="00873743" w:rsidRPr="00FB5988">
              <w:rPr>
                <w:color w:val="000000"/>
                <w:sz w:val="20"/>
                <w:szCs w:val="20"/>
              </w:rPr>
              <w:t>2</w:t>
            </w:r>
            <w:r w:rsidR="00AA42EB" w:rsidRPr="00FB5988">
              <w:rPr>
                <w:color w:val="000000"/>
                <w:sz w:val="20"/>
                <w:szCs w:val="20"/>
              </w:rPr>
              <w:t>4</w:t>
            </w:r>
          </w:p>
        </w:tc>
        <w:tc>
          <w:tcPr>
            <w:tcW w:w="7173" w:type="dxa"/>
            <w:tcMar>
              <w:top w:w="58" w:type="dxa"/>
              <w:left w:w="58" w:type="dxa"/>
              <w:bottom w:w="58" w:type="dxa"/>
              <w:right w:w="58" w:type="dxa"/>
            </w:tcMar>
            <w:hideMark/>
          </w:tcPr>
          <w:p w:rsidR="00102792" w:rsidRPr="00FB5988" w:rsidRDefault="00AA42EB">
            <w:pPr>
              <w:rPr>
                <w:color w:val="000000"/>
                <w:lang w:val="en-US"/>
              </w:rPr>
            </w:pPr>
            <w:r w:rsidRPr="00FB5988">
              <w:rPr>
                <w:i/>
                <w:iCs/>
                <w:color w:val="333333"/>
                <w:sz w:val="20"/>
              </w:rPr>
              <w:t>Grant Thornton LLP, et al. v. Province of New Brunswick, et al.</w:t>
            </w:r>
            <w:r w:rsidRPr="00FB5988">
              <w:rPr>
                <w:color w:val="333333"/>
                <w:sz w:val="20"/>
              </w:rPr>
              <w:t xml:space="preserve"> (N.B.) (Civil) (By Leave) (</w:t>
            </w:r>
            <w:hyperlink r:id="rId74" w:history="1">
              <w:r w:rsidRPr="00FB5988">
                <w:rPr>
                  <w:rStyle w:val="Hyperlink"/>
                  <w:sz w:val="20"/>
                </w:rPr>
                <w:t>39182</w:t>
              </w:r>
            </w:hyperlink>
            <w:r w:rsidRPr="00FB5988">
              <w:rPr>
                <w:color w:val="333333"/>
                <w:sz w:val="20"/>
              </w:rPr>
              <w:t>)</w:t>
            </w:r>
          </w:p>
        </w:tc>
      </w:tr>
      <w:tr w:rsidR="00102792" w:rsidRPr="00EB6AAD" w:rsidTr="00E6166B">
        <w:tc>
          <w:tcPr>
            <w:tcW w:w="2397" w:type="dxa"/>
            <w:tcMar>
              <w:top w:w="58" w:type="dxa"/>
              <w:left w:w="58" w:type="dxa"/>
              <w:bottom w:w="58" w:type="dxa"/>
              <w:right w:w="58" w:type="dxa"/>
            </w:tcMar>
            <w:hideMark/>
          </w:tcPr>
          <w:p w:rsidR="00102792" w:rsidRPr="00FB5988" w:rsidRDefault="00102792" w:rsidP="00AA42EB">
            <w:pPr>
              <w:rPr>
                <w:color w:val="000000"/>
              </w:rPr>
            </w:pPr>
            <w:r w:rsidRPr="00FB5988">
              <w:rPr>
                <w:color w:val="000000"/>
                <w:sz w:val="20"/>
                <w:szCs w:val="20"/>
              </w:rPr>
              <w:t>20</w:t>
            </w:r>
            <w:r w:rsidR="00172473" w:rsidRPr="00FB5988">
              <w:rPr>
                <w:color w:val="000000"/>
                <w:sz w:val="20"/>
                <w:szCs w:val="20"/>
              </w:rPr>
              <w:t>2</w:t>
            </w:r>
            <w:r w:rsidR="00873743" w:rsidRPr="00FB5988">
              <w:rPr>
                <w:color w:val="000000"/>
                <w:sz w:val="20"/>
                <w:szCs w:val="20"/>
              </w:rPr>
              <w:t>1</w:t>
            </w:r>
            <w:r w:rsidRPr="00FB5988">
              <w:rPr>
                <w:color w:val="000000"/>
                <w:sz w:val="20"/>
                <w:szCs w:val="20"/>
              </w:rPr>
              <w:t>-</w:t>
            </w:r>
            <w:r w:rsidR="00172473" w:rsidRPr="00FB5988">
              <w:rPr>
                <w:color w:val="000000"/>
                <w:sz w:val="20"/>
                <w:szCs w:val="20"/>
              </w:rPr>
              <w:t>0</w:t>
            </w:r>
            <w:r w:rsidR="00AA42EB" w:rsidRPr="00FB5988">
              <w:rPr>
                <w:color w:val="000000"/>
                <w:sz w:val="20"/>
                <w:szCs w:val="20"/>
              </w:rPr>
              <w:t>3</w:t>
            </w:r>
            <w:r w:rsidRPr="00FB5988">
              <w:rPr>
                <w:color w:val="000000"/>
                <w:sz w:val="20"/>
                <w:szCs w:val="20"/>
              </w:rPr>
              <w:t>-</w:t>
            </w:r>
            <w:r w:rsidR="00AA42EB" w:rsidRPr="00FB5988">
              <w:rPr>
                <w:color w:val="000000"/>
                <w:sz w:val="20"/>
                <w:szCs w:val="20"/>
              </w:rPr>
              <w:t>25</w:t>
            </w:r>
          </w:p>
        </w:tc>
        <w:tc>
          <w:tcPr>
            <w:tcW w:w="7173" w:type="dxa"/>
            <w:tcMar>
              <w:top w:w="58" w:type="dxa"/>
              <w:left w:w="58" w:type="dxa"/>
              <w:bottom w:w="58" w:type="dxa"/>
              <w:right w:w="58" w:type="dxa"/>
            </w:tcMar>
            <w:hideMark/>
          </w:tcPr>
          <w:p w:rsidR="00102792" w:rsidRDefault="00AA42EB">
            <w:pPr>
              <w:rPr>
                <w:color w:val="333333"/>
                <w:sz w:val="20"/>
              </w:rPr>
            </w:pPr>
            <w:r w:rsidRPr="00FB5988">
              <w:rPr>
                <w:i/>
                <w:iCs/>
                <w:color w:val="333333"/>
                <w:sz w:val="20"/>
              </w:rPr>
              <w:t xml:space="preserve">City of Nelson v. Taryn Joy Marchi </w:t>
            </w:r>
            <w:r w:rsidRPr="00FB5988">
              <w:rPr>
                <w:color w:val="333333"/>
                <w:sz w:val="20"/>
              </w:rPr>
              <w:t>(B.C.) (Civil) (By Leave) (</w:t>
            </w:r>
            <w:hyperlink r:id="rId75" w:history="1">
              <w:r w:rsidRPr="00FB5988">
                <w:rPr>
                  <w:rStyle w:val="Hyperlink"/>
                  <w:sz w:val="20"/>
                </w:rPr>
                <w:t>39108</w:t>
              </w:r>
            </w:hyperlink>
            <w:r w:rsidRPr="00FB5988">
              <w:rPr>
                <w:color w:val="333333"/>
                <w:sz w:val="20"/>
              </w:rPr>
              <w:t>)</w:t>
            </w:r>
          </w:p>
          <w:p w:rsidR="00EB6AAD" w:rsidRPr="00EB6AAD" w:rsidRDefault="00EB6AAD">
            <w:pPr>
              <w:rPr>
                <w:color w:val="000000"/>
                <w:lang w:val="fr-CA"/>
              </w:rPr>
            </w:pPr>
            <w:r w:rsidRPr="00EB6AAD">
              <w:rPr>
                <w:color w:val="333333"/>
                <w:sz w:val="20"/>
                <w:szCs w:val="20"/>
                <w:lang w:val="fr-CA"/>
              </w:rPr>
              <w:t>(Later start time: 10:30 a.m. / Horaire modifié: audience débutant à 10 h 30)</w:t>
            </w:r>
            <w:bookmarkStart w:id="10" w:name="_GoBack"/>
            <w:bookmarkEnd w:id="10"/>
          </w:p>
        </w:tc>
      </w:tr>
    </w:tbl>
    <w:p w:rsidR="00102792" w:rsidRPr="00EB6AAD" w:rsidRDefault="00102792" w:rsidP="00102792">
      <w:pPr>
        <w:rPr>
          <w:color w:val="000000"/>
          <w:sz w:val="20"/>
          <w:szCs w:val="20"/>
          <w:lang w:val="fr-CA"/>
        </w:rPr>
      </w:pPr>
    </w:p>
    <w:p w:rsidR="00102792" w:rsidRPr="00FB5988" w:rsidRDefault="00102792" w:rsidP="00102792">
      <w:pPr>
        <w:jc w:val="both"/>
        <w:rPr>
          <w:color w:val="000000"/>
          <w:sz w:val="20"/>
          <w:szCs w:val="20"/>
        </w:rPr>
      </w:pPr>
      <w:r w:rsidRPr="00FB5988">
        <w:rPr>
          <w:b/>
          <w:bCs/>
          <w:color w:val="000000"/>
          <w:sz w:val="20"/>
          <w:szCs w:val="20"/>
        </w:rPr>
        <w:t>NOTE:</w:t>
      </w:r>
      <w:r w:rsidRPr="00FB5988">
        <w:rPr>
          <w:color w:val="000000"/>
          <w:sz w:val="20"/>
          <w:szCs w:val="20"/>
        </w:rPr>
        <w:t> This agenda is subject to change. Hearings normally commence at 9:30 a.m.</w:t>
      </w:r>
      <w:r w:rsidR="00172473" w:rsidRPr="00FB5988">
        <w:rPr>
          <w:color w:val="000000"/>
          <w:sz w:val="20"/>
          <w:szCs w:val="20"/>
        </w:rPr>
        <w:t>, E</w:t>
      </w:r>
      <w:r w:rsidR="00304AB0" w:rsidRPr="00FB5988">
        <w:rPr>
          <w:color w:val="000000"/>
          <w:sz w:val="20"/>
          <w:szCs w:val="20"/>
        </w:rPr>
        <w:t>D</w:t>
      </w:r>
      <w:r w:rsidR="00172473" w:rsidRPr="00FB5988">
        <w:rPr>
          <w:color w:val="000000"/>
          <w:sz w:val="20"/>
          <w:szCs w:val="20"/>
        </w:rPr>
        <w:t>T</w:t>
      </w:r>
      <w:r w:rsidRPr="00FB5988">
        <w:rPr>
          <w:color w:val="000000"/>
          <w:sz w:val="20"/>
          <w:szCs w:val="20"/>
        </w:rPr>
        <w:t>; however, cases with multiple parties often commence at 9:00 a.m. Where two cases are scheduled on a given day, the second case may be heard immediately after the first one or at 2:00 p.m.  Hearing dates and times should be confirmed with Registry staff at 613-996-8666.</w:t>
      </w:r>
    </w:p>
    <w:p w:rsidR="00102792" w:rsidRPr="00FB5988" w:rsidRDefault="00102792" w:rsidP="00102792">
      <w:pPr>
        <w:jc w:val="both"/>
        <w:rPr>
          <w:color w:val="000000"/>
          <w:sz w:val="20"/>
          <w:szCs w:val="20"/>
        </w:rPr>
      </w:pPr>
    </w:p>
    <w:p w:rsidR="00102792" w:rsidRPr="00FB5988" w:rsidRDefault="00102792" w:rsidP="00102792">
      <w:pPr>
        <w:jc w:val="both"/>
        <w:rPr>
          <w:color w:val="000000"/>
          <w:sz w:val="20"/>
          <w:szCs w:val="20"/>
          <w:lang w:val="fr-CA"/>
        </w:rPr>
      </w:pPr>
      <w:r w:rsidRPr="00FB5988">
        <w:rPr>
          <w:color w:val="000000"/>
          <w:sz w:val="20"/>
          <w:szCs w:val="20"/>
          <w:lang w:val="fr-CA"/>
        </w:rPr>
        <w:t>Ce calendrier est sujet à modification. Les audiences débutent normalement à 9</w:t>
      </w:r>
      <w:r w:rsidR="00304AB0" w:rsidRPr="00FB5988">
        <w:rPr>
          <w:color w:val="000000"/>
          <w:sz w:val="20"/>
          <w:szCs w:val="20"/>
          <w:lang w:val="fr-CA"/>
        </w:rPr>
        <w:t xml:space="preserve"> </w:t>
      </w:r>
      <w:r w:rsidRPr="00FB5988">
        <w:rPr>
          <w:color w:val="000000"/>
          <w:sz w:val="20"/>
          <w:szCs w:val="20"/>
          <w:lang w:val="fr-CA"/>
        </w:rPr>
        <w:t>h</w:t>
      </w:r>
      <w:r w:rsidR="00304AB0" w:rsidRPr="00FB5988">
        <w:rPr>
          <w:color w:val="000000"/>
          <w:sz w:val="20"/>
          <w:szCs w:val="20"/>
          <w:lang w:val="fr-CA"/>
        </w:rPr>
        <w:t xml:space="preserve"> </w:t>
      </w:r>
      <w:r w:rsidRPr="00FB5988">
        <w:rPr>
          <w:color w:val="000000"/>
          <w:sz w:val="20"/>
          <w:szCs w:val="20"/>
          <w:lang w:val="fr-CA"/>
        </w:rPr>
        <w:t>30</w:t>
      </w:r>
      <w:r w:rsidR="00172473" w:rsidRPr="00FB5988">
        <w:rPr>
          <w:color w:val="000000"/>
          <w:sz w:val="20"/>
          <w:szCs w:val="20"/>
          <w:lang w:val="fr-CA"/>
        </w:rPr>
        <w:t>, H</w:t>
      </w:r>
      <w:r w:rsidR="00304AB0" w:rsidRPr="00FB5988">
        <w:rPr>
          <w:color w:val="000000"/>
          <w:sz w:val="20"/>
          <w:szCs w:val="20"/>
          <w:lang w:val="fr-CA"/>
        </w:rPr>
        <w:t>A</w:t>
      </w:r>
      <w:r w:rsidR="00172473" w:rsidRPr="00FB5988">
        <w:rPr>
          <w:color w:val="000000"/>
          <w:sz w:val="20"/>
          <w:szCs w:val="20"/>
          <w:lang w:val="fr-CA"/>
        </w:rPr>
        <w:t>E</w:t>
      </w:r>
      <w:r w:rsidRPr="00FB5988">
        <w:rPr>
          <w:color w:val="000000"/>
          <w:sz w:val="20"/>
          <w:szCs w:val="20"/>
          <w:lang w:val="fr-CA"/>
        </w:rPr>
        <w:t>; toutefois; l’audition des affaires concernant des parties multiples commence souvent à 9 h. Lorsque deux affaires doivent être entendues le même jour, l’audition de la deuxième affaire peut avoir lieu immédiatement après celle de la première ou encore à 14 h. La date et l’heure d’une audience doivent être confirmées auprès du personnel du greffe au 613-996-8666.</w:t>
      </w:r>
    </w:p>
    <w:p w:rsidR="00102792" w:rsidRPr="00FB5988" w:rsidRDefault="00102792" w:rsidP="00102792">
      <w:pPr>
        <w:jc w:val="both"/>
        <w:rPr>
          <w:color w:val="000000"/>
          <w:sz w:val="20"/>
          <w:szCs w:val="20"/>
          <w:lang w:val="fr-CA"/>
        </w:rPr>
      </w:pPr>
    </w:p>
    <w:p w:rsidR="00102792" w:rsidRPr="00FB5988" w:rsidRDefault="00EB6AAD" w:rsidP="00102792">
      <w:pPr>
        <w:rPr>
          <w:color w:val="000000"/>
          <w:sz w:val="20"/>
          <w:szCs w:val="20"/>
          <w:lang w:val="fr-CA"/>
        </w:rPr>
      </w:pPr>
      <w:r>
        <w:rPr>
          <w:sz w:val="20"/>
          <w:szCs w:val="20"/>
        </w:rPr>
        <w:pict>
          <v:rect id="_x0000_i1059" style="width:2in;height:1pt" o:hrpct="0" o:hralign="center" o:hrstd="t" o:hrnoshade="t" o:hr="t" fillcolor="black [3213]" stroked="f"/>
        </w:pict>
      </w:r>
    </w:p>
    <w:p w:rsidR="00304AB0" w:rsidRPr="00FB5988" w:rsidRDefault="00304AB0" w:rsidP="00304AB0">
      <w:pPr>
        <w:widowControl w:val="0"/>
        <w:jc w:val="both"/>
        <w:rPr>
          <w:sz w:val="20"/>
          <w:szCs w:val="20"/>
        </w:rPr>
      </w:pPr>
    </w:p>
    <w:p w:rsidR="00304AB0" w:rsidRPr="00FB5988" w:rsidRDefault="00304AB0" w:rsidP="00304AB0">
      <w:pPr>
        <w:pStyle w:val="SCCLsocParty"/>
        <w:jc w:val="both"/>
        <w:rPr>
          <w:b/>
          <w:i/>
          <w:sz w:val="20"/>
          <w:szCs w:val="20"/>
          <w:lang w:val="en-US"/>
        </w:rPr>
      </w:pPr>
      <w:r w:rsidRPr="00FB5988">
        <w:rPr>
          <w:b/>
          <w:sz w:val="20"/>
          <w:szCs w:val="20"/>
        </w:rPr>
        <w:fldChar w:fldCharType="begin"/>
      </w:r>
      <w:r w:rsidRPr="00FB5988">
        <w:rPr>
          <w:b/>
          <w:sz w:val="20"/>
          <w:szCs w:val="20"/>
          <w:lang w:val="en-US"/>
        </w:rPr>
        <w:instrText xml:space="preserve"> SEQ CHAPTER \h \r 1</w:instrText>
      </w:r>
      <w:r w:rsidRPr="00FB5988">
        <w:rPr>
          <w:b/>
          <w:sz w:val="20"/>
          <w:szCs w:val="20"/>
        </w:rPr>
        <w:fldChar w:fldCharType="end"/>
      </w:r>
      <w:r w:rsidRPr="00FB5988">
        <w:rPr>
          <w:b/>
          <w:sz w:val="20"/>
          <w:szCs w:val="20"/>
          <w:lang w:val="en-US"/>
        </w:rPr>
        <w:t>38921</w:t>
      </w:r>
      <w:r w:rsidRPr="00FB5988">
        <w:rPr>
          <w:b/>
          <w:sz w:val="20"/>
          <w:szCs w:val="20"/>
          <w:lang w:val="en-US"/>
        </w:rPr>
        <w:tab/>
      </w:r>
      <w:bookmarkStart w:id="11" w:name="3"/>
      <w:bookmarkEnd w:id="11"/>
      <w:r w:rsidRPr="00FB5988">
        <w:rPr>
          <w:b/>
          <w:i/>
          <w:sz w:val="20"/>
          <w:szCs w:val="20"/>
          <w:lang w:val="en-US"/>
        </w:rPr>
        <w:t>City of Toronto v. Ontario (Attorney General) and Toronto District School Board</w:t>
      </w:r>
    </w:p>
    <w:p w:rsidR="00304AB0" w:rsidRPr="00FB5988" w:rsidRDefault="00304AB0" w:rsidP="00304AB0">
      <w:pPr>
        <w:widowControl w:val="0"/>
        <w:jc w:val="both"/>
        <w:rPr>
          <w:sz w:val="20"/>
          <w:szCs w:val="20"/>
        </w:rPr>
      </w:pPr>
      <w:r w:rsidRPr="00FB5988">
        <w:rPr>
          <w:sz w:val="20"/>
          <w:szCs w:val="20"/>
        </w:rPr>
        <w:tab/>
        <w:t>(Ont.) (Civil) (By leave)</w:t>
      </w:r>
    </w:p>
    <w:p w:rsidR="00304AB0" w:rsidRPr="00FB5988" w:rsidRDefault="00304AB0" w:rsidP="00304AB0">
      <w:pPr>
        <w:widowControl w:val="0"/>
        <w:jc w:val="both"/>
        <w:rPr>
          <w:sz w:val="20"/>
          <w:szCs w:val="20"/>
        </w:rPr>
      </w:pPr>
    </w:p>
    <w:p w:rsidR="00304AB0" w:rsidRPr="00FB5988" w:rsidRDefault="00304AB0" w:rsidP="00304AB0">
      <w:pPr>
        <w:widowControl w:val="0"/>
        <w:jc w:val="both"/>
        <w:textAlignment w:val="baseline"/>
        <w:rPr>
          <w:color w:val="000000"/>
          <w:sz w:val="20"/>
          <w:szCs w:val="20"/>
        </w:rPr>
      </w:pPr>
      <w:r w:rsidRPr="00FB5988">
        <w:rPr>
          <w:sz w:val="20"/>
          <w:szCs w:val="20"/>
        </w:rPr>
        <w:t xml:space="preserve">Constitutional law - </w:t>
      </w:r>
      <w:r w:rsidRPr="00FB5988">
        <w:rPr>
          <w:i/>
          <w:sz w:val="20"/>
          <w:szCs w:val="20"/>
        </w:rPr>
        <w:t>Canadian Charter of Rights and Freedoms</w:t>
      </w:r>
      <w:r w:rsidRPr="00FB5988">
        <w:rPr>
          <w:sz w:val="20"/>
          <w:szCs w:val="20"/>
        </w:rPr>
        <w:t xml:space="preserve"> - Freedom of Expression - Elections - Effective representation - </w:t>
      </w:r>
      <w:r w:rsidRPr="00FB5988">
        <w:rPr>
          <w:i/>
          <w:iCs/>
          <w:sz w:val="20"/>
          <w:szCs w:val="20"/>
          <w:lang w:val="en"/>
        </w:rPr>
        <w:t>Better Local Government Act, 2018</w:t>
      </w:r>
      <w:r w:rsidRPr="00FB5988">
        <w:rPr>
          <w:sz w:val="20"/>
          <w:szCs w:val="20"/>
          <w:lang w:val="en"/>
        </w:rPr>
        <w:t>, S.O. 2018, c. 11, alters number of wards and ward boundaries in City of</w:t>
      </w:r>
      <w:r w:rsidRPr="00FB5988">
        <w:rPr>
          <w:sz w:val="20"/>
          <w:szCs w:val="20"/>
        </w:rPr>
        <w:t xml:space="preserve"> Toronto during municipal election </w:t>
      </w:r>
      <w:r w:rsidRPr="00FB5988">
        <w:rPr>
          <w:sz w:val="20"/>
          <w:szCs w:val="20"/>
          <w:lang w:val="en"/>
        </w:rPr>
        <w:t xml:space="preserve">- </w:t>
      </w:r>
      <w:r w:rsidRPr="00FB5988">
        <w:rPr>
          <w:color w:val="000000"/>
          <w:sz w:val="20"/>
          <w:szCs w:val="20"/>
        </w:rPr>
        <w:t xml:space="preserve">Amendments to Regulations under the </w:t>
      </w:r>
      <w:r w:rsidRPr="00FB5988">
        <w:rPr>
          <w:rFonts w:ascii="inherit" w:hAnsi="inherit" w:cs="Arial"/>
          <w:i/>
          <w:color w:val="222222"/>
          <w:sz w:val="20"/>
          <w:szCs w:val="20"/>
          <w:lang w:val="en"/>
        </w:rPr>
        <w:t>Education Act</w:t>
      </w:r>
      <w:r w:rsidRPr="00FB5988">
        <w:rPr>
          <w:color w:val="000000"/>
          <w:sz w:val="20"/>
          <w:szCs w:val="20"/>
        </w:rPr>
        <w:t xml:space="preserve">, R.S.O. 1990, c. E.2, require school board to realign ward boundaries to same ward structure during trustee election - </w:t>
      </w:r>
      <w:r w:rsidRPr="00FB5988">
        <w:rPr>
          <w:sz w:val="20"/>
          <w:szCs w:val="20"/>
        </w:rPr>
        <w:t xml:space="preserve">Whether </w:t>
      </w:r>
      <w:r w:rsidRPr="00FB5988">
        <w:rPr>
          <w:color w:val="000000"/>
          <w:spacing w:val="-2"/>
          <w:sz w:val="20"/>
          <w:szCs w:val="20"/>
        </w:rPr>
        <w:t xml:space="preserve">s. 2(b) of the </w:t>
      </w:r>
      <w:r w:rsidRPr="00FB5988">
        <w:rPr>
          <w:i/>
          <w:color w:val="000000"/>
          <w:spacing w:val="-2"/>
          <w:sz w:val="20"/>
          <w:szCs w:val="20"/>
        </w:rPr>
        <w:t xml:space="preserve">Charter of Rights and Freedoms </w:t>
      </w:r>
      <w:r w:rsidRPr="00FB5988">
        <w:rPr>
          <w:color w:val="000000"/>
          <w:spacing w:val="-2"/>
          <w:sz w:val="20"/>
          <w:szCs w:val="20"/>
        </w:rPr>
        <w:t xml:space="preserve">protects the expression of electoral participants from substantial mid-election changes to the election framework and rules </w:t>
      </w:r>
      <w:r w:rsidRPr="00FB5988">
        <w:rPr>
          <w:sz w:val="20"/>
          <w:szCs w:val="20"/>
          <w:lang w:val="en"/>
        </w:rPr>
        <w:t xml:space="preserve">- </w:t>
      </w:r>
      <w:r w:rsidRPr="00FB5988">
        <w:rPr>
          <w:color w:val="000000"/>
          <w:spacing w:val="-2"/>
          <w:sz w:val="20"/>
          <w:szCs w:val="20"/>
        </w:rPr>
        <w:t xml:space="preserve">Whether </w:t>
      </w:r>
      <w:r w:rsidRPr="00FB5988">
        <w:rPr>
          <w:color w:val="000000"/>
          <w:sz w:val="20"/>
          <w:szCs w:val="20"/>
        </w:rPr>
        <w:t xml:space="preserve">impugned legislation violates right to freedom of expression by effectively nullifying political speech of candidates and voters in municipal and school board elections </w:t>
      </w:r>
      <w:r w:rsidRPr="00FB5988">
        <w:rPr>
          <w:sz w:val="20"/>
          <w:szCs w:val="20"/>
          <w:lang w:val="en"/>
        </w:rPr>
        <w:t xml:space="preserve">- </w:t>
      </w:r>
      <w:r w:rsidRPr="00FB5988">
        <w:rPr>
          <w:color w:val="000000"/>
          <w:sz w:val="20"/>
          <w:szCs w:val="20"/>
        </w:rPr>
        <w:t xml:space="preserve">Whether unwritten constitutional principle of democracy can be used as basis for striking down provisions </w:t>
      </w:r>
      <w:r w:rsidRPr="00FB5988">
        <w:rPr>
          <w:sz w:val="20"/>
          <w:szCs w:val="20"/>
          <w:lang w:val="en"/>
        </w:rPr>
        <w:t xml:space="preserve">- Whether </w:t>
      </w:r>
      <w:r w:rsidRPr="00FB5988">
        <w:rPr>
          <w:color w:val="000000"/>
          <w:sz w:val="20"/>
          <w:szCs w:val="20"/>
        </w:rPr>
        <w:t xml:space="preserve">municipal electors given a vote in a democratic election are entitled to effective representation </w:t>
      </w:r>
      <w:r w:rsidRPr="00FB5988">
        <w:rPr>
          <w:sz w:val="20"/>
          <w:szCs w:val="20"/>
          <w:lang w:val="en"/>
        </w:rPr>
        <w:t xml:space="preserve">- Whether </w:t>
      </w:r>
      <w:r w:rsidRPr="00FB5988">
        <w:rPr>
          <w:color w:val="000000"/>
          <w:sz w:val="20"/>
          <w:szCs w:val="20"/>
        </w:rPr>
        <w:t xml:space="preserve">infringements are justified under s. 1 of the </w:t>
      </w:r>
      <w:r w:rsidRPr="00FB5988">
        <w:rPr>
          <w:i/>
          <w:color w:val="000000"/>
          <w:sz w:val="20"/>
          <w:szCs w:val="20"/>
        </w:rPr>
        <w:t>Charter</w:t>
      </w:r>
      <w:r w:rsidRPr="00FB5988">
        <w:rPr>
          <w:color w:val="000000"/>
          <w:sz w:val="20"/>
          <w:szCs w:val="20"/>
        </w:rPr>
        <w:t>?</w:t>
      </w:r>
    </w:p>
    <w:p w:rsidR="00304AB0" w:rsidRPr="00FB5988" w:rsidRDefault="00304AB0" w:rsidP="00304AB0">
      <w:pPr>
        <w:widowControl w:val="0"/>
        <w:jc w:val="both"/>
        <w:rPr>
          <w:sz w:val="20"/>
          <w:szCs w:val="20"/>
        </w:rPr>
      </w:pPr>
    </w:p>
    <w:p w:rsidR="00304AB0" w:rsidRPr="00FB5988" w:rsidRDefault="00304AB0">
      <w:pPr>
        <w:rPr>
          <w:sz w:val="20"/>
          <w:szCs w:val="20"/>
        </w:rPr>
      </w:pPr>
      <w:r w:rsidRPr="00FB5988">
        <w:rPr>
          <w:sz w:val="20"/>
          <w:szCs w:val="20"/>
        </w:rPr>
        <w:br w:type="page"/>
      </w:r>
    </w:p>
    <w:p w:rsidR="00304AB0" w:rsidRPr="00FB5988" w:rsidRDefault="00304AB0" w:rsidP="00304AB0">
      <w:pPr>
        <w:jc w:val="both"/>
        <w:rPr>
          <w:sz w:val="20"/>
        </w:rPr>
      </w:pPr>
      <w:r w:rsidRPr="00FB5988">
        <w:rPr>
          <w:sz w:val="20"/>
          <w:szCs w:val="20"/>
        </w:rPr>
        <w:lastRenderedPageBreak/>
        <w:t xml:space="preserve">On May 1, 2018, elections began for Toronto City Council and for trustees of the Toronto District School Board. The elections were based on 47 wards. After nomination periods closed and during the course of the election, the Legislative Assembly of Ontario enacted legislation reducing the number of wards from 47 to 25, changing ward boundaries, and reducing the number of city councillors to 25. This disrupted election campaigns. The City of Toronto and two groups of private individuals applied to the Ontario Superior Court of Justice seeking orders restoring the 47 ward structure and challenging the constitutionality of the </w:t>
      </w:r>
      <w:r w:rsidRPr="00FB5988">
        <w:rPr>
          <w:i/>
          <w:iCs/>
          <w:sz w:val="20"/>
          <w:szCs w:val="20"/>
          <w:lang w:val="en"/>
        </w:rPr>
        <w:t>Better Local Government Act, 2018</w:t>
      </w:r>
      <w:r w:rsidRPr="00FB5988">
        <w:rPr>
          <w:sz w:val="20"/>
          <w:szCs w:val="20"/>
          <w:lang w:val="en"/>
        </w:rPr>
        <w:t xml:space="preserve">, </w:t>
      </w:r>
      <w:r w:rsidRPr="00FB5988">
        <w:rPr>
          <w:color w:val="000000" w:themeColor="text1"/>
          <w:sz w:val="20"/>
          <w:szCs w:val="20"/>
          <w:lang w:val="en"/>
        </w:rPr>
        <w:t xml:space="preserve">S.O. 2018, c. 11. </w:t>
      </w:r>
      <w:r w:rsidRPr="00FB5988">
        <w:rPr>
          <w:color w:val="000000"/>
          <w:sz w:val="20"/>
          <w:szCs w:val="20"/>
        </w:rPr>
        <w:t xml:space="preserve">Toronto District School Board was added as an intervening party to the multiple court proceedings and additionally challenged changes to Regulations under the </w:t>
      </w:r>
      <w:r w:rsidRPr="00FB5988">
        <w:rPr>
          <w:rFonts w:ascii="inherit" w:hAnsi="inherit" w:cs="Arial"/>
          <w:i/>
          <w:color w:val="222222"/>
          <w:sz w:val="20"/>
          <w:szCs w:val="20"/>
          <w:lang w:val="en"/>
        </w:rPr>
        <w:t>Education Act</w:t>
      </w:r>
      <w:r w:rsidRPr="00FB5988">
        <w:rPr>
          <w:color w:val="000000"/>
          <w:sz w:val="20"/>
          <w:szCs w:val="20"/>
        </w:rPr>
        <w:t xml:space="preserve">, RSO 1990, c. E.2, which required it to realign its ward boundaries to the 25 ward structure. </w:t>
      </w:r>
      <w:r w:rsidRPr="00FB5988">
        <w:rPr>
          <w:sz w:val="20"/>
          <w:szCs w:val="20"/>
        </w:rPr>
        <w:t>On September 10, 2018, the Ontario Superior Court of Justice issued an order declaring that the legislative changes</w:t>
      </w:r>
      <w:r w:rsidRPr="00FB5988">
        <w:rPr>
          <w:sz w:val="20"/>
          <w:szCs w:val="20"/>
          <w:lang w:val="en"/>
        </w:rPr>
        <w:t xml:space="preserve"> infringed s. 2(b) of </w:t>
      </w:r>
      <w:r w:rsidRPr="00FB5988">
        <w:rPr>
          <w:i/>
          <w:sz w:val="20"/>
          <w:szCs w:val="20"/>
          <w:lang w:val="en"/>
        </w:rPr>
        <w:t xml:space="preserve">Charter of Rights and Freedoms </w:t>
      </w:r>
      <w:r w:rsidRPr="00FB5988">
        <w:rPr>
          <w:sz w:val="20"/>
          <w:szCs w:val="20"/>
          <w:lang w:val="en"/>
        </w:rPr>
        <w:t>and were</w:t>
      </w:r>
      <w:r w:rsidRPr="00FB5988">
        <w:rPr>
          <w:i/>
          <w:sz w:val="20"/>
          <w:szCs w:val="20"/>
          <w:lang w:val="en"/>
        </w:rPr>
        <w:t xml:space="preserve"> </w:t>
      </w:r>
      <w:r w:rsidRPr="00FB5988">
        <w:rPr>
          <w:sz w:val="20"/>
          <w:szCs w:val="20"/>
          <w:lang w:val="en"/>
        </w:rPr>
        <w:t>of no force and effect. On</w:t>
      </w:r>
      <w:r w:rsidRPr="00FB5988">
        <w:rPr>
          <w:sz w:val="20"/>
          <w:szCs w:val="20"/>
        </w:rPr>
        <w:t xml:space="preserve"> September 19, 2018, the Court of Appeal for Ontario issued an interim stay of the Ontario Superior Court of Justice’s decision. The elections proceeded based on 25 wards with the revised boundaries. On September 19, 2019, the Court of Appeal allowed an appeal and set aside the Ontario Superior Court of Justice’s decision.</w:t>
      </w:r>
    </w:p>
    <w:p w:rsidR="00304AB0" w:rsidRPr="00FB5988" w:rsidRDefault="00304AB0" w:rsidP="00304AB0">
      <w:pPr>
        <w:jc w:val="both"/>
        <w:rPr>
          <w:sz w:val="20"/>
        </w:rPr>
      </w:pPr>
    </w:p>
    <w:p w:rsidR="00304AB0" w:rsidRPr="00FB5988" w:rsidRDefault="00EB6AAD" w:rsidP="00304AB0">
      <w:pPr>
        <w:jc w:val="both"/>
        <w:rPr>
          <w:sz w:val="20"/>
        </w:rPr>
      </w:pPr>
      <w:r>
        <w:rPr>
          <w:sz w:val="20"/>
        </w:rPr>
        <w:pict>
          <v:rect id="_x0000_i1060" style="width:2in;height:1pt" o:hrpct="0" o:hralign="center" o:hrstd="t" o:hrnoshade="t" o:hr="t" fillcolor="black [3213]" stroked="f"/>
        </w:pict>
      </w:r>
    </w:p>
    <w:p w:rsidR="00304AB0" w:rsidRPr="00FB5988" w:rsidRDefault="00304AB0" w:rsidP="00304AB0">
      <w:pPr>
        <w:jc w:val="both"/>
        <w:rPr>
          <w:sz w:val="20"/>
        </w:rPr>
      </w:pPr>
    </w:p>
    <w:p w:rsidR="00304AB0" w:rsidRPr="00FB5988" w:rsidRDefault="00304AB0" w:rsidP="00304AB0">
      <w:pPr>
        <w:pStyle w:val="SCCLsocParty"/>
        <w:jc w:val="both"/>
        <w:rPr>
          <w:i/>
          <w:sz w:val="20"/>
          <w:szCs w:val="20"/>
        </w:rPr>
      </w:pPr>
      <w:r w:rsidRPr="00FB5988">
        <w:rPr>
          <w:rStyle w:val="SCCFileNumberChar"/>
          <w:sz w:val="20"/>
          <w:szCs w:val="20"/>
          <w:lang w:val="fr-CA"/>
        </w:rPr>
        <w:t>38921</w:t>
      </w:r>
      <w:r w:rsidRPr="00FB5988">
        <w:rPr>
          <w:rStyle w:val="SCCFileNumberChar"/>
          <w:sz w:val="20"/>
          <w:szCs w:val="20"/>
          <w:lang w:val="fr-CA"/>
        </w:rPr>
        <w:tab/>
      </w:r>
      <w:r w:rsidRPr="00FB5988">
        <w:rPr>
          <w:b/>
          <w:i/>
          <w:sz w:val="20"/>
          <w:szCs w:val="20"/>
        </w:rPr>
        <w:t>Cité de Toronto c. Ontario (Procureur général) et Conseil scolaire du district de Toronto</w:t>
      </w:r>
    </w:p>
    <w:p w:rsidR="00304AB0" w:rsidRPr="00FB5988" w:rsidRDefault="00304AB0" w:rsidP="00304AB0">
      <w:pPr>
        <w:ind w:firstLine="720"/>
        <w:jc w:val="both"/>
        <w:rPr>
          <w:sz w:val="20"/>
          <w:lang w:val="fr-CA"/>
        </w:rPr>
      </w:pPr>
      <w:r w:rsidRPr="00FB5988">
        <w:rPr>
          <w:sz w:val="20"/>
          <w:szCs w:val="20"/>
          <w:lang w:val="fr-CA"/>
        </w:rPr>
        <w:t>(Ont.) (Civile) (Sur autorisation)</w:t>
      </w:r>
    </w:p>
    <w:p w:rsidR="00304AB0" w:rsidRPr="00FB5988" w:rsidRDefault="00304AB0" w:rsidP="00304AB0">
      <w:pPr>
        <w:jc w:val="both"/>
        <w:rPr>
          <w:sz w:val="20"/>
          <w:szCs w:val="20"/>
          <w:lang w:val="fr-CA"/>
        </w:rPr>
      </w:pPr>
    </w:p>
    <w:p w:rsidR="00304AB0" w:rsidRPr="00FB5988" w:rsidRDefault="00304AB0" w:rsidP="00304AB0">
      <w:pPr>
        <w:jc w:val="both"/>
        <w:rPr>
          <w:sz w:val="20"/>
          <w:lang w:val="fr-CA"/>
        </w:rPr>
      </w:pPr>
      <w:r w:rsidRPr="00FB5988">
        <w:rPr>
          <w:sz w:val="20"/>
          <w:szCs w:val="20"/>
          <w:lang w:val="fr-CA"/>
        </w:rPr>
        <w:t xml:space="preserve">Droit constitutionnel - </w:t>
      </w:r>
      <w:r w:rsidRPr="00FB5988">
        <w:rPr>
          <w:i/>
          <w:sz w:val="20"/>
          <w:szCs w:val="20"/>
          <w:lang w:val="fr-CA"/>
        </w:rPr>
        <w:t>Charte canadienne des droits et libertés</w:t>
      </w:r>
      <w:r w:rsidRPr="00FB5988">
        <w:rPr>
          <w:sz w:val="20"/>
          <w:szCs w:val="20"/>
          <w:lang w:val="fr-CA"/>
        </w:rPr>
        <w:t xml:space="preserve"> - Liberté d’expression - Élections - Représentation efficace - La </w:t>
      </w:r>
      <w:r w:rsidRPr="00FB5988">
        <w:rPr>
          <w:i/>
          <w:iCs/>
          <w:sz w:val="20"/>
          <w:szCs w:val="20"/>
          <w:lang w:val="fr-CA"/>
        </w:rPr>
        <w:t>Loi de 2018 sur l’amélioration des administrations locales</w:t>
      </w:r>
      <w:r w:rsidRPr="00FB5988">
        <w:rPr>
          <w:sz w:val="20"/>
          <w:szCs w:val="20"/>
          <w:lang w:val="fr-CA"/>
        </w:rPr>
        <w:t xml:space="preserve">, L.O. 2018, c. 11, modifie le nombre de quartiers électoraux et les limites de ces quartiers dans la cité de Toronto pendant les élections municipales – Des changements au règlement pris en application de la </w:t>
      </w:r>
      <w:r w:rsidRPr="00FB5988">
        <w:rPr>
          <w:i/>
          <w:sz w:val="20"/>
          <w:szCs w:val="20"/>
          <w:lang w:val="fr-CA"/>
        </w:rPr>
        <w:t>Loi sur l’éducation</w:t>
      </w:r>
      <w:r w:rsidRPr="00FB5988">
        <w:rPr>
          <w:sz w:val="20"/>
          <w:szCs w:val="20"/>
          <w:lang w:val="fr-CA"/>
        </w:rPr>
        <w:t>, L.R.O. 1990, c. E.2, obligent le conseil scolaire à harmoniser les limites des quartiers avec la même configuration de quartier durant l’élection des conseillers -</w:t>
      </w:r>
      <w:r w:rsidRPr="00FB5988">
        <w:rPr>
          <w:i/>
          <w:sz w:val="20"/>
          <w:szCs w:val="20"/>
          <w:lang w:val="fr-CA"/>
        </w:rPr>
        <w:t xml:space="preserve"> </w:t>
      </w:r>
      <w:r w:rsidRPr="00FB5988">
        <w:rPr>
          <w:sz w:val="20"/>
          <w:szCs w:val="20"/>
          <w:lang w:val="fr-CA"/>
        </w:rPr>
        <w:t xml:space="preserve">L’al. 2b) de la </w:t>
      </w:r>
      <w:r w:rsidRPr="00FB5988">
        <w:rPr>
          <w:i/>
          <w:sz w:val="20"/>
          <w:szCs w:val="20"/>
          <w:lang w:val="fr-CA"/>
        </w:rPr>
        <w:t>Charte</w:t>
      </w:r>
      <w:r w:rsidRPr="00FB5988">
        <w:rPr>
          <w:sz w:val="20"/>
          <w:szCs w:val="20"/>
          <w:lang w:val="fr-CA"/>
        </w:rPr>
        <w:t xml:space="preserve"> protège-t-il l’expression des participants électoraux contre des modifications importantes, en cours de période électorale, au cadre et aux règles électoraux? – La loi attaquée viole-t-elle le droit à la liberté d’expression en supprimant dans les faits le discours politique des candidats et des électeurs durant les élections municipales et celles des conseils scolaires? - Des principes constitutionnels non écrits de démocratie et de primauté du droit peuvent-ils servir de fondement de l’annulation de mesures législatives? - Les électeurs municipaux qui votent dans une élection démocratique ont-ils le droit à une représentation efficace? – Les atteintes se justifient-elles au regard de l’article premier de la </w:t>
      </w:r>
      <w:r w:rsidRPr="00FB5988">
        <w:rPr>
          <w:i/>
          <w:sz w:val="20"/>
          <w:szCs w:val="20"/>
          <w:lang w:val="fr-CA"/>
        </w:rPr>
        <w:t>Charte</w:t>
      </w:r>
      <w:r w:rsidRPr="00FB5988">
        <w:rPr>
          <w:sz w:val="20"/>
          <w:szCs w:val="20"/>
          <w:lang w:val="fr-CA"/>
        </w:rPr>
        <w:t>?</w:t>
      </w:r>
    </w:p>
    <w:p w:rsidR="00304AB0" w:rsidRPr="00FB5988" w:rsidRDefault="00304AB0" w:rsidP="00304AB0">
      <w:pPr>
        <w:jc w:val="both"/>
        <w:rPr>
          <w:sz w:val="20"/>
          <w:lang w:val="fr-CA"/>
        </w:rPr>
      </w:pPr>
    </w:p>
    <w:p w:rsidR="00304AB0" w:rsidRPr="00FB5988" w:rsidRDefault="00304AB0" w:rsidP="00304AB0">
      <w:pPr>
        <w:jc w:val="both"/>
        <w:rPr>
          <w:sz w:val="20"/>
          <w:szCs w:val="20"/>
          <w:lang w:val="fr-CA"/>
        </w:rPr>
      </w:pPr>
      <w:r w:rsidRPr="00FB5988">
        <w:rPr>
          <w:sz w:val="20"/>
          <w:szCs w:val="20"/>
          <w:lang w:val="fr-CA"/>
        </w:rPr>
        <w:t>Le 1</w:t>
      </w:r>
      <w:r w:rsidRPr="00FB5988">
        <w:rPr>
          <w:sz w:val="20"/>
          <w:szCs w:val="20"/>
          <w:vertAlign w:val="superscript"/>
          <w:lang w:val="fr-CA"/>
        </w:rPr>
        <w:t>er</w:t>
      </w:r>
      <w:r w:rsidRPr="00FB5988">
        <w:rPr>
          <w:sz w:val="20"/>
          <w:szCs w:val="20"/>
          <w:lang w:val="fr-CA"/>
        </w:rPr>
        <w:t xml:space="preserve"> mai 2018, une élection a été mise en branle pour élire les membres du conseil municipal de la cité de Toronto et les conseillers du Conseil scolaire du district de Toronto dans 47 quartiers électoraux. Après la fin des périodes de mises en candidature et au cours des élections, l’Assemblée législative de l’Ontario a édicté une loi faisant passer de 47 à 25 le nombre de quartiers électoraux, ce qui a transformé les limites des quartiers et réduit à 25 le nombre de conseillers municipaux. Ces changements ont eu pour effet de perturber les campagnes électorales. La cité de Toronto et deux groupes de particuliers ont demandé à la Cour supérieure de justice de l’Ontario de rétablir par ordonnances les 47 quartiers électoraux, et ils ont contesté la constitutionnalité de la </w:t>
      </w:r>
      <w:r w:rsidRPr="00FB5988">
        <w:rPr>
          <w:i/>
          <w:sz w:val="20"/>
          <w:szCs w:val="20"/>
          <w:lang w:val="fr-CA"/>
        </w:rPr>
        <w:t>Loi de 2018 sur l’amélioration des administrations locales</w:t>
      </w:r>
      <w:r w:rsidRPr="00FB5988">
        <w:rPr>
          <w:sz w:val="20"/>
          <w:szCs w:val="20"/>
          <w:lang w:val="fr-CA"/>
        </w:rPr>
        <w:t xml:space="preserve">, L.O. 2018, c. 11. Le Conseil scolaire du district de Toronto a été ajouté en qualité d’intervenant aux multiples procédures judiciaires et il a en outre contesté les modifications au règlement pris en vertu de la </w:t>
      </w:r>
      <w:r w:rsidRPr="00FB5988">
        <w:rPr>
          <w:i/>
          <w:sz w:val="20"/>
          <w:szCs w:val="20"/>
          <w:lang w:val="fr-CA"/>
        </w:rPr>
        <w:t>Loi sur l’éducation</w:t>
      </w:r>
      <w:r w:rsidRPr="00FB5988">
        <w:rPr>
          <w:sz w:val="20"/>
          <w:szCs w:val="20"/>
          <w:lang w:val="fr-CA"/>
        </w:rPr>
        <w:t xml:space="preserve">, L.R.O. 1990, c. E.2, qui l’obligeaient à reconfigurer les limites de ses quartiers pour faire passer le nombre de ceux-ci à 25. Le 10 septembre 2018, la Cour supérieure de justice de l’Ontario a rendu une ordonnance déclarant que les modifications législatives violaient l’al. 2b) de la </w:t>
      </w:r>
      <w:r w:rsidRPr="00FB5988">
        <w:rPr>
          <w:i/>
          <w:sz w:val="20"/>
          <w:szCs w:val="20"/>
          <w:lang w:val="fr-CA"/>
        </w:rPr>
        <w:t xml:space="preserve">Charte canadienne des droits et libertés </w:t>
      </w:r>
      <w:r w:rsidRPr="00FB5988">
        <w:rPr>
          <w:sz w:val="20"/>
          <w:szCs w:val="20"/>
          <w:lang w:val="fr-CA"/>
        </w:rPr>
        <w:t>et étaient inopérantes. Le 19 septembre 2018, la Cour d’appel de l’Ontario a suspendu temporairement la décision de la Cour supérieure de justice de l’Ontario. Les élections ont été tenues en fonction de 25 quartiers électoraux avec les limites révisées. Le 19 septembre 2019, la Cour d’appel a accueilli un appel et annulé la décision de la Cour supérieure de justice.</w:t>
      </w:r>
    </w:p>
    <w:p w:rsidR="00304AB0" w:rsidRPr="00FB5988" w:rsidRDefault="00304AB0" w:rsidP="00304AB0">
      <w:pPr>
        <w:jc w:val="both"/>
        <w:rPr>
          <w:sz w:val="20"/>
          <w:lang w:val="fr-CA"/>
        </w:rPr>
      </w:pPr>
    </w:p>
    <w:p w:rsidR="00304AB0" w:rsidRPr="00FB5988" w:rsidRDefault="00EB6AAD" w:rsidP="00304AB0">
      <w:pPr>
        <w:jc w:val="both"/>
        <w:rPr>
          <w:sz w:val="20"/>
          <w:szCs w:val="20"/>
          <w:lang w:val="fr-CA"/>
        </w:rPr>
      </w:pPr>
      <w:r>
        <w:rPr>
          <w:sz w:val="20"/>
        </w:rPr>
        <w:pict>
          <v:rect id="_x0000_i1061" style="width:2in;height:1pt" o:hrpct="0" o:hralign="center" o:hrstd="t" o:hrnoshade="t" o:hr="t" fillcolor="black [3213]" stroked="f"/>
        </w:pict>
      </w:r>
    </w:p>
    <w:p w:rsidR="00304AB0" w:rsidRPr="00FB5988" w:rsidRDefault="00304AB0" w:rsidP="00304AB0">
      <w:pPr>
        <w:jc w:val="both"/>
        <w:rPr>
          <w:sz w:val="20"/>
          <w:szCs w:val="20"/>
          <w:lang w:val="fr-CA"/>
        </w:rPr>
      </w:pPr>
    </w:p>
    <w:p w:rsidR="00304AB0" w:rsidRPr="00FB5988" w:rsidRDefault="00304AB0" w:rsidP="00304AB0">
      <w:pPr>
        <w:widowControl w:val="0"/>
        <w:jc w:val="both"/>
        <w:rPr>
          <w:sz w:val="20"/>
          <w:szCs w:val="20"/>
          <w:lang w:val="fr-CA"/>
        </w:rPr>
      </w:pPr>
    </w:p>
    <w:p w:rsidR="00304AB0" w:rsidRPr="00FB5988" w:rsidRDefault="00304AB0">
      <w:pPr>
        <w:rPr>
          <w:rFonts w:eastAsia="Calibri" w:cs="Times New Roman"/>
          <w:b/>
          <w:sz w:val="20"/>
          <w:szCs w:val="20"/>
          <w:lang w:val="fr-CA"/>
        </w:rPr>
      </w:pPr>
      <w:r w:rsidRPr="00FB5988">
        <w:rPr>
          <w:b/>
          <w:sz w:val="20"/>
          <w:szCs w:val="20"/>
        </w:rPr>
        <w:br w:type="page"/>
      </w:r>
    </w:p>
    <w:p w:rsidR="00304AB0" w:rsidRPr="00FB5988" w:rsidRDefault="00304AB0" w:rsidP="00304AB0">
      <w:pPr>
        <w:pStyle w:val="SCCLsocParty"/>
        <w:ind w:left="720" w:hanging="720"/>
        <w:jc w:val="both"/>
        <w:rPr>
          <w:b/>
          <w:i/>
          <w:sz w:val="20"/>
          <w:szCs w:val="20"/>
          <w:lang w:val="en-US"/>
        </w:rPr>
      </w:pPr>
      <w:r w:rsidRPr="00FB5988">
        <w:rPr>
          <w:b/>
          <w:sz w:val="20"/>
          <w:szCs w:val="20"/>
        </w:rPr>
        <w:lastRenderedPageBreak/>
        <w:fldChar w:fldCharType="begin"/>
      </w:r>
      <w:r w:rsidRPr="00FB5988">
        <w:rPr>
          <w:b/>
          <w:sz w:val="20"/>
          <w:szCs w:val="20"/>
          <w:lang w:val="en-US"/>
        </w:rPr>
        <w:instrText xml:space="preserve"> SEQ CHAPTER \h \r 1</w:instrText>
      </w:r>
      <w:r w:rsidRPr="00FB5988">
        <w:rPr>
          <w:b/>
          <w:sz w:val="20"/>
          <w:szCs w:val="20"/>
        </w:rPr>
        <w:fldChar w:fldCharType="end"/>
      </w:r>
      <w:r w:rsidRPr="00FB5988">
        <w:rPr>
          <w:b/>
          <w:sz w:val="20"/>
          <w:szCs w:val="20"/>
          <w:lang w:val="en-US"/>
        </w:rPr>
        <w:t>38992</w:t>
      </w:r>
      <w:r w:rsidRPr="00FB5988">
        <w:rPr>
          <w:b/>
          <w:sz w:val="20"/>
          <w:szCs w:val="20"/>
          <w:lang w:val="en-US"/>
        </w:rPr>
        <w:tab/>
      </w:r>
      <w:r w:rsidRPr="00FB5988">
        <w:rPr>
          <w:b/>
          <w:i/>
          <w:sz w:val="20"/>
          <w:szCs w:val="20"/>
          <w:lang w:val="en-US"/>
        </w:rPr>
        <w:t>Canadian Broadcasting Corporation v. Her Majesty the Queen, Stanley Frank Ostrowski, B.B., spouse of the late M.D., and J.D., in his capacity as executor of the estate of the late M.D.</w:t>
      </w:r>
    </w:p>
    <w:p w:rsidR="00304AB0" w:rsidRPr="00FB5988" w:rsidRDefault="00304AB0" w:rsidP="00304AB0">
      <w:pPr>
        <w:widowControl w:val="0"/>
        <w:ind w:firstLine="720"/>
        <w:jc w:val="both"/>
        <w:rPr>
          <w:sz w:val="20"/>
          <w:szCs w:val="20"/>
        </w:rPr>
      </w:pPr>
      <w:r w:rsidRPr="00FB5988">
        <w:rPr>
          <w:sz w:val="20"/>
          <w:szCs w:val="20"/>
        </w:rPr>
        <w:t>(Man.) (Civil) (By Leave)</w:t>
      </w:r>
    </w:p>
    <w:p w:rsidR="00304AB0" w:rsidRPr="00FB5988" w:rsidRDefault="00304AB0" w:rsidP="00304AB0">
      <w:pPr>
        <w:widowControl w:val="0"/>
        <w:jc w:val="both"/>
        <w:rPr>
          <w:sz w:val="20"/>
          <w:szCs w:val="20"/>
        </w:rPr>
      </w:pPr>
    </w:p>
    <w:p w:rsidR="00304AB0" w:rsidRPr="00FB5988" w:rsidRDefault="00304AB0" w:rsidP="00304AB0">
      <w:pPr>
        <w:pStyle w:val="SCCBanSummary0"/>
        <w:rPr>
          <w:sz w:val="20"/>
          <w:szCs w:val="20"/>
        </w:rPr>
      </w:pPr>
      <w:r w:rsidRPr="00FB5988">
        <w:rPr>
          <w:sz w:val="20"/>
          <w:szCs w:val="20"/>
        </w:rPr>
        <w:t>(Publication ban in case) (Sealing order)</w:t>
      </w:r>
    </w:p>
    <w:p w:rsidR="00304AB0" w:rsidRPr="00FB5988" w:rsidRDefault="00304AB0" w:rsidP="00304AB0">
      <w:pPr>
        <w:widowControl w:val="0"/>
        <w:jc w:val="both"/>
        <w:rPr>
          <w:sz w:val="20"/>
          <w:szCs w:val="20"/>
        </w:rPr>
      </w:pPr>
    </w:p>
    <w:p w:rsidR="00304AB0" w:rsidRPr="00FB5988" w:rsidRDefault="00304AB0" w:rsidP="00304AB0">
      <w:pPr>
        <w:jc w:val="both"/>
        <w:rPr>
          <w:sz w:val="20"/>
          <w:szCs w:val="20"/>
        </w:rPr>
      </w:pPr>
      <w:r w:rsidRPr="00FB5988">
        <w:rPr>
          <w:sz w:val="20"/>
          <w:szCs w:val="20"/>
        </w:rPr>
        <w:t xml:space="preserve">Courts - Jurisdiction - Publication bans - Constitutional law - </w:t>
      </w:r>
      <w:r w:rsidRPr="00FB5988">
        <w:rPr>
          <w:i/>
          <w:sz w:val="20"/>
          <w:szCs w:val="20"/>
        </w:rPr>
        <w:t>Charter of Rights</w:t>
      </w:r>
      <w:r w:rsidRPr="00FB5988">
        <w:rPr>
          <w:sz w:val="20"/>
          <w:szCs w:val="20"/>
        </w:rPr>
        <w:t xml:space="preserve"> - Open court principle - Criminal proceedings - Appeals - Legislation - Interpretation - Sealed evidence - Is a court issuing a discretionary publication ban required to: give prior notice to the public and media; set out the terms of the ban with sufficient certainty; record the ban in a manner accessible to the public; and provide reasons applying the </w:t>
      </w:r>
      <w:r w:rsidRPr="00FB5988">
        <w:rPr>
          <w:i/>
          <w:sz w:val="20"/>
          <w:szCs w:val="20"/>
        </w:rPr>
        <w:t>Dagenais/Mentuck</w:t>
      </w:r>
      <w:r w:rsidRPr="00FB5988">
        <w:rPr>
          <w:sz w:val="20"/>
          <w:szCs w:val="20"/>
        </w:rPr>
        <w:t xml:space="preserve"> test - Does s. 2(b) of the </w:t>
      </w:r>
      <w:r w:rsidRPr="00FB5988">
        <w:rPr>
          <w:i/>
          <w:sz w:val="20"/>
          <w:szCs w:val="20"/>
        </w:rPr>
        <w:t>Charter</w:t>
      </w:r>
      <w:r w:rsidRPr="00FB5988">
        <w:rPr>
          <w:sz w:val="20"/>
          <w:szCs w:val="20"/>
        </w:rPr>
        <w:t xml:space="preserve"> require a discretionary publication ban to be subject to being set aside, varied or clarified by further order of that Court - Does the MBCA have inherent jurisdiction to deal with a motion to set aside or vary the publication ban or does Rule 46.2 or the doctrine of </w:t>
      </w:r>
      <w:r w:rsidRPr="00FB5988">
        <w:rPr>
          <w:i/>
          <w:sz w:val="20"/>
          <w:szCs w:val="20"/>
        </w:rPr>
        <w:t>functus officio</w:t>
      </w:r>
      <w:r w:rsidRPr="00FB5988">
        <w:rPr>
          <w:sz w:val="20"/>
          <w:szCs w:val="20"/>
        </w:rPr>
        <w:t xml:space="preserve"> deprive the MBCA of that jurisdiction - Does the MBCA have jurisdiction to provide a remedy under s. 24(1) of the </w:t>
      </w:r>
      <w:r w:rsidRPr="00FB5988">
        <w:rPr>
          <w:i/>
          <w:sz w:val="20"/>
          <w:szCs w:val="20"/>
        </w:rPr>
        <w:t>Charter</w:t>
      </w:r>
      <w:r w:rsidRPr="00FB5988">
        <w:rPr>
          <w:sz w:val="20"/>
          <w:szCs w:val="20"/>
        </w:rPr>
        <w:t xml:space="preserve"> - Is the publication ban justified - Is evidence that is tendered and reviewed by a court but not admitted part of the record </w:t>
      </w:r>
      <w:r w:rsidRPr="00FB5988">
        <w:rPr>
          <w:i/>
          <w:sz w:val="20"/>
          <w:szCs w:val="20"/>
        </w:rPr>
        <w:t>prima facie</w:t>
      </w:r>
      <w:r w:rsidRPr="00FB5988">
        <w:rPr>
          <w:sz w:val="20"/>
          <w:szCs w:val="20"/>
        </w:rPr>
        <w:t xml:space="preserve"> accessible to the public pursuant to the open court principle - Does Rule 21(4) seal evidence held inadmissible and, if so, does it violate s. 2(b) of the </w:t>
      </w:r>
      <w:r w:rsidRPr="00FB5988">
        <w:rPr>
          <w:i/>
          <w:sz w:val="20"/>
          <w:szCs w:val="20"/>
        </w:rPr>
        <w:t>Charter</w:t>
      </w:r>
      <w:r w:rsidRPr="00FB5988">
        <w:rPr>
          <w:sz w:val="20"/>
          <w:szCs w:val="20"/>
        </w:rPr>
        <w:t xml:space="preserve"> - What is the appropriate standard of review for a determination of jurisdiction, the correct interpretation of Rule 21 and the application of the open court principle  - Should access be granted to the Posner affidavit - Is a deceased person entitled to privacy and does the estate have standing to raise the deceased’s privacy interests - </w:t>
      </w:r>
      <w:r w:rsidRPr="00FB5988">
        <w:rPr>
          <w:i/>
          <w:sz w:val="20"/>
          <w:szCs w:val="20"/>
        </w:rPr>
        <w:t>Canadian Charter of Rights and Freedoms</w:t>
      </w:r>
      <w:r w:rsidRPr="00FB5988">
        <w:rPr>
          <w:sz w:val="20"/>
          <w:szCs w:val="20"/>
        </w:rPr>
        <w:t xml:space="preserve">, Part I of the </w:t>
      </w:r>
      <w:r w:rsidRPr="00FB5988">
        <w:rPr>
          <w:i/>
          <w:sz w:val="20"/>
          <w:szCs w:val="20"/>
        </w:rPr>
        <w:t>Constitution Act, 1982</w:t>
      </w:r>
      <w:r w:rsidRPr="00FB5988">
        <w:rPr>
          <w:sz w:val="20"/>
          <w:szCs w:val="20"/>
        </w:rPr>
        <w:t xml:space="preserve">, ss. 2(b) and 7 - </w:t>
      </w:r>
      <w:r w:rsidRPr="00FB5988">
        <w:rPr>
          <w:i/>
          <w:sz w:val="20"/>
          <w:szCs w:val="20"/>
          <w:lang w:val="en"/>
        </w:rPr>
        <w:t>Court of Appeal Rules</w:t>
      </w:r>
      <w:r w:rsidRPr="00FB5988">
        <w:rPr>
          <w:sz w:val="20"/>
          <w:szCs w:val="20"/>
          <w:lang w:val="en"/>
        </w:rPr>
        <w:t>, Man Reg 555/88 R, rules 21(4) and 46.2</w:t>
      </w:r>
      <w:r w:rsidRPr="00FB5988">
        <w:rPr>
          <w:i/>
          <w:sz w:val="20"/>
          <w:szCs w:val="20"/>
        </w:rPr>
        <w:t xml:space="preserve"> </w:t>
      </w:r>
      <w:r w:rsidRPr="00FB5988">
        <w:rPr>
          <w:sz w:val="20"/>
          <w:szCs w:val="20"/>
        </w:rPr>
        <w:t xml:space="preserve">- </w:t>
      </w:r>
      <w:r w:rsidRPr="00FB5988">
        <w:rPr>
          <w:i/>
          <w:sz w:val="20"/>
          <w:szCs w:val="20"/>
        </w:rPr>
        <w:t>Dagenais v. Canadian Broadcasting Corp</w:t>
      </w:r>
      <w:r w:rsidRPr="00FB5988">
        <w:rPr>
          <w:sz w:val="20"/>
          <w:szCs w:val="20"/>
        </w:rPr>
        <w:t xml:space="preserve">., [1994] 3 S.C.R. 835; </w:t>
      </w:r>
      <w:r w:rsidRPr="00FB5988">
        <w:rPr>
          <w:i/>
          <w:sz w:val="20"/>
          <w:szCs w:val="20"/>
          <w:lang w:val="en-GB"/>
        </w:rPr>
        <w:t xml:space="preserve">R. </w:t>
      </w:r>
      <w:r w:rsidRPr="00FB5988">
        <w:rPr>
          <w:i/>
          <w:iCs/>
          <w:sz w:val="20"/>
          <w:szCs w:val="20"/>
          <w:lang w:val="en-GB"/>
        </w:rPr>
        <w:t>v.</w:t>
      </w:r>
      <w:r w:rsidRPr="00FB5988">
        <w:rPr>
          <w:i/>
          <w:sz w:val="20"/>
          <w:szCs w:val="20"/>
          <w:lang w:val="en-GB"/>
        </w:rPr>
        <w:t xml:space="preserve"> Mentuck</w:t>
      </w:r>
      <w:r w:rsidRPr="00FB5988">
        <w:rPr>
          <w:sz w:val="20"/>
          <w:szCs w:val="20"/>
          <w:lang w:val="en-GB"/>
        </w:rPr>
        <w:t>, [2001] 3 S.C.R. 442, 2001 SCC 76.</w:t>
      </w:r>
    </w:p>
    <w:p w:rsidR="00304AB0" w:rsidRPr="00FB5988" w:rsidRDefault="00304AB0" w:rsidP="00304AB0">
      <w:pPr>
        <w:widowControl w:val="0"/>
        <w:jc w:val="both"/>
        <w:rPr>
          <w:sz w:val="20"/>
          <w:szCs w:val="20"/>
        </w:rPr>
      </w:pPr>
    </w:p>
    <w:p w:rsidR="00304AB0" w:rsidRPr="00FB5988" w:rsidRDefault="00304AB0" w:rsidP="00304AB0">
      <w:pPr>
        <w:widowControl w:val="0"/>
        <w:spacing w:line="0" w:lineRule="atLeast"/>
        <w:jc w:val="both"/>
        <w:rPr>
          <w:sz w:val="20"/>
          <w:szCs w:val="20"/>
        </w:rPr>
      </w:pPr>
      <w:r w:rsidRPr="00FB5988">
        <w:rPr>
          <w:sz w:val="20"/>
          <w:szCs w:val="20"/>
        </w:rPr>
        <w:t>During the appeal of an accused’s conviction for first degree murder, the defence brought two motions to admit fresh evidence. On the basis of evidence from the first motion that was admitted and made publicly available, the parties agreed that the conviction should be set aside and that there should not be a new trial. The only issue remaining was whether there should be an acquittal or a new trial, but with a judicial stay of further proceedings.</w:t>
      </w:r>
    </w:p>
    <w:p w:rsidR="00304AB0" w:rsidRPr="00FB5988" w:rsidRDefault="00304AB0" w:rsidP="00304AB0">
      <w:pPr>
        <w:widowControl w:val="0"/>
        <w:spacing w:line="0" w:lineRule="atLeast"/>
        <w:jc w:val="both"/>
        <w:rPr>
          <w:sz w:val="20"/>
          <w:szCs w:val="20"/>
        </w:rPr>
      </w:pPr>
    </w:p>
    <w:p w:rsidR="00304AB0" w:rsidRPr="00FB5988" w:rsidRDefault="00304AB0" w:rsidP="00304AB0">
      <w:pPr>
        <w:widowControl w:val="0"/>
        <w:spacing w:line="0" w:lineRule="atLeast"/>
        <w:jc w:val="both"/>
        <w:rPr>
          <w:sz w:val="20"/>
          <w:szCs w:val="20"/>
        </w:rPr>
      </w:pPr>
      <w:r w:rsidRPr="00FB5988">
        <w:rPr>
          <w:sz w:val="20"/>
          <w:szCs w:val="20"/>
        </w:rPr>
        <w:t xml:space="preserve">The affidavit evidence that was the subject of the second motion to admit fresh evidence was sealed pursuant to Rule 21(4) of the </w:t>
      </w:r>
      <w:r w:rsidRPr="00FB5988">
        <w:rPr>
          <w:i/>
          <w:sz w:val="20"/>
          <w:szCs w:val="20"/>
        </w:rPr>
        <w:t>Court of Appeal Rules</w:t>
      </w:r>
      <w:r w:rsidRPr="00FB5988">
        <w:rPr>
          <w:sz w:val="20"/>
          <w:szCs w:val="20"/>
        </w:rPr>
        <w:t>, Man Reg 555/88 R. In the course of the hearing, the Manitoba Court of Appeal ordered a publication ban to protect the information prior to its discussion in argument. The Court determined that the evidence proposed under the second motion to admit fresh evidence was irrelevant to the remaining issue, and therefore denied the motion and ordered that the publication ban on it remain in effect. The Court set aside the conviction, ordered a new trial and stayed any further proceedings: 2018 MBCA 125.</w:t>
      </w:r>
    </w:p>
    <w:p w:rsidR="00304AB0" w:rsidRPr="00FB5988" w:rsidRDefault="00304AB0" w:rsidP="00304AB0">
      <w:pPr>
        <w:widowControl w:val="0"/>
        <w:spacing w:line="0" w:lineRule="atLeast"/>
        <w:jc w:val="both"/>
        <w:rPr>
          <w:sz w:val="20"/>
          <w:szCs w:val="20"/>
        </w:rPr>
      </w:pPr>
    </w:p>
    <w:p w:rsidR="00304AB0" w:rsidRPr="00FB5988" w:rsidRDefault="00304AB0" w:rsidP="00304AB0">
      <w:pPr>
        <w:jc w:val="both"/>
        <w:rPr>
          <w:sz w:val="20"/>
        </w:rPr>
      </w:pPr>
      <w:r w:rsidRPr="00FB5988">
        <w:rPr>
          <w:sz w:val="20"/>
          <w:szCs w:val="20"/>
        </w:rPr>
        <w:t xml:space="preserve">The appellant brought a motion before the Manitoba Court of Appeal to set aside the publication ban protecting the fresh evidence. In 2019 MBCA 122, the Court denied the motion on the basis that it lacked jurisdiction to rehear or interpret the publication ban according to the </w:t>
      </w:r>
      <w:r w:rsidRPr="00FB5988">
        <w:rPr>
          <w:i/>
          <w:sz w:val="20"/>
          <w:szCs w:val="20"/>
          <w:lang w:val="en"/>
        </w:rPr>
        <w:t>Court of Appeal Rules</w:t>
      </w:r>
      <w:r w:rsidRPr="00FB5988">
        <w:rPr>
          <w:sz w:val="20"/>
          <w:szCs w:val="20"/>
        </w:rPr>
        <w:t>. The appellant filed motions for an extension of time and applications for leave to appeal the 2018 MBCA 125 and 2019 MBCA 122 decisions.</w:t>
      </w:r>
    </w:p>
    <w:p w:rsidR="00304AB0" w:rsidRPr="00FB5988" w:rsidRDefault="00304AB0" w:rsidP="00304AB0">
      <w:pPr>
        <w:jc w:val="both"/>
        <w:rPr>
          <w:sz w:val="20"/>
        </w:rPr>
      </w:pPr>
    </w:p>
    <w:p w:rsidR="00304AB0" w:rsidRPr="00FB5988" w:rsidRDefault="00EB6AAD" w:rsidP="00304AB0">
      <w:pPr>
        <w:jc w:val="both"/>
        <w:rPr>
          <w:sz w:val="20"/>
        </w:rPr>
      </w:pPr>
      <w:r>
        <w:rPr>
          <w:sz w:val="20"/>
        </w:rPr>
        <w:pict>
          <v:rect id="_x0000_i1062" style="width:2in;height:1pt" o:hrpct="0" o:hralign="center" o:hrstd="t" o:hrnoshade="t" o:hr="t" fillcolor="black [3213]" stroked="f"/>
        </w:pict>
      </w:r>
    </w:p>
    <w:p w:rsidR="00304AB0" w:rsidRPr="00FB5988" w:rsidRDefault="00304AB0" w:rsidP="00304AB0">
      <w:pPr>
        <w:jc w:val="both"/>
        <w:rPr>
          <w:sz w:val="20"/>
        </w:rPr>
      </w:pPr>
    </w:p>
    <w:p w:rsidR="00304AB0" w:rsidRPr="00FB5988" w:rsidRDefault="00304AB0" w:rsidP="00304AB0">
      <w:pPr>
        <w:pStyle w:val="SCCLsocParty"/>
        <w:ind w:left="720" w:hanging="720"/>
        <w:jc w:val="both"/>
        <w:rPr>
          <w:b/>
          <w:i/>
          <w:sz w:val="20"/>
          <w:szCs w:val="20"/>
        </w:rPr>
      </w:pPr>
      <w:r w:rsidRPr="00FB5988">
        <w:rPr>
          <w:rStyle w:val="SCCFileNumberChar"/>
          <w:sz w:val="20"/>
          <w:szCs w:val="20"/>
          <w:lang w:val="fr-CA"/>
        </w:rPr>
        <w:t>38992</w:t>
      </w:r>
      <w:r w:rsidRPr="00FB5988">
        <w:rPr>
          <w:rStyle w:val="SCCFileNumberChar"/>
          <w:sz w:val="20"/>
          <w:szCs w:val="20"/>
          <w:lang w:val="fr-CA"/>
        </w:rPr>
        <w:tab/>
      </w:r>
      <w:r w:rsidRPr="00FB5988">
        <w:rPr>
          <w:b/>
          <w:i/>
          <w:sz w:val="20"/>
          <w:szCs w:val="20"/>
        </w:rPr>
        <w:t>Société Radio-Canada c. Sa Majesté la Reine, Stanley Frank Ostrowski, B.B., conjoint de feu M.D., et J.D., en sa qualité d’exécuteur de la succession de feu M.D.</w:t>
      </w:r>
    </w:p>
    <w:p w:rsidR="00304AB0" w:rsidRPr="00FB5988" w:rsidRDefault="00304AB0" w:rsidP="00304AB0">
      <w:pPr>
        <w:ind w:firstLine="720"/>
        <w:jc w:val="both"/>
        <w:rPr>
          <w:sz w:val="20"/>
          <w:lang w:val="fr-CA"/>
        </w:rPr>
      </w:pPr>
      <w:r w:rsidRPr="00FB5988">
        <w:rPr>
          <w:sz w:val="20"/>
          <w:szCs w:val="20"/>
          <w:lang w:val="fr-CA"/>
        </w:rPr>
        <w:t>(Man.) (Civile) (Sur autorisation)</w:t>
      </w:r>
    </w:p>
    <w:p w:rsidR="00304AB0" w:rsidRPr="00FB5988" w:rsidRDefault="00304AB0" w:rsidP="00304AB0">
      <w:pPr>
        <w:jc w:val="both"/>
        <w:rPr>
          <w:sz w:val="20"/>
          <w:szCs w:val="20"/>
          <w:lang w:val="fr-CA"/>
        </w:rPr>
      </w:pPr>
    </w:p>
    <w:p w:rsidR="00304AB0" w:rsidRPr="00FB5988" w:rsidRDefault="00304AB0" w:rsidP="00304AB0">
      <w:pPr>
        <w:pStyle w:val="SCCBanSummary0"/>
        <w:rPr>
          <w:sz w:val="20"/>
          <w:szCs w:val="20"/>
          <w:lang w:val="fr-CA"/>
        </w:rPr>
      </w:pPr>
      <w:r w:rsidRPr="00FB5988">
        <w:rPr>
          <w:sz w:val="20"/>
          <w:szCs w:val="20"/>
          <w:lang w:val="fr-CA"/>
        </w:rPr>
        <w:t>(Ordonnance de non-publication dans le dossier) (Ordonnance de mise sous scellés)</w:t>
      </w:r>
    </w:p>
    <w:p w:rsidR="00304AB0" w:rsidRPr="00FB5988" w:rsidRDefault="00304AB0" w:rsidP="00304AB0">
      <w:pPr>
        <w:jc w:val="both"/>
        <w:rPr>
          <w:sz w:val="20"/>
          <w:szCs w:val="20"/>
          <w:lang w:val="fr-CA"/>
        </w:rPr>
      </w:pPr>
    </w:p>
    <w:p w:rsidR="00304AB0" w:rsidRPr="00FB5988" w:rsidRDefault="00304AB0">
      <w:pPr>
        <w:rPr>
          <w:sz w:val="20"/>
          <w:szCs w:val="20"/>
          <w:lang w:val="fr-CA"/>
        </w:rPr>
      </w:pPr>
      <w:r w:rsidRPr="00FB5988">
        <w:rPr>
          <w:sz w:val="20"/>
          <w:szCs w:val="20"/>
          <w:lang w:val="fr-CA"/>
        </w:rPr>
        <w:br w:type="page"/>
      </w:r>
    </w:p>
    <w:p w:rsidR="00304AB0" w:rsidRPr="00FB5988" w:rsidRDefault="00304AB0" w:rsidP="00304AB0">
      <w:pPr>
        <w:jc w:val="both"/>
        <w:rPr>
          <w:rFonts w:eastAsia="Calibri"/>
          <w:sz w:val="20"/>
          <w:lang w:val="fr-CA"/>
        </w:rPr>
      </w:pPr>
      <w:r w:rsidRPr="00FB5988">
        <w:rPr>
          <w:sz w:val="20"/>
          <w:szCs w:val="20"/>
          <w:lang w:val="fr-CA"/>
        </w:rPr>
        <w:lastRenderedPageBreak/>
        <w:t xml:space="preserve">Cours - Compétence - Ordonnances de non-publication - Droit constitutionnel - </w:t>
      </w:r>
      <w:r w:rsidRPr="00FB5988">
        <w:rPr>
          <w:i/>
          <w:sz w:val="20"/>
          <w:szCs w:val="20"/>
          <w:lang w:val="fr-CA"/>
        </w:rPr>
        <w:t>Charte des droits</w:t>
      </w:r>
      <w:r w:rsidRPr="00FB5988">
        <w:rPr>
          <w:sz w:val="20"/>
          <w:szCs w:val="20"/>
          <w:lang w:val="fr-CA"/>
        </w:rPr>
        <w:t xml:space="preserve"> - </w:t>
      </w:r>
      <w:r w:rsidRPr="00FB5988">
        <w:rPr>
          <w:iCs/>
          <w:sz w:val="20"/>
          <w:szCs w:val="20"/>
          <w:lang w:val="fr-CA"/>
        </w:rPr>
        <w:t>Principe de la publicité des débats judiciaires</w:t>
      </w:r>
      <w:r w:rsidRPr="00FB5988">
        <w:rPr>
          <w:i/>
          <w:iCs/>
          <w:sz w:val="20"/>
          <w:szCs w:val="20"/>
          <w:lang w:val="fr-CA"/>
        </w:rPr>
        <w:t xml:space="preserve"> </w:t>
      </w:r>
      <w:r w:rsidRPr="00FB5988">
        <w:rPr>
          <w:iCs/>
          <w:sz w:val="20"/>
          <w:szCs w:val="20"/>
          <w:lang w:val="fr-CA"/>
        </w:rPr>
        <w:t>-</w:t>
      </w:r>
      <w:r w:rsidRPr="00FB5988">
        <w:rPr>
          <w:sz w:val="20"/>
          <w:szCs w:val="20"/>
          <w:lang w:val="fr-CA"/>
        </w:rPr>
        <w:t xml:space="preserve"> Procès criminel - Appels - Législation - Interprétation - Preuve produite sous scellés - Un tribunal qui rend une ordonnance de non-publication dans l’exercice de son pouvoir discrétionnaire doit-il : donner un avis préalable au public et aux médias; énoncer les modalités de l’ordonnance de non-publication avec une certitude suffisante; consigner l’ordonnance de non-publication au dossier de manière à ce qu’elle soit accessible au public; et appliquer, dans les motifs qu’il rend, le critère de </w:t>
      </w:r>
      <w:r w:rsidRPr="00FB5988">
        <w:rPr>
          <w:rFonts w:eastAsia="Calibri" w:cs="Times New Roman"/>
          <w:i/>
          <w:sz w:val="20"/>
          <w:szCs w:val="20"/>
          <w:lang w:val="fr-CA"/>
        </w:rPr>
        <w:t>Dagenais/Mentuck?</w:t>
      </w:r>
      <w:r w:rsidRPr="00FB5988">
        <w:rPr>
          <w:rFonts w:eastAsia="Calibri" w:cs="Times New Roman"/>
          <w:sz w:val="20"/>
          <w:szCs w:val="20"/>
          <w:lang w:val="fr-CA"/>
        </w:rPr>
        <w:t xml:space="preserve"> - L’alinéa 2</w:t>
      </w:r>
      <w:r w:rsidRPr="00FB5988">
        <w:rPr>
          <w:rFonts w:eastAsia="Calibri" w:cs="Times New Roman"/>
          <w:i/>
          <w:sz w:val="20"/>
          <w:szCs w:val="20"/>
          <w:lang w:val="fr-CA"/>
        </w:rPr>
        <w:t>b</w:t>
      </w:r>
      <w:r w:rsidRPr="00FB5988">
        <w:rPr>
          <w:rFonts w:eastAsia="Calibri" w:cs="Times New Roman"/>
          <w:sz w:val="20"/>
          <w:szCs w:val="20"/>
          <w:lang w:val="fr-CA"/>
        </w:rPr>
        <w:t xml:space="preserve">) de la </w:t>
      </w:r>
      <w:r w:rsidRPr="00FB5988">
        <w:rPr>
          <w:rFonts w:eastAsia="Calibri" w:cs="Times New Roman"/>
          <w:i/>
          <w:sz w:val="20"/>
          <w:szCs w:val="20"/>
          <w:lang w:val="fr-CA"/>
        </w:rPr>
        <w:t>Charte</w:t>
      </w:r>
      <w:r w:rsidRPr="00FB5988">
        <w:rPr>
          <w:rFonts w:eastAsia="Calibri" w:cs="Times New Roman"/>
          <w:sz w:val="20"/>
          <w:szCs w:val="20"/>
          <w:lang w:val="fr-CA"/>
        </w:rPr>
        <w:t xml:space="preserve"> requiert-il qu’une ordonnance de non-publication en vertu d’un pouvoir discrétionnaire soit visée par une autre ordonnance de ce tribunal </w:t>
      </w:r>
      <w:r w:rsidRPr="00FB5988">
        <w:rPr>
          <w:sz w:val="20"/>
          <w:szCs w:val="20"/>
          <w:lang w:val="fr-CA"/>
        </w:rPr>
        <w:t xml:space="preserve">pour l’annuler, la modifier ou la préciser? - La Cour d’appel du Manitoba a-t-elle compétence inhérente pour trancher une requête visant l’annulation ou la modification de l’ordonnance de non-publication, ou bien la règle 46.2 ou celle du </w:t>
      </w:r>
      <w:r w:rsidRPr="00FB5988">
        <w:rPr>
          <w:i/>
          <w:sz w:val="20"/>
          <w:szCs w:val="20"/>
          <w:lang w:val="fr-CA"/>
        </w:rPr>
        <w:t>functus officio</w:t>
      </w:r>
      <w:r w:rsidRPr="00FB5988">
        <w:rPr>
          <w:sz w:val="20"/>
          <w:szCs w:val="20"/>
          <w:lang w:val="fr-CA"/>
        </w:rPr>
        <w:t xml:space="preserve"> vient-elle lui nier cette compétence? - La Cour d’appel du Manitoba a-t-elle compétence pour accorder une réparation aux termes du par. 24(1) de la </w:t>
      </w:r>
      <w:r w:rsidRPr="00FB5988">
        <w:rPr>
          <w:i/>
          <w:sz w:val="20"/>
          <w:szCs w:val="20"/>
          <w:lang w:val="fr-CA"/>
        </w:rPr>
        <w:t>Charte?</w:t>
      </w:r>
      <w:r w:rsidRPr="00FB5988">
        <w:rPr>
          <w:sz w:val="20"/>
          <w:szCs w:val="20"/>
          <w:lang w:val="fr-CA"/>
        </w:rPr>
        <w:t xml:space="preserve"> L’ordonnance de non-publication est-elle justifiée? La preuve produite puis examinée par un tribunal, mais non admise, fait-elle partie du dossier public que le public peut consulter à première vue en vertu du principe de la publicité des débats judiciaires? La règle </w:t>
      </w:r>
      <w:r w:rsidRPr="00FB5988">
        <w:rPr>
          <w:rFonts w:eastAsia="Calibri" w:cs="Times New Roman"/>
          <w:sz w:val="20"/>
          <w:szCs w:val="20"/>
          <w:lang w:val="fr-CA"/>
        </w:rPr>
        <w:t>21(4) a-t-elle pour effet de mettre sous scellés la preuve jugée inadmissible, et dans l’affirmative, cette règle porte-t-elle atteinte à l’al. 2</w:t>
      </w:r>
      <w:r w:rsidRPr="00FB5988">
        <w:rPr>
          <w:rFonts w:eastAsia="Calibri" w:cs="Times New Roman"/>
          <w:i/>
          <w:sz w:val="20"/>
          <w:szCs w:val="20"/>
          <w:lang w:val="fr-CA"/>
        </w:rPr>
        <w:t>b</w:t>
      </w:r>
      <w:r w:rsidRPr="00FB5988">
        <w:rPr>
          <w:rFonts w:eastAsia="Calibri" w:cs="Times New Roman"/>
          <w:sz w:val="20"/>
          <w:szCs w:val="20"/>
          <w:lang w:val="fr-CA"/>
        </w:rPr>
        <w:t xml:space="preserve">) de la Charte? - Quelle est la norme de contrôle à appliquer dans le cadre d’une décision quant à la compétence, l’interprétation qu’il convient de donner à la règle 21 et l’application du principe de la publicité des débats judiciaire? - L’accès à l’affidavit Posner devrait-il être accordé? - Une personne décédée a-t-elle droit à la protection de la vie privée, et la succession a-t-elle qualité pour soulever la question des droits en matière de vie privée de cette personne? - </w:t>
      </w:r>
      <w:r w:rsidRPr="00FB5988">
        <w:rPr>
          <w:rFonts w:eastAsia="Calibri" w:cs="Times New Roman"/>
          <w:i/>
          <w:sz w:val="20"/>
          <w:szCs w:val="20"/>
          <w:lang w:val="fr-CA"/>
        </w:rPr>
        <w:t>Charte canadienne des droits et libertés</w:t>
      </w:r>
      <w:r w:rsidRPr="00FB5988">
        <w:rPr>
          <w:rFonts w:eastAsia="Calibri" w:cs="Times New Roman"/>
          <w:sz w:val="20"/>
          <w:szCs w:val="20"/>
          <w:lang w:val="fr-CA"/>
        </w:rPr>
        <w:t xml:space="preserve">, partie I de la </w:t>
      </w:r>
      <w:r w:rsidRPr="00FB5988">
        <w:rPr>
          <w:rFonts w:eastAsia="Calibri" w:cs="Times New Roman"/>
          <w:i/>
          <w:sz w:val="20"/>
          <w:szCs w:val="20"/>
          <w:lang w:val="fr-CA"/>
        </w:rPr>
        <w:t>Loi constitutionnelle de 1982</w:t>
      </w:r>
      <w:r w:rsidRPr="00FB5988">
        <w:rPr>
          <w:rFonts w:eastAsia="Calibri" w:cs="Times New Roman"/>
          <w:sz w:val="20"/>
          <w:szCs w:val="20"/>
          <w:lang w:val="fr-CA"/>
        </w:rPr>
        <w:t>, art. 2</w:t>
      </w:r>
      <w:r w:rsidRPr="00FB5988">
        <w:rPr>
          <w:rFonts w:eastAsia="Calibri" w:cs="Times New Roman"/>
          <w:i/>
          <w:sz w:val="20"/>
          <w:szCs w:val="20"/>
          <w:lang w:val="fr-CA"/>
        </w:rPr>
        <w:t>b</w:t>
      </w:r>
      <w:r w:rsidRPr="00FB5988">
        <w:rPr>
          <w:rFonts w:eastAsia="Calibri" w:cs="Times New Roman"/>
          <w:sz w:val="20"/>
          <w:szCs w:val="20"/>
          <w:lang w:val="fr-CA"/>
        </w:rPr>
        <w:t xml:space="preserve">) et 7 - </w:t>
      </w:r>
      <w:r w:rsidRPr="00FB5988">
        <w:rPr>
          <w:rFonts w:eastAsia="Calibri" w:cs="Times New Roman"/>
          <w:i/>
          <w:sz w:val="20"/>
          <w:szCs w:val="20"/>
          <w:lang w:val="fr-CA"/>
        </w:rPr>
        <w:t>Règles de la Cour d’appel</w:t>
      </w:r>
      <w:r w:rsidRPr="00FB5988">
        <w:rPr>
          <w:rFonts w:eastAsia="Calibri" w:cs="Times New Roman"/>
          <w:sz w:val="20"/>
          <w:szCs w:val="20"/>
          <w:lang w:val="fr-CA"/>
        </w:rPr>
        <w:t xml:space="preserve">, Règl. </w:t>
      </w:r>
      <w:proofErr w:type="gramStart"/>
      <w:r w:rsidRPr="00FB5988">
        <w:rPr>
          <w:rFonts w:eastAsia="Calibri" w:cs="Times New Roman"/>
          <w:sz w:val="20"/>
          <w:szCs w:val="20"/>
          <w:lang w:val="fr-CA"/>
        </w:rPr>
        <w:t>du</w:t>
      </w:r>
      <w:proofErr w:type="gramEnd"/>
      <w:r w:rsidRPr="00FB5988">
        <w:rPr>
          <w:rFonts w:eastAsia="Calibri" w:cs="Times New Roman"/>
          <w:sz w:val="20"/>
          <w:szCs w:val="20"/>
          <w:lang w:val="fr-CA"/>
        </w:rPr>
        <w:t xml:space="preserve"> Man. 555/88 R, règles 21(4) et 46.2 -</w:t>
      </w:r>
      <w:r w:rsidRPr="00FB5988">
        <w:rPr>
          <w:rFonts w:cs="Times New Roman"/>
          <w:i/>
          <w:sz w:val="20"/>
          <w:szCs w:val="20"/>
          <w:lang w:val="fr-CA"/>
        </w:rPr>
        <w:t xml:space="preserve"> </w:t>
      </w:r>
      <w:r w:rsidRPr="00FB5988">
        <w:rPr>
          <w:rFonts w:eastAsia="Calibri" w:cs="Times New Roman"/>
          <w:i/>
          <w:sz w:val="20"/>
          <w:szCs w:val="20"/>
          <w:lang w:val="fr-CA"/>
        </w:rPr>
        <w:t>Dagenais c. Société Radio-Canada</w:t>
      </w:r>
      <w:r w:rsidRPr="00FB5988">
        <w:rPr>
          <w:rFonts w:eastAsia="Calibri" w:cs="Times New Roman"/>
          <w:sz w:val="20"/>
          <w:szCs w:val="20"/>
          <w:lang w:val="fr-CA"/>
        </w:rPr>
        <w:t xml:space="preserve">, [1994] 3 R.C.S. 835; </w:t>
      </w:r>
      <w:r w:rsidRPr="00FB5988">
        <w:rPr>
          <w:rFonts w:eastAsia="Calibri" w:cs="Times New Roman"/>
          <w:i/>
          <w:sz w:val="20"/>
          <w:szCs w:val="20"/>
          <w:lang w:val="fr-CA"/>
        </w:rPr>
        <w:t>R. c</w:t>
      </w:r>
      <w:r w:rsidRPr="00FB5988">
        <w:rPr>
          <w:rFonts w:eastAsia="Calibri" w:cs="Times New Roman"/>
          <w:i/>
          <w:iCs/>
          <w:sz w:val="20"/>
          <w:szCs w:val="20"/>
          <w:lang w:val="fr-CA"/>
        </w:rPr>
        <w:t>.</w:t>
      </w:r>
      <w:r w:rsidRPr="00FB5988">
        <w:rPr>
          <w:rFonts w:eastAsia="Calibri" w:cs="Times New Roman"/>
          <w:i/>
          <w:sz w:val="20"/>
          <w:szCs w:val="20"/>
          <w:lang w:val="fr-CA"/>
        </w:rPr>
        <w:t xml:space="preserve"> Mentuck</w:t>
      </w:r>
      <w:r w:rsidRPr="00FB5988">
        <w:rPr>
          <w:rFonts w:eastAsia="Calibri" w:cs="Times New Roman"/>
          <w:sz w:val="20"/>
          <w:szCs w:val="20"/>
          <w:lang w:val="fr-CA"/>
        </w:rPr>
        <w:t>, [2001] 3 R.C.S. 442, 2001 CSC 76.</w:t>
      </w:r>
    </w:p>
    <w:p w:rsidR="00304AB0" w:rsidRPr="00FB5988" w:rsidRDefault="00304AB0" w:rsidP="00304AB0">
      <w:pPr>
        <w:jc w:val="both"/>
        <w:rPr>
          <w:rFonts w:eastAsia="Calibri"/>
          <w:sz w:val="20"/>
          <w:lang w:val="fr-CA"/>
        </w:rPr>
      </w:pPr>
    </w:p>
    <w:p w:rsidR="00304AB0" w:rsidRPr="00FB5988" w:rsidRDefault="00304AB0" w:rsidP="00304AB0">
      <w:pPr>
        <w:widowControl w:val="0"/>
        <w:spacing w:line="0" w:lineRule="atLeast"/>
        <w:jc w:val="both"/>
        <w:rPr>
          <w:sz w:val="20"/>
          <w:szCs w:val="20"/>
          <w:lang w:val="fr-CA"/>
        </w:rPr>
      </w:pPr>
      <w:r w:rsidRPr="00FB5988">
        <w:rPr>
          <w:sz w:val="20"/>
          <w:szCs w:val="20"/>
          <w:lang w:val="fr-CA"/>
        </w:rPr>
        <w:t xml:space="preserve">Durant l’appel de la déclaration de culpabilité d’un accusé pour meurtre au premier degré, la défense a présenté deux requêtes en vue de faire admettre une preuve nouvelle. Sur la foi des éléments de preuve découlant de la première requête qui ont été admis et mis à la disposition du public, les parties ont convenu qu’il y a lieu d’annuler la déclaration de culpabilité et qu’un nouveau procès ne devrait pas être tenu. Il restait seulement à déterminer si le tribunal devrait prononcer un acquittement ou tenir un nouveau procès, mais en suspendant toute procédure ultérieure. </w:t>
      </w:r>
    </w:p>
    <w:p w:rsidR="00304AB0" w:rsidRPr="00FB5988" w:rsidRDefault="00304AB0" w:rsidP="00304AB0">
      <w:pPr>
        <w:widowControl w:val="0"/>
        <w:spacing w:line="0" w:lineRule="atLeast"/>
        <w:jc w:val="both"/>
        <w:rPr>
          <w:sz w:val="20"/>
          <w:szCs w:val="20"/>
          <w:lang w:val="fr-CA"/>
        </w:rPr>
      </w:pPr>
    </w:p>
    <w:p w:rsidR="00304AB0" w:rsidRPr="00FB5988" w:rsidRDefault="00304AB0" w:rsidP="00304AB0">
      <w:pPr>
        <w:widowControl w:val="0"/>
        <w:spacing w:line="0" w:lineRule="atLeast"/>
        <w:jc w:val="both"/>
        <w:rPr>
          <w:sz w:val="20"/>
          <w:szCs w:val="20"/>
          <w:lang w:val="fr-CA"/>
        </w:rPr>
      </w:pPr>
      <w:r w:rsidRPr="00FB5988">
        <w:rPr>
          <w:sz w:val="20"/>
          <w:szCs w:val="20"/>
          <w:lang w:val="fr-CA"/>
        </w:rPr>
        <w:t>La preuve par affidavit qui faisait l’objet de la deuxième requête en admissibilité d’une preuve nouvelle a été produite sous scellés en vertu de la règle 21(4) des</w:t>
      </w:r>
      <w:r w:rsidRPr="00FB5988">
        <w:rPr>
          <w:rFonts w:eastAsia="Calibri" w:cs="Times New Roman"/>
          <w:i/>
          <w:sz w:val="20"/>
          <w:szCs w:val="20"/>
          <w:lang w:val="fr-CA"/>
        </w:rPr>
        <w:t xml:space="preserve"> </w:t>
      </w:r>
      <w:r w:rsidRPr="00FB5988">
        <w:rPr>
          <w:i/>
          <w:sz w:val="20"/>
          <w:szCs w:val="20"/>
          <w:lang w:val="fr-CA"/>
        </w:rPr>
        <w:t>Règles de la Cour d’appel</w:t>
      </w:r>
      <w:r w:rsidRPr="00FB5988">
        <w:rPr>
          <w:sz w:val="20"/>
          <w:szCs w:val="20"/>
          <w:lang w:val="fr-CA"/>
        </w:rPr>
        <w:t xml:space="preserve">, Règl. </w:t>
      </w:r>
      <w:proofErr w:type="gramStart"/>
      <w:r w:rsidRPr="00FB5988">
        <w:rPr>
          <w:sz w:val="20"/>
          <w:szCs w:val="20"/>
          <w:lang w:val="fr-CA"/>
        </w:rPr>
        <w:t>du</w:t>
      </w:r>
      <w:proofErr w:type="gramEnd"/>
      <w:r w:rsidRPr="00FB5988">
        <w:rPr>
          <w:sz w:val="20"/>
          <w:szCs w:val="20"/>
          <w:lang w:val="fr-CA"/>
        </w:rPr>
        <w:t xml:space="preserve"> Man. 555/88 R. Au cours du procès, la Cour d’appel du Manitoba a rendu une ordonnance de non-publication afin de protéger l’information avant qu’elle ne soit discutée dans la plaidoirie. La Cour a décidé que la preuve proposée dans le cadre de la deuxième requête en admissibilité d’une preuve nouvelle n’était pas pertinente pour la question qu’il restait à trancher, et elle a donc </w:t>
      </w:r>
      <w:proofErr w:type="gramStart"/>
      <w:r w:rsidRPr="00FB5988">
        <w:rPr>
          <w:sz w:val="20"/>
          <w:szCs w:val="20"/>
          <w:lang w:val="fr-CA"/>
        </w:rPr>
        <w:t>rejeté</w:t>
      </w:r>
      <w:proofErr w:type="gramEnd"/>
      <w:r w:rsidRPr="00FB5988">
        <w:rPr>
          <w:sz w:val="20"/>
          <w:szCs w:val="20"/>
          <w:lang w:val="fr-CA"/>
        </w:rPr>
        <w:t xml:space="preserve"> la requête et a déclaré que l’ordonnance de non-publication demeurait en vigueur. La Cour d’appel a annulé la déclaration de culpabilité, ordonné la tenue d’un nouveau procès et suspend toute procédure ultérieure: 2018 MBCA 125.</w:t>
      </w:r>
    </w:p>
    <w:p w:rsidR="00304AB0" w:rsidRPr="00FB5988" w:rsidRDefault="00304AB0" w:rsidP="00304AB0">
      <w:pPr>
        <w:widowControl w:val="0"/>
        <w:spacing w:line="0" w:lineRule="atLeast"/>
        <w:jc w:val="both"/>
        <w:rPr>
          <w:sz w:val="20"/>
          <w:szCs w:val="20"/>
          <w:lang w:val="fr-CA"/>
        </w:rPr>
      </w:pPr>
    </w:p>
    <w:p w:rsidR="00304AB0" w:rsidRPr="00FB5988" w:rsidRDefault="00304AB0" w:rsidP="00304AB0">
      <w:pPr>
        <w:jc w:val="both"/>
        <w:rPr>
          <w:rFonts w:eastAsia="Calibri"/>
          <w:sz w:val="20"/>
          <w:lang w:val="fr-CA"/>
        </w:rPr>
      </w:pPr>
      <w:r w:rsidRPr="00FB5988">
        <w:rPr>
          <w:sz w:val="20"/>
          <w:szCs w:val="20"/>
          <w:lang w:val="fr-CA"/>
        </w:rPr>
        <w:t xml:space="preserve">L’appelante a présenté une requête devant la Cour d’appel du Manitoba pour faire annuler l’ordonnance de non-publication protégeant la preuve nouvelle. Dans l’arrêt 2019 MBCA 122, la Cour a rejeté la requête au motif qu’elle n’avait pas compétence pour juger à nouveau ou interpréter l’ordonnance de non-publication conformément aux </w:t>
      </w:r>
      <w:r w:rsidRPr="00FB5988">
        <w:rPr>
          <w:i/>
          <w:sz w:val="20"/>
          <w:szCs w:val="20"/>
          <w:lang w:val="fr-CA"/>
        </w:rPr>
        <w:t>Règles de la Cour d’appel</w:t>
      </w:r>
      <w:r w:rsidRPr="00FB5988">
        <w:rPr>
          <w:sz w:val="20"/>
          <w:szCs w:val="20"/>
          <w:lang w:val="fr-CA"/>
        </w:rPr>
        <w:t>. L’appelante a déposé des requêtes en prorogation de délai et des demandes d’autorisation d’appel contre les arrêts 2018 MBCA 125 et 2019 MBCA 122.</w:t>
      </w:r>
    </w:p>
    <w:p w:rsidR="00304AB0" w:rsidRPr="00FB5988" w:rsidRDefault="00304AB0" w:rsidP="00304AB0">
      <w:pPr>
        <w:jc w:val="both"/>
        <w:rPr>
          <w:sz w:val="20"/>
          <w:lang w:val="fr-CA"/>
        </w:rPr>
      </w:pPr>
    </w:p>
    <w:p w:rsidR="00304AB0" w:rsidRPr="00FB5988" w:rsidRDefault="00EB6AAD" w:rsidP="00304AB0">
      <w:pPr>
        <w:jc w:val="both"/>
        <w:rPr>
          <w:sz w:val="20"/>
          <w:szCs w:val="20"/>
          <w:lang w:val="fr-CA"/>
        </w:rPr>
      </w:pPr>
      <w:r>
        <w:rPr>
          <w:sz w:val="20"/>
        </w:rPr>
        <w:pict>
          <v:rect id="_x0000_i1063" style="width:2in;height:1pt" o:hrpct="0" o:hralign="center" o:hrstd="t" o:hrnoshade="t" o:hr="t" fillcolor="black [3213]" stroked="f"/>
        </w:pict>
      </w:r>
    </w:p>
    <w:p w:rsidR="00304AB0" w:rsidRPr="00FB5988" w:rsidRDefault="00304AB0" w:rsidP="00304AB0">
      <w:pPr>
        <w:jc w:val="both"/>
        <w:rPr>
          <w:sz w:val="20"/>
          <w:szCs w:val="20"/>
          <w:lang w:val="fr-CA"/>
        </w:rPr>
      </w:pPr>
    </w:p>
    <w:p w:rsidR="00304AB0" w:rsidRPr="00FB5988" w:rsidRDefault="00304AB0" w:rsidP="00304AB0">
      <w:pPr>
        <w:widowControl w:val="0"/>
        <w:ind w:left="709" w:hanging="709"/>
        <w:jc w:val="both"/>
        <w:rPr>
          <w:b/>
          <w:sz w:val="20"/>
          <w:szCs w:val="20"/>
          <w:lang w:val="fr-CA"/>
        </w:rPr>
      </w:pPr>
      <w:r w:rsidRPr="00FB5988">
        <w:rPr>
          <w:b/>
          <w:sz w:val="20"/>
          <w:szCs w:val="20"/>
        </w:rPr>
        <w:fldChar w:fldCharType="begin"/>
      </w:r>
      <w:r w:rsidRPr="00FB5988">
        <w:rPr>
          <w:b/>
          <w:sz w:val="20"/>
          <w:szCs w:val="20"/>
          <w:lang w:val="fr-CA"/>
        </w:rPr>
        <w:instrText xml:space="preserve"> SEQ CHAPTER \h \r 1</w:instrText>
      </w:r>
      <w:r w:rsidRPr="00FB5988">
        <w:rPr>
          <w:b/>
          <w:sz w:val="20"/>
          <w:szCs w:val="20"/>
        </w:rPr>
        <w:fldChar w:fldCharType="end"/>
      </w:r>
      <w:r w:rsidRPr="00FB5988">
        <w:rPr>
          <w:b/>
          <w:sz w:val="20"/>
          <w:szCs w:val="20"/>
          <w:lang w:val="fr-CA"/>
        </w:rPr>
        <w:t>39155</w:t>
      </w:r>
      <w:r w:rsidRPr="00FB5988">
        <w:rPr>
          <w:sz w:val="20"/>
          <w:szCs w:val="20"/>
          <w:lang w:val="fr-CA"/>
        </w:rPr>
        <w:tab/>
      </w:r>
      <w:r w:rsidRPr="00FB5988">
        <w:rPr>
          <w:b/>
          <w:i/>
          <w:sz w:val="20"/>
          <w:szCs w:val="20"/>
          <w:lang w:val="fr-CA"/>
        </w:rPr>
        <w:t>Association de médiation familiale du Québec v. Isabelle Bisaillon, Michel Bouvier</w:t>
      </w:r>
    </w:p>
    <w:p w:rsidR="00304AB0" w:rsidRPr="00FB5988" w:rsidRDefault="00304AB0" w:rsidP="00304AB0">
      <w:pPr>
        <w:widowControl w:val="0"/>
        <w:ind w:left="709" w:hanging="709"/>
        <w:jc w:val="both"/>
        <w:rPr>
          <w:sz w:val="20"/>
          <w:szCs w:val="20"/>
        </w:rPr>
      </w:pPr>
      <w:r w:rsidRPr="00FB5988">
        <w:rPr>
          <w:b/>
          <w:sz w:val="20"/>
          <w:szCs w:val="20"/>
          <w:lang w:val="fr-CA"/>
        </w:rPr>
        <w:tab/>
      </w:r>
      <w:r w:rsidRPr="00FB5988">
        <w:rPr>
          <w:sz w:val="20"/>
          <w:szCs w:val="20"/>
        </w:rPr>
        <w:t>(Que.) (Civil) (By Leave)</w:t>
      </w:r>
    </w:p>
    <w:p w:rsidR="00304AB0" w:rsidRPr="00FB5988" w:rsidRDefault="00304AB0" w:rsidP="00304AB0">
      <w:pPr>
        <w:widowControl w:val="0"/>
        <w:jc w:val="both"/>
        <w:rPr>
          <w:sz w:val="20"/>
          <w:szCs w:val="20"/>
        </w:rPr>
      </w:pPr>
    </w:p>
    <w:p w:rsidR="00304AB0" w:rsidRPr="00FB5988" w:rsidRDefault="00304AB0" w:rsidP="00304AB0">
      <w:pPr>
        <w:widowControl w:val="0"/>
        <w:jc w:val="both"/>
        <w:rPr>
          <w:sz w:val="20"/>
          <w:szCs w:val="20"/>
        </w:rPr>
      </w:pPr>
      <w:r w:rsidRPr="00FB5988">
        <w:rPr>
          <w:sz w:val="20"/>
          <w:szCs w:val="20"/>
        </w:rPr>
        <w:t xml:space="preserve">Family law - Mediation - Settlement privilege - Exception - Summary of matters agreed upon in family mediation - Legal and binding nature of summary - Admissibility in evidence - Whether principles for exception to settlement privilege outlined in </w:t>
      </w:r>
      <w:r w:rsidRPr="00FB5988">
        <w:rPr>
          <w:i/>
          <w:sz w:val="20"/>
          <w:szCs w:val="20"/>
        </w:rPr>
        <w:t>Union Carbide Canada Inc. v. Bombardier Inc.</w:t>
      </w:r>
      <w:r w:rsidRPr="00FB5988">
        <w:rPr>
          <w:sz w:val="20"/>
          <w:szCs w:val="20"/>
        </w:rPr>
        <w:t>, 2014 SCC 35, [2014] 1 S.C.R. 800, apply in context of family mediation - Whether summary of matters agreed upon in mediation and any other related document or statement, including testimony, arising from family mediation can be admissible in evidence for purpose of proving that agreement was reached during family mediation and to prove terms of that agreement.</w:t>
      </w:r>
    </w:p>
    <w:p w:rsidR="00304AB0" w:rsidRPr="00FB5988" w:rsidRDefault="00304AB0" w:rsidP="00304AB0">
      <w:pPr>
        <w:widowControl w:val="0"/>
        <w:jc w:val="both"/>
        <w:rPr>
          <w:sz w:val="20"/>
          <w:szCs w:val="20"/>
        </w:rPr>
      </w:pPr>
    </w:p>
    <w:p w:rsidR="00304AB0" w:rsidRPr="00FB5988" w:rsidRDefault="00304AB0">
      <w:pPr>
        <w:rPr>
          <w:sz w:val="20"/>
          <w:szCs w:val="20"/>
        </w:rPr>
      </w:pPr>
      <w:r w:rsidRPr="00FB5988">
        <w:rPr>
          <w:sz w:val="20"/>
          <w:szCs w:val="20"/>
        </w:rPr>
        <w:br w:type="page"/>
      </w:r>
    </w:p>
    <w:p w:rsidR="00304AB0" w:rsidRPr="00FB5988" w:rsidRDefault="00304AB0" w:rsidP="00304AB0">
      <w:pPr>
        <w:widowControl w:val="0"/>
        <w:jc w:val="both"/>
        <w:rPr>
          <w:sz w:val="20"/>
          <w:szCs w:val="20"/>
        </w:rPr>
      </w:pPr>
      <w:r w:rsidRPr="00FB5988">
        <w:rPr>
          <w:sz w:val="20"/>
          <w:szCs w:val="20"/>
        </w:rPr>
        <w:lastRenderedPageBreak/>
        <w:t xml:space="preserve">Following their separation, Isabelle Bisaillon and Michel Bouvier attended five mediation sessions and then signed the standard agreement proposed by the Association de médiation familiale du Québec at the start of the process, which provided in part that the content of the process was to remain confidential. At the end of the process, the mediator prepared a summary of the matters agreed upon in mediation and sent it to the parties, who did not sign it or have a formal agreement drawn up. </w:t>
      </w:r>
    </w:p>
    <w:p w:rsidR="00304AB0" w:rsidRPr="00FB5988" w:rsidRDefault="00304AB0" w:rsidP="00304AB0">
      <w:pPr>
        <w:widowControl w:val="0"/>
        <w:jc w:val="both"/>
        <w:rPr>
          <w:sz w:val="20"/>
          <w:szCs w:val="20"/>
        </w:rPr>
      </w:pPr>
    </w:p>
    <w:p w:rsidR="00304AB0" w:rsidRPr="00FB5988" w:rsidRDefault="00304AB0" w:rsidP="00304AB0">
      <w:pPr>
        <w:widowControl w:val="0"/>
        <w:jc w:val="both"/>
        <w:rPr>
          <w:sz w:val="20"/>
          <w:szCs w:val="20"/>
        </w:rPr>
      </w:pPr>
      <w:r w:rsidRPr="00FB5988">
        <w:rPr>
          <w:sz w:val="20"/>
          <w:szCs w:val="20"/>
        </w:rPr>
        <w:t xml:space="preserve">On an application filed by Ms. Bisaillon for judicial partition into equal shares of an immovable held in undivided co-ownership through sale by judicial authority, Mr. Bouvier argued in defence that a settlement existed: the summary of the matters agreed upon in mediation amounted to an agreement. In the Superior Court, Ms. Bisaillon argued that the mediation process was subject to a fundamental principle of confidentiality, which meant that evidence of the summary of the matters agreed upon and of anything arising from the mediation was inadmissible. The summary was not a contract and was not enforceable or binding if not signed or homologated, which was the case here. Moreover, the cashing of the cheques written by Mr. Bouvier did not amount to the acceptance or implementation of an agreement. </w:t>
      </w:r>
    </w:p>
    <w:p w:rsidR="00304AB0" w:rsidRPr="00FB5988" w:rsidRDefault="00304AB0" w:rsidP="00304AB0">
      <w:pPr>
        <w:widowControl w:val="0"/>
        <w:jc w:val="both"/>
        <w:rPr>
          <w:sz w:val="20"/>
          <w:szCs w:val="20"/>
        </w:rPr>
      </w:pPr>
    </w:p>
    <w:p w:rsidR="00304AB0" w:rsidRPr="00FB5988" w:rsidRDefault="00304AB0" w:rsidP="00304AB0">
      <w:pPr>
        <w:widowControl w:val="0"/>
        <w:jc w:val="both"/>
        <w:rPr>
          <w:sz w:val="20"/>
          <w:lang w:val="fr-CA"/>
        </w:rPr>
      </w:pPr>
      <w:r w:rsidRPr="00FB5988">
        <w:rPr>
          <w:sz w:val="20"/>
          <w:szCs w:val="20"/>
        </w:rPr>
        <w:t xml:space="preserve">The Superior Court, among other things, confirmed the existence of the parties’ agreement on the partition of the immovable and ordered its implementation. It found the summary of the matters agreed upon and any other related document or discussion to be admissible in evidence. Although the parties had agreed in their mediation contract that the summary of the matters agreed upon was privileged, they had implicitly waived the privilege by implementing and relying on the agreement they had reached. </w:t>
      </w:r>
      <w:r w:rsidRPr="00FB5988">
        <w:rPr>
          <w:sz w:val="20"/>
          <w:szCs w:val="20"/>
          <w:lang w:val="fr-CA"/>
        </w:rPr>
        <w:t>The Court of Appeal dismissed Ms. Bisaillon’s appeal.</w:t>
      </w:r>
    </w:p>
    <w:p w:rsidR="00304AB0" w:rsidRPr="00FB5988" w:rsidRDefault="00304AB0" w:rsidP="00304AB0">
      <w:pPr>
        <w:widowControl w:val="0"/>
        <w:jc w:val="both"/>
        <w:rPr>
          <w:sz w:val="20"/>
          <w:lang w:val="fr-CA"/>
        </w:rPr>
      </w:pPr>
    </w:p>
    <w:p w:rsidR="00304AB0" w:rsidRPr="00FB5988" w:rsidRDefault="00EB6AAD" w:rsidP="00304AB0">
      <w:pPr>
        <w:widowControl w:val="0"/>
        <w:jc w:val="both"/>
        <w:rPr>
          <w:sz w:val="20"/>
          <w:lang w:val="fr-CA"/>
        </w:rPr>
      </w:pPr>
      <w:r>
        <w:rPr>
          <w:sz w:val="20"/>
        </w:rPr>
        <w:pict>
          <v:rect id="_x0000_i1064" style="width:2in;height:1pt" o:hrpct="0" o:hralign="center" o:hrstd="t" o:hrnoshade="t" o:hr="t" fillcolor="black [3213]" stroked="f"/>
        </w:pict>
      </w:r>
    </w:p>
    <w:p w:rsidR="00304AB0" w:rsidRPr="00FB5988" w:rsidRDefault="00304AB0" w:rsidP="00304AB0">
      <w:pPr>
        <w:widowControl w:val="0"/>
        <w:jc w:val="both"/>
        <w:rPr>
          <w:sz w:val="20"/>
          <w:szCs w:val="20"/>
          <w:lang w:val="fr-CA"/>
        </w:rPr>
      </w:pPr>
    </w:p>
    <w:p w:rsidR="00304AB0" w:rsidRPr="00FB5988" w:rsidRDefault="00304AB0" w:rsidP="00304AB0">
      <w:pPr>
        <w:widowControl w:val="0"/>
        <w:ind w:left="709" w:hanging="709"/>
        <w:jc w:val="both"/>
        <w:rPr>
          <w:b/>
          <w:sz w:val="20"/>
          <w:szCs w:val="20"/>
          <w:lang w:val="fr-CA"/>
        </w:rPr>
      </w:pPr>
      <w:r w:rsidRPr="00FB5988">
        <w:rPr>
          <w:b/>
          <w:sz w:val="20"/>
          <w:szCs w:val="20"/>
          <w:lang w:val="fr-CA"/>
        </w:rPr>
        <w:fldChar w:fldCharType="begin"/>
      </w:r>
      <w:r w:rsidRPr="00FB5988">
        <w:rPr>
          <w:b/>
          <w:sz w:val="20"/>
          <w:szCs w:val="20"/>
          <w:lang w:val="fr-CA"/>
        </w:rPr>
        <w:instrText xml:space="preserve"> SEQ CHAPTER \h \r 1</w:instrText>
      </w:r>
      <w:r w:rsidRPr="00FB5988">
        <w:rPr>
          <w:b/>
          <w:sz w:val="20"/>
          <w:szCs w:val="20"/>
          <w:lang w:val="fr-CA"/>
        </w:rPr>
        <w:fldChar w:fldCharType="end"/>
      </w:r>
      <w:r w:rsidRPr="00FB5988">
        <w:rPr>
          <w:b/>
          <w:sz w:val="20"/>
          <w:szCs w:val="20"/>
          <w:lang w:val="fr-CA"/>
        </w:rPr>
        <w:t>39155</w:t>
      </w:r>
      <w:r w:rsidRPr="00FB5988">
        <w:rPr>
          <w:sz w:val="20"/>
          <w:szCs w:val="20"/>
          <w:lang w:val="fr-CA"/>
        </w:rPr>
        <w:tab/>
      </w:r>
      <w:r w:rsidRPr="00FB5988">
        <w:rPr>
          <w:b/>
          <w:i/>
          <w:sz w:val="20"/>
          <w:szCs w:val="20"/>
          <w:lang w:val="fr-CA"/>
        </w:rPr>
        <w:t>Association de médiation familiale du Québec c. Isabelle Bisaillon, Michel Bouvier</w:t>
      </w:r>
    </w:p>
    <w:p w:rsidR="00304AB0" w:rsidRPr="00FB5988" w:rsidRDefault="00304AB0" w:rsidP="00304AB0">
      <w:pPr>
        <w:widowControl w:val="0"/>
        <w:ind w:left="709" w:hanging="709"/>
        <w:jc w:val="both"/>
        <w:rPr>
          <w:sz w:val="20"/>
          <w:szCs w:val="20"/>
          <w:lang w:val="fr-CA"/>
        </w:rPr>
      </w:pPr>
      <w:r w:rsidRPr="00FB5988">
        <w:rPr>
          <w:b/>
          <w:sz w:val="20"/>
          <w:szCs w:val="20"/>
          <w:lang w:val="fr-CA"/>
        </w:rPr>
        <w:tab/>
      </w:r>
      <w:r w:rsidRPr="00FB5988">
        <w:rPr>
          <w:sz w:val="20"/>
          <w:szCs w:val="20"/>
          <w:lang w:val="fr-CA"/>
        </w:rPr>
        <w:t>(Qc) (Civile) (Autorisation)</w:t>
      </w:r>
    </w:p>
    <w:p w:rsidR="00304AB0" w:rsidRPr="00FB5988" w:rsidRDefault="00304AB0" w:rsidP="00304AB0">
      <w:pPr>
        <w:widowControl w:val="0"/>
        <w:jc w:val="both"/>
        <w:rPr>
          <w:sz w:val="20"/>
          <w:szCs w:val="20"/>
          <w:lang w:val="fr-CA"/>
        </w:rPr>
      </w:pPr>
    </w:p>
    <w:p w:rsidR="00304AB0" w:rsidRPr="00FB5988" w:rsidRDefault="00304AB0" w:rsidP="00304AB0">
      <w:pPr>
        <w:widowControl w:val="0"/>
        <w:jc w:val="both"/>
        <w:rPr>
          <w:sz w:val="20"/>
          <w:szCs w:val="20"/>
          <w:lang w:val="fr-CA"/>
        </w:rPr>
      </w:pPr>
      <w:r w:rsidRPr="00FB5988">
        <w:rPr>
          <w:sz w:val="20"/>
          <w:szCs w:val="20"/>
          <w:lang w:val="fr-CA"/>
        </w:rPr>
        <w:t xml:space="preserve">Droit de la famille - Médiation - Privilège relatif aux règlements - Exception - Résumé des ententes de médiation familiale - Nature juridique et caractère obligatoire du résumé - Admissibilité en preuve - Les principes de l’exception au privilège relatif aux règlements détaillés dans l’arrêt </w:t>
      </w:r>
      <w:r w:rsidRPr="00FB5988">
        <w:rPr>
          <w:i/>
          <w:sz w:val="20"/>
          <w:szCs w:val="20"/>
          <w:lang w:val="fr-CA"/>
        </w:rPr>
        <w:t>Union Carbide Canada Inc. c. Bombardier Inc.</w:t>
      </w:r>
      <w:r w:rsidRPr="00FB5988">
        <w:rPr>
          <w:sz w:val="20"/>
          <w:szCs w:val="20"/>
          <w:lang w:val="fr-CA"/>
        </w:rPr>
        <w:t xml:space="preserve">, </w:t>
      </w:r>
      <w:r w:rsidRPr="00FB5988">
        <w:rPr>
          <w:color w:val="000000"/>
          <w:sz w:val="20"/>
          <w:szCs w:val="20"/>
          <w:lang w:val="fr-CA"/>
        </w:rPr>
        <w:t xml:space="preserve">2014 CSC 35, [2014] 1 R.C.S. </w:t>
      </w:r>
      <w:r w:rsidRPr="00FB5988">
        <w:rPr>
          <w:sz w:val="20"/>
          <w:szCs w:val="20"/>
          <w:lang w:val="fr-CA"/>
        </w:rPr>
        <w:t>800 sont-ils applicables dans un contexte de médiation familiale? - Le résumé des ententes de médiation et tout autre document ou déclaration, incluant le témoignage, s’y rapportant qui émane de la médiation familiale peuvent-ils être admissibles en preuve dans le but de prouver qu’une entente serait intervenue en médiation familiale ainsi que pour prouver les modalités de cette entente?</w:t>
      </w:r>
    </w:p>
    <w:p w:rsidR="00304AB0" w:rsidRPr="00FB5988" w:rsidRDefault="00304AB0" w:rsidP="00304AB0">
      <w:pPr>
        <w:widowControl w:val="0"/>
        <w:jc w:val="both"/>
        <w:rPr>
          <w:sz w:val="20"/>
          <w:szCs w:val="20"/>
          <w:lang w:val="fr-CA"/>
        </w:rPr>
      </w:pPr>
    </w:p>
    <w:p w:rsidR="00304AB0" w:rsidRPr="00FB5988" w:rsidRDefault="00304AB0" w:rsidP="00304AB0">
      <w:pPr>
        <w:widowControl w:val="0"/>
        <w:jc w:val="both"/>
        <w:rPr>
          <w:sz w:val="20"/>
          <w:szCs w:val="20"/>
          <w:lang w:val="fr-CA"/>
        </w:rPr>
      </w:pPr>
      <w:r w:rsidRPr="00FB5988">
        <w:rPr>
          <w:sz w:val="20"/>
          <w:szCs w:val="20"/>
          <w:lang w:val="fr-CA"/>
        </w:rPr>
        <w:t xml:space="preserve">À la suite de leur séparation, Isabelle Bisaillon et Michel Bouvier participent à cinq séances de médiation et signent alors la convention-type proposée par l’Association de médiation familiale du Québec dès le début du processus, laquelle prévoit notamment que le contenu du processus demeure confidentiel. À la fin du processus, le médiateur rédige un résumé des ententes de médiation et le transmet aux parties, lesquelles ne le signent pas ni ne font rédiger d’entente formelle. </w:t>
      </w:r>
    </w:p>
    <w:p w:rsidR="00304AB0" w:rsidRPr="00FB5988" w:rsidRDefault="00304AB0" w:rsidP="00304AB0">
      <w:pPr>
        <w:widowControl w:val="0"/>
        <w:jc w:val="both"/>
        <w:rPr>
          <w:sz w:val="20"/>
          <w:szCs w:val="20"/>
          <w:lang w:val="fr-CA"/>
        </w:rPr>
      </w:pPr>
    </w:p>
    <w:p w:rsidR="00304AB0" w:rsidRPr="00FB5988" w:rsidRDefault="00304AB0" w:rsidP="00304AB0">
      <w:pPr>
        <w:widowControl w:val="0"/>
        <w:jc w:val="both"/>
        <w:rPr>
          <w:sz w:val="20"/>
          <w:szCs w:val="20"/>
          <w:lang w:val="fr-CA"/>
        </w:rPr>
      </w:pPr>
      <w:r w:rsidRPr="00FB5988">
        <w:rPr>
          <w:sz w:val="20"/>
          <w:szCs w:val="20"/>
          <w:lang w:val="fr-CA"/>
        </w:rPr>
        <w:t xml:space="preserve">Dans le cadre d’une demande en partage judiciaire à parts égales de la copropriété indivise par vente sous contrôle de justice déposée par Mme Bisaillon, M. Bouvier invoque en défense l’existence d’une transaction : le résumé des ententes de médiation constitue une convention. Devant la Cour supérieure, Mme Bisaillon soutient que le processus de médiation est encadré par un principe fondamental de confidentialité, lequel rend inadmissible la preuve du résumé des ententes et de tout ce qui découle de la médiation. Ce résumé n’est pas un contrat et n’est pas exécutoire ni obligatoire s’il n’a pas été signé et homologué, ce qui est le cas en l’espèce. Par ailleurs, le fait d’encaisser les chèques émis par M. Bouvier ne constitue pas une acceptation ou une exécution d’une entente. </w:t>
      </w:r>
    </w:p>
    <w:p w:rsidR="00304AB0" w:rsidRPr="00FB5988" w:rsidRDefault="00304AB0" w:rsidP="00304AB0">
      <w:pPr>
        <w:widowControl w:val="0"/>
        <w:jc w:val="both"/>
        <w:rPr>
          <w:sz w:val="20"/>
          <w:szCs w:val="20"/>
          <w:lang w:val="fr-CA"/>
        </w:rPr>
      </w:pPr>
    </w:p>
    <w:p w:rsidR="00304AB0" w:rsidRPr="00FB5988" w:rsidRDefault="00304AB0" w:rsidP="00304AB0">
      <w:pPr>
        <w:widowControl w:val="0"/>
        <w:jc w:val="both"/>
        <w:rPr>
          <w:sz w:val="20"/>
          <w:szCs w:val="20"/>
          <w:lang w:val="fr-CA"/>
        </w:rPr>
      </w:pPr>
      <w:r w:rsidRPr="00FB5988">
        <w:rPr>
          <w:sz w:val="20"/>
          <w:szCs w:val="20"/>
          <w:lang w:val="fr-CA"/>
        </w:rPr>
        <w:t>La Cour supérieure, entre autres, constate la convention intervenue entre les parties concernant le partage de l’immeuble et en ordonne l’exécution. Elle conclut que le résumé des ententes et tout autre document ou discussion s’y rapportant sont admissibles en preuve. Bien que les parties aient convenu dans leur contrat de médiation que le résumé des ententes bénéficie du privilège de confidentialité, elles y ont renoncé implicitement en exécutant et invoquant l’entente intervenue. La Cour d’appel rejette l’appel de Mme Bisaillon</w:t>
      </w:r>
    </w:p>
    <w:p w:rsidR="00304AB0" w:rsidRPr="00FB5988" w:rsidRDefault="00304AB0" w:rsidP="00304AB0">
      <w:pPr>
        <w:widowControl w:val="0"/>
        <w:jc w:val="both"/>
        <w:rPr>
          <w:sz w:val="20"/>
          <w:lang w:val="fr-CA"/>
        </w:rPr>
      </w:pPr>
    </w:p>
    <w:p w:rsidR="00304AB0" w:rsidRPr="00FB5988" w:rsidRDefault="00EB6AAD" w:rsidP="00304AB0">
      <w:pPr>
        <w:widowControl w:val="0"/>
        <w:jc w:val="both"/>
        <w:rPr>
          <w:sz w:val="20"/>
          <w:szCs w:val="20"/>
          <w:lang w:val="fr-CA"/>
        </w:rPr>
      </w:pPr>
      <w:r>
        <w:rPr>
          <w:sz w:val="20"/>
        </w:rPr>
        <w:pict>
          <v:rect id="_x0000_i1065" style="width:2in;height:1pt" o:hrpct="0" o:hralign="center" o:hrstd="t" o:hrnoshade="t" o:hr="t" fillcolor="black [3213]" stroked="f"/>
        </w:pict>
      </w:r>
    </w:p>
    <w:p w:rsidR="00304AB0" w:rsidRPr="00FB5988" w:rsidRDefault="00304AB0" w:rsidP="00304AB0">
      <w:pPr>
        <w:widowControl w:val="0"/>
        <w:jc w:val="both"/>
        <w:rPr>
          <w:sz w:val="20"/>
          <w:szCs w:val="20"/>
          <w:lang w:val="fr-CA"/>
        </w:rPr>
      </w:pPr>
    </w:p>
    <w:p w:rsidR="00304AB0" w:rsidRPr="00FB5988" w:rsidRDefault="00304AB0" w:rsidP="00304AB0">
      <w:pPr>
        <w:widowControl w:val="0"/>
        <w:ind w:left="709" w:hanging="709"/>
        <w:jc w:val="both"/>
        <w:rPr>
          <w:b/>
          <w:i/>
          <w:sz w:val="20"/>
          <w:szCs w:val="20"/>
          <w:lang w:val="en-US"/>
        </w:rPr>
      </w:pPr>
      <w:r w:rsidRPr="00FB5988">
        <w:rPr>
          <w:b/>
          <w:sz w:val="20"/>
          <w:szCs w:val="20"/>
        </w:rPr>
        <w:fldChar w:fldCharType="begin"/>
      </w:r>
      <w:r w:rsidRPr="00FB5988">
        <w:rPr>
          <w:b/>
          <w:sz w:val="20"/>
          <w:szCs w:val="20"/>
          <w:lang w:val="en-US"/>
        </w:rPr>
        <w:instrText xml:space="preserve"> SEQ CHAPTER \h \r 1</w:instrText>
      </w:r>
      <w:r w:rsidRPr="00FB5988">
        <w:rPr>
          <w:b/>
          <w:sz w:val="20"/>
          <w:szCs w:val="20"/>
        </w:rPr>
        <w:fldChar w:fldCharType="end"/>
      </w:r>
      <w:r w:rsidRPr="00FB5988">
        <w:rPr>
          <w:b/>
          <w:sz w:val="20"/>
          <w:szCs w:val="20"/>
          <w:lang w:val="en-US"/>
        </w:rPr>
        <w:t>39113</w:t>
      </w:r>
      <w:r w:rsidRPr="00FB5988">
        <w:rPr>
          <w:sz w:val="20"/>
          <w:szCs w:val="20"/>
          <w:lang w:val="en-US"/>
        </w:rPr>
        <w:tab/>
      </w:r>
      <w:r w:rsidRPr="00FB5988">
        <w:rPr>
          <w:b/>
          <w:i/>
          <w:sz w:val="20"/>
          <w:szCs w:val="20"/>
          <w:lang w:val="en-US"/>
        </w:rPr>
        <w:t>Her Majesty the Queen v. Alta Energy Luxembourg SARL</w:t>
      </w:r>
    </w:p>
    <w:p w:rsidR="00304AB0" w:rsidRPr="00FB5988" w:rsidRDefault="00304AB0" w:rsidP="00304AB0">
      <w:pPr>
        <w:widowControl w:val="0"/>
        <w:jc w:val="both"/>
        <w:rPr>
          <w:sz w:val="20"/>
          <w:szCs w:val="20"/>
        </w:rPr>
      </w:pPr>
      <w:r w:rsidRPr="00FB5988">
        <w:rPr>
          <w:sz w:val="20"/>
          <w:szCs w:val="20"/>
          <w:lang w:val="en-US"/>
        </w:rPr>
        <w:tab/>
      </w:r>
      <w:r w:rsidRPr="00FB5988">
        <w:rPr>
          <w:sz w:val="20"/>
          <w:szCs w:val="20"/>
        </w:rPr>
        <w:t>(F</w:t>
      </w:r>
      <w:r w:rsidRPr="00FB5988">
        <w:rPr>
          <w:sz w:val="20"/>
        </w:rPr>
        <w:t>.</w:t>
      </w:r>
      <w:r w:rsidRPr="00FB5988">
        <w:rPr>
          <w:sz w:val="20"/>
          <w:szCs w:val="20"/>
        </w:rPr>
        <w:t>C.) (Civil) (By Leave)</w:t>
      </w:r>
    </w:p>
    <w:p w:rsidR="00304AB0" w:rsidRPr="00FB5988" w:rsidRDefault="00304AB0" w:rsidP="00304AB0">
      <w:pPr>
        <w:widowControl w:val="0"/>
        <w:jc w:val="both"/>
        <w:rPr>
          <w:sz w:val="20"/>
          <w:szCs w:val="20"/>
        </w:rPr>
      </w:pPr>
    </w:p>
    <w:p w:rsidR="00304AB0" w:rsidRPr="00FB5988" w:rsidRDefault="00304AB0" w:rsidP="00304AB0">
      <w:pPr>
        <w:jc w:val="both"/>
        <w:rPr>
          <w:sz w:val="20"/>
          <w:lang w:val="en"/>
        </w:rPr>
      </w:pPr>
      <w:r w:rsidRPr="00FB5988">
        <w:rPr>
          <w:sz w:val="20"/>
          <w:szCs w:val="20"/>
        </w:rPr>
        <w:t xml:space="preserve">Legislation - Interpretation - Taxation - International Tax Treaties - Did the Federal Court of Appeal err in law in equating the object, spirit and purpose of the relevant treaty provisions with their textual meaning - Did the Federal Court of Appeal err in law and in fact in concluding that the avoidance transactions in this case did not result in an abuse of the relevant treaty provisions - </w:t>
      </w:r>
      <w:r w:rsidRPr="00FB5988">
        <w:rPr>
          <w:i/>
          <w:sz w:val="20"/>
          <w:szCs w:val="20"/>
        </w:rPr>
        <w:t>Income Tax Act</w:t>
      </w:r>
      <w:r w:rsidRPr="00FB5988">
        <w:rPr>
          <w:sz w:val="20"/>
          <w:szCs w:val="20"/>
        </w:rPr>
        <w:t>, R.S.C. 1985, c. 1 (5th Supp), ss.</w:t>
      </w:r>
      <w:r w:rsidRPr="00FB5988">
        <w:rPr>
          <w:b/>
          <w:sz w:val="20"/>
          <w:szCs w:val="20"/>
        </w:rPr>
        <w:t> </w:t>
      </w:r>
      <w:r w:rsidRPr="00FB5988">
        <w:rPr>
          <w:sz w:val="20"/>
          <w:szCs w:val="20"/>
        </w:rPr>
        <w:t xml:space="preserve">2(3), 115(1) and 248(1) - </w:t>
      </w:r>
      <w:r w:rsidRPr="00FB5988">
        <w:rPr>
          <w:i/>
          <w:sz w:val="20"/>
          <w:szCs w:val="20"/>
          <w:lang w:val="en"/>
        </w:rPr>
        <w:t xml:space="preserve">Convention between the Government of Canada and the Government of the Grand Duchy of Luxembourg for the Avoidance of Double Taxation and the Prevention of Fiscal Evasion with respect to Taxes on Income and on Capital, </w:t>
      </w:r>
      <w:r w:rsidRPr="00FB5988">
        <w:rPr>
          <w:sz w:val="20"/>
          <w:szCs w:val="20"/>
          <w:lang w:val="en"/>
        </w:rPr>
        <w:t>Articles 1, 4, 13(4) and 13(5).</w:t>
      </w:r>
    </w:p>
    <w:p w:rsidR="00304AB0" w:rsidRPr="00FB5988" w:rsidRDefault="00304AB0" w:rsidP="00304AB0">
      <w:pPr>
        <w:jc w:val="both"/>
        <w:rPr>
          <w:sz w:val="20"/>
          <w:lang w:val="en"/>
        </w:rPr>
      </w:pPr>
    </w:p>
    <w:p w:rsidR="00304AB0" w:rsidRPr="00FB5988" w:rsidRDefault="00304AB0" w:rsidP="00304AB0">
      <w:pPr>
        <w:jc w:val="both"/>
        <w:rPr>
          <w:sz w:val="20"/>
          <w:szCs w:val="20"/>
        </w:rPr>
      </w:pPr>
      <w:r w:rsidRPr="00FB5988">
        <w:rPr>
          <w:sz w:val="20"/>
          <w:szCs w:val="20"/>
        </w:rPr>
        <w:t xml:space="preserve">The respondent, a resident of Luxembourg, claimed an exemption from Canadian income tax under Article 13(5) of the </w:t>
      </w:r>
      <w:r w:rsidRPr="00FB5988">
        <w:rPr>
          <w:i/>
          <w:sz w:val="20"/>
          <w:szCs w:val="20"/>
        </w:rPr>
        <w:t>Canada-Luxembourg Income Tax Convention 1999</w:t>
      </w:r>
      <w:r w:rsidRPr="00FB5988">
        <w:rPr>
          <w:sz w:val="20"/>
          <w:szCs w:val="20"/>
        </w:rPr>
        <w:t xml:space="preserve"> (Treaty) for a large capital gain arising from the sale of the shares of its wholly-owned Canadian subsidiary, Alta Energy Partners Canada Ltd. (“Alta Canada”). Alta Canada carried on an unconventional shale oil business in the Duvernay shale oil formation of Northern Alberta, controlling a net acreage of 67,891 and drilling six horizontal and vertical wells in the relevant period. An issue arose as to the application of Article 13(4) of the Treaty, under which Canada retains the right to tax capital gains arising from the disposition of shares whose value derives principally from immovable property. The respondent relied upon an exclusion to that provision that applies when </w:t>
      </w:r>
      <w:r w:rsidRPr="00FB5988">
        <w:rPr>
          <w:sz w:val="20"/>
          <w:szCs w:val="20"/>
          <w:lang w:val="en"/>
        </w:rPr>
        <w:t>the business of the company was carried on</w:t>
      </w:r>
      <w:r w:rsidRPr="00FB5988">
        <w:rPr>
          <w:sz w:val="20"/>
          <w:szCs w:val="20"/>
        </w:rPr>
        <w:t xml:space="preserve"> in the property. The appellant denied the exemption on the ground that substantially all Alta Canada’s interest remained Immoveable Property because it drilled and extracted in only a small portion of the area it controlled and had allegedly acquired the leases and licenses with an intention of selling them in the short-term. Alternatively, the appellant argued that the General Anti-Avoidance Rule (“GAAR”) under s. 245 of the </w:t>
      </w:r>
      <w:r w:rsidRPr="00FB5988">
        <w:rPr>
          <w:i/>
          <w:sz w:val="20"/>
          <w:szCs w:val="20"/>
        </w:rPr>
        <w:t>Income Tax Act</w:t>
      </w:r>
      <w:r w:rsidRPr="00FB5988">
        <w:rPr>
          <w:sz w:val="20"/>
          <w:szCs w:val="20"/>
        </w:rPr>
        <w:t>, R.S.C. 1985, c. 1 (5th Supp) (the “</w:t>
      </w:r>
      <w:r w:rsidRPr="00FB5988">
        <w:rPr>
          <w:i/>
          <w:sz w:val="20"/>
          <w:szCs w:val="20"/>
        </w:rPr>
        <w:t>Act</w:t>
      </w:r>
      <w:r w:rsidRPr="00FB5988">
        <w:rPr>
          <w:sz w:val="20"/>
          <w:szCs w:val="20"/>
        </w:rPr>
        <w:t>”) operated to deny the tax benefit. The parties agreed that there was a “tax benefit” and an “avoidance transaction” but disagreed on whether an “abuse” or “misuse” triggered the application of GAAR.</w:t>
      </w:r>
    </w:p>
    <w:p w:rsidR="00304AB0" w:rsidRPr="00FB5988" w:rsidRDefault="00304AB0" w:rsidP="00304AB0">
      <w:pPr>
        <w:jc w:val="both"/>
        <w:rPr>
          <w:sz w:val="20"/>
          <w:lang w:val="en-US"/>
        </w:rPr>
      </w:pPr>
    </w:p>
    <w:p w:rsidR="00304AB0" w:rsidRPr="00FB5988" w:rsidRDefault="00304AB0" w:rsidP="00304AB0">
      <w:pPr>
        <w:jc w:val="both"/>
        <w:rPr>
          <w:sz w:val="20"/>
          <w:lang w:val="en"/>
        </w:rPr>
      </w:pPr>
      <w:r w:rsidRPr="00FB5988">
        <w:rPr>
          <w:sz w:val="20"/>
          <w:szCs w:val="20"/>
        </w:rPr>
        <w:t>The Tax Court of Canada allowed the respondent’s appeal of the reassessments for the 2013 taxation year and referred the matter back to Minister for reconsideration and reassessment in accordance with its reasons for judgment. It held that the respondent’s interest in the property constituted Excluded Property and that the GAAR did not prevent the respondent’s entitlement to the exemption under Article 13(5) of the Treaty. The Federal Court of Appeal dismissed the appellant’s appeal.</w:t>
      </w:r>
    </w:p>
    <w:p w:rsidR="00304AB0" w:rsidRPr="00FB5988" w:rsidRDefault="00304AB0" w:rsidP="00304AB0">
      <w:pPr>
        <w:jc w:val="both"/>
        <w:rPr>
          <w:sz w:val="20"/>
          <w:szCs w:val="20"/>
        </w:rPr>
      </w:pPr>
    </w:p>
    <w:p w:rsidR="00304AB0" w:rsidRPr="00FB5988" w:rsidRDefault="00EB6AAD" w:rsidP="00304AB0">
      <w:pPr>
        <w:widowControl w:val="0"/>
        <w:jc w:val="both"/>
        <w:rPr>
          <w:sz w:val="20"/>
          <w:szCs w:val="20"/>
        </w:rPr>
      </w:pPr>
      <w:r>
        <w:rPr>
          <w:sz w:val="20"/>
        </w:rPr>
        <w:pict>
          <v:rect id="_x0000_i1066" style="width:2in;height:1pt" o:hrpct="0" o:hralign="center" o:hrstd="t" o:hrnoshade="t" o:hr="t" fillcolor="black [3213]" stroked="f"/>
        </w:pict>
      </w:r>
    </w:p>
    <w:p w:rsidR="00304AB0" w:rsidRPr="00FB5988" w:rsidRDefault="00304AB0" w:rsidP="00304AB0">
      <w:pPr>
        <w:widowControl w:val="0"/>
        <w:jc w:val="both"/>
        <w:rPr>
          <w:sz w:val="20"/>
          <w:szCs w:val="20"/>
        </w:rPr>
      </w:pPr>
    </w:p>
    <w:p w:rsidR="00304AB0" w:rsidRPr="00FB5988" w:rsidRDefault="00304AB0" w:rsidP="00304AB0">
      <w:pPr>
        <w:widowControl w:val="0"/>
        <w:ind w:left="709" w:hanging="709"/>
        <w:jc w:val="both"/>
        <w:rPr>
          <w:b/>
          <w:i/>
          <w:sz w:val="20"/>
          <w:szCs w:val="20"/>
          <w:lang w:val="fr-CA"/>
        </w:rPr>
      </w:pPr>
      <w:r w:rsidRPr="00FB5988">
        <w:rPr>
          <w:b/>
          <w:sz w:val="20"/>
          <w:szCs w:val="20"/>
        </w:rPr>
        <w:fldChar w:fldCharType="begin"/>
      </w:r>
      <w:r w:rsidRPr="00FB5988">
        <w:rPr>
          <w:b/>
          <w:sz w:val="20"/>
          <w:szCs w:val="20"/>
          <w:lang w:val="fr-CA"/>
        </w:rPr>
        <w:instrText xml:space="preserve"> SEQ CHAPTER \h \r 1</w:instrText>
      </w:r>
      <w:r w:rsidRPr="00FB5988">
        <w:rPr>
          <w:b/>
          <w:sz w:val="20"/>
          <w:szCs w:val="20"/>
        </w:rPr>
        <w:fldChar w:fldCharType="end"/>
      </w:r>
      <w:r w:rsidRPr="00FB5988">
        <w:rPr>
          <w:b/>
          <w:sz w:val="20"/>
          <w:szCs w:val="20"/>
          <w:lang w:val="fr-CA"/>
        </w:rPr>
        <w:t>39113</w:t>
      </w:r>
      <w:r w:rsidRPr="00FB5988">
        <w:rPr>
          <w:sz w:val="20"/>
          <w:szCs w:val="20"/>
          <w:lang w:val="fr-CA"/>
        </w:rPr>
        <w:tab/>
      </w:r>
      <w:r w:rsidRPr="00FB5988">
        <w:rPr>
          <w:b/>
          <w:i/>
          <w:sz w:val="20"/>
          <w:szCs w:val="20"/>
          <w:lang w:val="fr-CA"/>
        </w:rPr>
        <w:t>Sa Majesté la Reine c. Alta Energy Luxembourg SARL</w:t>
      </w:r>
    </w:p>
    <w:p w:rsidR="00304AB0" w:rsidRPr="00FB5988" w:rsidRDefault="00304AB0" w:rsidP="00304AB0">
      <w:pPr>
        <w:widowControl w:val="0"/>
        <w:jc w:val="both"/>
        <w:rPr>
          <w:sz w:val="20"/>
          <w:szCs w:val="20"/>
          <w:lang w:val="fr-CA"/>
        </w:rPr>
      </w:pPr>
      <w:r w:rsidRPr="00FB5988">
        <w:rPr>
          <w:sz w:val="20"/>
          <w:szCs w:val="20"/>
          <w:lang w:val="fr-CA"/>
        </w:rPr>
        <w:tab/>
        <w:t>(C</w:t>
      </w:r>
      <w:r w:rsidRPr="00FB5988">
        <w:rPr>
          <w:sz w:val="20"/>
          <w:lang w:val="fr-CA"/>
        </w:rPr>
        <w:t>.</w:t>
      </w:r>
      <w:r w:rsidRPr="00FB5988">
        <w:rPr>
          <w:sz w:val="20"/>
          <w:szCs w:val="20"/>
          <w:lang w:val="fr-CA"/>
        </w:rPr>
        <w:t>F</w:t>
      </w:r>
      <w:r w:rsidRPr="00FB5988">
        <w:rPr>
          <w:sz w:val="20"/>
          <w:lang w:val="fr-CA"/>
        </w:rPr>
        <w:t>.</w:t>
      </w:r>
      <w:r w:rsidRPr="00FB5988">
        <w:rPr>
          <w:sz w:val="20"/>
          <w:szCs w:val="20"/>
          <w:lang w:val="fr-CA"/>
        </w:rPr>
        <w:t>) (Civile) (Autorisation)</w:t>
      </w:r>
    </w:p>
    <w:p w:rsidR="00304AB0" w:rsidRPr="00FB5988" w:rsidRDefault="00304AB0" w:rsidP="00304AB0">
      <w:pPr>
        <w:widowControl w:val="0"/>
        <w:jc w:val="both"/>
        <w:rPr>
          <w:sz w:val="20"/>
          <w:szCs w:val="20"/>
          <w:lang w:val="fr-CA"/>
        </w:rPr>
      </w:pPr>
    </w:p>
    <w:p w:rsidR="00304AB0" w:rsidRPr="00FB5988" w:rsidRDefault="00304AB0" w:rsidP="00304AB0">
      <w:pPr>
        <w:jc w:val="both"/>
        <w:rPr>
          <w:sz w:val="20"/>
          <w:lang w:val="fr-CA"/>
        </w:rPr>
      </w:pPr>
      <w:r w:rsidRPr="00FB5988">
        <w:rPr>
          <w:sz w:val="20"/>
          <w:szCs w:val="20"/>
          <w:lang w:val="fr-CA"/>
        </w:rPr>
        <w:t xml:space="preserve">Législation - Interprétation - Droit fiscal - Traités internationaux en matière fiscale - La Cour fédérale a-t-elle commis une erreur de droit en assimilant l’objet et l’esprit des dispositions pertinentes du traité à leur sens textuel? - La Cour d’appel </w:t>
      </w:r>
      <w:proofErr w:type="gramStart"/>
      <w:r w:rsidRPr="00FB5988">
        <w:rPr>
          <w:sz w:val="20"/>
          <w:szCs w:val="20"/>
          <w:lang w:val="fr-CA"/>
        </w:rPr>
        <w:t>fédérale</w:t>
      </w:r>
      <w:proofErr w:type="gramEnd"/>
      <w:r w:rsidRPr="00FB5988">
        <w:rPr>
          <w:sz w:val="20"/>
          <w:szCs w:val="20"/>
          <w:lang w:val="fr-CA"/>
        </w:rPr>
        <w:t xml:space="preserve"> a-t-elle commis une erreur de droit et de fait en concluant que les opérations d’évitement en l’espèce n’ont pas résulté d’un recours abusif aux dispositions pertinentes du traité? - </w:t>
      </w:r>
      <w:r w:rsidRPr="00FB5988">
        <w:rPr>
          <w:i/>
          <w:sz w:val="20"/>
          <w:szCs w:val="20"/>
          <w:lang w:val="fr-CA"/>
        </w:rPr>
        <w:t>Loi de l’impôt sur le revenu</w:t>
      </w:r>
      <w:r w:rsidRPr="00FB5988">
        <w:rPr>
          <w:sz w:val="20"/>
          <w:szCs w:val="20"/>
          <w:lang w:val="fr-CA"/>
        </w:rPr>
        <w:t>, L.R.C. 1985, ch. 1 (5</w:t>
      </w:r>
      <w:r w:rsidRPr="00FB5988">
        <w:rPr>
          <w:sz w:val="20"/>
          <w:szCs w:val="20"/>
          <w:vertAlign w:val="superscript"/>
          <w:lang w:val="fr-CA"/>
        </w:rPr>
        <w:t>e</w:t>
      </w:r>
      <w:r w:rsidRPr="00FB5988">
        <w:rPr>
          <w:sz w:val="20"/>
          <w:szCs w:val="20"/>
          <w:lang w:val="fr-CA"/>
        </w:rPr>
        <w:t xml:space="preserve"> suppl.), par. 2(3), 115(1) et 248(1) - </w:t>
      </w:r>
      <w:r w:rsidRPr="00FB5988">
        <w:rPr>
          <w:i/>
          <w:sz w:val="20"/>
          <w:szCs w:val="20"/>
          <w:lang w:val="fr-CA"/>
        </w:rPr>
        <w:t xml:space="preserve">Convention entre le Gouvernement du Canada et le Gouvernement du Grand-Duché de Luxembourg en vue d’éviter les doubles impositions et de prévenir la fraude fiscale en matière d’impôts sur le revenu et sur la fortune, </w:t>
      </w:r>
      <w:r w:rsidRPr="00FB5988">
        <w:rPr>
          <w:sz w:val="20"/>
          <w:szCs w:val="20"/>
          <w:lang w:val="fr-CA"/>
        </w:rPr>
        <w:t>articles 1, 4, 13(4) et 13(5).</w:t>
      </w:r>
    </w:p>
    <w:p w:rsidR="00304AB0" w:rsidRPr="00FB5988" w:rsidRDefault="00304AB0" w:rsidP="00304AB0">
      <w:pPr>
        <w:jc w:val="both"/>
        <w:rPr>
          <w:sz w:val="20"/>
          <w:lang w:val="fr-CA"/>
        </w:rPr>
      </w:pPr>
    </w:p>
    <w:p w:rsidR="00CB5355" w:rsidRPr="00FB5988" w:rsidRDefault="00CB5355">
      <w:pPr>
        <w:rPr>
          <w:sz w:val="20"/>
          <w:szCs w:val="20"/>
          <w:lang w:val="fr-CA"/>
        </w:rPr>
      </w:pPr>
      <w:r w:rsidRPr="00FB5988">
        <w:rPr>
          <w:sz w:val="20"/>
          <w:szCs w:val="20"/>
          <w:lang w:val="fr-CA"/>
        </w:rPr>
        <w:br w:type="page"/>
      </w:r>
    </w:p>
    <w:p w:rsidR="00304AB0" w:rsidRPr="00FB5988" w:rsidRDefault="00304AB0" w:rsidP="00304AB0">
      <w:pPr>
        <w:jc w:val="both"/>
        <w:rPr>
          <w:sz w:val="20"/>
          <w:szCs w:val="20"/>
          <w:lang w:val="fr-CA"/>
        </w:rPr>
      </w:pPr>
      <w:r w:rsidRPr="00FB5988">
        <w:rPr>
          <w:sz w:val="20"/>
          <w:szCs w:val="20"/>
          <w:lang w:val="fr-CA"/>
        </w:rPr>
        <w:lastRenderedPageBreak/>
        <w:t xml:space="preserve">L’intimée, une résidente du Luxembourg, a demandé une exonération d’impôt canadien sur le revenu en application du paragraphe 13(5) de la </w:t>
      </w:r>
      <w:r w:rsidRPr="00FB5988">
        <w:rPr>
          <w:i/>
          <w:sz w:val="20"/>
          <w:szCs w:val="20"/>
          <w:lang w:val="fr-CA"/>
        </w:rPr>
        <w:t xml:space="preserve">Convention fiscale de 1999 entre le Canada et le Luxembourg </w:t>
      </w:r>
      <w:r w:rsidRPr="00FB5988">
        <w:rPr>
          <w:sz w:val="20"/>
          <w:szCs w:val="20"/>
          <w:lang w:val="fr-CA"/>
        </w:rPr>
        <w:t xml:space="preserve">(le Traité) relativement à un important gain en capital découlant de la vente d’actions de sa filiale canadienne en propriété exclusive, Alta Energy Partners Canada Ltd. (« Alta Canada »). Alta Canada exploitait une entreprise d’huile de schiste non conventionnelle dans la formation d’huile de schiste de Duvernay du nord de l’Alberta, contrôlant une superficie de 67 891 acres et forant six puits horizontaux et verticaux au cours de la période pertinente. Un différend est survenu quant à l’application du paragraphe 13(4) du Traité, en vertu duquel le Canada conserve le droit d’imposer les gains en capital découlant de l’aliénation d’actions dont la valeur est principalement tirée de biens immobiliers. L’intimée s’est appuyée sur une exclusion de cette disposition qui s’applique lorsque l’activité de la société a été exercée dans les biens. L’appelante a refusé la demande d’exonération au motif qu’une partie substantielle de la participation d’Alta Canada demeurait un bien immobilier parce qu’elle n’avait fait du forage et de l’extraction que dans une petite partie de la zone qu’elle contrôlait et qu’elle aurait acquis les baux et les licences dans l’intention de les revendre à court terme. Subsidiairement, </w:t>
      </w:r>
      <w:proofErr w:type="gramStart"/>
      <w:r w:rsidRPr="00FB5988">
        <w:rPr>
          <w:sz w:val="20"/>
          <w:szCs w:val="20"/>
          <w:lang w:val="fr-CA"/>
        </w:rPr>
        <w:t>l’appelante a</w:t>
      </w:r>
      <w:proofErr w:type="gramEnd"/>
      <w:r w:rsidRPr="00FB5988">
        <w:rPr>
          <w:sz w:val="20"/>
          <w:szCs w:val="20"/>
          <w:lang w:val="fr-CA"/>
        </w:rPr>
        <w:t xml:space="preserve"> plaidé que la Règle générale anti-évitement (« RGAÉ ») prévue à l’art. 245 de la </w:t>
      </w:r>
      <w:r w:rsidRPr="00FB5988">
        <w:rPr>
          <w:i/>
          <w:sz w:val="20"/>
          <w:szCs w:val="20"/>
          <w:lang w:val="fr-CA"/>
        </w:rPr>
        <w:t>Loi de l’impôt sur le revenu</w:t>
      </w:r>
      <w:r w:rsidRPr="00FB5988">
        <w:rPr>
          <w:sz w:val="20"/>
          <w:szCs w:val="20"/>
          <w:lang w:val="fr-CA"/>
        </w:rPr>
        <w:t>, L.R.C. 1985, ch. 1 (5</w:t>
      </w:r>
      <w:r w:rsidRPr="00FB5988">
        <w:rPr>
          <w:sz w:val="20"/>
          <w:szCs w:val="20"/>
          <w:vertAlign w:val="superscript"/>
          <w:lang w:val="fr-CA"/>
        </w:rPr>
        <w:t>e</w:t>
      </w:r>
      <w:r w:rsidRPr="00FB5988">
        <w:rPr>
          <w:sz w:val="20"/>
          <w:szCs w:val="20"/>
          <w:lang w:val="fr-CA"/>
        </w:rPr>
        <w:t xml:space="preserve"> suppl.) (</w:t>
      </w:r>
      <w:proofErr w:type="gramStart"/>
      <w:r w:rsidRPr="00FB5988">
        <w:rPr>
          <w:sz w:val="20"/>
          <w:szCs w:val="20"/>
          <w:lang w:val="fr-CA"/>
        </w:rPr>
        <w:t>la</w:t>
      </w:r>
      <w:proofErr w:type="gramEnd"/>
      <w:r w:rsidRPr="00FB5988">
        <w:rPr>
          <w:sz w:val="20"/>
          <w:szCs w:val="20"/>
          <w:lang w:val="fr-CA"/>
        </w:rPr>
        <w:t xml:space="preserve"> « Loi ») s’appliquait de manière exclure l’avantage fiscal. Les parties ont convenu qu’il y avait eu un « avantage fiscal » et une « opération d’évitement », mais divergeaient d’avis sur la question de savoir si un quelconque caractère abusif faisait entrer en jeu la RGAÉ.</w:t>
      </w:r>
    </w:p>
    <w:p w:rsidR="00304AB0" w:rsidRPr="00FB5988" w:rsidRDefault="00304AB0" w:rsidP="00304AB0">
      <w:pPr>
        <w:jc w:val="both"/>
        <w:rPr>
          <w:sz w:val="20"/>
          <w:lang w:val="fr-CA"/>
        </w:rPr>
      </w:pPr>
    </w:p>
    <w:p w:rsidR="00304AB0" w:rsidRPr="00FB5988" w:rsidRDefault="00304AB0" w:rsidP="00304AB0">
      <w:pPr>
        <w:jc w:val="both"/>
        <w:rPr>
          <w:sz w:val="20"/>
          <w:lang w:val="fr-CA"/>
        </w:rPr>
      </w:pPr>
      <w:r w:rsidRPr="00FB5988">
        <w:rPr>
          <w:sz w:val="20"/>
          <w:szCs w:val="20"/>
          <w:lang w:val="fr-CA"/>
        </w:rPr>
        <w:t>La Cour canadienne de l’impôt a accueilli l’appel interjeté par l’intimée des nouvelles cotisations établies pour l’année d’imposition 2013 et a renvoyé l’affaire au ministre pour réexamen et nouvelle cotisation conformément aux motifs de son jugement. Elle a statué que la participation de l’intimée dans le bien constituait un bien exclu et que la RGAÉ ne faisait pas obstacle au droit de l’intimée à l’exonération prévue au paragraphe 13(5) du Traité. La Cour d’appel fédérale a rejeté l’appel de l’appelante</w:t>
      </w:r>
      <w:r w:rsidRPr="00FB5988">
        <w:rPr>
          <w:sz w:val="20"/>
          <w:szCs w:val="20"/>
        </w:rPr>
        <w:t>.</w:t>
      </w:r>
    </w:p>
    <w:p w:rsidR="00304AB0" w:rsidRPr="00FB5988" w:rsidRDefault="00304AB0" w:rsidP="00304AB0">
      <w:pPr>
        <w:jc w:val="both"/>
        <w:rPr>
          <w:sz w:val="20"/>
          <w:szCs w:val="20"/>
          <w:lang w:val="fr-CA"/>
        </w:rPr>
      </w:pPr>
    </w:p>
    <w:p w:rsidR="00304AB0" w:rsidRPr="00FB5988" w:rsidRDefault="00EB6AAD" w:rsidP="00304AB0">
      <w:pPr>
        <w:widowControl w:val="0"/>
        <w:jc w:val="both"/>
        <w:rPr>
          <w:sz w:val="20"/>
          <w:szCs w:val="20"/>
          <w:lang w:val="fr-CA"/>
        </w:rPr>
      </w:pPr>
      <w:r>
        <w:rPr>
          <w:sz w:val="20"/>
        </w:rPr>
        <w:pict>
          <v:rect id="_x0000_i1067" style="width:2in;height:1pt" o:hrpct="0" o:hralign="center" o:hrstd="t" o:hrnoshade="t" o:hr="t" fillcolor="black [3213]" stroked="f"/>
        </w:pict>
      </w:r>
    </w:p>
    <w:p w:rsidR="00304AB0" w:rsidRPr="00FB5988" w:rsidRDefault="00304AB0" w:rsidP="00304AB0">
      <w:pPr>
        <w:widowControl w:val="0"/>
        <w:jc w:val="both"/>
        <w:rPr>
          <w:sz w:val="20"/>
          <w:szCs w:val="20"/>
          <w:lang w:val="fr-CA"/>
        </w:rPr>
      </w:pPr>
    </w:p>
    <w:p w:rsidR="00304AB0" w:rsidRPr="00FB5988" w:rsidRDefault="00304AB0" w:rsidP="00304AB0">
      <w:pPr>
        <w:pStyle w:val="SCCLsocParty"/>
        <w:jc w:val="both"/>
        <w:rPr>
          <w:b/>
          <w:i/>
          <w:sz w:val="20"/>
          <w:szCs w:val="20"/>
          <w:lang w:val="en-US"/>
        </w:rPr>
      </w:pPr>
      <w:r w:rsidRPr="00FB5988">
        <w:rPr>
          <w:b/>
          <w:sz w:val="20"/>
          <w:szCs w:val="20"/>
        </w:rPr>
        <w:fldChar w:fldCharType="begin"/>
      </w:r>
      <w:r w:rsidRPr="00FB5988">
        <w:rPr>
          <w:b/>
          <w:sz w:val="20"/>
          <w:szCs w:val="20"/>
          <w:lang w:val="en-US"/>
        </w:rPr>
        <w:instrText xml:space="preserve"> SEQ CHAPTER \h \r 1</w:instrText>
      </w:r>
      <w:r w:rsidRPr="00FB5988">
        <w:rPr>
          <w:b/>
          <w:sz w:val="20"/>
          <w:szCs w:val="20"/>
        </w:rPr>
        <w:fldChar w:fldCharType="end"/>
      </w:r>
      <w:r w:rsidRPr="00FB5988">
        <w:rPr>
          <w:b/>
          <w:sz w:val="20"/>
          <w:szCs w:val="20"/>
          <w:lang w:val="en-US"/>
        </w:rPr>
        <w:t>39122</w:t>
      </w:r>
      <w:r w:rsidRPr="00FB5988">
        <w:rPr>
          <w:sz w:val="20"/>
          <w:szCs w:val="20"/>
          <w:lang w:val="en-US"/>
        </w:rPr>
        <w:tab/>
      </w:r>
      <w:r w:rsidRPr="00FB5988">
        <w:rPr>
          <w:b/>
          <w:sz w:val="20"/>
          <w:szCs w:val="20"/>
          <w:lang w:val="en-US"/>
        </w:rPr>
        <w:t>City of Corner Brook v. Mary Bailey</w:t>
      </w:r>
    </w:p>
    <w:p w:rsidR="00304AB0" w:rsidRPr="00FB5988" w:rsidRDefault="00304AB0" w:rsidP="00304AB0">
      <w:pPr>
        <w:widowControl w:val="0"/>
        <w:jc w:val="both"/>
        <w:rPr>
          <w:sz w:val="20"/>
          <w:szCs w:val="20"/>
        </w:rPr>
      </w:pPr>
      <w:r w:rsidRPr="00FB5988">
        <w:rPr>
          <w:sz w:val="20"/>
          <w:szCs w:val="20"/>
        </w:rPr>
        <w:tab/>
        <w:t>(N.L.) (Civil) (By Leave)</w:t>
      </w:r>
    </w:p>
    <w:p w:rsidR="00304AB0" w:rsidRPr="00FB5988" w:rsidRDefault="00304AB0" w:rsidP="00304AB0">
      <w:pPr>
        <w:widowControl w:val="0"/>
        <w:jc w:val="both"/>
        <w:rPr>
          <w:sz w:val="20"/>
          <w:szCs w:val="20"/>
        </w:rPr>
      </w:pPr>
    </w:p>
    <w:p w:rsidR="00304AB0" w:rsidRPr="00FB5988" w:rsidRDefault="00304AB0" w:rsidP="00304AB0">
      <w:pPr>
        <w:jc w:val="both"/>
        <w:rPr>
          <w:sz w:val="20"/>
          <w:szCs w:val="20"/>
        </w:rPr>
      </w:pPr>
      <w:r w:rsidRPr="00FB5988">
        <w:rPr>
          <w:sz w:val="20"/>
          <w:szCs w:val="20"/>
        </w:rPr>
        <w:t xml:space="preserve">Contracts - Interpretation - Releases - Parties entering into release agreement by which driver released municipality from liability in relation to an accident and, more particularly, in relation to a specified action relating to that accident - Driver’s insurer subsequently bringing third party claim against municipality in separate action relating to same accident - Municipality claiming release agreement barred third party claim - Trial judge finding release barred third party claim - Court of Appeal holding third party claim not barred by release and reinstating third party claim - What standard of review applies? - What is the law of contractual interpretation as it applies to releases? - Whether the Court of Appeal erred in failing to consider the indemnity - How are provincial appellate courts and other common law jurisdictions interpreting releases? - </w:t>
      </w:r>
      <w:r w:rsidRPr="00FB5988">
        <w:rPr>
          <w:color w:val="000000"/>
          <w:sz w:val="20"/>
          <w:szCs w:val="20"/>
        </w:rPr>
        <w:t xml:space="preserve">What are the policy implications of the interpretation adopted by the Court of Appeal? </w:t>
      </w:r>
    </w:p>
    <w:p w:rsidR="00304AB0" w:rsidRPr="00FB5988" w:rsidRDefault="00304AB0" w:rsidP="00304AB0">
      <w:pPr>
        <w:widowControl w:val="0"/>
        <w:jc w:val="both"/>
        <w:rPr>
          <w:sz w:val="20"/>
          <w:szCs w:val="20"/>
        </w:rPr>
      </w:pPr>
    </w:p>
    <w:p w:rsidR="00304AB0" w:rsidRPr="00FB5988" w:rsidRDefault="00304AB0" w:rsidP="00304AB0">
      <w:pPr>
        <w:widowControl w:val="0"/>
        <w:jc w:val="both"/>
        <w:rPr>
          <w:sz w:val="20"/>
        </w:rPr>
      </w:pPr>
      <w:r w:rsidRPr="00FB5988">
        <w:rPr>
          <w:sz w:val="20"/>
          <w:szCs w:val="20"/>
        </w:rPr>
        <w:t>The respondent, Ms. Bailey, struck a city employee with her husband’s motor vehicle when the employee was performing roadwork. The employee commenced an action against her (“employee action”). She referred the matter to her insurer. Ms. Bailey and her husband then commenced a separate action against the appellant, the City of Corner Brook (“City”) for alleged property damage and physical injury arising from the accident. The Baileys settled their claim with the City; they executed a release through their respective legal representatives and discontinued their action. Four years later, in the course of the employee action, counsel for Ms. Bailey’s automobile insurers filed a defence and issued a third party notice to the City claiming that the City was liable to the employee. The City took the position that the release precluded such a claim. The trial judge granted the City’s application for summary trial. The Court of Appeal allowed Ms. Bailey’s appeal, interpreting the release as releasing only the claims in the action the Baileys had commenced against the City and not applying to a claim to recover damages of a third party.</w:t>
      </w:r>
    </w:p>
    <w:p w:rsidR="00304AB0" w:rsidRPr="00FB5988" w:rsidRDefault="00304AB0" w:rsidP="00304AB0">
      <w:pPr>
        <w:widowControl w:val="0"/>
        <w:jc w:val="both"/>
        <w:rPr>
          <w:sz w:val="20"/>
        </w:rPr>
      </w:pPr>
    </w:p>
    <w:p w:rsidR="00304AB0" w:rsidRPr="00FB5988" w:rsidRDefault="00EB6AAD" w:rsidP="00304AB0">
      <w:pPr>
        <w:widowControl w:val="0"/>
        <w:jc w:val="both"/>
        <w:rPr>
          <w:sz w:val="20"/>
        </w:rPr>
      </w:pPr>
      <w:r>
        <w:rPr>
          <w:sz w:val="20"/>
        </w:rPr>
        <w:pict>
          <v:rect id="_x0000_i1068" style="width:2in;height:1pt" o:hrpct="0" o:hralign="center" o:hrstd="t" o:hrnoshade="t" o:hr="t" fillcolor="black [3213]" stroked="f"/>
        </w:pict>
      </w:r>
    </w:p>
    <w:p w:rsidR="00304AB0" w:rsidRPr="00FB5988" w:rsidRDefault="00304AB0" w:rsidP="00304AB0">
      <w:pPr>
        <w:widowControl w:val="0"/>
        <w:jc w:val="both"/>
        <w:rPr>
          <w:sz w:val="20"/>
        </w:rPr>
      </w:pPr>
    </w:p>
    <w:p w:rsidR="00CB5355" w:rsidRPr="00FB5988" w:rsidRDefault="00CB5355">
      <w:pPr>
        <w:rPr>
          <w:rStyle w:val="SCCFileNumberChar"/>
          <w:sz w:val="20"/>
          <w:szCs w:val="20"/>
          <w:lang w:val="en-US"/>
        </w:rPr>
      </w:pPr>
      <w:r w:rsidRPr="00FB5988">
        <w:rPr>
          <w:rStyle w:val="SCCFileNumberChar"/>
          <w:sz w:val="20"/>
          <w:szCs w:val="20"/>
          <w:lang w:val="en-US"/>
        </w:rPr>
        <w:br w:type="page"/>
      </w:r>
    </w:p>
    <w:p w:rsidR="00304AB0" w:rsidRPr="00FB5988" w:rsidRDefault="00304AB0" w:rsidP="00304AB0">
      <w:pPr>
        <w:pStyle w:val="SCCLsocParty"/>
        <w:jc w:val="both"/>
        <w:rPr>
          <w:b/>
          <w:i/>
          <w:sz w:val="20"/>
          <w:szCs w:val="20"/>
          <w:lang w:val="en-US"/>
        </w:rPr>
      </w:pPr>
      <w:r w:rsidRPr="00FB5988">
        <w:rPr>
          <w:rStyle w:val="SCCFileNumberChar"/>
          <w:sz w:val="20"/>
          <w:szCs w:val="20"/>
          <w:lang w:val="en-US"/>
        </w:rPr>
        <w:lastRenderedPageBreak/>
        <w:t>39122</w:t>
      </w:r>
      <w:r w:rsidRPr="00FB5988">
        <w:rPr>
          <w:rStyle w:val="SCCFileNumberChar"/>
          <w:sz w:val="20"/>
          <w:szCs w:val="20"/>
          <w:lang w:val="en-US"/>
        </w:rPr>
        <w:tab/>
      </w:r>
      <w:r w:rsidRPr="00FB5988">
        <w:rPr>
          <w:b/>
          <w:i/>
          <w:sz w:val="20"/>
          <w:szCs w:val="20"/>
          <w:lang w:val="en-US"/>
        </w:rPr>
        <w:t>City of Corner Brook c. Mary Bailey</w:t>
      </w:r>
    </w:p>
    <w:p w:rsidR="00304AB0" w:rsidRPr="00FB5988" w:rsidRDefault="00304AB0" w:rsidP="00304AB0">
      <w:pPr>
        <w:widowControl w:val="0"/>
        <w:ind w:firstLine="720"/>
        <w:jc w:val="both"/>
        <w:rPr>
          <w:sz w:val="20"/>
          <w:lang w:val="fr-CA"/>
        </w:rPr>
      </w:pPr>
      <w:r w:rsidRPr="00FB5988">
        <w:rPr>
          <w:sz w:val="20"/>
          <w:szCs w:val="20"/>
          <w:lang w:val="fr-CA"/>
        </w:rPr>
        <w:t>(T.-N.-L.) (Civile) (Autorisation)</w:t>
      </w:r>
    </w:p>
    <w:p w:rsidR="00304AB0" w:rsidRPr="00FB5988" w:rsidRDefault="00304AB0" w:rsidP="00304AB0">
      <w:pPr>
        <w:widowControl w:val="0"/>
        <w:jc w:val="both"/>
        <w:rPr>
          <w:sz w:val="20"/>
          <w:lang w:val="fr-CA"/>
        </w:rPr>
      </w:pPr>
    </w:p>
    <w:p w:rsidR="00304AB0" w:rsidRPr="00FB5988" w:rsidRDefault="00304AB0" w:rsidP="00304AB0">
      <w:pPr>
        <w:widowControl w:val="0"/>
        <w:jc w:val="both"/>
        <w:rPr>
          <w:sz w:val="20"/>
          <w:lang w:val="fr-CA"/>
        </w:rPr>
      </w:pPr>
      <w:r w:rsidRPr="00FB5988">
        <w:rPr>
          <w:sz w:val="20"/>
          <w:szCs w:val="20"/>
          <w:lang w:val="fr-CA"/>
        </w:rPr>
        <w:t>Contrats - Interprétation - Décharges - Les parties ont conclu une convention de décharge par laquelle la conductrice a déchargé la municipalité de toute responsabilité en lien avec un accident et, plus particulièrement, en lien avec une action précise portant sur cet accident - L’assureur de la conductrice a subséquemment mis en cause la municipalité dans une action distincte portant sur le même accident - La municipalité soutient que la convention de décharge empêche la mise en cause - Le juge de première instance a conclu que la décharge empêchait la mise en cause - La Cour d’appel a statué que la décharge n’empêchait pas la mise en cause et a rétabli cette dernière – Quelle est la norme de contrôle applicable? – Quelles règles d’interprétation contractuelle s’appliquent aux décharges? – La Cour d’appel a-t-elle eu tort de ne pas envisager l’octroi d’une indemnité? – De quelle manière les cours d’appel provinciales et les autres tribunaux de common law interprètent-ils les décharges? – Quelles sont les répercussions de principe de l’interprétation retenue par la Cour d’appel</w:t>
      </w:r>
      <w:r w:rsidRPr="00FB5988">
        <w:rPr>
          <w:color w:val="000000"/>
          <w:sz w:val="20"/>
          <w:szCs w:val="20"/>
          <w:lang w:val="fr-CA"/>
        </w:rPr>
        <w:t>?</w:t>
      </w:r>
    </w:p>
    <w:p w:rsidR="00304AB0" w:rsidRPr="00FB5988" w:rsidRDefault="00304AB0" w:rsidP="00304AB0">
      <w:pPr>
        <w:widowControl w:val="0"/>
        <w:jc w:val="both"/>
        <w:rPr>
          <w:sz w:val="20"/>
          <w:lang w:val="fr-CA"/>
        </w:rPr>
      </w:pPr>
    </w:p>
    <w:p w:rsidR="00304AB0" w:rsidRPr="00FB5988" w:rsidRDefault="00304AB0" w:rsidP="00304AB0">
      <w:pPr>
        <w:widowControl w:val="0"/>
        <w:jc w:val="both"/>
        <w:rPr>
          <w:sz w:val="20"/>
          <w:lang w:val="fr-CA"/>
        </w:rPr>
      </w:pPr>
      <w:r w:rsidRPr="00FB5988">
        <w:rPr>
          <w:sz w:val="20"/>
          <w:szCs w:val="20"/>
          <w:lang w:val="fr-CA"/>
        </w:rPr>
        <w:t>L’intimée, Mme Bailey, au volant de l’automobile de son époux, a heurté un employé municipal qui effectuait des travaux de voirie. L’employé a intenté une action contre elle (« l’action de l’employé »). Elle a renvoyé l’affaire à son assureur. Madame Bailey et son époux ont ensuite intenté une action distincte contre l’appelante, la Ville de Corner Brook (« Ville ») au titre des dommages matériels et de blessures corporelles qui auraient découlé de l’accident. Les Bailey ont réglé à l’amiable leur réclamation avec la Ville; ils ont signé une décharge par l’entremise de leurs représentants juridiques respectifs et ont mis fin à leur action. Quatre ans plus tard, dans le cadre de l’action de l’employé, l’avocat des assureurs automobile de Mme Bailey a déposé une défense et a transmis un avis de mise en cause à la municipalité alléguant que la municipalité était responsable envers l’employé. La Ville a soutenu que la décharge empêchait une telle mise en cause. Le juge de première instance a accueilli la demande de procès sommaire de la Ville. La Cour d’appel a accueilli l’appel de Mme Bailey, interprétant la décharge comme se limitant aux réclamations dans l’action que les Bailey avaient intentée contre la Ville et ne s’appliquant pas à une réclamation en recouvrement de dommages-intérêts d’un tiers.</w:t>
      </w:r>
    </w:p>
    <w:p w:rsidR="00304AB0" w:rsidRPr="00FB5988" w:rsidRDefault="00304AB0" w:rsidP="00304AB0">
      <w:pPr>
        <w:widowControl w:val="0"/>
        <w:jc w:val="both"/>
        <w:rPr>
          <w:sz w:val="20"/>
          <w:szCs w:val="20"/>
          <w:lang w:val="fr-CA"/>
        </w:rPr>
      </w:pPr>
    </w:p>
    <w:p w:rsidR="00304AB0" w:rsidRPr="00FB5988" w:rsidRDefault="00EB6AAD" w:rsidP="00304AB0">
      <w:pPr>
        <w:jc w:val="both"/>
        <w:rPr>
          <w:sz w:val="20"/>
          <w:szCs w:val="20"/>
          <w:lang w:val="fr-CA"/>
        </w:rPr>
      </w:pPr>
      <w:r>
        <w:rPr>
          <w:sz w:val="20"/>
        </w:rPr>
        <w:pict>
          <v:rect id="_x0000_i1069" style="width:2in;height:1pt" o:hrpct="0" o:hralign="center" o:hrstd="t" o:hrnoshade="t" o:hr="t" fillcolor="black [3213]" stroked="f"/>
        </w:pict>
      </w:r>
    </w:p>
    <w:p w:rsidR="00304AB0" w:rsidRPr="00FB5988" w:rsidRDefault="00304AB0" w:rsidP="00304AB0">
      <w:pPr>
        <w:widowControl w:val="0"/>
        <w:jc w:val="both"/>
        <w:rPr>
          <w:sz w:val="20"/>
          <w:szCs w:val="20"/>
          <w:lang w:val="fr-CA"/>
        </w:rPr>
      </w:pPr>
    </w:p>
    <w:p w:rsidR="00304AB0" w:rsidRPr="00FB5988" w:rsidRDefault="00304AB0" w:rsidP="00304AB0">
      <w:pPr>
        <w:pStyle w:val="SCCLsocParty"/>
        <w:jc w:val="both"/>
        <w:rPr>
          <w:b/>
          <w:i/>
          <w:sz w:val="20"/>
          <w:szCs w:val="20"/>
          <w:lang w:val="en-US"/>
        </w:rPr>
      </w:pPr>
      <w:r w:rsidRPr="00FB5988">
        <w:rPr>
          <w:b/>
          <w:sz w:val="20"/>
          <w:szCs w:val="20"/>
        </w:rPr>
        <w:fldChar w:fldCharType="begin"/>
      </w:r>
      <w:r w:rsidRPr="00FB5988">
        <w:rPr>
          <w:b/>
          <w:sz w:val="20"/>
          <w:szCs w:val="20"/>
          <w:lang w:val="en-US"/>
        </w:rPr>
        <w:instrText xml:space="preserve"> SEQ CHAPTER \h \r 1</w:instrText>
      </w:r>
      <w:r w:rsidRPr="00FB5988">
        <w:rPr>
          <w:b/>
          <w:sz w:val="20"/>
          <w:szCs w:val="20"/>
        </w:rPr>
        <w:fldChar w:fldCharType="end"/>
      </w:r>
      <w:r w:rsidRPr="00FB5988">
        <w:rPr>
          <w:b/>
          <w:sz w:val="20"/>
          <w:szCs w:val="20"/>
          <w:lang w:val="en-US"/>
        </w:rPr>
        <w:t>39182</w:t>
      </w:r>
      <w:r w:rsidRPr="00FB5988">
        <w:rPr>
          <w:b/>
          <w:sz w:val="20"/>
          <w:szCs w:val="20"/>
          <w:lang w:val="en-US"/>
        </w:rPr>
        <w:tab/>
      </w:r>
      <w:r w:rsidRPr="00FB5988">
        <w:rPr>
          <w:b/>
          <w:i/>
          <w:sz w:val="20"/>
          <w:szCs w:val="20"/>
          <w:lang w:val="en-US"/>
        </w:rPr>
        <w:t>Grant Thornton LLP, Kent M. Ostridge v. Province of New Brunswick</w:t>
      </w:r>
    </w:p>
    <w:p w:rsidR="00304AB0" w:rsidRPr="00FB5988" w:rsidRDefault="00304AB0" w:rsidP="00304AB0">
      <w:pPr>
        <w:pStyle w:val="SCCLsocParty"/>
        <w:ind w:firstLine="720"/>
        <w:jc w:val="both"/>
        <w:rPr>
          <w:b/>
          <w:i/>
          <w:sz w:val="20"/>
          <w:szCs w:val="20"/>
          <w:lang w:val="en-US"/>
        </w:rPr>
      </w:pPr>
      <w:r w:rsidRPr="00FB5988">
        <w:rPr>
          <w:b/>
          <w:i/>
          <w:sz w:val="20"/>
          <w:szCs w:val="20"/>
          <w:lang w:val="en-US"/>
        </w:rPr>
        <w:t xml:space="preserve">- </w:t>
      </w:r>
      <w:proofErr w:type="gramStart"/>
      <w:r w:rsidRPr="00FB5988">
        <w:rPr>
          <w:b/>
          <w:i/>
          <w:sz w:val="20"/>
          <w:szCs w:val="20"/>
          <w:lang w:val="en-US"/>
        </w:rPr>
        <w:t>and</w:t>
      </w:r>
      <w:proofErr w:type="gramEnd"/>
      <w:r w:rsidRPr="00FB5988">
        <w:rPr>
          <w:b/>
          <w:i/>
          <w:sz w:val="20"/>
          <w:szCs w:val="20"/>
          <w:lang w:val="en-US"/>
        </w:rPr>
        <w:t xml:space="preserve"> between -</w:t>
      </w:r>
    </w:p>
    <w:p w:rsidR="00304AB0" w:rsidRPr="00FB5988" w:rsidRDefault="00304AB0" w:rsidP="00304AB0">
      <w:pPr>
        <w:pStyle w:val="SCCLsocParty"/>
        <w:ind w:firstLine="720"/>
        <w:jc w:val="both"/>
        <w:rPr>
          <w:b/>
          <w:i/>
          <w:sz w:val="20"/>
          <w:szCs w:val="20"/>
          <w:lang w:val="en-US"/>
        </w:rPr>
      </w:pPr>
      <w:r w:rsidRPr="00FB5988">
        <w:rPr>
          <w:b/>
          <w:i/>
          <w:sz w:val="20"/>
          <w:szCs w:val="20"/>
          <w:lang w:val="en-US"/>
        </w:rPr>
        <w:t>Grant Thornton International Ltd. v. Province of New Brunswick</w:t>
      </w:r>
    </w:p>
    <w:p w:rsidR="00304AB0" w:rsidRPr="00FB5988" w:rsidRDefault="00304AB0" w:rsidP="00304AB0">
      <w:pPr>
        <w:widowControl w:val="0"/>
        <w:ind w:firstLine="720"/>
        <w:jc w:val="both"/>
        <w:rPr>
          <w:sz w:val="20"/>
          <w:szCs w:val="20"/>
        </w:rPr>
      </w:pPr>
      <w:r w:rsidRPr="00FB5988">
        <w:rPr>
          <w:sz w:val="20"/>
          <w:szCs w:val="20"/>
        </w:rPr>
        <w:t>(N.B.) (Civil) (By leave)</w:t>
      </w:r>
    </w:p>
    <w:p w:rsidR="00304AB0" w:rsidRPr="00FB5988" w:rsidRDefault="00304AB0" w:rsidP="00304AB0">
      <w:pPr>
        <w:widowControl w:val="0"/>
        <w:jc w:val="both"/>
        <w:rPr>
          <w:sz w:val="20"/>
          <w:szCs w:val="20"/>
        </w:rPr>
      </w:pPr>
    </w:p>
    <w:p w:rsidR="00304AB0" w:rsidRPr="00FB5988" w:rsidRDefault="00304AB0" w:rsidP="00304AB0">
      <w:pPr>
        <w:jc w:val="both"/>
        <w:rPr>
          <w:sz w:val="20"/>
          <w:szCs w:val="20"/>
        </w:rPr>
      </w:pPr>
      <w:r w:rsidRPr="00FB5988">
        <w:rPr>
          <w:sz w:val="20"/>
          <w:szCs w:val="20"/>
        </w:rPr>
        <w:t>Limitation of actions</w:t>
      </w:r>
      <w:r w:rsidRPr="00FB5988">
        <w:rPr>
          <w:i/>
          <w:sz w:val="20"/>
          <w:szCs w:val="20"/>
        </w:rPr>
        <w:t xml:space="preserve"> </w:t>
      </w:r>
      <w:r w:rsidRPr="00FB5988">
        <w:rPr>
          <w:sz w:val="20"/>
          <w:szCs w:val="20"/>
        </w:rPr>
        <w:t xml:space="preserve">- Discoverability - Summary judgments - Actions in negligence for professional malpractice of auditors - Whether, under s. 5 of the </w:t>
      </w:r>
      <w:r w:rsidRPr="00FB5988">
        <w:rPr>
          <w:i/>
          <w:sz w:val="20"/>
          <w:szCs w:val="20"/>
        </w:rPr>
        <w:t>Limitation of Actions Act</w:t>
      </w:r>
      <w:r w:rsidRPr="00FB5988">
        <w:rPr>
          <w:sz w:val="20"/>
          <w:szCs w:val="20"/>
        </w:rPr>
        <w:t xml:space="preserve">, a plaintiff must have knowledge to support every element of its causes of action before having discovered its claim - What is the level of knowledge required to discover a claim under s. 5 of the </w:t>
      </w:r>
      <w:r w:rsidRPr="00FB5988">
        <w:rPr>
          <w:i/>
          <w:sz w:val="20"/>
          <w:szCs w:val="20"/>
        </w:rPr>
        <w:t>Limitation of Actions Act</w:t>
      </w:r>
      <w:r w:rsidRPr="00FB5988">
        <w:rPr>
          <w:sz w:val="20"/>
          <w:szCs w:val="20"/>
        </w:rPr>
        <w:t xml:space="preserve">? - </w:t>
      </w:r>
      <w:r w:rsidRPr="00FB5988">
        <w:rPr>
          <w:i/>
          <w:sz w:val="20"/>
          <w:szCs w:val="20"/>
        </w:rPr>
        <w:t>Limitation of Actions Act</w:t>
      </w:r>
      <w:r w:rsidRPr="00FB5988">
        <w:rPr>
          <w:sz w:val="20"/>
          <w:szCs w:val="20"/>
        </w:rPr>
        <w:t>, S.N.B. 2009, c. L-8.5, s. 5.</w:t>
      </w:r>
    </w:p>
    <w:p w:rsidR="00304AB0" w:rsidRPr="00FB5988" w:rsidRDefault="00304AB0" w:rsidP="00304AB0">
      <w:pPr>
        <w:widowControl w:val="0"/>
        <w:jc w:val="both"/>
        <w:rPr>
          <w:sz w:val="20"/>
          <w:szCs w:val="20"/>
        </w:rPr>
      </w:pPr>
    </w:p>
    <w:p w:rsidR="00304AB0" w:rsidRPr="00FB5988" w:rsidRDefault="00304AB0" w:rsidP="00304AB0">
      <w:pPr>
        <w:widowControl w:val="0"/>
        <w:jc w:val="both"/>
        <w:rPr>
          <w:sz w:val="20"/>
        </w:rPr>
      </w:pPr>
      <w:r w:rsidRPr="00FB5988">
        <w:rPr>
          <w:sz w:val="20"/>
          <w:szCs w:val="20"/>
        </w:rPr>
        <w:t xml:space="preserve">The Province of New Brunswick (NB) commenced an action in negligence against Grant Thornton LLP, one of its partners, and Grant Thornton International Ltd. (“Grant Thornton”) for their allegedly sub-standard audit of the financial statements of some corporations (“Atcon”) for the fiscal year ending January 31, 2009 (“F2009”). By the action, NB sought to recover damages corresponding to the $50 million it was required to pay, in March 2010, by virtue of loan guarantees provided to Atcon’s bank after Atcon’s bank successfully applied for a receivership order under the </w:t>
      </w:r>
      <w:r w:rsidRPr="00FB5988">
        <w:rPr>
          <w:i/>
          <w:sz w:val="20"/>
          <w:szCs w:val="20"/>
        </w:rPr>
        <w:t>Bankruptcy and Insolvency Act</w:t>
      </w:r>
      <w:r w:rsidRPr="00FB5988">
        <w:rPr>
          <w:sz w:val="20"/>
          <w:szCs w:val="20"/>
        </w:rPr>
        <w:t xml:space="preserve">, R.S.C. 1985, c. B-3 and for relief under the </w:t>
      </w:r>
      <w:r w:rsidRPr="00FB5988">
        <w:rPr>
          <w:i/>
          <w:sz w:val="20"/>
          <w:szCs w:val="20"/>
        </w:rPr>
        <w:t>Companies’ Creditors Arrangement Act</w:t>
      </w:r>
      <w:r w:rsidRPr="00FB5988">
        <w:rPr>
          <w:sz w:val="20"/>
          <w:szCs w:val="20"/>
        </w:rPr>
        <w:t>, R.S.C. 1985, c. C-36. NB claims it relied on Grant Thornton’s unqualified auditor’s report in agreeing to execute the loan guarantees. After paying the $50 million, NB retained a different auditing firm to review and comment on Atcon’s F2009 financial position. In February 2011, that auditing firm provided NB with a draft report expressing the opinion that Atcon’s financial statements for F2009 had not been prepared in accordance with generally accepted accounting principles and that they overstated Atcon’s assets and net earnings. NB commenced its action on June 23, 2014. Grant Thornton sought summary judgment on the basis that NB’s claim was time-barred. The motions judge allowed Grant Thornton’s motion, finding NB discovered its claim more than two years before commencing the proceedings. The Court of Appeal allowed NB’s appeal, holding that the applicable test was more exacting than the one applied by the motions judge, so that the two-year limitation period did not begin to run until a claimant discovered they have a claim, rather than discovering they have a potential claim.</w:t>
      </w:r>
    </w:p>
    <w:p w:rsidR="00304AB0" w:rsidRPr="00FB5988" w:rsidRDefault="00304AB0" w:rsidP="00304AB0">
      <w:pPr>
        <w:widowControl w:val="0"/>
        <w:jc w:val="both"/>
        <w:rPr>
          <w:sz w:val="20"/>
        </w:rPr>
      </w:pPr>
    </w:p>
    <w:p w:rsidR="00304AB0" w:rsidRPr="00FB5988" w:rsidRDefault="00EB6AAD" w:rsidP="00304AB0">
      <w:pPr>
        <w:widowControl w:val="0"/>
        <w:jc w:val="both"/>
        <w:rPr>
          <w:sz w:val="20"/>
        </w:rPr>
      </w:pPr>
      <w:r>
        <w:rPr>
          <w:sz w:val="20"/>
        </w:rPr>
        <w:pict>
          <v:rect id="_x0000_i1070" style="width:2in;height:1pt" o:hrpct="0" o:hralign="center" o:hrstd="t" o:hrnoshade="t" o:hr="t" fillcolor="black [3213]" stroked="f"/>
        </w:pict>
      </w:r>
    </w:p>
    <w:p w:rsidR="00304AB0" w:rsidRPr="00FB5988" w:rsidRDefault="00304AB0" w:rsidP="00304AB0">
      <w:pPr>
        <w:widowControl w:val="0"/>
        <w:jc w:val="both"/>
        <w:rPr>
          <w:sz w:val="20"/>
        </w:rPr>
      </w:pPr>
    </w:p>
    <w:p w:rsidR="00304AB0" w:rsidRPr="00FB5988" w:rsidRDefault="00304AB0" w:rsidP="00304AB0">
      <w:pPr>
        <w:pStyle w:val="SCCLsocParty"/>
        <w:jc w:val="both"/>
        <w:rPr>
          <w:b/>
          <w:i/>
          <w:sz w:val="20"/>
          <w:szCs w:val="20"/>
        </w:rPr>
      </w:pPr>
      <w:r w:rsidRPr="00FB5988">
        <w:rPr>
          <w:rStyle w:val="SCCFileNumberChar"/>
          <w:sz w:val="20"/>
          <w:szCs w:val="20"/>
          <w:lang w:val="fr-CA"/>
        </w:rPr>
        <w:t>39182</w:t>
      </w:r>
      <w:r w:rsidRPr="00FB5988">
        <w:rPr>
          <w:rStyle w:val="SCCFileNumberChar"/>
          <w:sz w:val="20"/>
          <w:szCs w:val="20"/>
          <w:lang w:val="fr-CA"/>
        </w:rPr>
        <w:tab/>
      </w:r>
      <w:r w:rsidRPr="00FB5988">
        <w:rPr>
          <w:b/>
          <w:i/>
          <w:sz w:val="20"/>
          <w:szCs w:val="20"/>
        </w:rPr>
        <w:t>Grant Thornton LLP, Kent M. Ostridge c. Province du Nouveau-Brunswick</w:t>
      </w:r>
    </w:p>
    <w:p w:rsidR="00304AB0" w:rsidRPr="00FB5988" w:rsidRDefault="00304AB0" w:rsidP="00304AB0">
      <w:pPr>
        <w:pStyle w:val="SCCLsocSubfileSeparator0"/>
        <w:ind w:firstLine="720"/>
        <w:rPr>
          <w:i/>
          <w:sz w:val="20"/>
          <w:szCs w:val="20"/>
          <w:lang w:val="fr-CA"/>
        </w:rPr>
      </w:pPr>
      <w:r w:rsidRPr="00FB5988">
        <w:rPr>
          <w:i/>
          <w:sz w:val="20"/>
          <w:szCs w:val="20"/>
          <w:lang w:val="fr-CA"/>
        </w:rPr>
        <w:t>- et entre -</w:t>
      </w:r>
    </w:p>
    <w:p w:rsidR="00304AB0" w:rsidRPr="00FB5988" w:rsidRDefault="00304AB0" w:rsidP="00304AB0">
      <w:pPr>
        <w:pStyle w:val="SCCLsocParty"/>
        <w:ind w:firstLine="720"/>
        <w:jc w:val="both"/>
        <w:rPr>
          <w:b/>
          <w:i/>
          <w:sz w:val="20"/>
          <w:szCs w:val="20"/>
        </w:rPr>
      </w:pPr>
      <w:r w:rsidRPr="00FB5988">
        <w:rPr>
          <w:b/>
          <w:i/>
          <w:sz w:val="20"/>
          <w:szCs w:val="20"/>
        </w:rPr>
        <w:t>Grant Thornton International Ltd. c. Province du Nouveau-Brunswick</w:t>
      </w:r>
    </w:p>
    <w:p w:rsidR="00304AB0" w:rsidRPr="00FB5988" w:rsidRDefault="00304AB0" w:rsidP="00304AB0">
      <w:pPr>
        <w:widowControl w:val="0"/>
        <w:ind w:firstLine="720"/>
        <w:jc w:val="both"/>
        <w:rPr>
          <w:sz w:val="20"/>
          <w:lang w:val="fr-CA"/>
        </w:rPr>
      </w:pPr>
      <w:r w:rsidRPr="00FB5988">
        <w:rPr>
          <w:sz w:val="20"/>
          <w:szCs w:val="20"/>
          <w:lang w:val="fr-CA"/>
        </w:rPr>
        <w:t>(N.-B.) (Civile) (Sur autorisation)</w:t>
      </w:r>
    </w:p>
    <w:p w:rsidR="00304AB0" w:rsidRPr="00FB5988" w:rsidRDefault="00304AB0" w:rsidP="00304AB0">
      <w:pPr>
        <w:jc w:val="both"/>
        <w:rPr>
          <w:sz w:val="20"/>
          <w:szCs w:val="20"/>
          <w:lang w:val="fr-CA"/>
        </w:rPr>
      </w:pPr>
    </w:p>
    <w:p w:rsidR="00304AB0" w:rsidRPr="00FB5988" w:rsidRDefault="00304AB0" w:rsidP="00304AB0">
      <w:pPr>
        <w:widowControl w:val="0"/>
        <w:jc w:val="both"/>
        <w:rPr>
          <w:sz w:val="20"/>
          <w:lang w:val="fr-CA"/>
        </w:rPr>
      </w:pPr>
      <w:r w:rsidRPr="00FB5988">
        <w:rPr>
          <w:sz w:val="20"/>
          <w:szCs w:val="20"/>
          <w:lang w:val="fr-CA"/>
        </w:rPr>
        <w:t>Prescription</w:t>
      </w:r>
      <w:r w:rsidRPr="00FB5988">
        <w:rPr>
          <w:i/>
          <w:sz w:val="20"/>
          <w:szCs w:val="20"/>
          <w:lang w:val="fr-CA"/>
        </w:rPr>
        <w:t xml:space="preserve"> </w:t>
      </w:r>
      <w:r w:rsidRPr="00FB5988">
        <w:rPr>
          <w:sz w:val="20"/>
          <w:szCs w:val="20"/>
          <w:lang w:val="fr-CA"/>
        </w:rPr>
        <w:t xml:space="preserve">- Possibilité de découvrir - Jugements sommaires - Actions en négligence pour faute professionnelle de vérificateurs - Aux termes de l’art. 5 de la </w:t>
      </w:r>
      <w:r w:rsidRPr="00FB5988">
        <w:rPr>
          <w:i/>
          <w:sz w:val="20"/>
          <w:szCs w:val="20"/>
          <w:lang w:val="fr-CA"/>
        </w:rPr>
        <w:t>Loi sur la prescription,</w:t>
      </w:r>
      <w:r w:rsidRPr="00FB5988">
        <w:rPr>
          <w:sz w:val="20"/>
          <w:szCs w:val="20"/>
          <w:lang w:val="fr-CA"/>
        </w:rPr>
        <w:t xml:space="preserve"> un demandeur doit-il avoir des connaissances permettant d’étayer chacun des éléments de ses causes d’action avant d’avoir découvert les faits ayant donné naissance à sa réclamation? - Quel est le degré de connaissances requis afin de découvrir les faits ayant donné naissance à une réclamation en vertu de l’art. 5. de la </w:t>
      </w:r>
      <w:r w:rsidRPr="00FB5988">
        <w:rPr>
          <w:i/>
          <w:sz w:val="20"/>
          <w:szCs w:val="20"/>
          <w:lang w:val="fr-CA"/>
        </w:rPr>
        <w:t>Loi sur la prescription</w:t>
      </w:r>
      <w:r w:rsidRPr="00FB5988">
        <w:rPr>
          <w:sz w:val="20"/>
          <w:szCs w:val="20"/>
          <w:lang w:val="fr-CA"/>
        </w:rPr>
        <w:t xml:space="preserve">? - </w:t>
      </w:r>
      <w:r w:rsidRPr="00FB5988">
        <w:rPr>
          <w:i/>
          <w:sz w:val="20"/>
          <w:szCs w:val="20"/>
          <w:lang w:val="fr-CA"/>
        </w:rPr>
        <w:t>Loi sur la prescription</w:t>
      </w:r>
      <w:r w:rsidRPr="00FB5988">
        <w:rPr>
          <w:sz w:val="20"/>
          <w:szCs w:val="20"/>
          <w:lang w:val="fr-CA"/>
        </w:rPr>
        <w:t>, L.N.-B. 2009, ch. L-8.5, art. 5.</w:t>
      </w:r>
    </w:p>
    <w:p w:rsidR="00304AB0" w:rsidRPr="00FB5988" w:rsidRDefault="00304AB0" w:rsidP="00304AB0">
      <w:pPr>
        <w:widowControl w:val="0"/>
        <w:jc w:val="both"/>
        <w:rPr>
          <w:sz w:val="20"/>
          <w:lang w:val="fr-CA"/>
        </w:rPr>
      </w:pPr>
    </w:p>
    <w:p w:rsidR="00304AB0" w:rsidRPr="00FB5988" w:rsidRDefault="00304AB0" w:rsidP="00304AB0">
      <w:pPr>
        <w:widowControl w:val="0"/>
        <w:jc w:val="both"/>
        <w:rPr>
          <w:sz w:val="20"/>
          <w:lang w:val="fr-CA"/>
        </w:rPr>
      </w:pPr>
      <w:r w:rsidRPr="00FB5988">
        <w:rPr>
          <w:sz w:val="20"/>
          <w:szCs w:val="20"/>
          <w:lang w:val="fr-CA"/>
        </w:rPr>
        <w:t xml:space="preserve">La Province du New-Brunswick (le N-B) a intenté une action pour négligence contre Grant Thornton LLP, un de ses associés, et Grant Thornton International Ltd. (« Grant Thornton ») pour leur vérification prétendument inférieure à la norme des états financiers de certaines sociétés (« Atcon ») pour l’exercice terminé le 31 janvier 2009 (« E2009 »). Par cette action, le N-B sollicite des dommages-intérêts correspondant aux 50 millions de dollars qu’il a dû verser, en mars 2010, en application de garanties de prêt qu’il avait accordées à la banque d’Acton après que la banque d’Acton a </w:t>
      </w:r>
      <w:r w:rsidRPr="00FB5988">
        <w:rPr>
          <w:color w:val="000000"/>
          <w:sz w:val="20"/>
          <w:szCs w:val="20"/>
          <w:shd w:val="clear" w:color="auto" w:fill="FFFFFF"/>
          <w:lang w:val="fr-CA"/>
        </w:rPr>
        <w:t xml:space="preserve">demandé avec succès une ordonnance de mise sous séquestre en vertu de la </w:t>
      </w:r>
      <w:r w:rsidRPr="00FB5988">
        <w:rPr>
          <w:i/>
          <w:sz w:val="20"/>
          <w:szCs w:val="20"/>
          <w:lang w:val="fr-CA"/>
        </w:rPr>
        <w:t>Loi sur la faillite et l’insolvabilité</w:t>
      </w:r>
      <w:r w:rsidRPr="00FB5988">
        <w:rPr>
          <w:sz w:val="20"/>
          <w:szCs w:val="20"/>
          <w:lang w:val="fr-CA"/>
        </w:rPr>
        <w:t xml:space="preserve">, L.R.C. 1985, ch. B-3 et une réparation sous le régime de la </w:t>
      </w:r>
      <w:r w:rsidRPr="00FB5988">
        <w:rPr>
          <w:i/>
          <w:sz w:val="20"/>
          <w:szCs w:val="20"/>
          <w:lang w:val="fr-CA"/>
        </w:rPr>
        <w:t>Loi sur les arrangements avec les créanciers des compagnies</w:t>
      </w:r>
      <w:r w:rsidRPr="00FB5988">
        <w:rPr>
          <w:sz w:val="20"/>
          <w:szCs w:val="20"/>
          <w:lang w:val="fr-CA"/>
        </w:rPr>
        <w:t>, L.R.C. 1985, ch. C-36. Le N-B prétend s’être appuyé sur le rapport sans réserve du vérificateur de Grant Thornton en acceptant de signer les garanties de prêt. Après avoir versé la somme de 50 millions de dollars, le N-B a retenu les services d’un autre cabinet de comptabilité afin d’examiner et de commenter la situation financière d’Acton pour l’E2009. En février 2011, ce cabinet de vérification a fourni au N-B un projet de rapport qui exprimait l’opinion que les états financiers d’Atcon pour l’E2009 n’avaient pas été établis conformément aux principes comptables généralement reconnus et que l’actif et le bénéfice net d’Acton faisaient l’objet de surévaluations. Le N-B a intenté son action le 23 juin 2014. Grant Thornton a sollicité un jugement sommaire pour cause de prescription de la réclamation du N-B. Le juge de première instance a accueilli la motion de Grant Thornton, concluant que le N-B avait découvert les faits ayant donné naissance à la réclamation plus de deux ans avant l’introduction de l’instance. La Cour d’appel a accueilli l’appel du N-B, statuant que le critère applicable était plus exigeant que celui qu’avait appliqué le juge de première instance, si bien que le délai de prescription ne commençait à courir que lorsque le réclamant a connaissance de l’existence d’une réclamation, plutôt qu’une réclamation éventuelle.</w:t>
      </w:r>
    </w:p>
    <w:p w:rsidR="00304AB0" w:rsidRPr="00FB5988" w:rsidRDefault="00304AB0" w:rsidP="00304AB0">
      <w:pPr>
        <w:widowControl w:val="0"/>
        <w:jc w:val="both"/>
        <w:rPr>
          <w:sz w:val="20"/>
          <w:lang w:val="fr-CA"/>
        </w:rPr>
      </w:pPr>
    </w:p>
    <w:p w:rsidR="00304AB0" w:rsidRPr="00FB5988" w:rsidRDefault="00EB6AAD" w:rsidP="00304AB0">
      <w:pPr>
        <w:widowControl w:val="0"/>
        <w:jc w:val="both"/>
        <w:rPr>
          <w:sz w:val="20"/>
          <w:szCs w:val="20"/>
          <w:lang w:val="fr-CA"/>
        </w:rPr>
      </w:pPr>
      <w:r>
        <w:rPr>
          <w:sz w:val="20"/>
        </w:rPr>
        <w:pict>
          <v:rect id="_x0000_i1071" style="width:2in;height:1pt" o:hrpct="0" o:hralign="center" o:hrstd="t" o:hrnoshade="t" o:hr="t" fillcolor="black [3213]" stroked="f"/>
        </w:pict>
      </w:r>
    </w:p>
    <w:p w:rsidR="00304AB0" w:rsidRPr="00FB5988" w:rsidRDefault="00304AB0" w:rsidP="00304AB0">
      <w:pPr>
        <w:widowControl w:val="0"/>
        <w:jc w:val="both"/>
        <w:rPr>
          <w:sz w:val="20"/>
          <w:szCs w:val="20"/>
          <w:lang w:val="fr-CA"/>
        </w:rPr>
      </w:pPr>
    </w:p>
    <w:p w:rsidR="00304AB0" w:rsidRPr="00FB5988" w:rsidRDefault="00304AB0" w:rsidP="00304AB0">
      <w:pPr>
        <w:pStyle w:val="SCCLsocParty"/>
        <w:jc w:val="both"/>
        <w:rPr>
          <w:b/>
          <w:sz w:val="20"/>
          <w:szCs w:val="20"/>
          <w:lang w:val="en-US"/>
        </w:rPr>
      </w:pPr>
      <w:r w:rsidRPr="00FB5988">
        <w:rPr>
          <w:b/>
          <w:sz w:val="20"/>
          <w:szCs w:val="20"/>
        </w:rPr>
        <w:fldChar w:fldCharType="begin"/>
      </w:r>
      <w:r w:rsidRPr="00FB5988">
        <w:rPr>
          <w:b/>
          <w:sz w:val="20"/>
          <w:szCs w:val="20"/>
          <w:lang w:val="en-US"/>
        </w:rPr>
        <w:instrText xml:space="preserve"> SEQ CHAPTER \h \r 1</w:instrText>
      </w:r>
      <w:r w:rsidRPr="00FB5988">
        <w:rPr>
          <w:b/>
          <w:sz w:val="20"/>
          <w:szCs w:val="20"/>
        </w:rPr>
        <w:fldChar w:fldCharType="end"/>
      </w:r>
      <w:r w:rsidRPr="00FB5988">
        <w:rPr>
          <w:b/>
          <w:sz w:val="20"/>
          <w:szCs w:val="20"/>
          <w:lang w:val="en-US"/>
        </w:rPr>
        <w:t>39108</w:t>
      </w:r>
      <w:r w:rsidRPr="00FB5988">
        <w:rPr>
          <w:b/>
          <w:sz w:val="20"/>
          <w:szCs w:val="20"/>
          <w:lang w:val="en-US"/>
        </w:rPr>
        <w:tab/>
      </w:r>
      <w:r w:rsidRPr="00FB5988">
        <w:rPr>
          <w:b/>
          <w:i/>
          <w:sz w:val="20"/>
          <w:szCs w:val="20"/>
          <w:lang w:val="en-US"/>
        </w:rPr>
        <w:t>City of Nelson v. Taryn Joy Marchi</w:t>
      </w:r>
    </w:p>
    <w:p w:rsidR="00304AB0" w:rsidRPr="00FB5988" w:rsidRDefault="00304AB0" w:rsidP="00304AB0">
      <w:pPr>
        <w:widowControl w:val="0"/>
        <w:jc w:val="both"/>
        <w:rPr>
          <w:b/>
          <w:sz w:val="20"/>
          <w:szCs w:val="20"/>
        </w:rPr>
      </w:pPr>
      <w:r w:rsidRPr="00FB5988">
        <w:rPr>
          <w:sz w:val="20"/>
          <w:szCs w:val="20"/>
        </w:rPr>
        <w:tab/>
        <w:t>(B.C.) (Civil) (By Leave)</w:t>
      </w:r>
      <w:bookmarkStart w:id="12" w:name="4"/>
      <w:bookmarkEnd w:id="12"/>
    </w:p>
    <w:p w:rsidR="00304AB0" w:rsidRPr="00FB5988" w:rsidRDefault="00304AB0" w:rsidP="00304AB0">
      <w:pPr>
        <w:widowControl w:val="0"/>
        <w:ind w:left="1440" w:hanging="1440"/>
        <w:jc w:val="both"/>
        <w:rPr>
          <w:sz w:val="20"/>
          <w:szCs w:val="20"/>
        </w:rPr>
      </w:pPr>
    </w:p>
    <w:p w:rsidR="00304AB0" w:rsidRPr="00FB5988" w:rsidRDefault="00304AB0" w:rsidP="00304AB0">
      <w:pPr>
        <w:jc w:val="both"/>
        <w:rPr>
          <w:sz w:val="20"/>
          <w:szCs w:val="20"/>
        </w:rPr>
      </w:pPr>
      <w:r w:rsidRPr="00FB5988">
        <w:rPr>
          <w:sz w:val="20"/>
          <w:szCs w:val="20"/>
        </w:rPr>
        <w:t>Torts - Negligence - Liability - Crown Liability - Policy decision or operational decision - Respondent’s foot dropped through snowbank left by appellant city’s work crews - Were the City’s decisions with respect to snow clearance and removal during the early January 2015 snow event policy decisions or operational decisions - What is the appropriate standard of appellate review to be applied to a trial judge’s finding that a particular decision (or suite of decisions) is a policy or operational decision</w:t>
      </w:r>
      <w:r w:rsidRPr="00FB5988">
        <w:rPr>
          <w:sz w:val="20"/>
          <w:szCs w:val="20"/>
          <w:lang w:val="x-none"/>
        </w:rPr>
        <w:t xml:space="preserve"> - </w:t>
      </w:r>
      <w:r w:rsidRPr="00FB5988">
        <w:rPr>
          <w:sz w:val="20"/>
          <w:szCs w:val="20"/>
        </w:rPr>
        <w:t xml:space="preserve">In the event that the impugned decisions are not immune from tort liability as policy decisions, did the City breach the applicable standard of care </w:t>
      </w:r>
      <w:r w:rsidRPr="00FB5988">
        <w:rPr>
          <w:sz w:val="20"/>
          <w:szCs w:val="20"/>
          <w:lang w:val="x-none"/>
        </w:rPr>
        <w:t xml:space="preserve">- </w:t>
      </w:r>
      <w:r w:rsidRPr="00FB5988">
        <w:rPr>
          <w:sz w:val="20"/>
          <w:szCs w:val="20"/>
        </w:rPr>
        <w:t xml:space="preserve">Is the trial judge’s finding that the respondent was the sole proximate cause of her own injuries a complete defence to her claim, despite the removal of the last clear chance doctrine by operation of the </w:t>
      </w:r>
      <w:r w:rsidRPr="00FB5988">
        <w:rPr>
          <w:i/>
          <w:sz w:val="20"/>
          <w:szCs w:val="20"/>
        </w:rPr>
        <w:t>Negligence Act</w:t>
      </w:r>
      <w:r w:rsidRPr="00FB5988">
        <w:rPr>
          <w:sz w:val="20"/>
          <w:szCs w:val="20"/>
        </w:rPr>
        <w:t>, R.S.B.C. 1996, c. 333.</w:t>
      </w:r>
    </w:p>
    <w:p w:rsidR="00304AB0" w:rsidRPr="00FB5988" w:rsidRDefault="00304AB0" w:rsidP="00304AB0">
      <w:pPr>
        <w:widowControl w:val="0"/>
        <w:jc w:val="both"/>
        <w:rPr>
          <w:sz w:val="20"/>
          <w:szCs w:val="20"/>
        </w:rPr>
      </w:pPr>
    </w:p>
    <w:p w:rsidR="00CB5355" w:rsidRPr="00FB5988" w:rsidRDefault="00CB5355">
      <w:pPr>
        <w:rPr>
          <w:sz w:val="20"/>
          <w:szCs w:val="20"/>
          <w:lang w:val="x-none"/>
        </w:rPr>
      </w:pPr>
      <w:r w:rsidRPr="00FB5988">
        <w:rPr>
          <w:sz w:val="20"/>
          <w:szCs w:val="20"/>
          <w:lang w:val="x-none"/>
        </w:rPr>
        <w:br w:type="page"/>
      </w:r>
    </w:p>
    <w:p w:rsidR="00304AB0" w:rsidRPr="00FB5988" w:rsidRDefault="00304AB0" w:rsidP="00304AB0">
      <w:pPr>
        <w:jc w:val="both"/>
        <w:rPr>
          <w:sz w:val="20"/>
          <w:lang w:val="x-none"/>
        </w:rPr>
      </w:pPr>
      <w:r w:rsidRPr="00FB5988">
        <w:rPr>
          <w:sz w:val="20"/>
          <w:szCs w:val="20"/>
          <w:lang w:val="x-none"/>
        </w:rPr>
        <w:lastRenderedPageBreak/>
        <w:t>There was a heavy snowfall in Nelson, British Columbia overnight on January</w:t>
      </w:r>
      <w:r w:rsidRPr="00FB5988">
        <w:rPr>
          <w:sz w:val="20"/>
          <w:szCs w:val="20"/>
        </w:rPr>
        <w:t> </w:t>
      </w:r>
      <w:r w:rsidRPr="00FB5988">
        <w:rPr>
          <w:sz w:val="20"/>
          <w:szCs w:val="20"/>
          <w:lang w:val="x-none"/>
        </w:rPr>
        <w:t>4</w:t>
      </w:r>
      <w:r w:rsidRPr="00FB5988">
        <w:rPr>
          <w:sz w:val="20"/>
          <w:szCs w:val="20"/>
        </w:rPr>
        <w:t>-</w:t>
      </w:r>
      <w:r w:rsidRPr="00FB5988">
        <w:rPr>
          <w:sz w:val="20"/>
          <w:szCs w:val="20"/>
          <w:lang w:val="x-none"/>
        </w:rPr>
        <w:t>5, 2015.</w:t>
      </w:r>
      <w:r w:rsidRPr="00FB5988">
        <w:rPr>
          <w:sz w:val="20"/>
          <w:szCs w:val="20"/>
        </w:rPr>
        <w:t xml:space="preserve"> </w:t>
      </w:r>
      <w:r w:rsidRPr="00FB5988">
        <w:rPr>
          <w:sz w:val="20"/>
          <w:szCs w:val="20"/>
          <w:lang w:val="x-none"/>
        </w:rPr>
        <w:t xml:space="preserve">The </w:t>
      </w:r>
      <w:r w:rsidRPr="00FB5988">
        <w:rPr>
          <w:sz w:val="20"/>
          <w:szCs w:val="20"/>
        </w:rPr>
        <w:t xml:space="preserve">appellant </w:t>
      </w:r>
      <w:r w:rsidRPr="00FB5988">
        <w:rPr>
          <w:sz w:val="20"/>
          <w:szCs w:val="20"/>
          <w:lang w:val="x-none"/>
        </w:rPr>
        <w:t>City of Nelson</w:t>
      </w:r>
      <w:r w:rsidRPr="00FB5988">
        <w:rPr>
          <w:sz w:val="20"/>
          <w:szCs w:val="20"/>
        </w:rPr>
        <w:t xml:space="preserve">’s </w:t>
      </w:r>
      <w:r w:rsidRPr="00FB5988">
        <w:rPr>
          <w:sz w:val="20"/>
          <w:szCs w:val="20"/>
          <w:lang w:val="x-none"/>
        </w:rPr>
        <w:t xml:space="preserve">work crews plowed the </w:t>
      </w:r>
      <w:r w:rsidRPr="00FB5988">
        <w:rPr>
          <w:sz w:val="20"/>
          <w:szCs w:val="20"/>
        </w:rPr>
        <w:t>main commercial street in Nelson</w:t>
      </w:r>
      <w:r w:rsidRPr="00FB5988">
        <w:rPr>
          <w:sz w:val="20"/>
          <w:szCs w:val="20"/>
          <w:lang w:val="x-none"/>
        </w:rPr>
        <w:t xml:space="preserve"> early in the morning of</w:t>
      </w:r>
      <w:r w:rsidRPr="00FB5988">
        <w:rPr>
          <w:sz w:val="20"/>
          <w:szCs w:val="20"/>
        </w:rPr>
        <w:t xml:space="preserve"> </w:t>
      </w:r>
      <w:r w:rsidRPr="00FB5988">
        <w:rPr>
          <w:sz w:val="20"/>
          <w:szCs w:val="20"/>
          <w:lang w:val="x-none"/>
        </w:rPr>
        <w:t xml:space="preserve">January 5. They did so in a manner </w:t>
      </w:r>
      <w:r w:rsidRPr="00FB5988">
        <w:rPr>
          <w:sz w:val="20"/>
          <w:szCs w:val="20"/>
        </w:rPr>
        <w:t>that</w:t>
      </w:r>
      <w:r w:rsidRPr="00FB5988">
        <w:rPr>
          <w:sz w:val="20"/>
          <w:szCs w:val="20"/>
          <w:lang w:val="x-none"/>
        </w:rPr>
        <w:t xml:space="preserve"> created snowbanks or “widrows” along the curb</w:t>
      </w:r>
      <w:r w:rsidRPr="00FB5988">
        <w:rPr>
          <w:sz w:val="20"/>
          <w:szCs w:val="20"/>
        </w:rPr>
        <w:t xml:space="preserve"> </w:t>
      </w:r>
      <w:r w:rsidRPr="00FB5988">
        <w:rPr>
          <w:sz w:val="20"/>
          <w:szCs w:val="20"/>
          <w:lang w:val="x-none"/>
        </w:rPr>
        <w:t xml:space="preserve">and onto the sidewalk. </w:t>
      </w:r>
      <w:r w:rsidRPr="00FB5988">
        <w:rPr>
          <w:sz w:val="20"/>
          <w:szCs w:val="20"/>
        </w:rPr>
        <w:t xml:space="preserve">The respondent, Ms. Marchi </w:t>
      </w:r>
      <w:r w:rsidRPr="00FB5988">
        <w:rPr>
          <w:sz w:val="20"/>
          <w:szCs w:val="20"/>
          <w:lang w:val="x-none"/>
        </w:rPr>
        <w:t xml:space="preserve">parked her car in </w:t>
      </w:r>
      <w:r w:rsidRPr="00FB5988">
        <w:rPr>
          <w:sz w:val="20"/>
          <w:szCs w:val="20"/>
        </w:rPr>
        <w:t>an angled</w:t>
      </w:r>
      <w:r w:rsidRPr="00FB5988">
        <w:rPr>
          <w:sz w:val="20"/>
          <w:szCs w:val="20"/>
          <w:lang w:val="x-none"/>
        </w:rPr>
        <w:t xml:space="preserve"> parking spot on the north side of </w:t>
      </w:r>
      <w:r w:rsidRPr="00FB5988">
        <w:rPr>
          <w:sz w:val="20"/>
          <w:szCs w:val="20"/>
        </w:rPr>
        <w:t xml:space="preserve">main </w:t>
      </w:r>
      <w:proofErr w:type="gramStart"/>
      <w:r w:rsidRPr="00FB5988">
        <w:rPr>
          <w:sz w:val="20"/>
          <w:szCs w:val="20"/>
        </w:rPr>
        <w:t>commercial street</w:t>
      </w:r>
      <w:proofErr w:type="gramEnd"/>
      <w:r w:rsidRPr="00FB5988">
        <w:rPr>
          <w:sz w:val="20"/>
          <w:szCs w:val="20"/>
          <w:lang w:val="x-none"/>
        </w:rPr>
        <w:t>.</w:t>
      </w:r>
      <w:r w:rsidRPr="00FB5988">
        <w:rPr>
          <w:sz w:val="20"/>
          <w:szCs w:val="20"/>
        </w:rPr>
        <w:t xml:space="preserve"> When Ms. Marchi left her car, she encountered the snowbank that had been left by the City’s work crews a day and a half previously. Seeing no </w:t>
      </w:r>
      <w:r w:rsidRPr="00FB5988">
        <w:rPr>
          <w:sz w:val="20"/>
          <w:szCs w:val="20"/>
          <w:lang w:val="x-none"/>
        </w:rPr>
        <w:t xml:space="preserve">other means of getting onto the sidewalk, </w:t>
      </w:r>
      <w:r w:rsidRPr="00FB5988">
        <w:rPr>
          <w:sz w:val="20"/>
          <w:szCs w:val="20"/>
        </w:rPr>
        <w:t xml:space="preserve">she </w:t>
      </w:r>
      <w:r w:rsidRPr="00FB5988">
        <w:rPr>
          <w:sz w:val="20"/>
          <w:szCs w:val="20"/>
          <w:lang w:val="x-none"/>
        </w:rPr>
        <w:t>tried to cross the</w:t>
      </w:r>
      <w:r w:rsidRPr="00FB5988">
        <w:rPr>
          <w:sz w:val="20"/>
          <w:szCs w:val="20"/>
        </w:rPr>
        <w:t xml:space="preserve"> </w:t>
      </w:r>
      <w:r w:rsidRPr="00FB5988">
        <w:rPr>
          <w:sz w:val="20"/>
          <w:szCs w:val="20"/>
          <w:lang w:val="x-none"/>
        </w:rPr>
        <w:t>snowbank. As she did so, her right foot dropped through the snowbank, and she suffered serious injury to her leg.</w:t>
      </w:r>
      <w:r w:rsidRPr="00FB5988">
        <w:rPr>
          <w:sz w:val="20"/>
          <w:szCs w:val="20"/>
        </w:rPr>
        <w:t xml:space="preserve"> </w:t>
      </w:r>
      <w:r w:rsidRPr="00FB5988">
        <w:rPr>
          <w:sz w:val="20"/>
          <w:szCs w:val="20"/>
          <w:lang w:val="x-none"/>
        </w:rPr>
        <w:t xml:space="preserve">Ms. Marchi </w:t>
      </w:r>
      <w:r w:rsidRPr="00FB5988">
        <w:rPr>
          <w:sz w:val="20"/>
          <w:szCs w:val="20"/>
        </w:rPr>
        <w:t xml:space="preserve">commenced an action against the City, alleging that it had been negligent in leaving widrows along the road, leaving no space for pedestrians to cross from their car onto the sidewalk. The trial judge dismissed Ms. Marchi’s action in negligence on the grounds that the City’s decisions regarding plowing activities were </w:t>
      </w:r>
      <w:r w:rsidRPr="00FB5988">
        <w:rPr>
          <w:i/>
          <w:sz w:val="20"/>
          <w:szCs w:val="20"/>
        </w:rPr>
        <w:t>bona fide</w:t>
      </w:r>
      <w:r w:rsidRPr="00FB5988">
        <w:rPr>
          <w:sz w:val="20"/>
          <w:szCs w:val="20"/>
        </w:rPr>
        <w:t xml:space="preserve"> policy decisions, which were governed by factors including budgetary, social and economic factors, including the availability of manpower and equipment. As such, the trial judge concluded that the City’s decisions were immune from liability. The trial judge also concluded that, in any event, Ms. Marchi understood and accepted the risk of walking into the snowbank, with inappropriate footwear, and failed to test the snow to determine whether it could bear her weight. The Court of Appeal allowed the appeal, on the grounds that the trial judge had made significant errors of fact and law, which had coloured his finding that the City’s snow clearing activities were immune from liability. The court allowed</w:t>
      </w:r>
      <w:r w:rsidRPr="00FB5988">
        <w:rPr>
          <w:sz w:val="20"/>
          <w:szCs w:val="20"/>
          <w:lang w:val="x-none"/>
        </w:rPr>
        <w:t xml:space="preserve"> the appeal, set aside the</w:t>
      </w:r>
      <w:r w:rsidRPr="00FB5988">
        <w:rPr>
          <w:sz w:val="20"/>
          <w:szCs w:val="20"/>
        </w:rPr>
        <w:t xml:space="preserve"> </w:t>
      </w:r>
      <w:r w:rsidRPr="00FB5988">
        <w:rPr>
          <w:sz w:val="20"/>
          <w:szCs w:val="20"/>
          <w:lang w:val="x-none"/>
        </w:rPr>
        <w:t xml:space="preserve">order dismissing </w:t>
      </w:r>
      <w:r w:rsidRPr="00FB5988">
        <w:rPr>
          <w:sz w:val="20"/>
          <w:szCs w:val="20"/>
        </w:rPr>
        <w:t>Ms. Marchi’s</w:t>
      </w:r>
      <w:r w:rsidRPr="00FB5988">
        <w:rPr>
          <w:sz w:val="20"/>
          <w:szCs w:val="20"/>
          <w:lang w:val="x-none"/>
        </w:rPr>
        <w:t xml:space="preserve"> action, and order</w:t>
      </w:r>
      <w:r w:rsidRPr="00FB5988">
        <w:rPr>
          <w:sz w:val="20"/>
          <w:szCs w:val="20"/>
        </w:rPr>
        <w:t>ed</w:t>
      </w:r>
      <w:r w:rsidRPr="00FB5988">
        <w:rPr>
          <w:sz w:val="20"/>
          <w:szCs w:val="20"/>
          <w:lang w:val="x-none"/>
        </w:rPr>
        <w:t xml:space="preserve"> a new trial.</w:t>
      </w:r>
    </w:p>
    <w:p w:rsidR="00304AB0" w:rsidRPr="00FB5988" w:rsidRDefault="00304AB0" w:rsidP="00304AB0">
      <w:pPr>
        <w:jc w:val="both"/>
        <w:rPr>
          <w:sz w:val="20"/>
          <w:lang w:val="x-none"/>
        </w:rPr>
      </w:pPr>
    </w:p>
    <w:p w:rsidR="00304AB0" w:rsidRPr="00FB5988" w:rsidRDefault="00EB6AAD" w:rsidP="00304AB0">
      <w:pPr>
        <w:jc w:val="both"/>
        <w:rPr>
          <w:sz w:val="20"/>
          <w:lang w:val="x-none"/>
        </w:rPr>
      </w:pPr>
      <w:r>
        <w:rPr>
          <w:sz w:val="20"/>
        </w:rPr>
        <w:pict>
          <v:rect id="_x0000_i1072" style="width:2in;height:1pt" o:hrpct="0" o:hralign="center" o:hrstd="t" o:hrnoshade="t" o:hr="t" fillcolor="black [3213]" stroked="f"/>
        </w:pict>
      </w:r>
    </w:p>
    <w:p w:rsidR="00304AB0" w:rsidRPr="00FB5988" w:rsidRDefault="00304AB0" w:rsidP="00304AB0">
      <w:pPr>
        <w:jc w:val="both"/>
        <w:rPr>
          <w:sz w:val="20"/>
          <w:lang w:val="x-none"/>
        </w:rPr>
      </w:pPr>
    </w:p>
    <w:p w:rsidR="00304AB0" w:rsidRPr="00FB5988" w:rsidRDefault="00304AB0" w:rsidP="00304AB0">
      <w:pPr>
        <w:pStyle w:val="SCCLsocParty"/>
        <w:jc w:val="both"/>
        <w:rPr>
          <w:b/>
          <w:i/>
          <w:sz w:val="20"/>
          <w:szCs w:val="20"/>
        </w:rPr>
      </w:pPr>
      <w:r w:rsidRPr="00FB5988">
        <w:rPr>
          <w:rStyle w:val="SCCFileNumberChar"/>
          <w:sz w:val="20"/>
          <w:szCs w:val="20"/>
          <w:lang w:val="fr-CA"/>
        </w:rPr>
        <w:t>39108</w:t>
      </w:r>
      <w:r w:rsidRPr="00FB5988">
        <w:rPr>
          <w:rStyle w:val="SCCFileNumberChar"/>
          <w:sz w:val="20"/>
          <w:szCs w:val="20"/>
          <w:lang w:val="fr-CA"/>
        </w:rPr>
        <w:tab/>
      </w:r>
      <w:r w:rsidRPr="00FB5988">
        <w:rPr>
          <w:b/>
          <w:i/>
          <w:sz w:val="20"/>
          <w:szCs w:val="20"/>
        </w:rPr>
        <w:t>Ville de Nelson c. Taryn Joy Marchi</w:t>
      </w:r>
    </w:p>
    <w:p w:rsidR="00304AB0" w:rsidRPr="00FB5988" w:rsidRDefault="00304AB0" w:rsidP="00304AB0">
      <w:pPr>
        <w:ind w:firstLine="720"/>
        <w:jc w:val="both"/>
        <w:rPr>
          <w:sz w:val="20"/>
          <w:lang w:val="x-none"/>
        </w:rPr>
      </w:pPr>
      <w:r w:rsidRPr="00FB5988">
        <w:rPr>
          <w:sz w:val="20"/>
          <w:szCs w:val="20"/>
          <w:lang w:val="fr-CA"/>
        </w:rPr>
        <w:t>(C.-B.) (Civile) (Sur autorisation)</w:t>
      </w:r>
    </w:p>
    <w:p w:rsidR="00304AB0" w:rsidRPr="00FB5988" w:rsidRDefault="00304AB0" w:rsidP="00304AB0">
      <w:pPr>
        <w:jc w:val="both"/>
        <w:rPr>
          <w:sz w:val="20"/>
          <w:lang w:val="x-none"/>
        </w:rPr>
      </w:pPr>
    </w:p>
    <w:p w:rsidR="00304AB0" w:rsidRPr="00FB5988" w:rsidRDefault="00304AB0" w:rsidP="00304AB0">
      <w:pPr>
        <w:jc w:val="both"/>
        <w:rPr>
          <w:sz w:val="20"/>
          <w:lang w:val="x-none"/>
        </w:rPr>
      </w:pPr>
      <w:r w:rsidRPr="00FB5988">
        <w:rPr>
          <w:sz w:val="20"/>
          <w:szCs w:val="20"/>
          <w:lang w:val="fr-CA"/>
        </w:rPr>
        <w:t xml:space="preserve">Responsabilité délictuelle - Négligence - Responsabilité - Responsabilité civile de l’État - Décision de politique ou décision opérationnelle - Chute du pied de l’intimée à travers un banc de neige laissé par les équipes de travail de la ville appelante - Les décisions de la ville au sujet des activités de déneigement lors de la bordée de neige tombée au début de janvier 2015 constituaient-elles des décisions de politique ou des décisions opérationnelles? - Quelle est la norme de contrôle en appel applicable à la conclusion d’un juge de première instance selon laquelle une décision en particulier (ou série de décisions) est une décision de politique ou une décision opérationnelle? </w:t>
      </w:r>
      <w:r w:rsidRPr="00FB5988">
        <w:rPr>
          <w:sz w:val="20"/>
          <w:szCs w:val="20"/>
          <w:lang w:val="x-none"/>
        </w:rPr>
        <w:t xml:space="preserve">- </w:t>
      </w:r>
      <w:r w:rsidRPr="00FB5988">
        <w:rPr>
          <w:sz w:val="20"/>
          <w:szCs w:val="20"/>
          <w:lang w:val="fr-CA"/>
        </w:rPr>
        <w:t xml:space="preserve">S’il s’avère que les décisions reprochées n’échappent pas à la responsabilité délictuelle en tant que décisions de politique, la ville a-t-elle </w:t>
      </w:r>
      <w:r w:rsidRPr="00FB5988">
        <w:rPr>
          <w:sz w:val="20"/>
          <w:szCs w:val="20"/>
          <w:lang w:val="fr-FR"/>
        </w:rPr>
        <w:t>manqué à la norme de diligence applicable?</w:t>
      </w:r>
      <w:r w:rsidRPr="00FB5988">
        <w:rPr>
          <w:sz w:val="20"/>
          <w:szCs w:val="20"/>
          <w:lang w:val="fr-CA"/>
        </w:rPr>
        <w:t xml:space="preserve"> Le fait que le juge de première instance a conclu que la conduite de l’intimée était, à elle seule, la cause immédiate de ses blessures constitue-t-il un moyen de défense complet contre sa réclamation, malgré l’élimination de la doctrine dite de la dernière chance évidente par application de la</w:t>
      </w:r>
      <w:r w:rsidRPr="00FB5988">
        <w:rPr>
          <w:sz w:val="20"/>
          <w:szCs w:val="20"/>
          <w:lang w:val="x-none"/>
        </w:rPr>
        <w:t xml:space="preserve"> </w:t>
      </w:r>
      <w:r w:rsidRPr="00FB5988">
        <w:rPr>
          <w:i/>
          <w:sz w:val="20"/>
          <w:szCs w:val="20"/>
          <w:lang w:val="x-none"/>
        </w:rPr>
        <w:t>Negligence Act</w:t>
      </w:r>
      <w:r w:rsidRPr="00FB5988">
        <w:rPr>
          <w:sz w:val="20"/>
          <w:szCs w:val="20"/>
          <w:lang w:val="x-none"/>
        </w:rPr>
        <w:t>, R.S.B.C. 1996, c. 333</w:t>
      </w:r>
      <w:r w:rsidRPr="00FB5988">
        <w:rPr>
          <w:sz w:val="20"/>
          <w:szCs w:val="20"/>
          <w:lang w:val="fr-CA"/>
        </w:rPr>
        <w:t>?</w:t>
      </w:r>
    </w:p>
    <w:p w:rsidR="00304AB0" w:rsidRPr="00FB5988" w:rsidRDefault="00304AB0" w:rsidP="00304AB0">
      <w:pPr>
        <w:jc w:val="both"/>
        <w:rPr>
          <w:sz w:val="20"/>
          <w:lang w:val="x-none"/>
        </w:rPr>
      </w:pPr>
    </w:p>
    <w:p w:rsidR="00304AB0" w:rsidRPr="00FB5988" w:rsidRDefault="00304AB0" w:rsidP="00304AB0">
      <w:pPr>
        <w:jc w:val="both"/>
        <w:rPr>
          <w:sz w:val="20"/>
          <w:lang w:val="x-none"/>
        </w:rPr>
      </w:pPr>
      <w:r w:rsidRPr="00FB5988">
        <w:rPr>
          <w:sz w:val="20"/>
          <w:szCs w:val="20"/>
          <w:lang w:val="fr-CA"/>
        </w:rPr>
        <w:t xml:space="preserve">La ville de Nelson a reçu une abondante chute de neige dans la nuit du 4 au 5 janvier </w:t>
      </w:r>
      <w:r w:rsidRPr="00FB5988">
        <w:rPr>
          <w:sz w:val="20"/>
          <w:szCs w:val="20"/>
          <w:lang w:val="x-none"/>
        </w:rPr>
        <w:t>2015.</w:t>
      </w:r>
      <w:r w:rsidRPr="00FB5988">
        <w:rPr>
          <w:sz w:val="20"/>
          <w:szCs w:val="20"/>
          <w:lang w:val="fr-CA"/>
        </w:rPr>
        <w:t xml:space="preserve"> Les équipes de travail de la ville de Nelson appelante ont déneigé l’artère commerciale principale tôt le matin du 5 janvier. Ils ont ainsi laissé des bancs ou « monticules » de neige le long du virage et sur le trottoir. L’intimée, M</w:t>
      </w:r>
      <w:r w:rsidRPr="00FB5988">
        <w:rPr>
          <w:sz w:val="20"/>
          <w:szCs w:val="20"/>
          <w:vertAlign w:val="superscript"/>
          <w:lang w:val="fr-CA"/>
        </w:rPr>
        <w:t>me</w:t>
      </w:r>
      <w:r w:rsidRPr="00FB5988">
        <w:rPr>
          <w:sz w:val="20"/>
          <w:szCs w:val="20"/>
          <w:lang w:val="fr-CA"/>
        </w:rPr>
        <w:t> Marchi, a garé sa voiture dans un espace de stationnement en angle sur le côté nord de l’artère commerciale principale. Au moment où elle est débarquée de sa voiture, M</w:t>
      </w:r>
      <w:r w:rsidRPr="00FB5988">
        <w:rPr>
          <w:sz w:val="20"/>
          <w:szCs w:val="20"/>
          <w:vertAlign w:val="superscript"/>
          <w:lang w:val="fr-CA"/>
        </w:rPr>
        <w:t>me</w:t>
      </w:r>
      <w:r w:rsidRPr="00FB5988">
        <w:rPr>
          <w:sz w:val="20"/>
          <w:szCs w:val="20"/>
          <w:lang w:val="fr-CA"/>
        </w:rPr>
        <w:t> Marchi s’est retrouvée face au banc de neige laissé par les équipes de travail de la Ville un jour et demi auparavant. Ne voyant aucun autre moyen d’atteindre le trottoir, elle a essayé de traverser le banc de neige. Alors qu’elle le traversait, son pied droit est tombé à travers et elle a subi une grave blessure à la jambe. M</w:t>
      </w:r>
      <w:r w:rsidRPr="00FB5988">
        <w:rPr>
          <w:sz w:val="20"/>
          <w:szCs w:val="20"/>
          <w:vertAlign w:val="superscript"/>
          <w:lang w:val="fr-CA"/>
        </w:rPr>
        <w:t>me</w:t>
      </w:r>
      <w:r w:rsidRPr="00FB5988">
        <w:rPr>
          <w:sz w:val="20"/>
          <w:szCs w:val="20"/>
          <w:lang w:val="fr-CA"/>
        </w:rPr>
        <w:t> Marchi</w:t>
      </w:r>
      <w:r w:rsidRPr="00FB5988">
        <w:rPr>
          <w:sz w:val="20"/>
          <w:szCs w:val="20"/>
          <w:lang w:val="x-none"/>
        </w:rPr>
        <w:t xml:space="preserve"> </w:t>
      </w:r>
      <w:r w:rsidRPr="00FB5988">
        <w:rPr>
          <w:sz w:val="20"/>
          <w:szCs w:val="20"/>
          <w:lang w:val="fr-CA"/>
        </w:rPr>
        <w:t>a intenté contre la Ville une action dans laquelle elle lui reproche d’avoir fait preuve de négligence en laissant des monticules le long de la route et en empêchant de ce fait les piétons de se rendre de leur voiture au trottoir. Le juge de première instance a rejeté l’action en négligence de M</w:t>
      </w:r>
      <w:r w:rsidRPr="00FB5988">
        <w:rPr>
          <w:sz w:val="20"/>
          <w:szCs w:val="20"/>
          <w:vertAlign w:val="superscript"/>
          <w:lang w:val="fr-CA"/>
        </w:rPr>
        <w:t>me</w:t>
      </w:r>
      <w:r w:rsidRPr="00FB5988">
        <w:rPr>
          <w:sz w:val="20"/>
          <w:szCs w:val="20"/>
          <w:lang w:val="fr-CA"/>
        </w:rPr>
        <w:t> Marchi au motif que les décisions de la Ville concernant les activités de déneigement étaient de véritables décisions de politique prises en fonction de facteurs d’ordre financier, social et économique, notamment la disponibilité de la main-d’œuvre et de l’équipement. Par conséquent, le juge de première instance a conclu que les décisions de la Ville échappaient à toute responsabilité. Le juge de première instance a également conclu qu’en tout état de cause, M</w:t>
      </w:r>
      <w:r w:rsidRPr="00FB5988">
        <w:rPr>
          <w:sz w:val="20"/>
          <w:szCs w:val="20"/>
          <w:vertAlign w:val="superscript"/>
          <w:lang w:val="fr-CA"/>
        </w:rPr>
        <w:t>me</w:t>
      </w:r>
      <w:r w:rsidRPr="00FB5988">
        <w:rPr>
          <w:sz w:val="20"/>
          <w:szCs w:val="20"/>
          <w:lang w:val="fr-CA"/>
        </w:rPr>
        <w:t> Marchi comprenait et acceptait le risque de marcher dans le banc de neige avec des chaussures inadéquates et n’a pas vérifié si la neige pouvait supporter son poids. La Cour d’appel a fait droit à l’appel pour le motif que le juge de première instance avait commis d’importantes erreurs de fait et de droit qui ont faussé sa conclusion suivant laquelle les activités de déneigement de la Ville échappaient à toute responsabilité. La cour a accueilli l’appel, annulé l’ordonnance rejetant l’action de M</w:t>
      </w:r>
      <w:r w:rsidRPr="00FB5988">
        <w:rPr>
          <w:sz w:val="20"/>
          <w:szCs w:val="20"/>
          <w:vertAlign w:val="superscript"/>
          <w:lang w:val="fr-CA"/>
        </w:rPr>
        <w:t>me</w:t>
      </w:r>
      <w:r w:rsidRPr="00FB5988">
        <w:rPr>
          <w:sz w:val="20"/>
          <w:szCs w:val="20"/>
          <w:lang w:val="fr-CA"/>
        </w:rPr>
        <w:t> Marchi et ordonné la tenue d’un nouveau procès</w:t>
      </w:r>
      <w:r w:rsidRPr="00FB5988">
        <w:rPr>
          <w:sz w:val="20"/>
          <w:szCs w:val="20"/>
          <w:lang w:val="x-none"/>
        </w:rPr>
        <w:t>.</w:t>
      </w:r>
    </w:p>
    <w:p w:rsidR="00102792" w:rsidRPr="00FB5988" w:rsidRDefault="00102792" w:rsidP="00102792">
      <w:pPr>
        <w:rPr>
          <w:color w:val="000000"/>
          <w:sz w:val="20"/>
          <w:szCs w:val="20"/>
          <w:lang w:val="fr-CA"/>
        </w:rPr>
      </w:pPr>
    </w:p>
    <w:p w:rsidR="00102792" w:rsidRPr="00FB5988" w:rsidRDefault="00EB6AAD" w:rsidP="00782AE4">
      <w:pPr>
        <w:jc w:val="both"/>
        <w:rPr>
          <w:sz w:val="20"/>
          <w:szCs w:val="20"/>
          <w:lang w:val="fr-CA"/>
        </w:rPr>
      </w:pPr>
      <w:r>
        <w:rPr>
          <w:sz w:val="20"/>
          <w:szCs w:val="20"/>
        </w:rPr>
        <w:pict>
          <v:rect id="_x0000_i1073" style="width:2in;height:1pt" o:hrpct="0" o:hralign="center" o:hrstd="t" o:hrnoshade="t" o:hr="t" fillcolor="black [3213]" stroked="f"/>
        </w:pict>
      </w:r>
    </w:p>
    <w:p w:rsidR="00102792" w:rsidRPr="00FB5988" w:rsidRDefault="00102792" w:rsidP="00782AE4">
      <w:pPr>
        <w:jc w:val="both"/>
        <w:rPr>
          <w:sz w:val="20"/>
          <w:szCs w:val="20"/>
          <w:lang w:val="fr-CA"/>
        </w:rPr>
      </w:pPr>
    </w:p>
    <w:p w:rsidR="0022323B" w:rsidRPr="00FB5988" w:rsidRDefault="0022323B" w:rsidP="00782AE4">
      <w:pPr>
        <w:jc w:val="both"/>
        <w:rPr>
          <w:sz w:val="20"/>
          <w:szCs w:val="20"/>
          <w:lang w:val="fr-CA"/>
        </w:rPr>
        <w:sectPr w:rsidR="0022323B" w:rsidRPr="00FB5988" w:rsidSect="0022323B">
          <w:headerReference w:type="even" r:id="rId76"/>
          <w:headerReference w:type="default" r:id="rId77"/>
          <w:footerReference w:type="even" r:id="rId78"/>
          <w:footerReference w:type="default" r:id="rId79"/>
          <w:headerReference w:type="first" r:id="rId80"/>
          <w:footerReference w:type="first" r:id="rId81"/>
          <w:pgSz w:w="12240" w:h="15840"/>
          <w:pgMar w:top="720" w:right="965" w:bottom="1080" w:left="1656" w:header="720" w:footer="965" w:gutter="0"/>
          <w:cols w:space="720"/>
          <w:titlePg/>
          <w:docGrid w:linePitch="326"/>
        </w:sectPr>
      </w:pPr>
    </w:p>
    <w:p w:rsidR="00567602" w:rsidRPr="00FB5988" w:rsidRDefault="001434B9" w:rsidP="00567602">
      <w:pPr>
        <w:pStyle w:val="Header1StyleE"/>
        <w:pBdr>
          <w:bottom w:val="single" w:sz="12" w:space="1" w:color="auto"/>
        </w:pBdr>
        <w:rPr>
          <w:lang w:val="fr-CA"/>
        </w:rPr>
      </w:pPr>
      <w:bookmarkStart w:id="13" w:name="1"/>
      <w:bookmarkStart w:id="14" w:name="_Toc65833391"/>
      <w:bookmarkEnd w:id="13"/>
      <w:r w:rsidRPr="00FB5988">
        <w:rPr>
          <w:lang w:val="fr-CA"/>
        </w:rPr>
        <w:lastRenderedPageBreak/>
        <w:t xml:space="preserve">Supreme </w:t>
      </w:r>
      <w:r w:rsidR="00930B8A" w:rsidRPr="00FB5988">
        <w:rPr>
          <w:lang w:val="fr-CA"/>
        </w:rPr>
        <w:t>C</w:t>
      </w:r>
      <w:r w:rsidR="00271E1E" w:rsidRPr="00FB5988">
        <w:rPr>
          <w:lang w:val="fr-CA"/>
        </w:rPr>
        <w:t>ourt R</w:t>
      </w:r>
      <w:r w:rsidRPr="00FB5988">
        <w:rPr>
          <w:lang w:val="fr-CA"/>
        </w:rPr>
        <w:t>eports</w:t>
      </w:r>
      <w:r w:rsidR="00271E1E" w:rsidRPr="00FB5988">
        <w:rPr>
          <w:lang w:val="fr-CA"/>
        </w:rPr>
        <w:t xml:space="preserve"> / </w:t>
      </w:r>
      <w:r w:rsidR="00567602" w:rsidRPr="00FB5988">
        <w:rPr>
          <w:lang w:val="fr-CA"/>
        </w:rPr>
        <w:br/>
      </w:r>
      <w:r w:rsidRPr="00FB5988">
        <w:rPr>
          <w:lang w:val="fr-CA"/>
        </w:rPr>
        <w:t xml:space="preserve">Recueil des arrêts de la </w:t>
      </w:r>
      <w:r w:rsidR="00930B8A" w:rsidRPr="00FB5988">
        <w:rPr>
          <w:lang w:val="fr-CA"/>
        </w:rPr>
        <w:t>C</w:t>
      </w:r>
      <w:r w:rsidRPr="00FB5988">
        <w:rPr>
          <w:lang w:val="fr-CA"/>
        </w:rPr>
        <w:t>our suprême</w:t>
      </w:r>
      <w:bookmarkEnd w:id="14"/>
    </w:p>
    <w:p w:rsidR="00E80D6C" w:rsidRPr="00FB5988" w:rsidRDefault="00E80D6C" w:rsidP="00E80D6C">
      <w:pPr>
        <w:rPr>
          <w:sz w:val="20"/>
          <w:szCs w:val="20"/>
          <w:lang w:val="fr-CA"/>
        </w:rPr>
      </w:pPr>
    </w:p>
    <w:p w:rsidR="00E80D6C" w:rsidRPr="00FB5988" w:rsidRDefault="00EB6AAD" w:rsidP="00E80D6C">
      <w:pPr>
        <w:rPr>
          <w:rFonts w:cs="Times New Roman"/>
          <w:sz w:val="20"/>
          <w:szCs w:val="20"/>
          <w:lang w:val="en-GB"/>
        </w:rPr>
      </w:pPr>
      <w:hyperlink r:id="rId82" w:history="1">
        <w:r w:rsidR="00E80D6C" w:rsidRPr="00FB5988">
          <w:rPr>
            <w:rStyle w:val="Hyperlink"/>
            <w:rFonts w:cs="Times New Roman"/>
            <w:b/>
            <w:bCs/>
            <w:sz w:val="20"/>
            <w:szCs w:val="20"/>
            <w:lang w:val="en-GB"/>
          </w:rPr>
          <w:t xml:space="preserve">Canada Supreme Court Reports: Part </w:t>
        </w:r>
        <w:r w:rsidR="00293947" w:rsidRPr="00FB5988">
          <w:rPr>
            <w:rStyle w:val="Hyperlink"/>
            <w:rFonts w:cs="Times New Roman"/>
            <w:b/>
            <w:bCs/>
            <w:sz w:val="20"/>
            <w:szCs w:val="20"/>
            <w:lang w:val="en-GB"/>
          </w:rPr>
          <w:t>2</w:t>
        </w:r>
        <w:r w:rsidR="00E80D6C" w:rsidRPr="00FB5988">
          <w:rPr>
            <w:rStyle w:val="Hyperlink"/>
            <w:rFonts w:cs="Times New Roman"/>
            <w:b/>
            <w:bCs/>
            <w:sz w:val="20"/>
            <w:szCs w:val="20"/>
            <w:lang w:val="en-GB"/>
          </w:rPr>
          <w:t xml:space="preserve">, 2019 Vol. </w:t>
        </w:r>
        <w:r w:rsidR="00293947" w:rsidRPr="00FB5988">
          <w:rPr>
            <w:rStyle w:val="Hyperlink"/>
            <w:rFonts w:cs="Times New Roman"/>
            <w:b/>
            <w:bCs/>
            <w:sz w:val="20"/>
            <w:szCs w:val="20"/>
            <w:lang w:val="en-GB"/>
          </w:rPr>
          <w:t>2</w:t>
        </w:r>
      </w:hyperlink>
    </w:p>
    <w:p w:rsidR="00E80D6C" w:rsidRPr="00FB5988" w:rsidRDefault="00E80D6C" w:rsidP="00E80D6C">
      <w:pPr>
        <w:rPr>
          <w:sz w:val="20"/>
          <w:szCs w:val="20"/>
          <w:lang w:val="en-GB"/>
        </w:rPr>
      </w:pPr>
    </w:p>
    <w:p w:rsidR="00E80D6C" w:rsidRPr="00FB5988" w:rsidRDefault="00EB6AAD" w:rsidP="00E80D6C">
      <w:pPr>
        <w:rPr>
          <w:rFonts w:cs="Times New Roman"/>
          <w:b/>
          <w:bCs/>
          <w:sz w:val="20"/>
          <w:szCs w:val="20"/>
          <w:lang w:val="fr-CA"/>
        </w:rPr>
      </w:pPr>
      <w:hyperlink r:id="rId83" w:history="1">
        <w:r w:rsidR="00E80D6C" w:rsidRPr="00FB5988">
          <w:rPr>
            <w:rStyle w:val="Hyperlink"/>
            <w:rFonts w:cs="Times New Roman"/>
            <w:b/>
            <w:bCs/>
            <w:sz w:val="20"/>
            <w:szCs w:val="20"/>
            <w:lang w:val="fr-CA"/>
          </w:rPr>
          <w:t xml:space="preserve">Recueil des arrêts de la Cour suprême du Canada : </w:t>
        </w:r>
        <w:r w:rsidR="00293947" w:rsidRPr="00FB5988">
          <w:rPr>
            <w:rStyle w:val="Hyperlink"/>
            <w:rFonts w:cs="Times New Roman"/>
            <w:b/>
            <w:bCs/>
            <w:sz w:val="20"/>
            <w:szCs w:val="20"/>
            <w:lang w:val="fr-CA"/>
          </w:rPr>
          <w:t>2</w:t>
        </w:r>
        <w:r w:rsidR="00E80D6C" w:rsidRPr="00FB5988">
          <w:rPr>
            <w:rStyle w:val="Hyperlink"/>
            <w:rFonts w:cs="Times New Roman"/>
            <w:b/>
            <w:bCs/>
            <w:sz w:val="20"/>
            <w:szCs w:val="20"/>
            <w:lang w:val="fr-CA"/>
          </w:rPr>
          <w:t xml:space="preserve">e cahier, 2019 Vol. </w:t>
        </w:r>
        <w:r w:rsidR="00293947" w:rsidRPr="00FB5988">
          <w:rPr>
            <w:rStyle w:val="Hyperlink"/>
            <w:rFonts w:cs="Times New Roman"/>
            <w:b/>
            <w:bCs/>
            <w:sz w:val="20"/>
            <w:szCs w:val="20"/>
            <w:lang w:val="fr-CA"/>
          </w:rPr>
          <w:t>2</w:t>
        </w:r>
      </w:hyperlink>
    </w:p>
    <w:p w:rsidR="00E80D6C" w:rsidRPr="00FB5988" w:rsidRDefault="00E80D6C" w:rsidP="00E80D6C">
      <w:pPr>
        <w:rPr>
          <w:sz w:val="20"/>
          <w:szCs w:val="20"/>
          <w:lang w:val="fr-CA"/>
        </w:rPr>
      </w:pPr>
    </w:p>
    <w:p w:rsidR="00E80D6C" w:rsidRPr="00FB5988" w:rsidRDefault="00EB6AAD" w:rsidP="00E80D6C">
      <w:pPr>
        <w:rPr>
          <w:sz w:val="20"/>
          <w:szCs w:val="20"/>
          <w:lang w:val="en-GB"/>
        </w:rPr>
      </w:pPr>
      <w:r>
        <w:rPr>
          <w:sz w:val="20"/>
          <w:szCs w:val="20"/>
        </w:rPr>
        <w:pict>
          <v:rect id="_x0000_i1076" style="width:2in;height:1pt" o:hrpct="0" o:hrstd="t" o:hrnoshade="t" o:hr="t" fillcolor="black [3213]" stroked="f"/>
        </w:pict>
      </w:r>
    </w:p>
    <w:p w:rsidR="00C01FCB" w:rsidRPr="00FB5988" w:rsidRDefault="00C01FCB" w:rsidP="00A956D3">
      <w:pPr>
        <w:rPr>
          <w:sz w:val="20"/>
          <w:szCs w:val="20"/>
          <w:lang w:val="fr-CA"/>
        </w:rPr>
      </w:pPr>
    </w:p>
    <w:p w:rsidR="00125B8F" w:rsidRPr="00FB5988" w:rsidRDefault="00125B8F" w:rsidP="00A956D3">
      <w:pPr>
        <w:rPr>
          <w:sz w:val="20"/>
          <w:szCs w:val="20"/>
          <w:lang w:val="fr-CA"/>
        </w:rPr>
      </w:pPr>
    </w:p>
    <w:p w:rsidR="00125B8F" w:rsidRPr="00FB5988" w:rsidRDefault="00125B8F" w:rsidP="00A956D3">
      <w:pPr>
        <w:rPr>
          <w:sz w:val="20"/>
          <w:szCs w:val="20"/>
          <w:lang w:val="fr-CA"/>
        </w:rPr>
      </w:pPr>
    </w:p>
    <w:p w:rsidR="006B6926" w:rsidRPr="00FB5988" w:rsidRDefault="006B6926" w:rsidP="00782AE4">
      <w:pPr>
        <w:jc w:val="both"/>
        <w:rPr>
          <w:sz w:val="20"/>
          <w:szCs w:val="20"/>
          <w:lang w:val="fr-CA"/>
        </w:rPr>
      </w:pPr>
    </w:p>
    <w:p w:rsidR="006B6926" w:rsidRPr="00FB5988" w:rsidRDefault="006B6926" w:rsidP="00782AE4">
      <w:pPr>
        <w:jc w:val="both"/>
        <w:rPr>
          <w:sz w:val="20"/>
          <w:szCs w:val="20"/>
          <w:lang w:val="fr-CA"/>
        </w:rPr>
        <w:sectPr w:rsidR="006B6926" w:rsidRPr="00FB5988" w:rsidSect="006B6926">
          <w:headerReference w:type="default" r:id="rId84"/>
          <w:footerReference w:type="default" r:id="rId85"/>
          <w:headerReference w:type="first" r:id="rId86"/>
          <w:footerReference w:type="first" r:id="rId87"/>
          <w:pgSz w:w="12240" w:h="15840"/>
          <w:pgMar w:top="720" w:right="965" w:bottom="1080" w:left="1656" w:header="720" w:footer="965" w:gutter="0"/>
          <w:cols w:space="720"/>
          <w:titlePg/>
          <w:docGrid w:linePitch="326"/>
        </w:sectPr>
      </w:pPr>
    </w:p>
    <w:p w:rsidR="00113336" w:rsidRPr="00FB5988" w:rsidRDefault="00113336" w:rsidP="00113336">
      <w:pPr>
        <w:tabs>
          <w:tab w:val="center" w:pos="5220"/>
          <w:tab w:val="right" w:pos="10800"/>
        </w:tabs>
        <w:jc w:val="center"/>
        <w:rPr>
          <w:rFonts w:ascii="Arial" w:hAnsi="Arial" w:cs="Arial"/>
          <w:sz w:val="22"/>
          <w:lang w:val="fr-CA"/>
        </w:rPr>
      </w:pPr>
      <w:bookmarkStart w:id="15" w:name="QuickMark"/>
      <w:bookmarkEnd w:id="15"/>
      <w:r w:rsidRPr="00FB5988">
        <w:rPr>
          <w:rFonts w:ascii="Arial" w:hAnsi="Arial" w:cs="Arial"/>
          <w:b/>
          <w:sz w:val="22"/>
          <w:lang w:val="fr-FR"/>
        </w:rPr>
        <w:lastRenderedPageBreak/>
        <w:t>- 2020 -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113336" w:rsidRPr="00FB5988" w:rsidTr="009B36BA">
        <w:trPr>
          <w:trHeight w:val="176"/>
        </w:trPr>
        <w:tc>
          <w:tcPr>
            <w:tcW w:w="1583"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OCTOBER – OCTOBRE</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NOVEMBER – NOVEMBRE</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lang w:val="fr-FR"/>
              </w:rPr>
            </w:pPr>
          </w:p>
        </w:tc>
        <w:tc>
          <w:tcPr>
            <w:tcW w:w="1561"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DECEMBER – DÉCEMBRE</w:t>
            </w:r>
          </w:p>
        </w:tc>
      </w:tr>
      <w:tr w:rsidR="00113336" w:rsidRPr="00FB5988" w:rsidTr="00113336">
        <w:trPr>
          <w:trHeight w:val="331"/>
        </w:trPr>
        <w:tc>
          <w:tcPr>
            <w:tcW w:w="224"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4"/>
                <w:szCs w:val="14"/>
                <w:lang w:val="fr-FR"/>
              </w:rPr>
            </w:pPr>
            <w:r w:rsidRPr="00FB5988">
              <w:rPr>
                <w:rFonts w:ascii="Arial" w:hAnsi="Arial" w:cs="Arial"/>
                <w:b/>
                <w:sz w:val="14"/>
                <w:szCs w:val="14"/>
                <w:lang w:val="fr-FR"/>
              </w:rPr>
              <w:t>S</w:t>
            </w:r>
          </w:p>
          <w:p w:rsidR="00113336" w:rsidRPr="00FB5988" w:rsidRDefault="00113336" w:rsidP="009B36BA">
            <w:pPr>
              <w:tabs>
                <w:tab w:val="center" w:pos="5220"/>
                <w:tab w:val="right" w:pos="10440"/>
              </w:tabs>
              <w:jc w:val="center"/>
              <w:rPr>
                <w:rFonts w:ascii="Arial" w:hAnsi="Arial" w:cs="Arial"/>
                <w:b/>
                <w:sz w:val="14"/>
                <w:szCs w:val="14"/>
                <w:lang w:val="fr-FR"/>
              </w:rPr>
            </w:pPr>
            <w:r w:rsidRPr="00FB5988">
              <w:rPr>
                <w:rFonts w:ascii="Arial" w:hAnsi="Arial" w:cs="Arial"/>
                <w:b/>
                <w:sz w:val="14"/>
                <w:szCs w:val="14"/>
                <w:lang w:val="fr-FR"/>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M</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L</w:t>
            </w:r>
          </w:p>
        </w:tc>
        <w:tc>
          <w:tcPr>
            <w:tcW w:w="225" w:type="pct"/>
            <w:tcBorders>
              <w:top w:val="double" w:sz="6"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T</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W</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T</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F</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V</w:t>
            </w:r>
          </w:p>
        </w:tc>
        <w:tc>
          <w:tcPr>
            <w:tcW w:w="233"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S</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sz w:val="13"/>
                <w:szCs w:val="13"/>
                <w:lang w:val="fr-FR"/>
              </w:rPr>
            </w:pPr>
          </w:p>
        </w:tc>
        <w:tc>
          <w:tcPr>
            <w:tcW w:w="225"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S</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M</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T</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W</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T</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F</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V</w:t>
            </w:r>
          </w:p>
        </w:tc>
        <w:tc>
          <w:tcPr>
            <w:tcW w:w="225"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S</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lang w:val="fr-FR"/>
              </w:rPr>
            </w:pPr>
          </w:p>
        </w:tc>
        <w:tc>
          <w:tcPr>
            <w:tcW w:w="225"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S</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D</w:t>
            </w:r>
          </w:p>
        </w:tc>
        <w:tc>
          <w:tcPr>
            <w:tcW w:w="225" w:type="pct"/>
            <w:tcBorders>
              <w:top w:val="double" w:sz="6" w:space="0" w:color="auto"/>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M</w:t>
            </w:r>
          </w:p>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lang w:val="fr-FR"/>
              </w:rPr>
            </w:pPr>
            <w:r w:rsidRPr="00FB5988">
              <w:rPr>
                <w:rFonts w:ascii="Arial" w:hAnsi="Arial" w:cs="Arial"/>
                <w:b/>
                <w:sz w:val="13"/>
                <w:szCs w:val="13"/>
                <w:lang w:val="fr-FR"/>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W</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F</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V</w:t>
            </w:r>
          </w:p>
        </w:tc>
        <w:tc>
          <w:tcPr>
            <w:tcW w:w="211"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tc>
      </w:tr>
      <w:tr w:rsidR="00113336" w:rsidRPr="00FB5988" w:rsidTr="005B2EA9">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2</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3</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b/>
                <w:sz w:val="13"/>
                <w:szCs w:val="13"/>
              </w:rPr>
              <w:t>CC</w:t>
            </w:r>
            <w:r w:rsidRPr="00FB5988">
              <w:rPr>
                <w:rFonts w:ascii="Arial" w:hAnsi="Arial" w:cs="Arial"/>
                <w:sz w:val="13"/>
                <w:szCs w:val="13"/>
              </w:rPr>
              <w:t xml:space="preserve"> </w:t>
            </w:r>
          </w:p>
          <w:p w:rsidR="00113336" w:rsidRPr="00FB5988" w:rsidRDefault="00113336" w:rsidP="009B36BA">
            <w:pPr>
              <w:jc w:val="center"/>
              <w:rPr>
                <w:rFonts w:ascii="Arial" w:hAnsi="Arial" w:cs="Arial"/>
                <w:sz w:val="13"/>
                <w:szCs w:val="13"/>
              </w:rPr>
            </w:pPr>
            <w:r w:rsidRPr="00FB5988">
              <w:rPr>
                <w:rFonts w:ascii="Arial" w:hAnsi="Arial" w:cs="Arial"/>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3</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7</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4</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5</w:t>
            </w:r>
          </w:p>
        </w:tc>
      </w:tr>
      <w:tr w:rsidR="00113336" w:rsidRPr="00FB5988" w:rsidTr="00B4618C">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4</w:t>
            </w:r>
          </w:p>
        </w:tc>
        <w:tc>
          <w:tcPr>
            <w:tcW w:w="224" w:type="pct"/>
            <w:tcBorders>
              <w:top w:val="single" w:sz="4" w:space="0" w:color="auto"/>
              <w:left w:val="single" w:sz="4" w:space="0" w:color="auto"/>
              <w:bottom w:val="double" w:sz="6" w:space="0" w:color="auto"/>
              <w:right w:val="single" w:sz="4" w:space="0" w:color="auto"/>
            </w:tcBorders>
            <w:shd w:val="clear" w:color="auto" w:fill="D9D9D9" w:themeFill="background1" w:themeFillShade="D9"/>
            <w:tcMar>
              <w:top w:w="29" w:type="dxa"/>
              <w:left w:w="29" w:type="dxa"/>
              <w:bottom w:w="43" w:type="dxa"/>
              <w:right w:w="29" w:type="dxa"/>
            </w:tcMar>
            <w:vAlign w:val="bottom"/>
            <w:hideMark/>
          </w:tcPr>
          <w:p w:rsidR="00113336" w:rsidRPr="00FB5988" w:rsidRDefault="00113336" w:rsidP="009B36BA">
            <w:pPr>
              <w:jc w:val="center"/>
              <w:rPr>
                <w:rFonts w:ascii="Arial" w:hAnsi="Arial" w:cs="Arial"/>
                <w:b/>
                <w:sz w:val="13"/>
                <w:szCs w:val="13"/>
              </w:rPr>
            </w:pPr>
            <w:r w:rsidRPr="00FB5988">
              <w:rPr>
                <w:rFonts w:ascii="Arial" w:hAnsi="Arial" w:cs="Arial"/>
                <w:b/>
                <w:sz w:val="13"/>
                <w:szCs w:val="13"/>
              </w:rPr>
              <w:t>CC</w:t>
            </w:r>
          </w:p>
          <w:p w:rsidR="00113336" w:rsidRPr="00FB5988" w:rsidRDefault="00113336" w:rsidP="00113336">
            <w:pPr>
              <w:jc w:val="center"/>
              <w:rPr>
                <w:rFonts w:ascii="Arial" w:hAnsi="Arial" w:cs="Arial"/>
                <w:sz w:val="13"/>
                <w:szCs w:val="13"/>
              </w:rPr>
            </w:pPr>
            <w:r w:rsidRPr="00FB5988">
              <w:rPr>
                <w:rFonts w:ascii="Arial" w:hAnsi="Arial" w:cs="Arial"/>
                <w:sz w:val="13"/>
                <w:szCs w:val="13"/>
              </w:rPr>
              <w:t>5</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9</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10</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8</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10</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5B2EA9" w:rsidRPr="00FB5988" w:rsidRDefault="005B2EA9" w:rsidP="009B36BA">
            <w:pPr>
              <w:jc w:val="center"/>
              <w:rPr>
                <w:rFonts w:ascii="Arial" w:hAnsi="Arial" w:cs="Arial"/>
                <w:b/>
                <w:sz w:val="13"/>
                <w:szCs w:val="13"/>
              </w:rPr>
            </w:pPr>
            <w:r w:rsidRPr="00FB5988">
              <w:rPr>
                <w:rFonts w:ascii="Arial" w:hAnsi="Arial" w:cs="Arial"/>
                <w:b/>
                <w:sz w:val="13"/>
                <w:szCs w:val="13"/>
              </w:rPr>
              <w:t>H</w:t>
            </w:r>
          </w:p>
          <w:p w:rsidR="00113336" w:rsidRPr="00FB5988" w:rsidRDefault="00113336" w:rsidP="009B36BA">
            <w:pPr>
              <w:jc w:val="center"/>
              <w:rPr>
                <w:rFonts w:ascii="Arial" w:hAnsi="Arial" w:cs="Arial"/>
                <w:sz w:val="13"/>
                <w:szCs w:val="13"/>
              </w:rPr>
            </w:pPr>
            <w:r w:rsidRPr="00FB5988">
              <w:rPr>
                <w:rFonts w:ascii="Arial" w:hAnsi="Arial" w:cs="Arial"/>
                <w:sz w:val="13"/>
                <w:szCs w:val="13"/>
              </w:rPr>
              <w:t>11</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113336">
            <w:pPr>
              <w:jc w:val="center"/>
              <w:rPr>
                <w:rFonts w:ascii="Arial" w:hAnsi="Arial" w:cs="Arial"/>
                <w:sz w:val="13"/>
                <w:szCs w:val="13"/>
              </w:rPr>
            </w:pPr>
            <w:r w:rsidRPr="00FB5988">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14</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6</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11</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12</w:t>
            </w:r>
          </w:p>
        </w:tc>
      </w:tr>
      <w:tr w:rsidR="00B4618C" w:rsidRPr="00FB5988" w:rsidTr="00B4618C">
        <w:trPr>
          <w:trHeight w:val="331"/>
        </w:trPr>
        <w:tc>
          <w:tcPr>
            <w:tcW w:w="224" w:type="pct"/>
            <w:tcBorders>
              <w:top w:val="single" w:sz="4" w:space="0" w:color="000000" w:themeColor="text1"/>
              <w:left w:val="double" w:sz="6" w:space="0" w:color="auto"/>
              <w:bottom w:val="single" w:sz="4" w:space="0" w:color="000000" w:themeColor="text1"/>
              <w:right w:val="double" w:sz="6" w:space="0" w:color="auto"/>
            </w:tcBorders>
            <w:shd w:val="clear" w:color="auto" w:fill="auto"/>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11</w:t>
            </w:r>
          </w:p>
        </w:tc>
        <w:tc>
          <w:tcPr>
            <w:tcW w:w="224" w:type="pct"/>
            <w:tcBorders>
              <w:top w:val="double" w:sz="6" w:space="0" w:color="auto"/>
              <w:left w:val="double" w:sz="6" w:space="0" w:color="auto"/>
              <w:bottom w:val="double" w:sz="6" w:space="0" w:color="auto"/>
              <w:right w:val="double" w:sz="6" w:space="0" w:color="auto"/>
            </w:tcBorders>
            <w:shd w:val="clear" w:color="auto" w:fill="auto"/>
            <w:tcMar>
              <w:top w:w="29" w:type="dxa"/>
              <w:left w:w="29" w:type="dxa"/>
              <w:bottom w:w="43" w:type="dxa"/>
              <w:right w:w="29" w:type="dxa"/>
            </w:tcMar>
            <w:vAlign w:val="bottom"/>
            <w:hideMark/>
          </w:tcPr>
          <w:p w:rsidR="00113336" w:rsidRPr="00FB5988" w:rsidRDefault="00113336" w:rsidP="009B36BA">
            <w:pPr>
              <w:jc w:val="center"/>
              <w:rPr>
                <w:rFonts w:ascii="Arial" w:hAnsi="Arial" w:cs="Arial"/>
                <w:b/>
                <w:sz w:val="13"/>
                <w:szCs w:val="13"/>
              </w:rPr>
            </w:pPr>
            <w:r w:rsidRPr="00FB5988">
              <w:rPr>
                <w:rFonts w:ascii="Arial" w:hAnsi="Arial" w:cs="Arial"/>
                <w:b/>
                <w:sz w:val="13"/>
                <w:szCs w:val="13"/>
              </w:rPr>
              <w:t>H</w:t>
            </w:r>
          </w:p>
          <w:p w:rsidR="00113336" w:rsidRPr="00FB5988" w:rsidRDefault="00113336" w:rsidP="00113336">
            <w:pPr>
              <w:jc w:val="center"/>
              <w:rPr>
                <w:rFonts w:ascii="Arial" w:hAnsi="Arial" w:cs="Arial"/>
                <w:sz w:val="13"/>
                <w:szCs w:val="13"/>
              </w:rPr>
            </w:pPr>
            <w:r w:rsidRPr="00FB5988">
              <w:rPr>
                <w:rFonts w:ascii="Arial" w:hAnsi="Arial" w:cs="Arial"/>
                <w:sz w:val="13"/>
                <w:szCs w:val="13"/>
              </w:rPr>
              <w:t>12</w:t>
            </w: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16</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17</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15</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16</w:t>
            </w:r>
          </w:p>
        </w:tc>
        <w:tc>
          <w:tcPr>
            <w:tcW w:w="225" w:type="pct"/>
            <w:tcBorders>
              <w:top w:val="single" w:sz="4" w:space="0" w:color="000000" w:themeColor="text1"/>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17</w:t>
            </w:r>
          </w:p>
        </w:tc>
        <w:tc>
          <w:tcPr>
            <w:tcW w:w="225"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20</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21</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18</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19</w:t>
            </w:r>
          </w:p>
        </w:tc>
      </w:tr>
      <w:tr w:rsidR="00113336" w:rsidRPr="00FB5988" w:rsidTr="00B4618C">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18</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FB5988" w:rsidRDefault="00113336" w:rsidP="009B36BA">
            <w:pPr>
              <w:jc w:val="center"/>
              <w:rPr>
                <w:rFonts w:ascii="Arial" w:hAnsi="Arial" w:cs="Arial"/>
                <w:sz w:val="13"/>
                <w:szCs w:val="13"/>
              </w:rPr>
            </w:pPr>
            <w:r w:rsidRPr="00FB5988">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23</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24</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22</w:t>
            </w:r>
          </w:p>
        </w:tc>
        <w:tc>
          <w:tcPr>
            <w:tcW w:w="22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27</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28</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5B2EA9" w:rsidRPr="00FB5988" w:rsidRDefault="005B2EA9" w:rsidP="009B36BA">
            <w:pPr>
              <w:jc w:val="center"/>
              <w:rPr>
                <w:rFonts w:ascii="Arial" w:hAnsi="Arial" w:cs="Arial"/>
                <w:b/>
                <w:sz w:val="13"/>
                <w:szCs w:val="13"/>
              </w:rPr>
            </w:pPr>
            <w:r w:rsidRPr="00FB5988">
              <w:rPr>
                <w:rFonts w:ascii="Arial" w:hAnsi="Arial" w:cs="Arial"/>
                <w:b/>
                <w:sz w:val="13"/>
                <w:szCs w:val="13"/>
              </w:rPr>
              <w:t>H</w:t>
            </w:r>
          </w:p>
          <w:p w:rsidR="00113336" w:rsidRPr="00FB5988" w:rsidRDefault="005B2EA9" w:rsidP="009B36BA">
            <w:pPr>
              <w:jc w:val="center"/>
              <w:rPr>
                <w:rFonts w:ascii="Arial" w:hAnsi="Arial" w:cs="Arial"/>
                <w:sz w:val="13"/>
                <w:szCs w:val="13"/>
              </w:rPr>
            </w:pPr>
            <w:r w:rsidRPr="00FB5988">
              <w:rPr>
                <w:rFonts w:ascii="Arial" w:hAnsi="Arial" w:cs="Arial"/>
                <w:sz w:val="13"/>
                <w:szCs w:val="13"/>
              </w:rPr>
              <w:t>25</w:t>
            </w:r>
          </w:p>
        </w:tc>
        <w:tc>
          <w:tcPr>
            <w:tcW w:w="211" w:type="pct"/>
            <w:tcBorders>
              <w:top w:val="single" w:sz="4" w:space="0" w:color="000000" w:themeColor="text1"/>
              <w:left w:val="doub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26</w:t>
            </w:r>
          </w:p>
        </w:tc>
      </w:tr>
      <w:tr w:rsidR="00113336" w:rsidRPr="00FB5988" w:rsidTr="005B2EA9">
        <w:trPr>
          <w:trHeight w:val="331"/>
        </w:trPr>
        <w:tc>
          <w:tcPr>
            <w:tcW w:w="224" w:type="pct"/>
            <w:tcBorders>
              <w:top w:val="single" w:sz="4" w:space="0" w:color="000000" w:themeColor="text1"/>
              <w:left w:val="double" w:sz="6"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25</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FB5988" w:rsidRDefault="00113336" w:rsidP="00113336">
            <w:pPr>
              <w:jc w:val="center"/>
              <w:rPr>
                <w:rFonts w:ascii="Arial" w:hAnsi="Arial" w:cs="Arial"/>
                <w:sz w:val="13"/>
                <w:szCs w:val="13"/>
              </w:rPr>
            </w:pPr>
            <w:r w:rsidRPr="00FB5988">
              <w:rPr>
                <w:rFonts w:ascii="Arial" w:hAnsi="Arial" w:cs="Arial"/>
                <w:sz w:val="13"/>
                <w:szCs w:val="13"/>
              </w:rPr>
              <w:t>26</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27</w:t>
            </w:r>
          </w:p>
        </w:tc>
        <w:tc>
          <w:tcPr>
            <w:tcW w:w="225" w:type="pct"/>
            <w:tcBorders>
              <w:top w:val="single" w:sz="4" w:space="0" w:color="000000" w:themeColor="text1"/>
              <w:left w:val="single" w:sz="4" w:space="0" w:color="000000" w:themeColor="text1"/>
              <w:bottom w:val="double" w:sz="6" w:space="0" w:color="auto"/>
              <w:right w:val="single" w:sz="4" w:space="0" w:color="auto"/>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28</w:t>
            </w:r>
          </w:p>
        </w:tc>
        <w:tc>
          <w:tcPr>
            <w:tcW w:w="226" w:type="pct"/>
            <w:tcBorders>
              <w:top w:val="single" w:sz="4" w:space="0" w:color="auto"/>
              <w:left w:val="single" w:sz="4" w:space="0" w:color="auto"/>
              <w:bottom w:val="double" w:sz="6" w:space="0" w:color="auto"/>
              <w:right w:val="single" w:sz="4" w:space="0" w:color="auto"/>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29</w:t>
            </w:r>
          </w:p>
        </w:tc>
        <w:tc>
          <w:tcPr>
            <w:tcW w:w="226" w:type="pct"/>
            <w:tcBorders>
              <w:top w:val="single" w:sz="4" w:space="0" w:color="000000" w:themeColor="text1"/>
              <w:left w:val="single" w:sz="4"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30</w:t>
            </w:r>
          </w:p>
        </w:tc>
        <w:tc>
          <w:tcPr>
            <w:tcW w:w="233" w:type="pct"/>
            <w:tcBorders>
              <w:top w:val="single" w:sz="4" w:space="0" w:color="000000" w:themeColor="text1"/>
              <w:left w:val="single" w:sz="4" w:space="0" w:color="000000" w:themeColor="text1"/>
              <w:bottom w:val="double" w:sz="6" w:space="0" w:color="auto"/>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31</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r w:rsidRPr="00FB5988">
              <w:rPr>
                <w:rFonts w:ascii="Arial" w:hAnsi="Arial" w:cs="Arial"/>
                <w:sz w:val="13"/>
                <w:szCs w:val="13"/>
              </w:rPr>
              <w:t>29</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5B2EA9" w:rsidRPr="00FB5988" w:rsidRDefault="005B2EA9" w:rsidP="009B36BA">
            <w:pPr>
              <w:jc w:val="center"/>
              <w:rPr>
                <w:rFonts w:ascii="Arial" w:hAnsi="Arial" w:cs="Arial"/>
                <w:sz w:val="13"/>
                <w:szCs w:val="13"/>
              </w:rPr>
            </w:pPr>
            <w:r w:rsidRPr="00FB5988">
              <w:rPr>
                <w:rFonts w:ascii="Arial" w:hAnsi="Arial" w:cs="Arial"/>
                <w:b/>
                <w:sz w:val="13"/>
                <w:szCs w:val="13"/>
              </w:rPr>
              <w:t>CC</w:t>
            </w:r>
          </w:p>
          <w:p w:rsidR="00113336" w:rsidRPr="00FB5988" w:rsidRDefault="00113336" w:rsidP="009B36BA">
            <w:pPr>
              <w:jc w:val="center"/>
              <w:rPr>
                <w:rFonts w:ascii="Arial" w:hAnsi="Arial" w:cs="Arial"/>
                <w:sz w:val="13"/>
                <w:szCs w:val="13"/>
              </w:rPr>
            </w:pPr>
            <w:r w:rsidRPr="00FB5988">
              <w:rPr>
                <w:rFonts w:ascii="Arial" w:hAnsi="Arial" w:cs="Arial"/>
                <w:sz w:val="13"/>
                <w:szCs w:val="13"/>
              </w:rPr>
              <w:t>30</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auto"/>
              <w:right w:val="double" w:sz="6" w:space="0" w:color="auto"/>
            </w:tcBorders>
            <w:shd w:val="clear" w:color="auto" w:fill="auto"/>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double" w:sz="6" w:space="0" w:color="auto"/>
              <w:right w:val="doub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27</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5B2EA9" w:rsidRPr="00FB5988" w:rsidRDefault="005B2EA9" w:rsidP="009B36BA">
            <w:pPr>
              <w:jc w:val="center"/>
              <w:rPr>
                <w:rFonts w:ascii="Arial" w:hAnsi="Arial" w:cs="Arial"/>
                <w:b/>
                <w:sz w:val="13"/>
                <w:szCs w:val="13"/>
              </w:rPr>
            </w:pPr>
            <w:r w:rsidRPr="00FB5988">
              <w:rPr>
                <w:rFonts w:ascii="Arial" w:hAnsi="Arial" w:cs="Arial"/>
                <w:b/>
                <w:sz w:val="13"/>
                <w:szCs w:val="13"/>
              </w:rPr>
              <w:t>H</w:t>
            </w:r>
          </w:p>
          <w:p w:rsidR="00113336" w:rsidRPr="00FB5988" w:rsidRDefault="005B2EA9" w:rsidP="009B36BA">
            <w:pPr>
              <w:jc w:val="center"/>
              <w:rPr>
                <w:rFonts w:ascii="Arial" w:hAnsi="Arial" w:cs="Arial"/>
                <w:sz w:val="13"/>
                <w:szCs w:val="13"/>
              </w:rPr>
            </w:pPr>
            <w:r w:rsidRPr="00FB5988">
              <w:rPr>
                <w:rFonts w:ascii="Arial" w:hAnsi="Arial" w:cs="Arial"/>
                <w:sz w:val="13"/>
                <w:szCs w:val="13"/>
              </w:rPr>
              <w:t>28</w:t>
            </w:r>
          </w:p>
        </w:tc>
        <w:tc>
          <w:tcPr>
            <w:tcW w:w="225" w:type="pct"/>
            <w:tcBorders>
              <w:top w:val="single" w:sz="4" w:space="0" w:color="auto"/>
              <w:left w:val="double" w:sz="4" w:space="0" w:color="000000" w:themeColor="text1"/>
              <w:bottom w:val="double" w:sz="6" w:space="0" w:color="auto"/>
              <w:right w:val="single" w:sz="4" w:space="0" w:color="auto"/>
            </w:tcBorders>
            <w:shd w:val="clear" w:color="auto" w:fill="FFFFFF" w:themeFill="background1"/>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29</w:t>
            </w:r>
          </w:p>
        </w:tc>
        <w:tc>
          <w:tcPr>
            <w:tcW w:w="225" w:type="pct"/>
            <w:tcBorders>
              <w:top w:val="single" w:sz="4" w:space="0" w:color="000000" w:themeColor="text1"/>
              <w:left w:val="single" w:sz="4" w:space="0" w:color="auto"/>
              <w:bottom w:val="double" w:sz="6" w:space="0" w:color="auto"/>
              <w:right w:val="single" w:sz="4" w:space="0" w:color="auto"/>
            </w:tcBorders>
            <w:shd w:val="clear" w:color="auto" w:fill="FFFFFF" w:themeFill="background1"/>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30</w:t>
            </w:r>
          </w:p>
        </w:tc>
        <w:tc>
          <w:tcPr>
            <w:tcW w:w="225" w:type="pct"/>
            <w:tcBorders>
              <w:top w:val="single" w:sz="4" w:space="0" w:color="000000" w:themeColor="text1"/>
              <w:left w:val="single" w:sz="4" w:space="0" w:color="auto"/>
              <w:bottom w:val="double" w:sz="6"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31</w:t>
            </w:r>
          </w:p>
        </w:tc>
        <w:tc>
          <w:tcPr>
            <w:tcW w:w="225" w:type="pct"/>
            <w:tcBorders>
              <w:top w:val="double" w:sz="4" w:space="0" w:color="000000" w:themeColor="text1"/>
              <w:left w:val="single" w:sz="4" w:space="0" w:color="000000" w:themeColor="text1"/>
              <w:bottom w:val="double" w:sz="6"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11" w:type="pct"/>
            <w:tcBorders>
              <w:top w:val="single" w:sz="4" w:space="0" w:color="000000" w:themeColor="text1"/>
              <w:left w:val="single" w:sz="4" w:space="0" w:color="000000" w:themeColor="text1"/>
              <w:bottom w:val="double" w:sz="6" w:space="0" w:color="auto"/>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r>
    </w:tbl>
    <w:p w:rsidR="00113336" w:rsidRPr="00FB5988" w:rsidRDefault="00113336" w:rsidP="00113336">
      <w:pPr>
        <w:tabs>
          <w:tab w:val="center" w:pos="5220"/>
          <w:tab w:val="right" w:pos="10440"/>
        </w:tabs>
        <w:jc w:val="center"/>
        <w:rPr>
          <w:rFonts w:ascii="Arial" w:hAnsi="Arial" w:cs="Arial"/>
          <w:sz w:val="22"/>
        </w:rPr>
      </w:pPr>
      <w:r w:rsidRPr="00FB5988">
        <w:rPr>
          <w:rFonts w:ascii="Arial" w:hAnsi="Arial" w:cs="Arial"/>
          <w:b/>
          <w:sz w:val="22"/>
        </w:rPr>
        <w:t>- 2021 -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1"/>
        <w:gridCol w:w="462"/>
        <w:gridCol w:w="462"/>
        <w:gridCol w:w="462"/>
        <w:gridCol w:w="474"/>
        <w:gridCol w:w="283"/>
        <w:gridCol w:w="474"/>
        <w:gridCol w:w="474"/>
        <w:gridCol w:w="474"/>
        <w:gridCol w:w="474"/>
        <w:gridCol w:w="474"/>
        <w:gridCol w:w="474"/>
        <w:gridCol w:w="489"/>
        <w:gridCol w:w="293"/>
        <w:gridCol w:w="466"/>
        <w:gridCol w:w="466"/>
        <w:gridCol w:w="466"/>
        <w:gridCol w:w="466"/>
        <w:gridCol w:w="466"/>
        <w:gridCol w:w="466"/>
        <w:gridCol w:w="449"/>
      </w:tblGrid>
      <w:tr w:rsidR="00113336" w:rsidRPr="00FB5988" w:rsidTr="009B36BA">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JANUARY – JANVIER</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FEBRUARY – FÉVRIER</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MARCH – MARS</w:t>
            </w:r>
          </w:p>
        </w:tc>
      </w:tr>
      <w:tr w:rsidR="00113336" w:rsidRPr="00FB5988" w:rsidTr="005B2EA9">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W</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F</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V</w:t>
            </w:r>
          </w:p>
        </w:tc>
        <w:tc>
          <w:tcPr>
            <w:tcW w:w="22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W</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F</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W</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F</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tc>
      </w:tr>
      <w:tr w:rsidR="00113336" w:rsidRPr="00FB5988" w:rsidTr="005B2EA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5B2EA9" w:rsidRPr="00FB5988" w:rsidRDefault="005B2EA9" w:rsidP="009B36BA">
            <w:pPr>
              <w:jc w:val="center"/>
              <w:rPr>
                <w:rFonts w:ascii="Arial" w:hAnsi="Arial" w:cs="Arial"/>
                <w:b/>
                <w:sz w:val="13"/>
                <w:szCs w:val="13"/>
              </w:rPr>
            </w:pPr>
            <w:r w:rsidRPr="00FB5988">
              <w:rPr>
                <w:rFonts w:ascii="Arial" w:hAnsi="Arial" w:cs="Arial"/>
                <w:b/>
                <w:sz w:val="13"/>
                <w:szCs w:val="13"/>
              </w:rPr>
              <w:t>H</w:t>
            </w:r>
          </w:p>
          <w:p w:rsidR="00113336" w:rsidRPr="00FB5988" w:rsidRDefault="005B2EA9" w:rsidP="009B36BA">
            <w:pPr>
              <w:jc w:val="center"/>
              <w:rPr>
                <w:rFonts w:ascii="Arial" w:hAnsi="Arial" w:cs="Arial"/>
                <w:sz w:val="13"/>
                <w:szCs w:val="13"/>
              </w:rPr>
            </w:pPr>
            <w:r w:rsidRPr="00FB5988">
              <w:rPr>
                <w:rFonts w:ascii="Arial" w:hAnsi="Arial" w:cs="Arial"/>
                <w:sz w:val="13"/>
                <w:szCs w:val="13"/>
              </w:rPr>
              <w:t>1</w:t>
            </w:r>
          </w:p>
        </w:tc>
        <w:tc>
          <w:tcPr>
            <w:tcW w:w="228" w:type="pct"/>
            <w:tcBorders>
              <w:top w:val="single" w:sz="4" w:space="0" w:color="000000" w:themeColor="text1"/>
              <w:left w:val="doub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5</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6</w:t>
            </w:r>
          </w:p>
        </w:tc>
      </w:tr>
      <w:tr w:rsidR="00113336" w:rsidRPr="00FB5988" w:rsidTr="005B2EA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5</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7</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5B2EA9" w:rsidRPr="00FB5988" w:rsidRDefault="005B2EA9" w:rsidP="009B36BA">
            <w:pPr>
              <w:jc w:val="center"/>
              <w:rPr>
                <w:rFonts w:ascii="Arial" w:hAnsi="Arial" w:cs="Arial"/>
                <w:b/>
                <w:sz w:val="13"/>
                <w:szCs w:val="13"/>
              </w:rPr>
            </w:pPr>
            <w:r w:rsidRPr="00FB5988">
              <w:rPr>
                <w:rFonts w:ascii="Arial" w:hAnsi="Arial" w:cs="Arial"/>
                <w:b/>
                <w:sz w:val="13"/>
                <w:szCs w:val="13"/>
              </w:rPr>
              <w:t>CC</w:t>
            </w:r>
          </w:p>
          <w:p w:rsidR="00113336" w:rsidRPr="00FB5988" w:rsidRDefault="005B2EA9" w:rsidP="009B36BA">
            <w:pPr>
              <w:jc w:val="center"/>
              <w:rPr>
                <w:rFonts w:ascii="Arial" w:hAnsi="Arial" w:cs="Arial"/>
                <w:sz w:val="13"/>
                <w:szCs w:val="13"/>
              </w:rPr>
            </w:pPr>
            <w:r w:rsidRPr="00FB5988">
              <w:rPr>
                <w:rFonts w:ascii="Arial" w:hAnsi="Arial" w:cs="Arial"/>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12</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13</w:t>
            </w:r>
          </w:p>
        </w:tc>
      </w:tr>
      <w:tr w:rsidR="00113336" w:rsidRPr="00FB5988" w:rsidTr="005B2EA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5B2EA9" w:rsidRPr="00FB5988" w:rsidRDefault="005B2EA9" w:rsidP="009B36BA">
            <w:pPr>
              <w:jc w:val="center"/>
              <w:rPr>
                <w:rFonts w:ascii="Arial" w:hAnsi="Arial" w:cs="Arial"/>
                <w:b/>
                <w:sz w:val="13"/>
                <w:szCs w:val="13"/>
              </w:rPr>
            </w:pPr>
            <w:r w:rsidRPr="00FB5988">
              <w:rPr>
                <w:rFonts w:ascii="Arial" w:hAnsi="Arial" w:cs="Arial"/>
                <w:b/>
                <w:sz w:val="13"/>
                <w:szCs w:val="13"/>
              </w:rPr>
              <w:t>CC</w:t>
            </w:r>
          </w:p>
          <w:p w:rsidR="00113336" w:rsidRPr="00FB5988" w:rsidRDefault="005B2EA9" w:rsidP="009B36BA">
            <w:pPr>
              <w:jc w:val="center"/>
              <w:rPr>
                <w:rFonts w:ascii="Arial" w:hAnsi="Arial" w:cs="Arial"/>
                <w:sz w:val="13"/>
                <w:szCs w:val="13"/>
              </w:rPr>
            </w:pPr>
            <w:r w:rsidRPr="00FB5988">
              <w:rPr>
                <w:rFonts w:ascii="Arial" w:hAnsi="Arial" w:cs="Arial"/>
                <w:sz w:val="13"/>
                <w:szCs w:val="13"/>
              </w:rPr>
              <w:t>11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16</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14</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D04577" w:rsidRPr="00FB5988" w:rsidRDefault="00D04577" w:rsidP="009B36BA">
            <w:pPr>
              <w:jc w:val="center"/>
              <w:rPr>
                <w:rFonts w:ascii="Arial" w:hAnsi="Arial" w:cs="Arial"/>
                <w:b/>
                <w:sz w:val="13"/>
                <w:szCs w:val="13"/>
              </w:rPr>
            </w:pPr>
            <w:r w:rsidRPr="00FB5988">
              <w:rPr>
                <w:rFonts w:ascii="Arial" w:hAnsi="Arial" w:cs="Arial"/>
                <w:b/>
                <w:sz w:val="13"/>
                <w:szCs w:val="13"/>
              </w:rPr>
              <w:t>CC</w:t>
            </w:r>
          </w:p>
          <w:p w:rsidR="00113336" w:rsidRPr="00FB5988" w:rsidRDefault="00D04577" w:rsidP="009B36BA">
            <w:pPr>
              <w:jc w:val="center"/>
              <w:rPr>
                <w:rFonts w:ascii="Arial" w:hAnsi="Arial" w:cs="Arial"/>
                <w:sz w:val="13"/>
                <w:szCs w:val="13"/>
              </w:rPr>
            </w:pPr>
            <w:r w:rsidRPr="00FB5988">
              <w:rPr>
                <w:rFonts w:ascii="Arial" w:hAnsi="Arial" w:cs="Arial"/>
                <w:sz w:val="13"/>
                <w:szCs w:val="13"/>
              </w:rPr>
              <w:t>15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19</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20</w:t>
            </w:r>
          </w:p>
        </w:tc>
      </w:tr>
      <w:tr w:rsidR="00113336" w:rsidRPr="00FB5988" w:rsidTr="005B2EA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17</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23</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26</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27</w:t>
            </w:r>
          </w:p>
        </w:tc>
      </w:tr>
      <w:tr w:rsidR="00113336" w:rsidRPr="00FB5988" w:rsidTr="005B2EA9">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5B2EA9" w:rsidRPr="00FB5988" w:rsidRDefault="005B2EA9" w:rsidP="005B2EA9">
            <w:pPr>
              <w:rPr>
                <w:rFonts w:ascii="Arial" w:hAnsi="Arial" w:cs="Arial"/>
                <w:sz w:val="13"/>
                <w:szCs w:val="13"/>
              </w:rPr>
            </w:pPr>
            <w:r w:rsidRPr="00FB5988">
              <w:rPr>
                <w:rFonts w:ascii="Arial" w:hAnsi="Arial" w:cs="Arial"/>
                <w:sz w:val="13"/>
                <w:szCs w:val="13"/>
              </w:rPr>
              <w:t xml:space="preserve">24 </w:t>
            </w:r>
            <w:r w:rsidRPr="00FB5988">
              <w:rPr>
                <w:rFonts w:ascii="Arial" w:hAnsi="Arial" w:cs="Arial"/>
                <w:sz w:val="13"/>
                <w:szCs w:val="13"/>
                <w:lang w:val="en-US"/>
              </w:rPr>
              <w:t>/</w:t>
            </w:r>
          </w:p>
          <w:p w:rsidR="00113336" w:rsidRPr="00FB5988" w:rsidRDefault="005B2EA9" w:rsidP="005B2EA9">
            <w:pPr>
              <w:jc w:val="center"/>
              <w:rPr>
                <w:rFonts w:ascii="Arial" w:hAnsi="Arial" w:cs="Arial"/>
                <w:sz w:val="13"/>
                <w:szCs w:val="13"/>
              </w:rPr>
            </w:pPr>
            <w:r w:rsidRPr="00FB5988">
              <w:rPr>
                <w:rFonts w:ascii="Arial" w:hAnsi="Arial" w:cs="Arial"/>
                <w:sz w:val="13"/>
                <w:szCs w:val="13"/>
              </w:rPr>
              <w:t>31 </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25</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26</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27</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29</w:t>
            </w: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30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FB5988" w:rsidRDefault="005B2EA9" w:rsidP="009B36BA">
            <w:pPr>
              <w:jc w:val="center"/>
              <w:rPr>
                <w:rFonts w:ascii="Arial" w:hAnsi="Arial" w:cs="Arial"/>
                <w:sz w:val="13"/>
                <w:szCs w:val="13"/>
              </w:rPr>
            </w:pPr>
            <w:r w:rsidRPr="00FB5988">
              <w:rPr>
                <w:rFonts w:ascii="Arial" w:hAnsi="Arial" w:cs="Arial"/>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28</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29</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30</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31</w:t>
            </w:r>
          </w:p>
        </w:tc>
        <w:tc>
          <w:tcPr>
            <w:tcW w:w="224" w:type="pct"/>
            <w:tcBorders>
              <w:top w:val="single" w:sz="4" w:space="0" w:color="000000" w:themeColor="text1"/>
              <w:left w:val="single" w:sz="4" w:space="0" w:color="000000" w:themeColor="text1"/>
              <w:bottom w:val="double" w:sz="6" w:space="0" w:color="auto"/>
              <w:right w:val="single" w:sz="4"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4" w:type="pct"/>
            <w:tcBorders>
              <w:top w:val="single" w:sz="4" w:space="0" w:color="auto"/>
              <w:left w:val="single" w:sz="4" w:space="0" w:color="auto"/>
              <w:bottom w:val="nil"/>
              <w:right w:val="single" w:sz="4"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18" w:type="pct"/>
            <w:tcBorders>
              <w:top w:val="single" w:sz="4" w:space="0" w:color="000000" w:themeColor="text1"/>
              <w:left w:val="single" w:sz="4" w:space="0" w:color="auto"/>
              <w:bottom w:val="double" w:sz="6" w:space="0" w:color="auto"/>
              <w:right w:val="double" w:sz="6"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r>
      <w:tr w:rsidR="00113336" w:rsidRPr="00FB5988" w:rsidTr="009B36BA">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APRIL – AVRIL</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MAY – MAI</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JUNE – JUIN</w:t>
            </w:r>
          </w:p>
        </w:tc>
      </w:tr>
      <w:tr w:rsidR="00113336" w:rsidRPr="00FB5988" w:rsidTr="00D04577">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W</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F</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V</w:t>
            </w:r>
          </w:p>
        </w:tc>
        <w:tc>
          <w:tcPr>
            <w:tcW w:w="22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W</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F</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W</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F</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tc>
      </w:tr>
      <w:tr w:rsidR="00113336" w:rsidRPr="00FB5988" w:rsidTr="00D0457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single" w:sz="4" w:space="0" w:color="auto"/>
              <w:left w:val="single" w:sz="4" w:space="0" w:color="auto"/>
              <w:bottom w:val="double" w:sz="4" w:space="0" w:color="auto"/>
              <w:right w:val="single" w:sz="4"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w:t>
            </w:r>
          </w:p>
        </w:tc>
        <w:tc>
          <w:tcPr>
            <w:tcW w:w="222" w:type="pct"/>
            <w:tcBorders>
              <w:top w:val="double" w:sz="4" w:space="0" w:color="auto"/>
              <w:left w:val="double" w:sz="4" w:space="0" w:color="auto"/>
              <w:bottom w:val="double" w:sz="4" w:space="0" w:color="auto"/>
              <w:right w:val="double" w:sz="4" w:space="0" w:color="auto"/>
            </w:tcBorders>
            <w:shd w:val="clear" w:color="auto" w:fill="FFFFFF" w:themeFill="background1"/>
            <w:tcMar>
              <w:top w:w="29" w:type="dxa"/>
              <w:left w:w="29" w:type="dxa"/>
              <w:bottom w:w="43" w:type="dxa"/>
              <w:right w:w="29" w:type="dxa"/>
            </w:tcMar>
            <w:vAlign w:val="bottom"/>
          </w:tcPr>
          <w:p w:rsidR="00D04577" w:rsidRPr="00FB5988" w:rsidRDefault="00D04577" w:rsidP="009B36BA">
            <w:pPr>
              <w:jc w:val="center"/>
              <w:rPr>
                <w:rFonts w:ascii="Arial" w:hAnsi="Arial" w:cs="Arial"/>
                <w:b/>
                <w:sz w:val="13"/>
                <w:szCs w:val="13"/>
              </w:rPr>
            </w:pPr>
            <w:r w:rsidRPr="00FB5988">
              <w:rPr>
                <w:rFonts w:ascii="Arial" w:hAnsi="Arial" w:cs="Arial"/>
                <w:b/>
                <w:sz w:val="13"/>
                <w:szCs w:val="13"/>
              </w:rPr>
              <w:t>H</w:t>
            </w:r>
          </w:p>
          <w:p w:rsidR="00113336" w:rsidRPr="00FB5988" w:rsidRDefault="00D04577" w:rsidP="009B36BA">
            <w:pPr>
              <w:jc w:val="center"/>
              <w:rPr>
                <w:rFonts w:ascii="Arial" w:hAnsi="Arial" w:cs="Arial"/>
                <w:sz w:val="13"/>
                <w:szCs w:val="13"/>
              </w:rPr>
            </w:pPr>
            <w:r w:rsidRPr="00FB5988">
              <w:rPr>
                <w:rFonts w:ascii="Arial" w:hAnsi="Arial" w:cs="Arial"/>
                <w:sz w:val="13"/>
                <w:szCs w:val="13"/>
              </w:rPr>
              <w:t>2</w:t>
            </w:r>
          </w:p>
        </w:tc>
        <w:tc>
          <w:tcPr>
            <w:tcW w:w="228" w:type="pct"/>
            <w:tcBorders>
              <w:top w:val="single" w:sz="4" w:space="0" w:color="000000" w:themeColor="text1"/>
              <w:left w:val="double" w:sz="4" w:space="0" w:color="auto"/>
              <w:bottom w:val="single" w:sz="4" w:space="0" w:color="000000" w:themeColor="text1"/>
              <w:right w:val="double" w:sz="6" w:space="0" w:color="auto"/>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4</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5</w:t>
            </w:r>
          </w:p>
        </w:tc>
      </w:tr>
      <w:tr w:rsidR="00113336" w:rsidRPr="00FB5988" w:rsidTr="00D04577">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4</w:t>
            </w:r>
          </w:p>
        </w:tc>
        <w:tc>
          <w:tcPr>
            <w:tcW w:w="222" w:type="pct"/>
            <w:tcBorders>
              <w:top w:val="double" w:sz="4" w:space="0" w:color="auto"/>
              <w:left w:val="double" w:sz="4" w:space="0" w:color="auto"/>
              <w:bottom w:val="double" w:sz="4" w:space="0" w:color="auto"/>
              <w:right w:val="double" w:sz="4" w:space="0" w:color="auto"/>
            </w:tcBorders>
            <w:shd w:val="clear" w:color="auto" w:fill="FFFFFF" w:themeFill="background1"/>
            <w:tcMar>
              <w:top w:w="29" w:type="dxa"/>
              <w:left w:w="29" w:type="dxa"/>
              <w:bottom w:w="43" w:type="dxa"/>
              <w:right w:w="29" w:type="dxa"/>
            </w:tcMar>
            <w:vAlign w:val="bottom"/>
          </w:tcPr>
          <w:p w:rsidR="00D04577" w:rsidRPr="00FB5988" w:rsidRDefault="00D04577" w:rsidP="009B36BA">
            <w:pPr>
              <w:jc w:val="center"/>
              <w:rPr>
                <w:rFonts w:ascii="Arial" w:hAnsi="Arial" w:cs="Arial"/>
                <w:b/>
                <w:sz w:val="13"/>
                <w:szCs w:val="13"/>
              </w:rPr>
            </w:pPr>
            <w:r w:rsidRPr="00FB5988">
              <w:rPr>
                <w:rFonts w:ascii="Arial" w:hAnsi="Arial" w:cs="Arial"/>
                <w:b/>
                <w:sz w:val="13"/>
                <w:szCs w:val="13"/>
              </w:rPr>
              <w:t>H</w:t>
            </w:r>
          </w:p>
          <w:p w:rsidR="00113336" w:rsidRPr="00FB5988" w:rsidRDefault="00D04577" w:rsidP="009B36BA">
            <w:pPr>
              <w:jc w:val="center"/>
              <w:rPr>
                <w:rFonts w:ascii="Arial" w:hAnsi="Arial" w:cs="Arial"/>
                <w:sz w:val="13"/>
                <w:szCs w:val="13"/>
              </w:rPr>
            </w:pPr>
            <w:r w:rsidRPr="00FB5988">
              <w:rPr>
                <w:rFonts w:ascii="Arial" w:hAnsi="Arial" w:cs="Arial"/>
                <w:sz w:val="13"/>
                <w:szCs w:val="13"/>
              </w:rPr>
              <w:t>5</w:t>
            </w:r>
          </w:p>
        </w:tc>
        <w:tc>
          <w:tcPr>
            <w:tcW w:w="222"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7</w:t>
            </w:r>
          </w:p>
        </w:tc>
        <w:tc>
          <w:tcPr>
            <w:tcW w:w="222"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8</w:t>
            </w:r>
          </w:p>
        </w:tc>
        <w:tc>
          <w:tcPr>
            <w:tcW w:w="222" w:type="pct"/>
            <w:tcBorders>
              <w:top w:val="doub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9</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6</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D04577" w:rsidRPr="00FB5988" w:rsidRDefault="00D04577" w:rsidP="009B36BA">
            <w:pPr>
              <w:jc w:val="center"/>
              <w:rPr>
                <w:rFonts w:ascii="Arial" w:hAnsi="Arial" w:cs="Arial"/>
                <w:b/>
                <w:sz w:val="13"/>
                <w:szCs w:val="13"/>
              </w:rPr>
            </w:pPr>
            <w:r w:rsidRPr="00FB5988">
              <w:rPr>
                <w:rFonts w:ascii="Arial" w:hAnsi="Arial" w:cs="Arial"/>
                <w:b/>
                <w:sz w:val="13"/>
                <w:szCs w:val="13"/>
              </w:rPr>
              <w:t>CC</w:t>
            </w:r>
          </w:p>
          <w:p w:rsidR="00113336" w:rsidRPr="00FB5988" w:rsidRDefault="00D04577" w:rsidP="009B36BA">
            <w:pPr>
              <w:jc w:val="center"/>
              <w:rPr>
                <w:rFonts w:ascii="Arial" w:hAnsi="Arial" w:cs="Arial"/>
                <w:sz w:val="13"/>
                <w:szCs w:val="13"/>
              </w:rPr>
            </w:pPr>
            <w:r w:rsidRPr="00FB5988">
              <w:rPr>
                <w:rFonts w:ascii="Arial" w:hAnsi="Arial" w:cs="Arial"/>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11</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12</w:t>
            </w:r>
          </w:p>
        </w:tc>
      </w:tr>
      <w:tr w:rsidR="00113336" w:rsidRPr="00FB5988" w:rsidTr="00D0457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11</w:t>
            </w:r>
          </w:p>
        </w:tc>
        <w:tc>
          <w:tcPr>
            <w:tcW w:w="222"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D04577" w:rsidRPr="00FB5988" w:rsidRDefault="00D04577" w:rsidP="009B36BA">
            <w:pPr>
              <w:jc w:val="center"/>
              <w:rPr>
                <w:rFonts w:ascii="Arial" w:hAnsi="Arial" w:cs="Arial"/>
                <w:b/>
                <w:sz w:val="13"/>
                <w:szCs w:val="13"/>
              </w:rPr>
            </w:pPr>
            <w:r w:rsidRPr="00FB5988">
              <w:rPr>
                <w:rFonts w:ascii="Arial" w:hAnsi="Arial" w:cs="Arial"/>
                <w:b/>
                <w:sz w:val="13"/>
                <w:szCs w:val="13"/>
              </w:rPr>
              <w:t>CC</w:t>
            </w:r>
          </w:p>
          <w:p w:rsidR="00113336" w:rsidRPr="00FB5988" w:rsidRDefault="00D04577" w:rsidP="009B36BA">
            <w:pPr>
              <w:jc w:val="center"/>
              <w:rPr>
                <w:rFonts w:ascii="Arial" w:hAnsi="Arial" w:cs="Arial"/>
                <w:sz w:val="13"/>
                <w:szCs w:val="13"/>
              </w:rPr>
            </w:pPr>
            <w:r w:rsidRPr="00FB5988">
              <w:rPr>
                <w:rFonts w:ascii="Arial" w:hAnsi="Arial" w:cs="Arial"/>
                <w:sz w:val="13"/>
                <w:szCs w:val="13"/>
              </w:rPr>
              <w:t>12</w:t>
            </w:r>
          </w:p>
        </w:tc>
        <w:tc>
          <w:tcPr>
            <w:tcW w:w="22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15</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D04577" w:rsidRPr="00FB5988" w:rsidRDefault="00D04577" w:rsidP="009B36BA">
            <w:pPr>
              <w:jc w:val="center"/>
              <w:rPr>
                <w:rFonts w:ascii="Arial" w:hAnsi="Arial" w:cs="Arial"/>
                <w:b/>
                <w:sz w:val="13"/>
                <w:szCs w:val="13"/>
              </w:rPr>
            </w:pPr>
            <w:r w:rsidRPr="00FB5988">
              <w:rPr>
                <w:rFonts w:ascii="Arial" w:hAnsi="Arial" w:cs="Arial"/>
                <w:b/>
                <w:sz w:val="13"/>
                <w:szCs w:val="13"/>
              </w:rPr>
              <w:t>CC</w:t>
            </w:r>
          </w:p>
          <w:p w:rsidR="00113336" w:rsidRPr="00FB5988" w:rsidRDefault="00D04577" w:rsidP="009B36BA">
            <w:pPr>
              <w:jc w:val="center"/>
              <w:rPr>
                <w:rFonts w:ascii="Arial" w:hAnsi="Arial" w:cs="Arial"/>
                <w:sz w:val="13"/>
                <w:szCs w:val="13"/>
              </w:rPr>
            </w:pPr>
            <w:r w:rsidRPr="00FB5988">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18</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19</w:t>
            </w:r>
          </w:p>
        </w:tc>
      </w:tr>
      <w:tr w:rsidR="00113336" w:rsidRPr="00FB5988" w:rsidTr="00D04577">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16</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25</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26</w:t>
            </w:r>
          </w:p>
        </w:tc>
      </w:tr>
      <w:tr w:rsidR="00113336" w:rsidRPr="00FB5988" w:rsidTr="00D04577">
        <w:trPr>
          <w:trHeight w:val="319"/>
        </w:trPr>
        <w:tc>
          <w:tcPr>
            <w:tcW w:w="222" w:type="pct"/>
            <w:tcBorders>
              <w:top w:val="single" w:sz="4" w:space="0" w:color="000000" w:themeColor="text1"/>
              <w:left w:val="double" w:sz="6" w:space="0" w:color="auto"/>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25</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26</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27</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28</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29</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30</w:t>
            </w:r>
          </w:p>
        </w:tc>
        <w:tc>
          <w:tcPr>
            <w:tcW w:w="228" w:type="pct"/>
            <w:tcBorders>
              <w:top w:val="single" w:sz="4" w:space="0" w:color="000000" w:themeColor="text1"/>
              <w:left w:val="single" w:sz="4" w:space="0" w:color="000000" w:themeColor="text1"/>
              <w:bottom w:val="single" w:sz="4" w:space="0" w:color="auto"/>
              <w:right w:val="double" w:sz="6"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auto"/>
              <w:right w:val="double" w:sz="4" w:space="0" w:color="000000" w:themeColor="text1"/>
            </w:tcBorders>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23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D04577" w:rsidRPr="00FB5988" w:rsidRDefault="00D04577" w:rsidP="00D04577">
            <w:pPr>
              <w:jc w:val="center"/>
              <w:rPr>
                <w:rFonts w:ascii="Arial" w:hAnsi="Arial" w:cs="Arial"/>
                <w:b/>
                <w:sz w:val="13"/>
                <w:szCs w:val="13"/>
              </w:rPr>
            </w:pPr>
            <w:r w:rsidRPr="00FB5988">
              <w:rPr>
                <w:rFonts w:ascii="Arial" w:hAnsi="Arial" w:cs="Arial"/>
                <w:b/>
                <w:sz w:val="13"/>
                <w:szCs w:val="13"/>
              </w:rPr>
              <w:t>H</w:t>
            </w:r>
          </w:p>
          <w:p w:rsidR="00113336" w:rsidRPr="00FB5988" w:rsidRDefault="00D04577" w:rsidP="00D04577">
            <w:pPr>
              <w:jc w:val="center"/>
              <w:rPr>
                <w:rFonts w:ascii="Arial" w:hAnsi="Arial" w:cs="Arial"/>
                <w:sz w:val="13"/>
                <w:szCs w:val="13"/>
              </w:rPr>
            </w:pPr>
            <w:r w:rsidRPr="00FB5988">
              <w:rPr>
                <w:rFonts w:ascii="Arial" w:hAnsi="Arial" w:cs="Arial"/>
                <w:sz w:val="13"/>
                <w:szCs w:val="13"/>
              </w:rPr>
              <w:t>24</w:t>
            </w:r>
          </w:p>
        </w:tc>
        <w:tc>
          <w:tcPr>
            <w:tcW w:w="228" w:type="pct"/>
            <w:tcBorders>
              <w:top w:val="single" w:sz="4" w:space="0" w:color="000000" w:themeColor="text1"/>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25</w:t>
            </w:r>
          </w:p>
        </w:tc>
        <w:tc>
          <w:tcPr>
            <w:tcW w:w="228"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26</w:t>
            </w:r>
          </w:p>
        </w:tc>
        <w:tc>
          <w:tcPr>
            <w:tcW w:w="228"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27</w:t>
            </w:r>
          </w:p>
        </w:tc>
        <w:tc>
          <w:tcPr>
            <w:tcW w:w="228"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28</w:t>
            </w:r>
          </w:p>
        </w:tc>
        <w:tc>
          <w:tcPr>
            <w:tcW w:w="235" w:type="pct"/>
            <w:tcBorders>
              <w:top w:val="single" w:sz="4" w:space="0" w:color="000000" w:themeColor="text1"/>
              <w:left w:val="single" w:sz="4" w:space="0" w:color="000000" w:themeColor="text1"/>
              <w:bottom w:val="single" w:sz="4" w:space="0" w:color="auto"/>
              <w:right w:val="double" w:sz="6" w:space="0" w:color="auto"/>
            </w:tcBorders>
            <w:tcMar>
              <w:top w:w="29" w:type="dxa"/>
              <w:left w:w="29" w:type="dxa"/>
              <w:bottom w:w="43" w:type="dxa"/>
              <w:right w:w="29" w:type="dxa"/>
            </w:tcMar>
            <w:vAlign w:val="bottom"/>
          </w:tcPr>
          <w:p w:rsidR="00113336" w:rsidRPr="00FB5988" w:rsidRDefault="00D04577" w:rsidP="00D04577">
            <w:pPr>
              <w:jc w:val="center"/>
              <w:rPr>
                <w:rFonts w:ascii="Arial" w:hAnsi="Arial" w:cs="Arial"/>
                <w:sz w:val="13"/>
                <w:szCs w:val="13"/>
              </w:rPr>
            </w:pPr>
            <w:r w:rsidRPr="00FB5988">
              <w:rPr>
                <w:rFonts w:ascii="Arial" w:hAnsi="Arial" w:cs="Arial"/>
                <w:sz w:val="13"/>
                <w:szCs w:val="13"/>
              </w:rPr>
              <w:t>29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27</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28</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29</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D04577" w:rsidP="009B36BA">
            <w:pPr>
              <w:jc w:val="center"/>
              <w:rPr>
                <w:rFonts w:ascii="Arial" w:hAnsi="Arial" w:cs="Arial"/>
                <w:sz w:val="13"/>
                <w:szCs w:val="13"/>
              </w:rPr>
            </w:pPr>
            <w:r w:rsidRPr="00FB5988">
              <w:rPr>
                <w:rFonts w:ascii="Arial" w:hAnsi="Arial" w:cs="Arial"/>
                <w:sz w:val="13"/>
                <w:szCs w:val="13"/>
              </w:rPr>
              <w:t>30</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18" w:type="pct"/>
            <w:tcBorders>
              <w:top w:val="single" w:sz="4" w:space="0" w:color="000000" w:themeColor="text1"/>
              <w:left w:val="single" w:sz="4" w:space="0" w:color="000000" w:themeColor="text1"/>
              <w:bottom w:val="single" w:sz="4" w:space="0" w:color="auto"/>
              <w:right w:val="double" w:sz="6"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r>
      <w:tr w:rsidR="00D04577" w:rsidRPr="00FB5988" w:rsidTr="00D04577">
        <w:trPr>
          <w:trHeight w:val="319"/>
        </w:trPr>
        <w:tc>
          <w:tcPr>
            <w:tcW w:w="222" w:type="pct"/>
            <w:tcBorders>
              <w:top w:val="single" w:sz="4" w:space="0" w:color="auto"/>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04577" w:rsidRPr="00FB5988" w:rsidRDefault="00D04577" w:rsidP="00D04577">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D04577" w:rsidRPr="00FB5988" w:rsidRDefault="00D04577" w:rsidP="009B36BA">
            <w:pPr>
              <w:tabs>
                <w:tab w:val="center" w:pos="5220"/>
                <w:tab w:val="right" w:pos="10440"/>
              </w:tabs>
              <w:jc w:val="center"/>
              <w:rPr>
                <w:rFonts w:ascii="Arial" w:hAnsi="Arial" w:cs="Arial"/>
                <w:sz w:val="13"/>
                <w:szCs w:val="13"/>
              </w:rPr>
            </w:pPr>
          </w:p>
        </w:tc>
        <w:tc>
          <w:tcPr>
            <w:tcW w:w="228" w:type="pct"/>
            <w:tcBorders>
              <w:top w:val="single" w:sz="4" w:space="0" w:color="auto"/>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04577" w:rsidRPr="00FB5988" w:rsidRDefault="00D04577" w:rsidP="00D04577">
            <w:pPr>
              <w:jc w:val="center"/>
              <w:rPr>
                <w:rFonts w:ascii="Arial" w:hAnsi="Arial" w:cs="Arial"/>
                <w:sz w:val="13"/>
                <w:szCs w:val="13"/>
              </w:rPr>
            </w:pPr>
            <w:r w:rsidRPr="00FB5988">
              <w:rPr>
                <w:rFonts w:ascii="Arial" w:hAnsi="Arial" w:cs="Arial"/>
                <w:sz w:val="13"/>
                <w:szCs w:val="13"/>
              </w:rPr>
              <w:t>30</w:t>
            </w:r>
          </w:p>
        </w:tc>
        <w:tc>
          <w:tcPr>
            <w:tcW w:w="228" w:type="pct"/>
            <w:tcBorders>
              <w:top w:val="double" w:sz="4" w:space="0" w:color="000000" w:themeColor="text1"/>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D04577" w:rsidRPr="00FB5988" w:rsidRDefault="00D04577" w:rsidP="00D04577">
            <w:pPr>
              <w:jc w:val="center"/>
              <w:rPr>
                <w:rFonts w:ascii="Arial" w:hAnsi="Arial" w:cs="Arial"/>
                <w:sz w:val="13"/>
                <w:szCs w:val="13"/>
              </w:rPr>
            </w:pPr>
            <w:r w:rsidRPr="00FB5988">
              <w:rPr>
                <w:rFonts w:ascii="Arial" w:hAnsi="Arial" w:cs="Arial"/>
                <w:sz w:val="13"/>
                <w:szCs w:val="13"/>
              </w:rPr>
              <w:t>31</w:t>
            </w: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D04577">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D04577">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D04577">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D04577">
            <w:pPr>
              <w:jc w:val="center"/>
              <w:rPr>
                <w:rFonts w:ascii="Arial" w:hAnsi="Arial" w:cs="Arial"/>
                <w:sz w:val="13"/>
                <w:szCs w:val="13"/>
              </w:rPr>
            </w:pPr>
          </w:p>
        </w:tc>
        <w:tc>
          <w:tcPr>
            <w:tcW w:w="235" w:type="pct"/>
            <w:tcBorders>
              <w:top w:val="single" w:sz="4" w:space="0" w:color="auto"/>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04577" w:rsidRPr="00FB5988" w:rsidRDefault="00D04577" w:rsidP="00D04577">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D04577" w:rsidRPr="00FB5988" w:rsidRDefault="00D04577" w:rsidP="009B36BA">
            <w:pPr>
              <w:tabs>
                <w:tab w:val="center" w:pos="5220"/>
                <w:tab w:val="right" w:pos="10440"/>
              </w:tabs>
              <w:jc w:val="center"/>
              <w:rPr>
                <w:rFonts w:ascii="Arial" w:hAnsi="Arial" w:cs="Arial"/>
                <w:sz w:val="13"/>
                <w:szCs w:val="13"/>
              </w:rPr>
            </w:pPr>
          </w:p>
        </w:tc>
        <w:tc>
          <w:tcPr>
            <w:tcW w:w="224" w:type="pct"/>
            <w:tcBorders>
              <w:top w:val="single" w:sz="4" w:space="0" w:color="auto"/>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c>
          <w:tcPr>
            <w:tcW w:w="218" w:type="pct"/>
            <w:tcBorders>
              <w:top w:val="single" w:sz="4" w:space="0" w:color="auto"/>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04577" w:rsidRPr="00FB5988" w:rsidRDefault="00D04577" w:rsidP="009B36BA">
            <w:pPr>
              <w:jc w:val="center"/>
              <w:rPr>
                <w:rFonts w:ascii="Arial" w:hAnsi="Arial" w:cs="Arial"/>
                <w:sz w:val="13"/>
                <w:szCs w:val="13"/>
              </w:rPr>
            </w:pPr>
          </w:p>
        </w:tc>
      </w:tr>
      <w:tr w:rsidR="00113336" w:rsidRPr="00FB5988" w:rsidTr="009B36BA">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JULY – JUILLET</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AUGUST – AOÛT</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SEPTEMBER – SEPTEMBRE</w:t>
            </w:r>
          </w:p>
        </w:tc>
      </w:tr>
      <w:tr w:rsidR="00113336" w:rsidRPr="00FB5988" w:rsidTr="00A067B5">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6"/>
                <w:szCs w:val="16"/>
              </w:rPr>
            </w:pPr>
            <w:r w:rsidRPr="00FB5988">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W</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F</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D</w:t>
            </w:r>
          </w:p>
        </w:tc>
        <w:tc>
          <w:tcPr>
            <w:tcW w:w="228"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W</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F</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FB5988" w:rsidRDefault="00113336" w:rsidP="009B36B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W</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T</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F</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p w:rsidR="00113336" w:rsidRPr="00FB5988" w:rsidRDefault="00113336" w:rsidP="009B36BA">
            <w:pPr>
              <w:tabs>
                <w:tab w:val="center" w:pos="5220"/>
                <w:tab w:val="right" w:pos="10440"/>
              </w:tabs>
              <w:jc w:val="center"/>
              <w:rPr>
                <w:rFonts w:ascii="Arial" w:hAnsi="Arial" w:cs="Arial"/>
                <w:b/>
                <w:sz w:val="13"/>
                <w:szCs w:val="13"/>
              </w:rPr>
            </w:pPr>
            <w:r w:rsidRPr="00FB5988">
              <w:rPr>
                <w:rFonts w:ascii="Arial" w:hAnsi="Arial" w:cs="Arial"/>
                <w:b/>
                <w:sz w:val="13"/>
                <w:szCs w:val="13"/>
              </w:rPr>
              <w:t>S</w:t>
            </w:r>
          </w:p>
        </w:tc>
      </w:tr>
      <w:tr w:rsidR="00113336" w:rsidRPr="00FB5988" w:rsidTr="00A067B5">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FB5988" w:rsidRDefault="00A067B5" w:rsidP="009B36BA">
            <w:pPr>
              <w:jc w:val="center"/>
              <w:rPr>
                <w:rFonts w:ascii="Arial" w:hAnsi="Arial" w:cs="Arial"/>
                <w:b/>
                <w:sz w:val="13"/>
                <w:szCs w:val="13"/>
              </w:rPr>
            </w:pPr>
            <w:r w:rsidRPr="00FB5988">
              <w:rPr>
                <w:rFonts w:ascii="Arial" w:hAnsi="Arial" w:cs="Arial"/>
                <w:b/>
                <w:sz w:val="13"/>
                <w:szCs w:val="13"/>
              </w:rPr>
              <w:t>H</w:t>
            </w:r>
          </w:p>
          <w:p w:rsidR="00113336" w:rsidRPr="00FB5988" w:rsidRDefault="00A067B5" w:rsidP="009B36BA">
            <w:pPr>
              <w:jc w:val="center"/>
              <w:rPr>
                <w:rFonts w:ascii="Arial" w:hAnsi="Arial" w:cs="Arial"/>
                <w:sz w:val="13"/>
                <w:szCs w:val="13"/>
              </w:rPr>
            </w:pPr>
            <w:r w:rsidRPr="00FB5988">
              <w:rPr>
                <w:rFonts w:ascii="Arial" w:hAnsi="Arial" w:cs="Arial"/>
                <w:sz w:val="13"/>
                <w:szCs w:val="13"/>
              </w:rPr>
              <w:t>1</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FB5988" w:rsidRDefault="00A067B5" w:rsidP="009B36BA">
            <w:pPr>
              <w:jc w:val="center"/>
              <w:rPr>
                <w:rFonts w:ascii="Arial" w:hAnsi="Arial" w:cs="Arial"/>
                <w:b/>
                <w:sz w:val="13"/>
                <w:szCs w:val="13"/>
              </w:rPr>
            </w:pPr>
            <w:r w:rsidRPr="00FB5988">
              <w:rPr>
                <w:rFonts w:ascii="Arial" w:hAnsi="Arial" w:cs="Arial"/>
                <w:b/>
                <w:sz w:val="13"/>
                <w:szCs w:val="13"/>
              </w:rPr>
              <w:t>H</w:t>
            </w:r>
          </w:p>
          <w:p w:rsidR="00113336" w:rsidRPr="00FB5988" w:rsidRDefault="00A067B5" w:rsidP="009B36BA">
            <w:pPr>
              <w:jc w:val="center"/>
              <w:rPr>
                <w:rFonts w:ascii="Arial" w:hAnsi="Arial" w:cs="Arial"/>
                <w:sz w:val="13"/>
                <w:szCs w:val="13"/>
              </w:rPr>
            </w:pPr>
            <w:r w:rsidRPr="00FB5988">
              <w:rPr>
                <w:rFonts w:ascii="Arial" w:hAnsi="Arial" w:cs="Arial"/>
                <w:sz w:val="13"/>
                <w:szCs w:val="13"/>
              </w:rPr>
              <w:t>2</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b/>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3</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4</w:t>
            </w:r>
          </w:p>
        </w:tc>
      </w:tr>
      <w:tr w:rsidR="00113336" w:rsidRPr="00FB5988" w:rsidTr="00A067B5">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4</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6</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9</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8</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5</w:t>
            </w:r>
          </w:p>
        </w:tc>
        <w:tc>
          <w:tcPr>
            <w:tcW w:w="224" w:type="pct"/>
            <w:tcBorders>
              <w:top w:val="double" w:sz="4" w:space="0" w:color="auto"/>
              <w:left w:val="double" w:sz="4" w:space="0" w:color="auto"/>
              <w:bottom w:val="double" w:sz="4" w:space="0" w:color="auto"/>
              <w:right w:val="double" w:sz="4" w:space="0" w:color="000000" w:themeColor="text1"/>
            </w:tcBorders>
            <w:tcMar>
              <w:top w:w="29" w:type="dxa"/>
              <w:left w:w="29" w:type="dxa"/>
              <w:bottom w:w="43" w:type="dxa"/>
              <w:right w:w="29" w:type="dxa"/>
            </w:tcMar>
            <w:vAlign w:val="bottom"/>
          </w:tcPr>
          <w:p w:rsidR="00A067B5" w:rsidRPr="00FB5988" w:rsidRDefault="00A067B5" w:rsidP="009B36BA">
            <w:pPr>
              <w:jc w:val="center"/>
              <w:rPr>
                <w:rFonts w:ascii="Arial" w:hAnsi="Arial" w:cs="Arial"/>
                <w:b/>
                <w:sz w:val="13"/>
                <w:szCs w:val="13"/>
              </w:rPr>
            </w:pPr>
            <w:r w:rsidRPr="00FB5988">
              <w:rPr>
                <w:rFonts w:ascii="Arial" w:hAnsi="Arial" w:cs="Arial"/>
                <w:b/>
                <w:sz w:val="13"/>
                <w:szCs w:val="13"/>
              </w:rPr>
              <w:t>H</w:t>
            </w:r>
          </w:p>
          <w:p w:rsidR="00113336" w:rsidRPr="00FB5988" w:rsidRDefault="00A067B5" w:rsidP="009B36BA">
            <w:pPr>
              <w:jc w:val="center"/>
              <w:rPr>
                <w:rFonts w:ascii="Arial" w:hAnsi="Arial" w:cs="Arial"/>
                <w:sz w:val="13"/>
                <w:szCs w:val="13"/>
              </w:rPr>
            </w:pPr>
            <w:r w:rsidRPr="00FB5988">
              <w:rPr>
                <w:rFonts w:ascii="Arial" w:hAnsi="Arial" w:cs="Arial"/>
                <w:sz w:val="13"/>
                <w:szCs w:val="13"/>
              </w:rPr>
              <w:t>6</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FB5988" w:rsidRDefault="00A067B5" w:rsidP="009B36BA">
            <w:pPr>
              <w:jc w:val="center"/>
              <w:rPr>
                <w:rFonts w:ascii="Arial" w:hAnsi="Arial" w:cs="Arial"/>
                <w:b/>
                <w:sz w:val="13"/>
                <w:szCs w:val="13"/>
              </w:rPr>
            </w:pPr>
            <w:r w:rsidRPr="00FB5988">
              <w:rPr>
                <w:rFonts w:ascii="Arial" w:hAnsi="Arial" w:cs="Arial"/>
                <w:b/>
                <w:sz w:val="13"/>
                <w:szCs w:val="13"/>
              </w:rPr>
              <w:t>RH</w:t>
            </w:r>
          </w:p>
          <w:p w:rsidR="00113336" w:rsidRPr="00FB5988" w:rsidRDefault="00A067B5" w:rsidP="009B36BA">
            <w:pPr>
              <w:jc w:val="center"/>
              <w:rPr>
                <w:rFonts w:ascii="Arial" w:hAnsi="Arial" w:cs="Arial"/>
                <w:sz w:val="13"/>
                <w:szCs w:val="13"/>
              </w:rPr>
            </w:pPr>
            <w:r w:rsidRPr="00FB5988">
              <w:rPr>
                <w:rFonts w:ascii="Arial" w:hAnsi="Arial" w:cs="Arial"/>
                <w:sz w:val="13"/>
                <w:szCs w:val="13"/>
              </w:rPr>
              <w:t>7</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FB5988" w:rsidRDefault="00A067B5" w:rsidP="009B36BA">
            <w:pPr>
              <w:jc w:val="center"/>
              <w:rPr>
                <w:rFonts w:ascii="Arial" w:hAnsi="Arial" w:cs="Arial"/>
                <w:b/>
                <w:sz w:val="13"/>
                <w:szCs w:val="13"/>
              </w:rPr>
            </w:pPr>
            <w:r w:rsidRPr="00FB5988">
              <w:rPr>
                <w:rFonts w:ascii="Arial" w:hAnsi="Arial" w:cs="Arial"/>
                <w:b/>
                <w:sz w:val="13"/>
                <w:szCs w:val="13"/>
              </w:rPr>
              <w:t>RH</w:t>
            </w:r>
          </w:p>
          <w:p w:rsidR="00113336" w:rsidRPr="00FB5988" w:rsidRDefault="00A067B5" w:rsidP="009B36BA">
            <w:pPr>
              <w:jc w:val="center"/>
              <w:rPr>
                <w:rFonts w:ascii="Arial" w:hAnsi="Arial" w:cs="Arial"/>
                <w:sz w:val="13"/>
                <w:szCs w:val="13"/>
              </w:rPr>
            </w:pPr>
            <w:r w:rsidRPr="00FB5988">
              <w:rPr>
                <w:rFonts w:ascii="Arial" w:hAnsi="Arial" w:cs="Arial"/>
                <w:sz w:val="13"/>
                <w:szCs w:val="13"/>
              </w:rPr>
              <w:t>8</w:t>
            </w:r>
          </w:p>
        </w:tc>
        <w:tc>
          <w:tcPr>
            <w:tcW w:w="224" w:type="pct"/>
            <w:tcBorders>
              <w:top w:val="single" w:sz="4" w:space="0" w:color="000000" w:themeColor="text1"/>
              <w:left w:val="doub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10</w:t>
            </w:r>
          </w:p>
        </w:tc>
        <w:tc>
          <w:tcPr>
            <w:tcW w:w="218" w:type="pct"/>
            <w:tcBorders>
              <w:top w:val="single" w:sz="4"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11</w:t>
            </w:r>
          </w:p>
        </w:tc>
      </w:tr>
      <w:tr w:rsidR="00113336" w:rsidRPr="00FB5988" w:rsidTr="00A067B5">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20</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12</w:t>
            </w:r>
          </w:p>
        </w:tc>
        <w:tc>
          <w:tcPr>
            <w:tcW w:w="224" w:type="pct"/>
            <w:tcBorders>
              <w:top w:val="double" w:sz="4"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13</w:t>
            </w:r>
          </w:p>
        </w:tc>
        <w:tc>
          <w:tcPr>
            <w:tcW w:w="224"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14</w:t>
            </w:r>
          </w:p>
        </w:tc>
        <w:tc>
          <w:tcPr>
            <w:tcW w:w="224" w:type="pct"/>
            <w:tcBorders>
              <w:top w:val="double" w:sz="4" w:space="0" w:color="000000" w:themeColor="text1"/>
              <w:left w:val="single" w:sz="4"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15</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FB5988" w:rsidRDefault="00A067B5" w:rsidP="009B36BA">
            <w:pPr>
              <w:jc w:val="center"/>
              <w:rPr>
                <w:rFonts w:ascii="Arial" w:hAnsi="Arial" w:cs="Arial"/>
                <w:b/>
                <w:sz w:val="13"/>
                <w:szCs w:val="13"/>
              </w:rPr>
            </w:pPr>
            <w:r w:rsidRPr="00FB5988">
              <w:rPr>
                <w:rFonts w:ascii="Arial" w:hAnsi="Arial" w:cs="Arial"/>
                <w:b/>
                <w:sz w:val="13"/>
                <w:szCs w:val="13"/>
              </w:rPr>
              <w:t>YK</w:t>
            </w:r>
          </w:p>
          <w:p w:rsidR="00113336" w:rsidRPr="00FB5988" w:rsidRDefault="00A067B5" w:rsidP="009B36BA">
            <w:pPr>
              <w:jc w:val="center"/>
              <w:rPr>
                <w:rFonts w:ascii="Arial" w:hAnsi="Arial" w:cs="Arial"/>
                <w:sz w:val="13"/>
                <w:szCs w:val="13"/>
              </w:rPr>
            </w:pPr>
            <w:r w:rsidRPr="00FB5988">
              <w:rPr>
                <w:rFonts w:ascii="Arial" w:hAnsi="Arial" w:cs="Arial"/>
                <w:sz w:val="13"/>
                <w:szCs w:val="13"/>
              </w:rPr>
              <w:t>16</w:t>
            </w:r>
          </w:p>
        </w:tc>
        <w:tc>
          <w:tcPr>
            <w:tcW w:w="224"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17</w:t>
            </w:r>
          </w:p>
        </w:tc>
        <w:tc>
          <w:tcPr>
            <w:tcW w:w="218" w:type="pct"/>
            <w:tcBorders>
              <w:top w:val="single" w:sz="4" w:space="0" w:color="000000" w:themeColor="text1"/>
              <w:left w:val="single" w:sz="4"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18</w:t>
            </w:r>
          </w:p>
        </w:tc>
      </w:tr>
      <w:tr w:rsidR="00113336" w:rsidRPr="00FB5988" w:rsidTr="00A067B5">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19</w:t>
            </w:r>
          </w:p>
        </w:tc>
        <w:tc>
          <w:tcPr>
            <w:tcW w:w="224"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22</w:t>
            </w:r>
          </w:p>
        </w:tc>
        <w:tc>
          <w:tcPr>
            <w:tcW w:w="224"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24</w:t>
            </w:r>
          </w:p>
        </w:tc>
        <w:tc>
          <w:tcPr>
            <w:tcW w:w="218" w:type="pct"/>
            <w:tcBorders>
              <w:top w:val="single" w:sz="4"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25</w:t>
            </w:r>
          </w:p>
        </w:tc>
      </w:tr>
      <w:tr w:rsidR="00113336" w:rsidRPr="00FB5988" w:rsidTr="00A067B5">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25</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26</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27</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30</w:t>
            </w: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31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FB5988" w:rsidRDefault="00A067B5" w:rsidP="00A067B5">
            <w:pPr>
              <w:jc w:val="center"/>
              <w:rPr>
                <w:rFonts w:ascii="Arial" w:hAnsi="Arial" w:cs="Arial"/>
                <w:sz w:val="13"/>
                <w:szCs w:val="13"/>
              </w:rPr>
            </w:pPr>
            <w:r w:rsidRPr="00FB5988">
              <w:rPr>
                <w:rFonts w:ascii="Arial" w:hAnsi="Arial" w:cs="Arial"/>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A067B5">
            <w:pPr>
              <w:jc w:val="center"/>
              <w:rPr>
                <w:rFonts w:ascii="Arial" w:hAnsi="Arial" w:cs="Arial"/>
                <w:sz w:val="13"/>
                <w:szCs w:val="13"/>
              </w:rPr>
            </w:pPr>
            <w:r w:rsidRPr="00FB5988">
              <w:rPr>
                <w:rFonts w:ascii="Arial" w:hAnsi="Arial" w:cs="Arial"/>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A067B5">
            <w:pPr>
              <w:jc w:val="center"/>
              <w:rPr>
                <w:rFonts w:ascii="Arial" w:hAnsi="Arial" w:cs="Arial"/>
                <w:sz w:val="13"/>
                <w:szCs w:val="13"/>
              </w:rPr>
            </w:pPr>
            <w:r w:rsidRPr="00FB5988">
              <w:rPr>
                <w:rFonts w:ascii="Arial" w:hAnsi="Arial" w:cs="Arial"/>
                <w:sz w:val="13"/>
                <w:szCs w:val="13"/>
              </w:rPr>
              <w:t>31</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A067B5">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A067B5">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A067B5">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FB5988" w:rsidRDefault="00113336" w:rsidP="00A067B5">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FB5988"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single" w:sz="4" w:space="0" w:color="auto"/>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26</w:t>
            </w:r>
          </w:p>
        </w:tc>
        <w:tc>
          <w:tcPr>
            <w:tcW w:w="224" w:type="pct"/>
            <w:tcBorders>
              <w:top w:val="single" w:sz="4" w:space="0" w:color="auto"/>
              <w:left w:val="single" w:sz="4" w:space="0" w:color="auto"/>
              <w:bottom w:val="double" w:sz="4" w:space="0" w:color="auto"/>
              <w:right w:val="single" w:sz="4" w:space="0" w:color="auto"/>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27</w:t>
            </w:r>
          </w:p>
        </w:tc>
        <w:tc>
          <w:tcPr>
            <w:tcW w:w="224" w:type="pct"/>
            <w:tcBorders>
              <w:top w:val="single" w:sz="4" w:space="0" w:color="000000" w:themeColor="text1"/>
              <w:left w:val="single" w:sz="4"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28</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29</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A067B5" w:rsidP="009B36BA">
            <w:pPr>
              <w:jc w:val="center"/>
              <w:rPr>
                <w:rFonts w:ascii="Arial" w:hAnsi="Arial" w:cs="Arial"/>
                <w:sz w:val="13"/>
                <w:szCs w:val="13"/>
              </w:rPr>
            </w:pPr>
            <w:r w:rsidRPr="00FB5988">
              <w:rPr>
                <w:rFonts w:ascii="Arial" w:hAnsi="Arial" w:cs="Arial"/>
                <w:sz w:val="13"/>
                <w:szCs w:val="13"/>
              </w:rPr>
              <w:t>30</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c>
          <w:tcPr>
            <w:tcW w:w="21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FB5988" w:rsidRDefault="00113336" w:rsidP="009B36BA">
            <w:pPr>
              <w:jc w:val="center"/>
              <w:rPr>
                <w:rFonts w:ascii="Arial" w:hAnsi="Arial" w:cs="Arial"/>
                <w:sz w:val="13"/>
                <w:szCs w:val="13"/>
              </w:rPr>
            </w:pPr>
          </w:p>
        </w:tc>
      </w:tr>
    </w:tbl>
    <w:p w:rsidR="00113336" w:rsidRPr="00FB5988" w:rsidRDefault="00113336" w:rsidP="00B4618C">
      <w:pPr>
        <w:tabs>
          <w:tab w:val="center" w:pos="5220"/>
          <w:tab w:val="right" w:pos="10440"/>
        </w:tabs>
        <w:jc w:val="center"/>
        <w:rPr>
          <w:rFonts w:ascii="Arial" w:hAnsi="Arial" w:cs="Arial"/>
          <w:sz w:val="14"/>
          <w:szCs w:val="14"/>
          <w:lang w:val="fr-CA"/>
        </w:rPr>
      </w:pPr>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540"/>
        <w:gridCol w:w="3524"/>
        <w:gridCol w:w="3828"/>
        <w:gridCol w:w="567"/>
      </w:tblGrid>
      <w:tr w:rsidR="00113336" w:rsidRPr="00FB5988" w:rsidTr="00B4618C">
        <w:trPr>
          <w:trHeight w:val="445"/>
        </w:trPr>
        <w:tc>
          <w:tcPr>
            <w:tcW w:w="1890" w:type="dxa"/>
            <w:tcBorders>
              <w:top w:val="nil"/>
              <w:left w:val="nil"/>
              <w:bottom w:val="nil"/>
              <w:right w:val="single" w:sz="4" w:space="0" w:color="000000" w:themeColor="text1"/>
            </w:tcBorders>
            <w:vAlign w:val="center"/>
            <w:hideMark/>
          </w:tcPr>
          <w:p w:rsidR="00113336" w:rsidRPr="00FB5988" w:rsidRDefault="00113336" w:rsidP="009B36BA">
            <w:pPr>
              <w:rPr>
                <w:rFonts w:ascii="Arial" w:hAnsi="Arial" w:cs="Arial"/>
                <w:b/>
                <w:sz w:val="13"/>
                <w:szCs w:val="13"/>
              </w:rPr>
            </w:pPr>
            <w:r w:rsidRPr="00FB5988">
              <w:rPr>
                <w:rFonts w:ascii="Arial" w:hAnsi="Arial" w:cs="Arial"/>
                <w:b/>
                <w:sz w:val="13"/>
                <w:szCs w:val="13"/>
              </w:rPr>
              <w:t>Sitting of the Court /</w:t>
            </w:r>
          </w:p>
          <w:p w:rsidR="00113336" w:rsidRPr="00FB5988" w:rsidRDefault="00113336" w:rsidP="009B36BA">
            <w:pPr>
              <w:rPr>
                <w:rFonts w:ascii="Arial" w:hAnsi="Arial" w:cs="Arial"/>
                <w:b/>
                <w:sz w:val="13"/>
                <w:szCs w:val="13"/>
              </w:rPr>
            </w:pPr>
            <w:r w:rsidRPr="00FB5988">
              <w:rPr>
                <w:rFonts w:ascii="Arial" w:hAnsi="Arial" w:cs="Arial"/>
                <w:b/>
                <w:sz w:val="13"/>
                <w:szCs w:val="13"/>
              </w:rPr>
              <w:t>Séance de la Cour</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113336" w:rsidRPr="00FB5988" w:rsidRDefault="00113336" w:rsidP="009B36BA">
            <w:pPr>
              <w:jc w:val="center"/>
              <w:rPr>
                <w:rFonts w:ascii="Arial" w:hAnsi="Arial" w:cs="Arial"/>
                <w:b/>
                <w:sz w:val="13"/>
                <w:szCs w:val="13"/>
              </w:rPr>
            </w:pPr>
          </w:p>
        </w:tc>
        <w:tc>
          <w:tcPr>
            <w:tcW w:w="3524" w:type="dxa"/>
            <w:tcBorders>
              <w:top w:val="nil"/>
              <w:left w:val="single" w:sz="4" w:space="0" w:color="000000" w:themeColor="text1"/>
              <w:bottom w:val="nil"/>
              <w:right w:val="nil"/>
            </w:tcBorders>
            <w:hideMark/>
          </w:tcPr>
          <w:p w:rsidR="00113336" w:rsidRPr="00FB5988" w:rsidRDefault="00113336" w:rsidP="009B36BA">
            <w:pPr>
              <w:tabs>
                <w:tab w:val="left" w:pos="203"/>
              </w:tabs>
              <w:spacing w:after="120"/>
              <w:rPr>
                <w:rFonts w:ascii="Arial" w:hAnsi="Arial" w:cs="Arial"/>
                <w:b/>
                <w:sz w:val="13"/>
                <w:szCs w:val="13"/>
                <w:lang w:val="fr-CA"/>
              </w:rPr>
            </w:pPr>
            <w:r w:rsidRPr="00FB5988">
              <w:rPr>
                <w:rFonts w:ascii="Arial" w:hAnsi="Arial" w:cs="Arial"/>
                <w:b/>
                <w:sz w:val="13"/>
                <w:szCs w:val="13"/>
                <w:lang w:val="fr-CA"/>
              </w:rPr>
              <w:t>18</w:t>
            </w:r>
            <w:r w:rsidRPr="00FB5988">
              <w:rPr>
                <w:rFonts w:ascii="Arial" w:hAnsi="Arial" w:cs="Arial"/>
                <w:b/>
                <w:sz w:val="13"/>
                <w:szCs w:val="13"/>
                <w:lang w:val="fr-CA"/>
              </w:rPr>
              <w:tab/>
              <w:t xml:space="preserve"> sitting weeks / semaines séances de la Cour</w:t>
            </w:r>
          </w:p>
          <w:p w:rsidR="00113336" w:rsidRPr="00FB5988" w:rsidRDefault="00113336" w:rsidP="00B4618C">
            <w:pPr>
              <w:tabs>
                <w:tab w:val="left" w:pos="203"/>
              </w:tabs>
              <w:rPr>
                <w:rFonts w:ascii="Arial" w:hAnsi="Arial" w:cs="Arial"/>
                <w:b/>
                <w:sz w:val="13"/>
                <w:szCs w:val="13"/>
                <w:lang w:val="fr-CA"/>
              </w:rPr>
            </w:pPr>
            <w:r w:rsidRPr="00FB5988">
              <w:rPr>
                <w:rFonts w:ascii="Arial" w:hAnsi="Arial" w:cs="Arial"/>
                <w:b/>
                <w:sz w:val="13"/>
                <w:szCs w:val="13"/>
                <w:lang w:val="fr-CA"/>
              </w:rPr>
              <w:t>8</w:t>
            </w:r>
            <w:r w:rsidR="00B4618C" w:rsidRPr="00FB5988">
              <w:rPr>
                <w:rFonts w:ascii="Arial" w:hAnsi="Arial" w:cs="Arial"/>
                <w:b/>
                <w:sz w:val="13"/>
                <w:szCs w:val="13"/>
                <w:lang w:val="fr-CA"/>
              </w:rPr>
              <w:t>8</w:t>
            </w:r>
            <w:r w:rsidRPr="00FB5988">
              <w:rPr>
                <w:rFonts w:ascii="Arial" w:hAnsi="Arial" w:cs="Arial"/>
                <w:b/>
                <w:sz w:val="13"/>
                <w:szCs w:val="13"/>
                <w:lang w:val="fr-CA"/>
              </w:rPr>
              <w:tab/>
              <w:t xml:space="preserve"> sitting days / journées séances de la Cour</w:t>
            </w:r>
          </w:p>
        </w:tc>
        <w:tc>
          <w:tcPr>
            <w:tcW w:w="3828" w:type="dxa"/>
            <w:tcMar>
              <w:top w:w="0" w:type="dxa"/>
              <w:left w:w="58" w:type="dxa"/>
              <w:bottom w:w="0" w:type="dxa"/>
              <w:right w:w="58" w:type="dxa"/>
            </w:tcMar>
            <w:hideMark/>
          </w:tcPr>
          <w:p w:rsidR="00113336" w:rsidRPr="00FB5988" w:rsidRDefault="00113336" w:rsidP="009B36BA">
            <w:pPr>
              <w:spacing w:after="120"/>
              <w:rPr>
                <w:rFonts w:ascii="Arial" w:hAnsi="Arial" w:cs="Arial"/>
                <w:b/>
                <w:sz w:val="13"/>
                <w:szCs w:val="13"/>
                <w:lang w:val="fr-FR"/>
              </w:rPr>
            </w:pPr>
            <w:r w:rsidRPr="00FB5988">
              <w:rPr>
                <w:rFonts w:ascii="Arial" w:hAnsi="Arial" w:cs="Arial"/>
                <w:b/>
                <w:sz w:val="13"/>
                <w:szCs w:val="13"/>
                <w:lang w:val="fr-FR"/>
              </w:rPr>
              <w:t>Rosh Hashanah / Nouvel An juif</w:t>
            </w:r>
          </w:p>
          <w:p w:rsidR="00113336" w:rsidRPr="00FB5988" w:rsidRDefault="00113336" w:rsidP="00B4618C">
            <w:pPr>
              <w:rPr>
                <w:rFonts w:ascii="Arial" w:hAnsi="Arial" w:cs="Arial"/>
                <w:b/>
                <w:sz w:val="13"/>
                <w:szCs w:val="13"/>
                <w:lang w:val="fr-CA"/>
              </w:rPr>
            </w:pPr>
            <w:r w:rsidRPr="00FB5988">
              <w:rPr>
                <w:rFonts w:ascii="Arial" w:hAnsi="Arial" w:cs="Arial"/>
                <w:b/>
                <w:sz w:val="13"/>
                <w:szCs w:val="13"/>
                <w:lang w:val="fr-FR"/>
              </w:rPr>
              <w:t xml:space="preserve">Yom </w:t>
            </w:r>
            <w:proofErr w:type="spellStart"/>
            <w:r w:rsidRPr="00FB5988">
              <w:rPr>
                <w:rFonts w:ascii="Arial" w:hAnsi="Arial" w:cs="Arial"/>
                <w:b/>
                <w:sz w:val="13"/>
                <w:szCs w:val="13"/>
                <w:lang w:val="fr-FR"/>
              </w:rPr>
              <w:t>Kippur</w:t>
            </w:r>
            <w:proofErr w:type="spellEnd"/>
            <w:r w:rsidRPr="00FB5988">
              <w:rPr>
                <w:rFonts w:ascii="Arial" w:hAnsi="Arial" w:cs="Arial"/>
                <w:b/>
                <w:sz w:val="13"/>
                <w:szCs w:val="13"/>
                <w:lang w:val="fr-FR"/>
              </w:rPr>
              <w:t xml:space="preserve"> / Yom Kippour</w:t>
            </w:r>
          </w:p>
        </w:tc>
        <w:tc>
          <w:tcPr>
            <w:tcW w:w="567" w:type="dxa"/>
            <w:hideMark/>
          </w:tcPr>
          <w:p w:rsidR="00113336" w:rsidRPr="00FB5988" w:rsidRDefault="00113336" w:rsidP="009B36BA">
            <w:pPr>
              <w:spacing w:after="120"/>
              <w:jc w:val="center"/>
              <w:rPr>
                <w:rFonts w:ascii="Arial" w:hAnsi="Arial" w:cs="Arial"/>
                <w:b/>
                <w:sz w:val="13"/>
                <w:szCs w:val="13"/>
                <w:lang w:val="fr-CA"/>
              </w:rPr>
            </w:pPr>
            <w:r w:rsidRPr="00FB5988">
              <w:rPr>
                <w:rFonts w:ascii="Arial" w:hAnsi="Arial" w:cs="Arial"/>
                <w:b/>
                <w:sz w:val="13"/>
                <w:szCs w:val="13"/>
                <w:lang w:val="fr-CA"/>
              </w:rPr>
              <w:t>RH</w:t>
            </w:r>
          </w:p>
          <w:p w:rsidR="00113336" w:rsidRPr="00FB5988" w:rsidRDefault="00113336" w:rsidP="009B36BA">
            <w:pPr>
              <w:jc w:val="center"/>
              <w:rPr>
                <w:rFonts w:ascii="Arial" w:hAnsi="Arial" w:cs="Arial"/>
                <w:b/>
                <w:sz w:val="13"/>
                <w:szCs w:val="13"/>
                <w:lang w:val="fr-CA"/>
              </w:rPr>
            </w:pPr>
            <w:r w:rsidRPr="00FB5988">
              <w:rPr>
                <w:rFonts w:ascii="Arial" w:hAnsi="Arial" w:cs="Arial"/>
                <w:b/>
                <w:sz w:val="13"/>
                <w:szCs w:val="13"/>
                <w:lang w:val="fr-CA"/>
              </w:rPr>
              <w:t>YK</w:t>
            </w:r>
          </w:p>
        </w:tc>
      </w:tr>
      <w:tr w:rsidR="00113336" w:rsidRPr="00EB6AAD" w:rsidTr="00B4618C">
        <w:trPr>
          <w:trHeight w:val="390"/>
        </w:trPr>
        <w:tc>
          <w:tcPr>
            <w:tcW w:w="1890" w:type="dxa"/>
            <w:tcBorders>
              <w:top w:val="nil"/>
              <w:left w:val="nil"/>
              <w:bottom w:val="nil"/>
              <w:right w:val="double" w:sz="4" w:space="0" w:color="auto"/>
            </w:tcBorders>
            <w:vAlign w:val="center"/>
            <w:hideMark/>
          </w:tcPr>
          <w:p w:rsidR="00113336" w:rsidRPr="00FB5988" w:rsidRDefault="00113336" w:rsidP="009B36BA">
            <w:pPr>
              <w:spacing w:before="60"/>
              <w:rPr>
                <w:rFonts w:ascii="Arial" w:hAnsi="Arial" w:cs="Arial"/>
                <w:b/>
                <w:sz w:val="13"/>
                <w:szCs w:val="13"/>
                <w:lang w:val="fr-CA"/>
              </w:rPr>
            </w:pPr>
            <w:r w:rsidRPr="00FB5988">
              <w:rPr>
                <w:rFonts w:ascii="Arial" w:hAnsi="Arial" w:cs="Arial"/>
                <w:b/>
                <w:sz w:val="13"/>
                <w:szCs w:val="13"/>
                <w:lang w:val="fr-CA"/>
              </w:rPr>
              <w:t>Court conference /</w:t>
            </w:r>
          </w:p>
          <w:p w:rsidR="00113336" w:rsidRPr="00FB5988" w:rsidRDefault="00113336" w:rsidP="009B36BA">
            <w:pPr>
              <w:rPr>
                <w:rFonts w:ascii="Arial" w:hAnsi="Arial" w:cs="Arial"/>
                <w:b/>
                <w:sz w:val="13"/>
                <w:szCs w:val="13"/>
                <w:lang w:val="fr-CA"/>
              </w:rPr>
            </w:pPr>
            <w:r w:rsidRPr="00FB5988">
              <w:rPr>
                <w:rFonts w:ascii="Arial" w:hAnsi="Arial" w:cs="Arial"/>
                <w:b/>
                <w:sz w:val="13"/>
                <w:szCs w:val="13"/>
                <w:lang w:val="fr-CA"/>
              </w:rPr>
              <w:t>Conférence de la Cour</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113336" w:rsidRPr="00FB5988" w:rsidRDefault="00113336" w:rsidP="009B36BA">
            <w:pPr>
              <w:jc w:val="center"/>
              <w:rPr>
                <w:rFonts w:ascii="Arial" w:hAnsi="Arial" w:cs="Arial"/>
                <w:b/>
                <w:sz w:val="13"/>
                <w:szCs w:val="13"/>
                <w:lang w:val="fr-FR"/>
              </w:rPr>
            </w:pPr>
            <w:r w:rsidRPr="00FB5988">
              <w:rPr>
                <w:rFonts w:ascii="Arial" w:hAnsi="Arial" w:cs="Arial"/>
                <w:b/>
                <w:sz w:val="13"/>
                <w:szCs w:val="13"/>
                <w:lang w:val="fr-FR"/>
              </w:rPr>
              <w:t>CC</w:t>
            </w:r>
          </w:p>
        </w:tc>
        <w:tc>
          <w:tcPr>
            <w:tcW w:w="3524" w:type="dxa"/>
            <w:tcBorders>
              <w:top w:val="nil"/>
              <w:left w:val="double" w:sz="4" w:space="0" w:color="auto"/>
              <w:bottom w:val="nil"/>
              <w:right w:val="nil"/>
            </w:tcBorders>
            <w:hideMark/>
          </w:tcPr>
          <w:p w:rsidR="00113336" w:rsidRPr="00FB5988" w:rsidRDefault="00113336" w:rsidP="009B36BA">
            <w:pPr>
              <w:tabs>
                <w:tab w:val="left" w:pos="203"/>
              </w:tabs>
              <w:spacing w:before="120"/>
              <w:rPr>
                <w:rFonts w:ascii="Arial" w:hAnsi="Arial" w:cs="Arial"/>
                <w:b/>
                <w:sz w:val="13"/>
                <w:szCs w:val="13"/>
                <w:lang w:val="fr-CA"/>
              </w:rPr>
            </w:pPr>
            <w:r w:rsidRPr="00FB5988">
              <w:rPr>
                <w:rFonts w:ascii="Arial" w:hAnsi="Arial" w:cs="Arial"/>
                <w:b/>
                <w:sz w:val="13"/>
                <w:szCs w:val="13"/>
                <w:lang w:val="fr-CA"/>
              </w:rPr>
              <w:t>9</w:t>
            </w:r>
            <w:r w:rsidRPr="00FB5988">
              <w:rPr>
                <w:rFonts w:ascii="Arial" w:hAnsi="Arial" w:cs="Arial"/>
                <w:b/>
                <w:sz w:val="13"/>
                <w:szCs w:val="13"/>
                <w:lang w:val="fr-CA"/>
              </w:rPr>
              <w:tab/>
              <w:t>Court conference days /</w:t>
            </w:r>
          </w:p>
          <w:p w:rsidR="00113336" w:rsidRPr="00FB5988" w:rsidRDefault="00113336" w:rsidP="00B4618C">
            <w:pPr>
              <w:tabs>
                <w:tab w:val="left" w:pos="203"/>
              </w:tabs>
              <w:rPr>
                <w:rFonts w:ascii="Arial" w:hAnsi="Arial" w:cs="Arial"/>
                <w:b/>
                <w:sz w:val="13"/>
                <w:szCs w:val="13"/>
                <w:lang w:val="fr-CA"/>
              </w:rPr>
            </w:pPr>
            <w:r w:rsidRPr="00FB5988">
              <w:rPr>
                <w:rFonts w:ascii="Arial" w:hAnsi="Arial" w:cs="Arial"/>
                <w:b/>
                <w:sz w:val="13"/>
                <w:szCs w:val="13"/>
                <w:lang w:val="fr-CA"/>
              </w:rPr>
              <w:tab/>
              <w:t>jours de conférence de la Cour</w:t>
            </w:r>
          </w:p>
        </w:tc>
        <w:tc>
          <w:tcPr>
            <w:tcW w:w="3828" w:type="dxa"/>
            <w:tcMar>
              <w:top w:w="0" w:type="dxa"/>
              <w:left w:w="58" w:type="dxa"/>
              <w:bottom w:w="0" w:type="dxa"/>
              <w:right w:w="58" w:type="dxa"/>
            </w:tcMar>
          </w:tcPr>
          <w:p w:rsidR="00113336" w:rsidRPr="00FB5988" w:rsidRDefault="00113336" w:rsidP="009B36BA">
            <w:pPr>
              <w:rPr>
                <w:rFonts w:ascii="Arial" w:hAnsi="Arial" w:cs="Arial"/>
                <w:b/>
                <w:sz w:val="13"/>
                <w:szCs w:val="13"/>
                <w:lang w:val="fr-CA"/>
              </w:rPr>
            </w:pPr>
          </w:p>
        </w:tc>
        <w:tc>
          <w:tcPr>
            <w:tcW w:w="567" w:type="dxa"/>
          </w:tcPr>
          <w:p w:rsidR="00113336" w:rsidRPr="00FB5988" w:rsidRDefault="00113336" w:rsidP="009B36BA">
            <w:pPr>
              <w:jc w:val="center"/>
              <w:rPr>
                <w:rFonts w:ascii="Arial" w:hAnsi="Arial" w:cs="Arial"/>
                <w:b/>
                <w:sz w:val="13"/>
                <w:szCs w:val="13"/>
                <w:lang w:val="fr-CA"/>
              </w:rPr>
            </w:pPr>
          </w:p>
        </w:tc>
      </w:tr>
      <w:tr w:rsidR="00113336" w:rsidRPr="00A34493" w:rsidTr="00B4618C">
        <w:trPr>
          <w:trHeight w:val="35"/>
        </w:trPr>
        <w:tc>
          <w:tcPr>
            <w:tcW w:w="1890" w:type="dxa"/>
            <w:tcBorders>
              <w:top w:val="nil"/>
              <w:left w:val="nil"/>
              <w:bottom w:val="nil"/>
              <w:right w:val="double" w:sz="4" w:space="0" w:color="auto"/>
            </w:tcBorders>
            <w:vAlign w:val="center"/>
            <w:hideMark/>
          </w:tcPr>
          <w:p w:rsidR="00113336" w:rsidRPr="00FB5988" w:rsidRDefault="00113336" w:rsidP="009B36BA">
            <w:pPr>
              <w:rPr>
                <w:rFonts w:ascii="Arial" w:hAnsi="Arial" w:cs="Arial"/>
                <w:b/>
                <w:sz w:val="13"/>
                <w:szCs w:val="13"/>
              </w:rPr>
            </w:pPr>
            <w:r w:rsidRPr="00FB5988">
              <w:rPr>
                <w:rFonts w:ascii="Arial" w:hAnsi="Arial" w:cs="Arial"/>
                <w:b/>
                <w:sz w:val="13"/>
                <w:szCs w:val="13"/>
              </w:rPr>
              <w:t xml:space="preserve">Holiday / </w:t>
            </w:r>
            <w:r w:rsidRPr="00FB5988">
              <w:rPr>
                <w:rFonts w:ascii="Arial" w:hAnsi="Arial" w:cs="Arial"/>
                <w:b/>
                <w:sz w:val="13"/>
                <w:szCs w:val="13"/>
                <w:lang w:val="fr-CA"/>
              </w:rPr>
              <w:t>Jour férié</w:t>
            </w:r>
          </w:p>
        </w:tc>
        <w:tc>
          <w:tcPr>
            <w:tcW w:w="540" w:type="dxa"/>
            <w:tcBorders>
              <w:top w:val="double" w:sz="4" w:space="0" w:color="auto"/>
              <w:left w:val="double" w:sz="4" w:space="0" w:color="auto"/>
              <w:bottom w:val="double" w:sz="4" w:space="0" w:color="auto"/>
              <w:right w:val="double" w:sz="4" w:space="0" w:color="auto"/>
            </w:tcBorders>
            <w:vAlign w:val="center"/>
            <w:hideMark/>
          </w:tcPr>
          <w:p w:rsidR="00113336" w:rsidRPr="00FB5988" w:rsidRDefault="00113336" w:rsidP="009B36BA">
            <w:pPr>
              <w:jc w:val="center"/>
              <w:rPr>
                <w:rFonts w:ascii="Arial" w:hAnsi="Arial" w:cs="Arial"/>
                <w:b/>
                <w:sz w:val="13"/>
                <w:szCs w:val="13"/>
              </w:rPr>
            </w:pPr>
            <w:r w:rsidRPr="00FB5988">
              <w:rPr>
                <w:rFonts w:ascii="Arial" w:hAnsi="Arial" w:cs="Arial"/>
                <w:b/>
                <w:sz w:val="13"/>
                <w:szCs w:val="13"/>
              </w:rPr>
              <w:t>H</w:t>
            </w:r>
          </w:p>
        </w:tc>
        <w:tc>
          <w:tcPr>
            <w:tcW w:w="3524" w:type="dxa"/>
            <w:tcBorders>
              <w:top w:val="nil"/>
              <w:left w:val="double" w:sz="4" w:space="0" w:color="auto"/>
              <w:bottom w:val="nil"/>
              <w:right w:val="nil"/>
            </w:tcBorders>
            <w:hideMark/>
          </w:tcPr>
          <w:p w:rsidR="00113336" w:rsidRPr="00FB5988" w:rsidRDefault="00B4618C" w:rsidP="009B36BA">
            <w:pPr>
              <w:tabs>
                <w:tab w:val="left" w:pos="203"/>
              </w:tabs>
              <w:spacing w:before="120"/>
              <w:rPr>
                <w:rFonts w:ascii="Arial" w:hAnsi="Arial" w:cs="Arial"/>
                <w:b/>
                <w:sz w:val="13"/>
                <w:szCs w:val="13"/>
              </w:rPr>
            </w:pPr>
            <w:r w:rsidRPr="00FB5988">
              <w:rPr>
                <w:rFonts w:ascii="Arial" w:hAnsi="Arial" w:cs="Arial"/>
                <w:b/>
                <w:sz w:val="13"/>
                <w:szCs w:val="13"/>
              </w:rPr>
              <w:t>2</w:t>
            </w:r>
            <w:r w:rsidR="00113336" w:rsidRPr="00FB5988">
              <w:rPr>
                <w:rFonts w:ascii="Arial" w:hAnsi="Arial" w:cs="Arial"/>
                <w:b/>
                <w:sz w:val="13"/>
                <w:szCs w:val="13"/>
              </w:rPr>
              <w:tab/>
              <w:t xml:space="preserve">holidays during sitting days / </w:t>
            </w:r>
          </w:p>
          <w:p w:rsidR="00113336" w:rsidRPr="00B4618C" w:rsidRDefault="00113336" w:rsidP="009B36BA">
            <w:pPr>
              <w:tabs>
                <w:tab w:val="left" w:pos="203"/>
              </w:tabs>
              <w:rPr>
                <w:rFonts w:ascii="Arial" w:hAnsi="Arial" w:cs="Arial"/>
                <w:b/>
                <w:sz w:val="13"/>
                <w:szCs w:val="13"/>
                <w:lang w:val="fr-CA"/>
              </w:rPr>
            </w:pPr>
            <w:r w:rsidRPr="00FB5988">
              <w:rPr>
                <w:rFonts w:ascii="Arial" w:hAnsi="Arial" w:cs="Arial"/>
                <w:b/>
                <w:sz w:val="13"/>
                <w:szCs w:val="13"/>
              </w:rPr>
              <w:tab/>
            </w:r>
            <w:r w:rsidRPr="00FB5988">
              <w:rPr>
                <w:rFonts w:ascii="Arial" w:hAnsi="Arial" w:cs="Arial"/>
                <w:b/>
                <w:sz w:val="13"/>
                <w:szCs w:val="13"/>
                <w:lang w:val="fr-CA"/>
              </w:rPr>
              <w:t>jours fériés durant les séances</w:t>
            </w:r>
          </w:p>
        </w:tc>
        <w:tc>
          <w:tcPr>
            <w:tcW w:w="3828" w:type="dxa"/>
            <w:tcMar>
              <w:top w:w="0" w:type="dxa"/>
              <w:left w:w="58" w:type="dxa"/>
              <w:bottom w:w="0" w:type="dxa"/>
              <w:right w:w="58" w:type="dxa"/>
            </w:tcMar>
          </w:tcPr>
          <w:p w:rsidR="00113336" w:rsidRPr="00B4618C" w:rsidRDefault="00113336" w:rsidP="009B36BA">
            <w:pPr>
              <w:rPr>
                <w:rFonts w:ascii="Arial" w:hAnsi="Arial" w:cs="Arial"/>
                <w:b/>
                <w:sz w:val="13"/>
                <w:szCs w:val="13"/>
                <w:lang w:val="fr-FR"/>
              </w:rPr>
            </w:pPr>
          </w:p>
        </w:tc>
        <w:tc>
          <w:tcPr>
            <w:tcW w:w="567" w:type="dxa"/>
          </w:tcPr>
          <w:p w:rsidR="00113336" w:rsidRPr="00B4618C" w:rsidRDefault="00113336" w:rsidP="009B36BA">
            <w:pPr>
              <w:jc w:val="center"/>
              <w:rPr>
                <w:rFonts w:ascii="Arial" w:hAnsi="Arial" w:cs="Arial"/>
                <w:b/>
                <w:sz w:val="13"/>
                <w:szCs w:val="13"/>
                <w:lang w:val="fr-FR"/>
              </w:rPr>
            </w:pPr>
          </w:p>
        </w:tc>
      </w:tr>
    </w:tbl>
    <w:p w:rsidR="002410B8" w:rsidRPr="0022323B" w:rsidRDefault="002410B8" w:rsidP="00D812DE">
      <w:pPr>
        <w:tabs>
          <w:tab w:val="center" w:pos="5220"/>
          <w:tab w:val="right" w:pos="10800"/>
        </w:tabs>
        <w:rPr>
          <w:lang w:val="fr-CA"/>
        </w:rPr>
      </w:pPr>
    </w:p>
    <w:sectPr w:rsidR="002410B8" w:rsidRPr="0022323B" w:rsidSect="00B4618C">
      <w:headerReference w:type="default" r:id="rId88"/>
      <w:footerReference w:type="default" r:id="rId89"/>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84E" w:rsidRDefault="006E184E" w:rsidP="00A87207">
      <w:r>
        <w:separator/>
      </w:r>
    </w:p>
  </w:endnote>
  <w:endnote w:type="continuationSeparator" w:id="0">
    <w:p w:rsidR="006E184E" w:rsidRDefault="006E184E"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WLGBW-Lt">
    <w:altName w:val="Times New Roman"/>
    <w:charset w:val="00"/>
    <w:family w:val="auto"/>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EB6AAD" w:rsidP="00A87207">
    <w:pPr>
      <w:pStyle w:val="Footer"/>
    </w:pPr>
    <w:r>
      <w:pict>
        <v:rect id="_x0000_i1028" style="width:480.95pt;height:1pt" o:hralign="center" o:hrstd="t" o:hrnoshade="t" o:hr="t" fillcolor="black [3213]" stroked="f"/>
      </w:pict>
    </w:r>
  </w:p>
  <w:p w:rsidR="006E184E" w:rsidRPr="00B7374B" w:rsidRDefault="006E184E"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Pr>
        <w:noProof/>
        <w:szCs w:val="24"/>
      </w:rPr>
      <w:t>2</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EB6A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4" style="width:480.95pt;height:1pt" o:hralign="center" o:hrstd="t" o:hrnoshade="t" o:hr="t" fillcolor="black [3213]" stroked="f"/>
      </w:pict>
    </w:r>
  </w:p>
  <w:p w:rsidR="006E184E" w:rsidRDefault="006E184E"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EB6AAD">
    <w:pPr>
      <w:pStyle w:val="Footer"/>
      <w:rPr>
        <w:lang w:val="fr-CA"/>
      </w:rPr>
    </w:pPr>
    <w:r>
      <w:rPr>
        <w:lang w:val="fr-CA"/>
      </w:rPr>
      <w:pict>
        <v:rect id="_x0000_i1055" style="width:480.95pt;height:1pt" o:hralign="center" o:hrstd="t" o:hrnoshade="t" o:hr="t" fillcolor="black [3213]" stroked="f"/>
      </w:pict>
    </w:r>
  </w:p>
  <w:p w:rsidR="006E184E" w:rsidRDefault="006E184E" w:rsidP="00EB2B90">
    <w:pPr>
      <w:tabs>
        <w:tab w:val="center" w:pos="4680"/>
      </w:tabs>
    </w:pPr>
    <w:r>
      <w:tab/>
      <w:t xml:space="preserve">- </w:t>
    </w:r>
    <w:r>
      <w:fldChar w:fldCharType="begin"/>
    </w:r>
    <w:r>
      <w:instrText xml:space="preserve"> PAGE   \* MERGEFORMAT </w:instrText>
    </w:r>
    <w:r>
      <w:fldChar w:fldCharType="separate"/>
    </w:r>
    <w:r w:rsidR="00EB6AAD">
      <w:rPr>
        <w:noProof/>
      </w:rPr>
      <w:t>21</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6E18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6E184E" w:rsidRDefault="006E18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6E184E" w:rsidRDefault="006E184E">
    <w:pPr>
      <w:tabs>
        <w:tab w:val="center" w:pos="4740"/>
      </w:tabs>
    </w:pPr>
    <w:r>
      <w:tab/>
      <w:t xml:space="preserve">- </w:t>
    </w:r>
    <w:r>
      <w:pgNum/>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6E18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6E184E" w:rsidRDefault="00EB6A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57" style="width:480.95pt;height:1pt" o:hralign="center" o:hrstd="t" o:hrnoshade="t" o:hr="t" fillcolor="black [3213]" stroked="f"/>
      </w:pict>
    </w:r>
  </w:p>
  <w:p w:rsidR="006E184E" w:rsidRDefault="006E184E"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Pr>
        <w:noProof/>
        <w:szCs w:val="24"/>
      </w:rPr>
      <w:t>20</w:t>
    </w:r>
    <w:r w:rsidRPr="001775C1">
      <w:rPr>
        <w:szCs w:val="24"/>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EB6AAD" w:rsidP="00782AE4">
    <w:pPr>
      <w:tabs>
        <w:tab w:val="center" w:pos="4680"/>
      </w:tabs>
    </w:pPr>
    <w:r>
      <w:pict>
        <v:rect id="_x0000_i1058" style="width:480.95pt;height:1pt" o:hralign="center" o:hrstd="t" o:hrnoshade="t" o:hr="t" fillcolor="black [3213]" stroked="f"/>
      </w:pict>
    </w:r>
  </w:p>
  <w:p w:rsidR="006E184E" w:rsidRDefault="006E184E"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EB6AAD">
      <w:rPr>
        <w:noProof/>
        <w:szCs w:val="24"/>
      </w:rPr>
      <w:t>22</w:t>
    </w:r>
    <w:r w:rsidRPr="001775C1">
      <w:rPr>
        <w:szCs w:val="24"/>
      </w:rP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6E184E">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p w:rsidR="006E184E" w:rsidRDefault="006E184E">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0" w:lineRule="atLeast"/>
    </w:pPr>
  </w:p>
  <w:p w:rsidR="006E184E" w:rsidRDefault="006E184E">
    <w:pPr>
      <w:tabs>
        <w:tab w:val="center" w:pos="4740"/>
      </w:tabs>
    </w:pPr>
    <w:r>
      <w:tab/>
      <w:t xml:space="preserve">- </w:t>
    </w:r>
    <w:r>
      <w:pgNum/>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EB6AAD" w:rsidP="0022323B">
    <w:r>
      <w:pict>
        <v:rect id="_x0000_i1074" style="width:480.95pt;height:1pt" o:hralign="center" o:hrstd="t" o:hrnoshade="t" o:hr="t" fillcolor="black [3213]" stroked="f"/>
      </w:pict>
    </w:r>
  </w:p>
  <w:p w:rsidR="006E184E" w:rsidRDefault="006E184E">
    <w:pPr>
      <w:tabs>
        <w:tab w:val="center" w:pos="4740"/>
      </w:tabs>
      <w:spacing w:line="0" w:lineRule="atLeast"/>
    </w:pPr>
    <w:r>
      <w:tab/>
      <w:t xml:space="preserve">- </w:t>
    </w:r>
    <w:r>
      <w:fldChar w:fldCharType="begin"/>
    </w:r>
    <w:r>
      <w:instrText xml:space="preserve"> PAGE   \* MERGEFORMAT </w:instrText>
    </w:r>
    <w:r>
      <w:fldChar w:fldCharType="separate"/>
    </w:r>
    <w:r w:rsidR="00EB6AAD">
      <w:rPr>
        <w:noProof/>
      </w:rPr>
      <w:t>32</w:t>
    </w:r>
    <w:r>
      <w:rPr>
        <w:noProof/>
      </w:rPr>
      <w:fldChar w:fldCharType="end"/>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EB6AAD" w:rsidP="0022323B">
    <w:r>
      <w:pict>
        <v:rect id="_x0000_i1075" style="width:480.95pt;height:1pt" o:hralign="center" o:hrstd="t" o:hrnoshade="t" o:hr="t" fillcolor="black [3213]" stroked="f"/>
      </w:pict>
    </w:r>
  </w:p>
  <w:p w:rsidR="006E184E" w:rsidRDefault="006E184E" w:rsidP="0022323B">
    <w:pPr>
      <w:tabs>
        <w:tab w:val="center" w:pos="4740"/>
      </w:tabs>
      <w:spacing w:line="0" w:lineRule="atLeast"/>
    </w:pPr>
    <w:r>
      <w:tab/>
      <w:t xml:space="preserve">- </w:t>
    </w:r>
    <w:r>
      <w:fldChar w:fldCharType="begin"/>
    </w:r>
    <w:r>
      <w:instrText xml:space="preserve"> PAGE   \* MERGEFORMAT </w:instrText>
    </w:r>
    <w:r>
      <w:fldChar w:fldCharType="separate"/>
    </w:r>
    <w:r w:rsidR="00EB6AAD">
      <w:rPr>
        <w:noProof/>
      </w:rPr>
      <w:t>23</w:t>
    </w:r>
    <w:r>
      <w:rPr>
        <w:noProof/>
      </w:rPr>
      <w:fldChar w:fldCharType="end"/>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EB6AAD">
    <w:r>
      <w:rPr>
        <w:lang w:val="fr-CA"/>
      </w:rPr>
      <w:pict>
        <v:rect id="_x0000_i1077" style="width:480.95pt;height:1pt" o:hralign="center" o:hrstd="t" o:hrnoshade="t" o:hr="t" fillcolor="black [3213]" stroked="f"/>
      </w:pict>
    </w:r>
  </w:p>
  <w:p w:rsidR="006E184E" w:rsidRDefault="006E184E" w:rsidP="006B6926">
    <w:pPr>
      <w:tabs>
        <w:tab w:val="center" w:pos="4680"/>
      </w:tabs>
    </w:pPr>
    <w:r>
      <w:tab/>
      <w:t xml:space="preserve">- </w:t>
    </w:r>
    <w:r>
      <w:fldChar w:fldCharType="begin"/>
    </w:r>
    <w:r>
      <w:instrText xml:space="preserve">PAGE </w:instrText>
    </w:r>
    <w:r>
      <w:fldChar w:fldCharType="separate"/>
    </w:r>
    <w:r>
      <w:rPr>
        <w:noProof/>
      </w:rPr>
      <w:t>532</w:t>
    </w:r>
    <w:r>
      <w:rPr>
        <w:noProof/>
      </w:rPr>
      <w:fldChar w:fldCharType="end"/>
    </w: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EB6AAD" w:rsidP="006B6926">
    <w:pPr>
      <w:tabs>
        <w:tab w:val="center" w:pos="4680"/>
      </w:tabs>
      <w:rPr>
        <w:lang w:val="fr-CA"/>
      </w:rPr>
    </w:pPr>
    <w:r>
      <w:rPr>
        <w:lang w:val="fr-CA"/>
      </w:rPr>
      <w:pict>
        <v:rect id="_x0000_i1078" style="width:480.95pt;height:1pt" o:hralign="center" o:hrstd="t" o:hrnoshade="t" o:hr="t" fillcolor="black [3213]" stroked="f"/>
      </w:pict>
    </w:r>
  </w:p>
  <w:p w:rsidR="006E184E" w:rsidRDefault="006E184E" w:rsidP="006B6926">
    <w:pPr>
      <w:tabs>
        <w:tab w:val="center" w:pos="4680"/>
      </w:tabs>
    </w:pPr>
    <w:r>
      <w:tab/>
      <w:t xml:space="preserve">- </w:t>
    </w:r>
    <w:r>
      <w:fldChar w:fldCharType="begin"/>
    </w:r>
    <w:r>
      <w:instrText xml:space="preserve">PAGE </w:instrText>
    </w:r>
    <w:r>
      <w:fldChar w:fldCharType="separate"/>
    </w:r>
    <w:r w:rsidR="00EB6AAD">
      <w:rPr>
        <w:noProof/>
      </w:rPr>
      <w:t>33</w:t>
    </w:r>
    <w:r>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EB6AAD" w:rsidP="00755F22">
    <w:pPr>
      <w:tabs>
        <w:tab w:val="left" w:pos="-1440"/>
        <w:tab w:val="left" w:pos="-720"/>
      </w:tabs>
    </w:pPr>
    <w:r>
      <w:pict>
        <v:rect id="_x0000_i1029" style="width:480.95pt;height:1pt" o:hralign="center" o:hrstd="t" o:hrnoshade="t" o:hr="t" fillcolor="black [3213]" stroked="f"/>
      </w:pict>
    </w:r>
  </w:p>
  <w:p w:rsidR="006E184E" w:rsidRPr="00954D22" w:rsidRDefault="006E184E"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EB6AAD">
      <w:rPr>
        <w:noProof/>
        <w:szCs w:val="24"/>
      </w:rPr>
      <w:t>1</w:t>
    </w:r>
    <w:r>
      <w:rPr>
        <w:szCs w:val="24"/>
      </w:rPr>
      <w:fldChar w:fldCharType="end"/>
    </w:r>
    <w:r w:rsidRPr="00954D22">
      <w:rPr>
        <w:szCs w:val="24"/>
      </w:rPr>
      <w:t xml:space="preserve"> -</w:t>
    </w:r>
  </w:p>
  <w:p w:rsidR="006E184E" w:rsidRDefault="006E184E">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Pr="00924065" w:rsidRDefault="006E184E" w:rsidP="00924065">
    <w:pPr>
      <w:pStyle w:val="Footer"/>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8" w:rsidRDefault="00FB59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FB5988" w:rsidRDefault="00FB59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FB5988" w:rsidRDefault="00FB5988">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8" w:rsidRDefault="00EB6AAD" w:rsidP="00EB2B90">
    <w:pPr>
      <w:tabs>
        <w:tab w:val="center" w:pos="4680"/>
      </w:tabs>
    </w:pPr>
    <w:r>
      <w:pict>
        <v:rect id="_x0000_i1048" style="width:480.95pt;height:1pt" o:hralign="center" o:hrstd="t" o:hrnoshade="t" o:hr="t" fillcolor="black" stroked="f"/>
      </w:pict>
    </w:r>
  </w:p>
  <w:p w:rsidR="00FB5988" w:rsidRPr="002864CC" w:rsidRDefault="00FB5988" w:rsidP="00EB2B90">
    <w:pPr>
      <w:tabs>
        <w:tab w:val="center" w:pos="4680"/>
      </w:tabs>
    </w:pPr>
    <w:r w:rsidRPr="002864CC">
      <w:tab/>
      <w:t xml:space="preserve">- </w:t>
    </w:r>
    <w:r>
      <w:fldChar w:fldCharType="begin"/>
    </w:r>
    <w:r>
      <w:instrText xml:space="preserve"> PAGE   \* MERGEFORMAT </w:instrText>
    </w:r>
    <w:r>
      <w:fldChar w:fldCharType="separate"/>
    </w:r>
    <w:r w:rsidR="00EB6AAD">
      <w:rPr>
        <w:noProof/>
      </w:rPr>
      <w:t>19</w:t>
    </w:r>
    <w:r>
      <w:rPr>
        <w:noProof/>
      </w:rPr>
      <w:fldChar w:fldCharType="end"/>
    </w:r>
    <w:r w:rsidRPr="002864CC">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8" w:rsidRDefault="00EB6AAD">
    <w:pPr>
      <w:pStyle w:val="Footer"/>
    </w:pPr>
    <w:r>
      <w:pict>
        <v:rect id="_x0000_i1049" style="width:480.95pt;height:1pt" o:hralign="center" o:hrstd="t" o:hrnoshade="t" o:hr="t" fillcolor="black" stroked="f"/>
      </w:pict>
    </w:r>
  </w:p>
  <w:p w:rsidR="00FB5988" w:rsidRPr="002864CC" w:rsidRDefault="00FB5988" w:rsidP="00EB2B90">
    <w:pPr>
      <w:tabs>
        <w:tab w:val="center" w:pos="4680"/>
      </w:tabs>
    </w:pPr>
    <w:r>
      <w:tab/>
      <w:t xml:space="preserve">- </w:t>
    </w:r>
    <w:r>
      <w:fldChar w:fldCharType="begin"/>
    </w:r>
    <w:r>
      <w:instrText xml:space="preserve"> PAGE   \* MERGEFORMAT </w:instrText>
    </w:r>
    <w:r>
      <w:fldChar w:fldCharType="separate"/>
    </w:r>
    <w:r w:rsidR="00EB6AAD">
      <w:rPr>
        <w:noProof/>
      </w:rPr>
      <w:t>2</w:t>
    </w:r>
    <w:r>
      <w:rPr>
        <w:noProof/>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8" w:rsidRDefault="00FB59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FB5988" w:rsidRDefault="00FB59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FB5988" w:rsidRDefault="00FB5988">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8" w:rsidRDefault="00EB6AAD" w:rsidP="00755F22">
    <w:pPr>
      <w:tabs>
        <w:tab w:val="left" w:pos="-1440"/>
        <w:tab w:val="left" w:pos="-720"/>
      </w:tabs>
    </w:pPr>
    <w:r>
      <w:pict>
        <v:rect id="_x0000_i1051" style="width:480.95pt;height:1pt" o:hralign="center" o:hrstd="t" o:hrnoshade="t" o:hr="t" fillcolor="black [3213]" stroked="f"/>
      </w:pict>
    </w:r>
  </w:p>
  <w:p w:rsidR="00FB5988" w:rsidRDefault="00FB5988" w:rsidP="00EB2B90">
    <w:pPr>
      <w:tabs>
        <w:tab w:val="center" w:pos="4680"/>
      </w:tabs>
    </w:pPr>
    <w:r>
      <w:tab/>
      <w:t xml:space="preserve">- </w:t>
    </w:r>
    <w:r>
      <w:fldChar w:fldCharType="begin"/>
    </w:r>
    <w:r>
      <w:instrText xml:space="preserve"> PAGE   \* MERGEFORMAT </w:instrText>
    </w:r>
    <w:r>
      <w:fldChar w:fldCharType="separate"/>
    </w:r>
    <w:r>
      <w:rPr>
        <w:noProof/>
      </w:rPr>
      <w:t>21</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8" w:rsidRDefault="00EB6AAD" w:rsidP="00EB2B90">
    <w:pPr>
      <w:tabs>
        <w:tab w:val="center" w:pos="4680"/>
      </w:tabs>
    </w:pPr>
    <w:r>
      <w:pict>
        <v:rect id="_x0000_i1052" style="width:480.95pt;height:1pt" o:hralign="center" o:hrstd="t" o:hrnoshade="t" o:hr="t" fillcolor="black [3213]" stroked="f"/>
      </w:pict>
    </w:r>
  </w:p>
  <w:p w:rsidR="00FB5988" w:rsidRPr="0031432F" w:rsidRDefault="00FB5988" w:rsidP="00EB2B90">
    <w:pPr>
      <w:tabs>
        <w:tab w:val="center" w:pos="4680"/>
      </w:tabs>
    </w:pPr>
    <w:r>
      <w:tab/>
      <w:t xml:space="preserve">- </w:t>
    </w:r>
    <w:r>
      <w:fldChar w:fldCharType="begin"/>
    </w:r>
    <w:r>
      <w:instrText xml:space="preserve"> PAGE   \* MERGEFORMAT </w:instrText>
    </w:r>
    <w:r>
      <w:fldChar w:fldCharType="separate"/>
    </w:r>
    <w:r w:rsidR="00EB6AAD">
      <w:rPr>
        <w:noProof/>
      </w:rPr>
      <w:t>20</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6E18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6E184E" w:rsidRDefault="006E18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6E184E" w:rsidRDefault="006E184E">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84E" w:rsidRDefault="006E184E" w:rsidP="00A87207">
      <w:r>
        <w:separator/>
      </w:r>
    </w:p>
  </w:footnote>
  <w:footnote w:type="continuationSeparator" w:id="0">
    <w:p w:rsidR="006E184E" w:rsidRDefault="006E184E"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6E184E" w:rsidRPr="0044776A" w:rsidTr="00245129">
      <w:tc>
        <w:tcPr>
          <w:tcW w:w="4290" w:type="dxa"/>
          <w:tcMar>
            <w:left w:w="0" w:type="dxa"/>
            <w:right w:w="0" w:type="dxa"/>
          </w:tcMar>
        </w:tcPr>
        <w:p w:rsidR="006E184E" w:rsidRPr="00D31809" w:rsidRDefault="006E184E" w:rsidP="00D31809">
          <w:pPr>
            <w:keepNext/>
            <w:keepLines/>
            <w:rPr>
              <w:sz w:val="20"/>
              <w:szCs w:val="20"/>
              <w:lang w:val="en-US"/>
            </w:rPr>
          </w:pPr>
          <w:r w:rsidRPr="00D31809">
            <w:rPr>
              <w:sz w:val="20"/>
              <w:szCs w:val="20"/>
              <w:lang w:val="en-US"/>
            </w:rPr>
            <w:t>Applications for leave to appeal filed</w:t>
          </w:r>
        </w:p>
        <w:p w:rsidR="006E184E" w:rsidRPr="00D31809" w:rsidRDefault="006E184E" w:rsidP="00D31809">
          <w:pPr>
            <w:keepNext/>
            <w:keepLines/>
            <w:rPr>
              <w:sz w:val="20"/>
              <w:szCs w:val="20"/>
            </w:rPr>
          </w:pPr>
        </w:p>
      </w:tc>
      <w:tc>
        <w:tcPr>
          <w:tcW w:w="1200" w:type="dxa"/>
          <w:tcMar>
            <w:left w:w="0" w:type="dxa"/>
            <w:right w:w="0" w:type="dxa"/>
          </w:tcMar>
        </w:tcPr>
        <w:p w:rsidR="006E184E" w:rsidRPr="00D31809" w:rsidRDefault="006E184E" w:rsidP="002E2327">
          <w:pPr>
            <w:keepNext/>
            <w:keepLines/>
            <w:tabs>
              <w:tab w:val="left" w:pos="-1440"/>
              <w:tab w:val="left" w:pos="-720"/>
            </w:tabs>
            <w:jc w:val="center"/>
            <w:rPr>
              <w:sz w:val="20"/>
              <w:szCs w:val="20"/>
            </w:rPr>
          </w:pPr>
        </w:p>
      </w:tc>
      <w:tc>
        <w:tcPr>
          <w:tcW w:w="4320" w:type="dxa"/>
          <w:tcMar>
            <w:left w:w="0" w:type="dxa"/>
            <w:right w:w="0" w:type="dxa"/>
          </w:tcMar>
        </w:tcPr>
        <w:p w:rsidR="006E184E" w:rsidRPr="00D31809" w:rsidRDefault="006E184E" w:rsidP="002E2327">
          <w:pPr>
            <w:keepLines/>
            <w:rPr>
              <w:sz w:val="20"/>
              <w:szCs w:val="20"/>
              <w:lang w:val="fr-CA"/>
            </w:rPr>
          </w:pPr>
          <w:r w:rsidRPr="00D31809">
            <w:rPr>
              <w:sz w:val="20"/>
              <w:szCs w:val="20"/>
              <w:lang w:val="fr-CA"/>
            </w:rPr>
            <w:t>Demandes d’autorisation d’appel déposées</w:t>
          </w:r>
        </w:p>
      </w:tc>
    </w:tr>
  </w:tbl>
  <w:p w:rsidR="006E184E" w:rsidRDefault="006E184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6E184E" w:rsidRPr="00EB6AAD" w:rsidTr="00245129">
      <w:tc>
        <w:tcPr>
          <w:tcW w:w="4200" w:type="dxa"/>
          <w:tcMar>
            <w:left w:w="0" w:type="dxa"/>
            <w:right w:w="0" w:type="dxa"/>
          </w:tcMar>
        </w:tcPr>
        <w:p w:rsidR="006E184E" w:rsidRPr="00F40249" w:rsidRDefault="006E184E"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6E184E" w:rsidRDefault="006E184E" w:rsidP="00102926">
          <w:pPr>
            <w:keepNext/>
            <w:keepLines/>
            <w:tabs>
              <w:tab w:val="left" w:pos="-1440"/>
              <w:tab w:val="left" w:pos="-720"/>
            </w:tabs>
            <w:jc w:val="center"/>
            <w:rPr>
              <w:sz w:val="20"/>
              <w:szCs w:val="20"/>
            </w:rPr>
          </w:pPr>
        </w:p>
        <w:p w:rsidR="006E184E" w:rsidRDefault="006E184E" w:rsidP="00102926">
          <w:pPr>
            <w:keepNext/>
            <w:keepLines/>
            <w:tabs>
              <w:tab w:val="left" w:pos="-1440"/>
              <w:tab w:val="left" w:pos="-720"/>
            </w:tabs>
            <w:jc w:val="center"/>
            <w:rPr>
              <w:sz w:val="20"/>
              <w:szCs w:val="20"/>
            </w:rPr>
          </w:pPr>
        </w:p>
        <w:p w:rsidR="006E184E" w:rsidRPr="00F40249" w:rsidRDefault="006E184E" w:rsidP="00102926">
          <w:pPr>
            <w:keepNext/>
            <w:keepLines/>
            <w:tabs>
              <w:tab w:val="left" w:pos="-1440"/>
              <w:tab w:val="left" w:pos="-720"/>
            </w:tabs>
            <w:jc w:val="center"/>
            <w:rPr>
              <w:sz w:val="20"/>
              <w:szCs w:val="20"/>
            </w:rPr>
          </w:pPr>
        </w:p>
      </w:tc>
      <w:tc>
        <w:tcPr>
          <w:tcW w:w="4230" w:type="dxa"/>
          <w:tcMar>
            <w:left w:w="0" w:type="dxa"/>
            <w:right w:w="0" w:type="dxa"/>
          </w:tcMar>
        </w:tcPr>
        <w:p w:rsidR="006E184E" w:rsidRPr="00F40249" w:rsidRDefault="006E184E"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6E184E" w:rsidRPr="00B01A03" w:rsidRDefault="006E184E"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6E184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6E184E">
      <w:tc>
        <w:tcPr>
          <w:tcW w:w="4230" w:type="dxa"/>
          <w:tcMar>
            <w:left w:w="0" w:type="dxa"/>
            <w:right w:w="0" w:type="dxa"/>
          </w:tcMar>
        </w:tcPr>
        <w:p w:rsidR="006E184E" w:rsidRDefault="006E184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6E184E" w:rsidRDefault="006E184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6E184E" w:rsidRDefault="006E184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6E184E" w:rsidRDefault="006E184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6E184E" w:rsidRDefault="006E184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6E184E" w:rsidRDefault="006E184E">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6E184E" w:rsidRDefault="006E18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6E184E" w:rsidRDefault="006E18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6E184E" w:rsidRPr="00782AE4" w:rsidTr="00245129">
      <w:tc>
        <w:tcPr>
          <w:tcW w:w="4230" w:type="dxa"/>
          <w:tcMar>
            <w:left w:w="0" w:type="dxa"/>
            <w:right w:w="0" w:type="dxa"/>
          </w:tcMar>
        </w:tcPr>
        <w:p w:rsidR="006E184E" w:rsidRPr="00782AE4" w:rsidRDefault="006E184E" w:rsidP="00102926">
          <w:pPr>
            <w:keepNext/>
            <w:keepLines/>
            <w:tabs>
              <w:tab w:val="left" w:pos="-1440"/>
              <w:tab w:val="left" w:pos="-720"/>
            </w:tabs>
            <w:rPr>
              <w:sz w:val="20"/>
              <w:szCs w:val="20"/>
            </w:rPr>
          </w:pPr>
          <w:r w:rsidRPr="00782AE4">
            <w:rPr>
              <w:sz w:val="20"/>
              <w:szCs w:val="20"/>
            </w:rPr>
            <w:t xml:space="preserve">HEADNOTES OF RECENT </w:t>
          </w:r>
        </w:p>
        <w:p w:rsidR="006E184E" w:rsidRPr="00782AE4" w:rsidRDefault="006E184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6E184E" w:rsidRDefault="006E184E" w:rsidP="00102926">
          <w:pPr>
            <w:keepNext/>
            <w:keepLines/>
            <w:tabs>
              <w:tab w:val="left" w:pos="-1440"/>
              <w:tab w:val="left" w:pos="-720"/>
            </w:tabs>
            <w:jc w:val="center"/>
            <w:rPr>
              <w:sz w:val="20"/>
              <w:szCs w:val="20"/>
            </w:rPr>
          </w:pPr>
        </w:p>
        <w:p w:rsidR="006E184E" w:rsidRDefault="006E184E" w:rsidP="00102926">
          <w:pPr>
            <w:keepNext/>
            <w:keepLines/>
            <w:tabs>
              <w:tab w:val="left" w:pos="-1440"/>
              <w:tab w:val="left" w:pos="-720"/>
            </w:tabs>
            <w:jc w:val="center"/>
            <w:rPr>
              <w:sz w:val="20"/>
              <w:szCs w:val="20"/>
            </w:rPr>
          </w:pPr>
        </w:p>
        <w:p w:rsidR="006E184E" w:rsidRPr="00782AE4" w:rsidRDefault="006E184E" w:rsidP="00102926">
          <w:pPr>
            <w:keepNext/>
            <w:keepLines/>
            <w:tabs>
              <w:tab w:val="left" w:pos="-1440"/>
              <w:tab w:val="left" w:pos="-720"/>
            </w:tabs>
            <w:jc w:val="center"/>
            <w:rPr>
              <w:sz w:val="20"/>
              <w:szCs w:val="20"/>
            </w:rPr>
          </w:pPr>
        </w:p>
      </w:tc>
      <w:tc>
        <w:tcPr>
          <w:tcW w:w="4080" w:type="dxa"/>
          <w:tcMar>
            <w:left w:w="0" w:type="dxa"/>
            <w:right w:w="0" w:type="dxa"/>
          </w:tcMar>
        </w:tcPr>
        <w:p w:rsidR="006E184E" w:rsidRPr="00102926" w:rsidRDefault="006E184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6E184E" w:rsidRPr="00782AE4" w:rsidRDefault="006E184E" w:rsidP="00102926">
          <w:pPr>
            <w:keepLines/>
            <w:tabs>
              <w:tab w:val="left" w:pos="-1440"/>
              <w:tab w:val="left" w:pos="-720"/>
            </w:tabs>
            <w:rPr>
              <w:sz w:val="20"/>
              <w:szCs w:val="20"/>
            </w:rPr>
          </w:pPr>
          <w:r w:rsidRPr="00102926">
            <w:rPr>
              <w:sz w:val="20"/>
              <w:szCs w:val="20"/>
              <w:lang w:val="fr-CA"/>
            </w:rPr>
            <w:t>RÉCENTS</w:t>
          </w:r>
        </w:p>
      </w:tc>
    </w:tr>
  </w:tbl>
  <w:p w:rsidR="006E184E" w:rsidRDefault="006E184E"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6E184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6E184E">
      <w:tc>
        <w:tcPr>
          <w:tcW w:w="4200" w:type="dxa"/>
          <w:tcMar>
            <w:left w:w="0" w:type="dxa"/>
            <w:right w:w="0" w:type="dxa"/>
          </w:tcMar>
        </w:tcPr>
        <w:p w:rsidR="006E184E" w:rsidRDefault="006E184E">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AGENDA FOR DECEMBER 2009</w:t>
          </w:r>
        </w:p>
        <w:p w:rsidR="006E184E" w:rsidRDefault="006E184E">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1200" w:type="dxa"/>
          <w:tcMar>
            <w:left w:w="0" w:type="dxa"/>
            <w:right w:w="0" w:type="dxa"/>
          </w:tcMar>
        </w:tcPr>
        <w:p w:rsidR="006E184E" w:rsidRDefault="006E184E">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4080" w:type="dxa"/>
          <w:tcMar>
            <w:left w:w="0" w:type="dxa"/>
            <w:right w:w="0" w:type="dxa"/>
          </w:tcMar>
        </w:tcPr>
        <w:p w:rsidR="006E184E" w:rsidRDefault="006E184E">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CALENDRIER DE DÉCEMBRE 2009</w:t>
          </w:r>
        </w:p>
        <w:p w:rsidR="006E184E" w:rsidRDefault="006E184E">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r>
  </w:tbl>
  <w:p w:rsidR="006E184E" w:rsidRDefault="006E184E">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6E184E" w:rsidRPr="00EB6AAD" w:rsidTr="00245129">
      <w:tc>
        <w:tcPr>
          <w:tcW w:w="4200" w:type="dxa"/>
          <w:tcMar>
            <w:left w:w="0" w:type="dxa"/>
            <w:right w:w="0" w:type="dxa"/>
          </w:tcMar>
        </w:tcPr>
        <w:p w:rsidR="006E184E" w:rsidRPr="00102792" w:rsidRDefault="006E184E" w:rsidP="00304AB0">
          <w:pPr>
            <w:keepNext/>
            <w:keepLines/>
            <w:rPr>
              <w:szCs w:val="24"/>
            </w:rPr>
          </w:pPr>
          <w:r w:rsidRPr="00102792">
            <w:rPr>
              <w:szCs w:val="24"/>
            </w:rPr>
            <w:t xml:space="preserve">Agenda and </w:t>
          </w:r>
          <w:r>
            <w:rPr>
              <w:szCs w:val="24"/>
            </w:rPr>
            <w:t xml:space="preserve">case </w:t>
          </w:r>
          <w:r w:rsidRPr="00102792">
            <w:rPr>
              <w:szCs w:val="24"/>
            </w:rPr>
            <w:t xml:space="preserve">summaries for </w:t>
          </w:r>
          <w:r>
            <w:rPr>
              <w:szCs w:val="24"/>
            </w:rPr>
            <w:br/>
            <w:t>March</w:t>
          </w:r>
          <w:r w:rsidRPr="00102792">
            <w:rPr>
              <w:szCs w:val="24"/>
            </w:rPr>
            <w:t xml:space="preserve"> 20</w:t>
          </w:r>
          <w:r>
            <w:rPr>
              <w:szCs w:val="24"/>
            </w:rPr>
            <w:t>21</w:t>
          </w:r>
        </w:p>
      </w:tc>
      <w:tc>
        <w:tcPr>
          <w:tcW w:w="1200" w:type="dxa"/>
          <w:tcMar>
            <w:left w:w="0" w:type="dxa"/>
            <w:right w:w="0" w:type="dxa"/>
          </w:tcMar>
        </w:tcPr>
        <w:p w:rsidR="006E184E" w:rsidRDefault="006E184E" w:rsidP="00102792">
          <w:pPr>
            <w:keepNext/>
            <w:keepLines/>
            <w:jc w:val="center"/>
            <w:rPr>
              <w:szCs w:val="24"/>
            </w:rPr>
          </w:pPr>
        </w:p>
        <w:p w:rsidR="006E184E" w:rsidRPr="00102792" w:rsidRDefault="006E184E" w:rsidP="00102792">
          <w:pPr>
            <w:keepNext/>
            <w:keepLines/>
            <w:jc w:val="center"/>
            <w:rPr>
              <w:szCs w:val="24"/>
            </w:rPr>
          </w:pPr>
        </w:p>
        <w:p w:rsidR="006E184E" w:rsidRPr="00102792" w:rsidRDefault="006E184E" w:rsidP="00102792">
          <w:pPr>
            <w:keepNext/>
            <w:keepLines/>
            <w:jc w:val="center"/>
            <w:rPr>
              <w:szCs w:val="24"/>
            </w:rPr>
          </w:pPr>
        </w:p>
      </w:tc>
      <w:tc>
        <w:tcPr>
          <w:tcW w:w="4080" w:type="dxa"/>
          <w:tcMar>
            <w:left w:w="0" w:type="dxa"/>
            <w:right w:w="0" w:type="dxa"/>
          </w:tcMar>
        </w:tcPr>
        <w:p w:rsidR="006E184E" w:rsidRPr="00102792" w:rsidRDefault="006E184E" w:rsidP="00304AB0">
          <w:pPr>
            <w:keepNext/>
            <w:keepLines/>
            <w:rPr>
              <w:szCs w:val="24"/>
              <w:lang w:val="fr-CA"/>
            </w:rPr>
          </w:pPr>
          <w:r w:rsidRPr="00102792">
            <w:rPr>
              <w:szCs w:val="24"/>
              <w:lang w:val="fr-CA"/>
            </w:rPr>
            <w:t>Calendrier et sommaires</w:t>
          </w:r>
          <w:r>
            <w:rPr>
              <w:szCs w:val="24"/>
              <w:lang w:val="fr-CA"/>
            </w:rPr>
            <w:t xml:space="preserve"> des causes</w:t>
          </w:r>
          <w:r w:rsidRPr="00102792">
            <w:rPr>
              <w:szCs w:val="24"/>
              <w:lang w:val="fr-CA"/>
            </w:rPr>
            <w:t xml:space="preserve"> d</w:t>
          </w:r>
          <w:r>
            <w:rPr>
              <w:szCs w:val="24"/>
              <w:lang w:val="fr-CA"/>
            </w:rPr>
            <w:t>e mars</w:t>
          </w:r>
          <w:r w:rsidRPr="00102792">
            <w:rPr>
              <w:szCs w:val="24"/>
              <w:lang w:val="fr-CA"/>
            </w:rPr>
            <w:t xml:space="preserve"> 20</w:t>
          </w:r>
          <w:r>
            <w:rPr>
              <w:szCs w:val="24"/>
              <w:lang w:val="fr-CA"/>
            </w:rPr>
            <w:t>21</w:t>
          </w:r>
        </w:p>
      </w:tc>
    </w:tr>
  </w:tbl>
  <w:p w:rsidR="006E184E" w:rsidRPr="00567602" w:rsidRDefault="006E184E" w:rsidP="0022323B">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lang w:val="fr-CA"/>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6E184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320"/>
      <w:gridCol w:w="840"/>
      <w:gridCol w:w="4320"/>
    </w:tblGrid>
    <w:tr w:rsidR="006E184E" w:rsidRPr="00EB6AAD" w:rsidTr="00245129">
      <w:tc>
        <w:tcPr>
          <w:tcW w:w="4320" w:type="dxa"/>
        </w:tcPr>
        <w:p w:rsidR="006E184E" w:rsidRPr="006B6926" w:rsidRDefault="006E184E" w:rsidP="006B6926">
          <w:pPr>
            <w:keepNext/>
            <w:keepLines/>
            <w:rPr>
              <w:bCs/>
              <w:sz w:val="20"/>
              <w:szCs w:val="20"/>
              <w:lang w:val="en-GB"/>
            </w:rPr>
          </w:pPr>
          <w:r w:rsidRPr="006B6926">
            <w:rPr>
              <w:bCs/>
              <w:sz w:val="20"/>
              <w:szCs w:val="20"/>
              <w:lang w:val="en-GB"/>
            </w:rPr>
            <w:t>SUPREME COURT REPORTS</w:t>
          </w:r>
        </w:p>
      </w:tc>
      <w:tc>
        <w:tcPr>
          <w:tcW w:w="840" w:type="dxa"/>
        </w:tcPr>
        <w:p w:rsidR="006E184E" w:rsidRDefault="006E184E" w:rsidP="006B6926">
          <w:pPr>
            <w:jc w:val="center"/>
            <w:rPr>
              <w:bCs/>
              <w:sz w:val="20"/>
              <w:szCs w:val="20"/>
              <w:lang w:val="en-GB"/>
            </w:rPr>
          </w:pPr>
        </w:p>
        <w:p w:rsidR="006E184E" w:rsidRPr="006B6926" w:rsidRDefault="006E184E" w:rsidP="006B6926">
          <w:pPr>
            <w:jc w:val="center"/>
            <w:rPr>
              <w:bCs/>
              <w:sz w:val="20"/>
              <w:szCs w:val="20"/>
              <w:lang w:val="en-GB"/>
            </w:rPr>
          </w:pPr>
        </w:p>
      </w:tc>
      <w:tc>
        <w:tcPr>
          <w:tcW w:w="4320" w:type="dxa"/>
        </w:tcPr>
        <w:p w:rsidR="006E184E" w:rsidRPr="006B6926" w:rsidRDefault="006E184E" w:rsidP="006B6926">
          <w:pPr>
            <w:keepNext/>
            <w:keepLines/>
            <w:rPr>
              <w:bCs/>
              <w:sz w:val="20"/>
              <w:szCs w:val="20"/>
              <w:lang w:val="fr-CA"/>
            </w:rPr>
          </w:pPr>
          <w:r w:rsidRPr="006B6926">
            <w:rPr>
              <w:bCs/>
              <w:sz w:val="20"/>
              <w:szCs w:val="20"/>
              <w:lang w:val="fr-CA"/>
            </w:rPr>
            <w:t>RECUEIL DES ARRÊTS DE LA COUR SUPRÊME</w:t>
          </w:r>
        </w:p>
      </w:tc>
    </w:tr>
  </w:tbl>
  <w:p w:rsidR="006E184E" w:rsidRPr="000924F7" w:rsidRDefault="006E184E">
    <w:pPr>
      <w:pStyle w:val="Header"/>
      <w:rPr>
        <w:lang w:val="fr-CA"/>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6E1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6E184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E" w:rsidRDefault="006E18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FB5988" w:rsidRPr="00EB6AAD">
      <w:tc>
        <w:tcPr>
          <w:tcW w:w="4200" w:type="dxa"/>
          <w:tcMar>
            <w:left w:w="0" w:type="dxa"/>
            <w:right w:w="0" w:type="dxa"/>
          </w:tcMar>
        </w:tcPr>
        <w:p w:rsidR="00FB5988" w:rsidRDefault="00FB598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FB5988" w:rsidRDefault="00FB598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FB5988" w:rsidRDefault="00FB598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FB5988" w:rsidRPr="000204A4" w:rsidRDefault="00FB598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0204A4">
            <w:rPr>
              <w:rFonts w:ascii="Times New" w:hAnsi="Times New"/>
              <w:lang w:val="fr-CA"/>
            </w:rPr>
            <w:t>JUGEMENTS RENDUS SUR LES APPELS EN DÉLIBÉRÉ</w:t>
          </w:r>
        </w:p>
        <w:p w:rsidR="00FB5988" w:rsidRPr="000204A4" w:rsidRDefault="00FB59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FB5988" w:rsidRPr="000204A4" w:rsidRDefault="00FB59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FB5988" w:rsidRPr="00890FEB" w:rsidTr="00245129">
      <w:tc>
        <w:tcPr>
          <w:tcW w:w="4200" w:type="dxa"/>
          <w:tcMar>
            <w:left w:w="0" w:type="dxa"/>
            <w:right w:w="0" w:type="dxa"/>
          </w:tcMar>
        </w:tcPr>
        <w:p w:rsidR="00FB5988" w:rsidRPr="00890FEB" w:rsidRDefault="00FB5988" w:rsidP="0030050B">
          <w:pPr>
            <w:rPr>
              <w:sz w:val="20"/>
              <w:szCs w:val="20"/>
            </w:rPr>
          </w:pPr>
          <w:r w:rsidRPr="00890FEB">
            <w:rPr>
              <w:sz w:val="20"/>
              <w:szCs w:val="20"/>
            </w:rPr>
            <w:t>Judgment on motion</w:t>
          </w:r>
        </w:p>
      </w:tc>
      <w:tc>
        <w:tcPr>
          <w:tcW w:w="1200" w:type="dxa"/>
          <w:tcMar>
            <w:left w:w="0" w:type="dxa"/>
            <w:right w:w="0" w:type="dxa"/>
          </w:tcMar>
        </w:tcPr>
        <w:p w:rsidR="00FB5988" w:rsidRPr="00890FEB" w:rsidRDefault="00FB5988" w:rsidP="00890FEB">
          <w:pPr>
            <w:jc w:val="center"/>
            <w:rPr>
              <w:sz w:val="20"/>
              <w:szCs w:val="20"/>
            </w:rPr>
          </w:pPr>
        </w:p>
        <w:p w:rsidR="00FB5988" w:rsidRPr="00890FEB" w:rsidRDefault="00FB5988" w:rsidP="00890FEB">
          <w:pPr>
            <w:jc w:val="center"/>
            <w:rPr>
              <w:sz w:val="20"/>
              <w:szCs w:val="20"/>
            </w:rPr>
          </w:pPr>
        </w:p>
      </w:tc>
      <w:tc>
        <w:tcPr>
          <w:tcW w:w="4080" w:type="dxa"/>
          <w:tcMar>
            <w:left w:w="0" w:type="dxa"/>
            <w:right w:w="0" w:type="dxa"/>
          </w:tcMar>
        </w:tcPr>
        <w:p w:rsidR="00FB5988" w:rsidRPr="00890FEB" w:rsidRDefault="00FB5988" w:rsidP="00890FEB">
          <w:pPr>
            <w:rPr>
              <w:sz w:val="20"/>
              <w:szCs w:val="20"/>
              <w:lang w:val="fr-CA"/>
            </w:rPr>
          </w:pPr>
          <w:r w:rsidRPr="00890FEB">
            <w:rPr>
              <w:sz w:val="20"/>
              <w:szCs w:val="20"/>
              <w:lang w:val="fr-CA"/>
            </w:rPr>
            <w:t>Jugements sur requêtes</w:t>
          </w:r>
        </w:p>
      </w:tc>
    </w:tr>
  </w:tbl>
  <w:p w:rsidR="00FB5988" w:rsidRPr="002864CC" w:rsidRDefault="00FB5988" w:rsidP="00EB2B90">
    <w:pPr>
      <w:rPr>
        <w:lang w:val="fr-CA"/>
      </w:rPr>
    </w:pPr>
  </w:p>
  <w:p w:rsidR="00FB5988" w:rsidRPr="000204A4" w:rsidRDefault="00FB5988" w:rsidP="00EB2B90">
    <w:pPr>
      <w:spacing w:line="-19" w:lineRule="auto"/>
      <w:rPr>
        <w:rFonts w:ascii="Times New" w:hAnsi="Times New"/>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8" w:rsidRDefault="00FB59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FB5988">
      <w:tc>
        <w:tcPr>
          <w:tcW w:w="4230" w:type="dxa"/>
          <w:tcMar>
            <w:left w:w="0" w:type="dxa"/>
            <w:right w:w="0" w:type="dxa"/>
          </w:tcMar>
        </w:tcPr>
        <w:p w:rsidR="00FB5988" w:rsidRDefault="00FB598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FB5988" w:rsidRDefault="00FB598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FB5988" w:rsidRDefault="00FB598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FB5988">
      <w:trPr>
        <w:gridAfter w:val="2"/>
        <w:wAfter w:w="5250" w:type="dxa"/>
      </w:trPr>
      <w:tc>
        <w:tcPr>
          <w:tcW w:w="4230" w:type="dxa"/>
          <w:tcMar>
            <w:left w:w="0" w:type="dxa"/>
            <w:right w:w="0" w:type="dxa"/>
          </w:tcMar>
        </w:tcPr>
        <w:p w:rsidR="00FB5988" w:rsidRDefault="00FB59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FB5988" w:rsidRDefault="00FB59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FB5988" w:rsidRPr="00755F22" w:rsidTr="00245129">
      <w:tc>
        <w:tcPr>
          <w:tcW w:w="4230" w:type="dxa"/>
          <w:tcMar>
            <w:left w:w="0" w:type="dxa"/>
            <w:right w:w="0" w:type="dxa"/>
          </w:tcMar>
        </w:tcPr>
        <w:p w:rsidR="00FB5988" w:rsidRPr="00755F22" w:rsidRDefault="00FB5988" w:rsidP="00831CA9">
          <w:pPr>
            <w:keepNext/>
            <w:keepLines/>
            <w:rPr>
              <w:sz w:val="20"/>
              <w:szCs w:val="20"/>
            </w:rPr>
          </w:pPr>
          <w:r w:rsidRPr="00755F22">
            <w:rPr>
              <w:sz w:val="20"/>
              <w:szCs w:val="20"/>
            </w:rPr>
            <w:t>Motions</w:t>
          </w:r>
        </w:p>
      </w:tc>
      <w:tc>
        <w:tcPr>
          <w:tcW w:w="1170" w:type="dxa"/>
          <w:tcMar>
            <w:left w:w="0" w:type="dxa"/>
            <w:right w:w="0" w:type="dxa"/>
          </w:tcMar>
        </w:tcPr>
        <w:p w:rsidR="00FB5988" w:rsidRPr="00755F22" w:rsidRDefault="00FB5988" w:rsidP="00831CA9">
          <w:pPr>
            <w:keepLines/>
            <w:jc w:val="center"/>
            <w:rPr>
              <w:sz w:val="20"/>
              <w:szCs w:val="20"/>
            </w:rPr>
          </w:pPr>
        </w:p>
        <w:p w:rsidR="00FB5988" w:rsidRPr="00755F22" w:rsidRDefault="00FB5988" w:rsidP="00831CA9">
          <w:pPr>
            <w:keepLines/>
            <w:tabs>
              <w:tab w:val="left" w:pos="-1440"/>
              <w:tab w:val="left" w:pos="-720"/>
            </w:tabs>
            <w:jc w:val="center"/>
            <w:rPr>
              <w:sz w:val="20"/>
              <w:szCs w:val="20"/>
            </w:rPr>
          </w:pPr>
        </w:p>
      </w:tc>
      <w:tc>
        <w:tcPr>
          <w:tcW w:w="4080" w:type="dxa"/>
          <w:tcMar>
            <w:left w:w="0" w:type="dxa"/>
            <w:right w:w="0" w:type="dxa"/>
          </w:tcMar>
        </w:tcPr>
        <w:p w:rsidR="00FB5988" w:rsidRPr="00BA6468" w:rsidRDefault="00FB5988" w:rsidP="00BA6468">
          <w:pPr>
            <w:keepLines/>
            <w:rPr>
              <w:sz w:val="20"/>
              <w:szCs w:val="20"/>
              <w:lang w:val="fr-CA"/>
            </w:rPr>
          </w:pPr>
          <w:r w:rsidRPr="00BA6468">
            <w:rPr>
              <w:sz w:val="20"/>
              <w:szCs w:val="20"/>
              <w:lang w:val="fr-CA"/>
            </w:rPr>
            <w:t>Requêtes</w:t>
          </w:r>
        </w:p>
      </w:tc>
    </w:tr>
  </w:tbl>
  <w:p w:rsidR="00FB5988" w:rsidRDefault="00FB5988" w:rsidP="00831CA9">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88" w:rsidRDefault="00FB598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6E184E" w:rsidRPr="00EB6AAD">
      <w:tc>
        <w:tcPr>
          <w:tcW w:w="4200" w:type="dxa"/>
          <w:tcMar>
            <w:left w:w="0" w:type="dxa"/>
            <w:right w:w="0" w:type="dxa"/>
          </w:tcMar>
        </w:tcPr>
        <w:p w:rsidR="006E184E" w:rsidRDefault="006E184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6E184E" w:rsidRDefault="006E184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6E184E" w:rsidRPr="00B01A03" w:rsidRDefault="006E184E">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6E184E" w:rsidRPr="00B01A03" w:rsidRDefault="006E18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6E184E" w:rsidRPr="00B01A03" w:rsidRDefault="006E18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63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92"/>
    <w:rsid w:val="00002704"/>
    <w:rsid w:val="00020DC3"/>
    <w:rsid w:val="0003223B"/>
    <w:rsid w:val="000327B2"/>
    <w:rsid w:val="00033A57"/>
    <w:rsid w:val="0004528B"/>
    <w:rsid w:val="00045DE3"/>
    <w:rsid w:val="00064FBA"/>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0878"/>
    <w:rsid w:val="001434B9"/>
    <w:rsid w:val="00143EF6"/>
    <w:rsid w:val="00152E76"/>
    <w:rsid w:val="00164321"/>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409A"/>
    <w:rsid w:val="00245129"/>
    <w:rsid w:val="00245879"/>
    <w:rsid w:val="00253236"/>
    <w:rsid w:val="002534CE"/>
    <w:rsid w:val="00267FD5"/>
    <w:rsid w:val="00271E1E"/>
    <w:rsid w:val="00274D34"/>
    <w:rsid w:val="00281DA2"/>
    <w:rsid w:val="00283AFF"/>
    <w:rsid w:val="00283ED8"/>
    <w:rsid w:val="002868D0"/>
    <w:rsid w:val="0028760B"/>
    <w:rsid w:val="00293947"/>
    <w:rsid w:val="002A008C"/>
    <w:rsid w:val="002A1BA5"/>
    <w:rsid w:val="002A27D1"/>
    <w:rsid w:val="002A4AFA"/>
    <w:rsid w:val="002B2610"/>
    <w:rsid w:val="002B516C"/>
    <w:rsid w:val="002B5D82"/>
    <w:rsid w:val="002C4FA4"/>
    <w:rsid w:val="002D72EB"/>
    <w:rsid w:val="002E2327"/>
    <w:rsid w:val="002E3583"/>
    <w:rsid w:val="002E5576"/>
    <w:rsid w:val="0030050B"/>
    <w:rsid w:val="003008F5"/>
    <w:rsid w:val="00304081"/>
    <w:rsid w:val="00304AB0"/>
    <w:rsid w:val="003308AA"/>
    <w:rsid w:val="00331B52"/>
    <w:rsid w:val="00333403"/>
    <w:rsid w:val="003359D3"/>
    <w:rsid w:val="0034657E"/>
    <w:rsid w:val="00351475"/>
    <w:rsid w:val="00355967"/>
    <w:rsid w:val="00382C47"/>
    <w:rsid w:val="00384384"/>
    <w:rsid w:val="003866AE"/>
    <w:rsid w:val="00393AB2"/>
    <w:rsid w:val="003B3977"/>
    <w:rsid w:val="003D49B1"/>
    <w:rsid w:val="003E1D4C"/>
    <w:rsid w:val="003E5F3E"/>
    <w:rsid w:val="00403F21"/>
    <w:rsid w:val="00407C5D"/>
    <w:rsid w:val="0041245B"/>
    <w:rsid w:val="004137A0"/>
    <w:rsid w:val="00422D9A"/>
    <w:rsid w:val="004317DE"/>
    <w:rsid w:val="00432989"/>
    <w:rsid w:val="004342A0"/>
    <w:rsid w:val="00440E24"/>
    <w:rsid w:val="0044776A"/>
    <w:rsid w:val="00460AFC"/>
    <w:rsid w:val="0047471F"/>
    <w:rsid w:val="004B195E"/>
    <w:rsid w:val="004B2E86"/>
    <w:rsid w:val="004B66B4"/>
    <w:rsid w:val="004B7F60"/>
    <w:rsid w:val="004C1AAC"/>
    <w:rsid w:val="004C1C35"/>
    <w:rsid w:val="004E1E0A"/>
    <w:rsid w:val="004E44A7"/>
    <w:rsid w:val="004E5524"/>
    <w:rsid w:val="004F090E"/>
    <w:rsid w:val="00501F3C"/>
    <w:rsid w:val="00506BE1"/>
    <w:rsid w:val="005142E4"/>
    <w:rsid w:val="00520F9E"/>
    <w:rsid w:val="0052229C"/>
    <w:rsid w:val="00527CC7"/>
    <w:rsid w:val="00560DF1"/>
    <w:rsid w:val="0056248C"/>
    <w:rsid w:val="00564B09"/>
    <w:rsid w:val="00567602"/>
    <w:rsid w:val="00567680"/>
    <w:rsid w:val="00571CA4"/>
    <w:rsid w:val="00573AF2"/>
    <w:rsid w:val="00582136"/>
    <w:rsid w:val="005967EF"/>
    <w:rsid w:val="005B2EA9"/>
    <w:rsid w:val="005B6826"/>
    <w:rsid w:val="005C6840"/>
    <w:rsid w:val="005D4E04"/>
    <w:rsid w:val="005F1ED8"/>
    <w:rsid w:val="005F263E"/>
    <w:rsid w:val="00600252"/>
    <w:rsid w:val="00612A40"/>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6926"/>
    <w:rsid w:val="006C3F47"/>
    <w:rsid w:val="006C5F7A"/>
    <w:rsid w:val="006E06AF"/>
    <w:rsid w:val="006E184E"/>
    <w:rsid w:val="006E1CB0"/>
    <w:rsid w:val="006F350F"/>
    <w:rsid w:val="00717608"/>
    <w:rsid w:val="00727571"/>
    <w:rsid w:val="00732DB7"/>
    <w:rsid w:val="0074238B"/>
    <w:rsid w:val="00745EF7"/>
    <w:rsid w:val="00755F22"/>
    <w:rsid w:val="00766E4A"/>
    <w:rsid w:val="007820CE"/>
    <w:rsid w:val="00782AE4"/>
    <w:rsid w:val="0079724F"/>
    <w:rsid w:val="007A3EAE"/>
    <w:rsid w:val="007B09D6"/>
    <w:rsid w:val="007B4DFF"/>
    <w:rsid w:val="007C04FC"/>
    <w:rsid w:val="007C3D5F"/>
    <w:rsid w:val="007C3DB0"/>
    <w:rsid w:val="007C47C2"/>
    <w:rsid w:val="007D3E0F"/>
    <w:rsid w:val="007E4282"/>
    <w:rsid w:val="007F387B"/>
    <w:rsid w:val="00802863"/>
    <w:rsid w:val="008112A9"/>
    <w:rsid w:val="0081473A"/>
    <w:rsid w:val="00815B3C"/>
    <w:rsid w:val="0081610A"/>
    <w:rsid w:val="00824A8B"/>
    <w:rsid w:val="008277C4"/>
    <w:rsid w:val="0082783A"/>
    <w:rsid w:val="00831CA9"/>
    <w:rsid w:val="00842B6B"/>
    <w:rsid w:val="00844E40"/>
    <w:rsid w:val="00845C2A"/>
    <w:rsid w:val="00850E1F"/>
    <w:rsid w:val="0085476B"/>
    <w:rsid w:val="0086340B"/>
    <w:rsid w:val="00873743"/>
    <w:rsid w:val="00877592"/>
    <w:rsid w:val="008859F1"/>
    <w:rsid w:val="008902B1"/>
    <w:rsid w:val="00890FEB"/>
    <w:rsid w:val="00893449"/>
    <w:rsid w:val="00895E7E"/>
    <w:rsid w:val="008961FD"/>
    <w:rsid w:val="008A5C1A"/>
    <w:rsid w:val="008C2318"/>
    <w:rsid w:val="008C64B6"/>
    <w:rsid w:val="008D085E"/>
    <w:rsid w:val="008D292F"/>
    <w:rsid w:val="008D3D4B"/>
    <w:rsid w:val="008E03DC"/>
    <w:rsid w:val="00902E51"/>
    <w:rsid w:val="009058B9"/>
    <w:rsid w:val="00924065"/>
    <w:rsid w:val="00930B8A"/>
    <w:rsid w:val="00930D68"/>
    <w:rsid w:val="00932DB4"/>
    <w:rsid w:val="00941A4B"/>
    <w:rsid w:val="00946242"/>
    <w:rsid w:val="0095096B"/>
    <w:rsid w:val="00955827"/>
    <w:rsid w:val="00957556"/>
    <w:rsid w:val="00961C83"/>
    <w:rsid w:val="00970CD3"/>
    <w:rsid w:val="009723FA"/>
    <w:rsid w:val="00984546"/>
    <w:rsid w:val="009921E9"/>
    <w:rsid w:val="00996510"/>
    <w:rsid w:val="009A75CF"/>
    <w:rsid w:val="009B36BA"/>
    <w:rsid w:val="009C4E23"/>
    <w:rsid w:val="009D1F15"/>
    <w:rsid w:val="009D555E"/>
    <w:rsid w:val="009F3024"/>
    <w:rsid w:val="009F39BA"/>
    <w:rsid w:val="00A0355E"/>
    <w:rsid w:val="00A061B8"/>
    <w:rsid w:val="00A067B5"/>
    <w:rsid w:val="00A1513D"/>
    <w:rsid w:val="00A234E1"/>
    <w:rsid w:val="00A242F4"/>
    <w:rsid w:val="00A27C92"/>
    <w:rsid w:val="00A34493"/>
    <w:rsid w:val="00A375D1"/>
    <w:rsid w:val="00A41D2B"/>
    <w:rsid w:val="00A51D10"/>
    <w:rsid w:val="00A52A83"/>
    <w:rsid w:val="00A61252"/>
    <w:rsid w:val="00A6552C"/>
    <w:rsid w:val="00A744AF"/>
    <w:rsid w:val="00A760C7"/>
    <w:rsid w:val="00A81DCF"/>
    <w:rsid w:val="00A87207"/>
    <w:rsid w:val="00A935AA"/>
    <w:rsid w:val="00A956D3"/>
    <w:rsid w:val="00AA42EB"/>
    <w:rsid w:val="00AB2201"/>
    <w:rsid w:val="00AC3CBD"/>
    <w:rsid w:val="00AD1D34"/>
    <w:rsid w:val="00AD3259"/>
    <w:rsid w:val="00AE043C"/>
    <w:rsid w:val="00AF1715"/>
    <w:rsid w:val="00AF3904"/>
    <w:rsid w:val="00B00A0B"/>
    <w:rsid w:val="00B010C0"/>
    <w:rsid w:val="00B05A1F"/>
    <w:rsid w:val="00B15CBE"/>
    <w:rsid w:val="00B40FD9"/>
    <w:rsid w:val="00B4618C"/>
    <w:rsid w:val="00B4740D"/>
    <w:rsid w:val="00B61629"/>
    <w:rsid w:val="00B635E0"/>
    <w:rsid w:val="00B67395"/>
    <w:rsid w:val="00B7374B"/>
    <w:rsid w:val="00B90DC0"/>
    <w:rsid w:val="00BA116A"/>
    <w:rsid w:val="00BA5582"/>
    <w:rsid w:val="00BA6468"/>
    <w:rsid w:val="00BB15A8"/>
    <w:rsid w:val="00BB1D44"/>
    <w:rsid w:val="00BC680C"/>
    <w:rsid w:val="00BD06DA"/>
    <w:rsid w:val="00BD264E"/>
    <w:rsid w:val="00BD4217"/>
    <w:rsid w:val="00BE34F7"/>
    <w:rsid w:val="00BF25F3"/>
    <w:rsid w:val="00C01FCB"/>
    <w:rsid w:val="00C1697B"/>
    <w:rsid w:val="00C21644"/>
    <w:rsid w:val="00C21CB5"/>
    <w:rsid w:val="00C24113"/>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B5355"/>
    <w:rsid w:val="00CC4D84"/>
    <w:rsid w:val="00CE198A"/>
    <w:rsid w:val="00CF08C8"/>
    <w:rsid w:val="00D004FC"/>
    <w:rsid w:val="00D04577"/>
    <w:rsid w:val="00D22BC0"/>
    <w:rsid w:val="00D31809"/>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E0270C"/>
    <w:rsid w:val="00E06DFA"/>
    <w:rsid w:val="00E06F20"/>
    <w:rsid w:val="00E20A0A"/>
    <w:rsid w:val="00E240C2"/>
    <w:rsid w:val="00E356C7"/>
    <w:rsid w:val="00E414CA"/>
    <w:rsid w:val="00E41A5A"/>
    <w:rsid w:val="00E45FE4"/>
    <w:rsid w:val="00E6166B"/>
    <w:rsid w:val="00E64FA7"/>
    <w:rsid w:val="00E65960"/>
    <w:rsid w:val="00E664DA"/>
    <w:rsid w:val="00E670F7"/>
    <w:rsid w:val="00E71254"/>
    <w:rsid w:val="00E75CFD"/>
    <w:rsid w:val="00E770CB"/>
    <w:rsid w:val="00E80D6C"/>
    <w:rsid w:val="00E8544A"/>
    <w:rsid w:val="00E903A1"/>
    <w:rsid w:val="00E92A37"/>
    <w:rsid w:val="00E940EB"/>
    <w:rsid w:val="00E942C2"/>
    <w:rsid w:val="00E9703F"/>
    <w:rsid w:val="00E97984"/>
    <w:rsid w:val="00EB2B90"/>
    <w:rsid w:val="00EB6AAD"/>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5954"/>
    <w:rsid w:val="00F761A3"/>
    <w:rsid w:val="00F9272D"/>
    <w:rsid w:val="00F93FBE"/>
    <w:rsid w:val="00F9518C"/>
    <w:rsid w:val="00FA316E"/>
    <w:rsid w:val="00FA3373"/>
    <w:rsid w:val="00FA59EF"/>
    <w:rsid w:val="00FB19A2"/>
    <w:rsid w:val="00FB1DB6"/>
    <w:rsid w:val="00FB4A2E"/>
    <w:rsid w:val="00FB5988"/>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1"/>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1"/>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SCCSsocChar0">
    <w:name w:val="SCC.Ssoc Char"/>
    <w:basedOn w:val="DefaultParagraphFont"/>
    <w:link w:val="SCCSsoc"/>
    <w:locked/>
    <w:rsid w:val="00403F21"/>
    <w:rPr>
      <w:i/>
      <w:iCs/>
    </w:rPr>
  </w:style>
  <w:style w:type="paragraph" w:customStyle="1" w:styleId="SCCSsoc">
    <w:name w:val="SCC.Ssoc"/>
    <w:basedOn w:val="Normal"/>
    <w:link w:val="SCCSsocChar0"/>
    <w:rsid w:val="00403F21"/>
    <w:rPr>
      <w:i/>
      <w:iCs/>
      <w:lang w:val="en-US"/>
    </w:rPr>
  </w:style>
  <w:style w:type="paragraph" w:customStyle="1" w:styleId="SCCBanSummary0">
    <w:name w:val="SCC.BanSummary"/>
    <w:basedOn w:val="Normal"/>
    <w:next w:val="Normal"/>
    <w:link w:val="SCCBanSummaryChar"/>
    <w:rsid w:val="00304AB0"/>
    <w:pPr>
      <w:jc w:val="both"/>
    </w:pPr>
    <w:rPr>
      <w:rFonts w:eastAsia="Calibri" w:cs="Times New Roman"/>
      <w:smallCaps/>
    </w:rPr>
  </w:style>
  <w:style w:type="character" w:customStyle="1" w:styleId="SCCBanSummaryChar">
    <w:name w:val="SCC.BanSummary Char"/>
    <w:link w:val="SCCBanSummary0"/>
    <w:rsid w:val="00304AB0"/>
    <w:rPr>
      <w:rFonts w:eastAsia="Calibri" w:cs="Times New Roman"/>
      <w:smallCaps/>
      <w:lang w:val="en-CA"/>
    </w:rPr>
  </w:style>
  <w:style w:type="paragraph" w:styleId="NoSpacing">
    <w:name w:val="No Spacing"/>
    <w:uiPriority w:val="1"/>
    <w:qFormat/>
    <w:rsid w:val="00304AB0"/>
    <w:pPr>
      <w:widowControl w:val="0"/>
      <w:autoSpaceDE w:val="0"/>
      <w:autoSpaceDN w:val="0"/>
      <w:adjustRightInd w:val="0"/>
    </w:pPr>
    <w:rPr>
      <w:rFonts w:eastAsia="Times New Roman" w:cs="Times New Roman"/>
      <w:szCs w:val="24"/>
      <w:lang w:eastAsia="en-CA"/>
    </w:rPr>
  </w:style>
  <w:style w:type="paragraph" w:styleId="DocumentMap">
    <w:name w:val="Document Map"/>
    <w:basedOn w:val="Normal"/>
    <w:link w:val="DocumentMapChar"/>
    <w:uiPriority w:val="99"/>
    <w:semiHidden/>
    <w:unhideWhenUsed/>
    <w:rsid w:val="00304AB0"/>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304AB0"/>
    <w:rPr>
      <w:rFonts w:ascii="Tahoma" w:eastAsia="Times New Roman" w:hAnsi="Tahoma" w:cs="Tahoma"/>
      <w:sz w:val="16"/>
      <w:szCs w:val="16"/>
    </w:rPr>
  </w:style>
  <w:style w:type="paragraph" w:customStyle="1" w:styleId="Style268435469">
    <w:name w:val="Style268435469"/>
    <w:rsid w:val="00304AB0"/>
    <w:pPr>
      <w:autoSpaceDE w:val="0"/>
      <w:autoSpaceDN w:val="0"/>
      <w:adjustRightInd w:val="0"/>
    </w:pPr>
    <w:rPr>
      <w:rFonts w:ascii="Arial" w:eastAsia="Calibri" w:hAnsi="Arial" w:cs="Arial"/>
      <w:szCs w:val="24"/>
      <w:lang w:val="en-CA"/>
    </w:rPr>
  </w:style>
  <w:style w:type="paragraph" w:styleId="PlainText">
    <w:name w:val="Plain Text"/>
    <w:basedOn w:val="Normal"/>
    <w:link w:val="PlainTextChar"/>
    <w:uiPriority w:val="99"/>
    <w:semiHidden/>
    <w:unhideWhenUsed/>
    <w:rsid w:val="00304AB0"/>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304AB0"/>
    <w:rPr>
      <w:rFonts w:ascii="Consolas" w:eastAsia="Times New Roman" w:hAnsi="Consolas" w:cs="Times New Roman"/>
      <w:sz w:val="21"/>
      <w:szCs w:val="21"/>
    </w:rPr>
  </w:style>
  <w:style w:type="table" w:customStyle="1" w:styleId="TableGrid21">
    <w:name w:val="Table Grid21"/>
    <w:basedOn w:val="TableNormal"/>
    <w:next w:val="TableGrid"/>
    <w:uiPriority w:val="59"/>
    <w:rsid w:val="00304AB0"/>
    <w:rPr>
      <w:rFonts w:eastAsia="Calibri" w:cs="Times New Roman"/>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04AB0"/>
    <w:rPr>
      <w:rFonts w:eastAsia="Calibri" w:cs="Times New Roman"/>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04AB0"/>
    <w:rPr>
      <w:sz w:val="16"/>
      <w:szCs w:val="16"/>
    </w:rPr>
  </w:style>
  <w:style w:type="paragraph" w:styleId="CommentText">
    <w:name w:val="annotation text"/>
    <w:basedOn w:val="Normal"/>
    <w:link w:val="CommentTextChar"/>
    <w:uiPriority w:val="99"/>
    <w:semiHidden/>
    <w:unhideWhenUsed/>
    <w:rsid w:val="00304AB0"/>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304AB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4AB0"/>
    <w:rPr>
      <w:b/>
      <w:bCs/>
    </w:rPr>
  </w:style>
  <w:style w:type="character" w:customStyle="1" w:styleId="CommentSubjectChar">
    <w:name w:val="Comment Subject Char"/>
    <w:basedOn w:val="CommentTextChar"/>
    <w:link w:val="CommentSubject"/>
    <w:uiPriority w:val="99"/>
    <w:semiHidden/>
    <w:rsid w:val="00304AB0"/>
    <w:rPr>
      <w:rFonts w:eastAsia="Times New Roman" w:cs="Times New Roman"/>
      <w:b/>
      <w:bCs/>
      <w:sz w:val="20"/>
      <w:szCs w:val="20"/>
    </w:rPr>
  </w:style>
  <w:style w:type="table" w:customStyle="1" w:styleId="TableGrid4">
    <w:name w:val="Table Grid4"/>
    <w:basedOn w:val="TableNormal"/>
    <w:next w:val="TableGrid"/>
    <w:uiPriority w:val="59"/>
    <w:rsid w:val="00304AB0"/>
    <w:rPr>
      <w:rFonts w:eastAsia="Calibri"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304AB0"/>
    <w:rPr>
      <w:rFonts w:eastAsia="Calibri"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04AB0"/>
    <w:rPr>
      <w:rFonts w:eastAsia="Calibri"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304AB0"/>
    <w:rPr>
      <w:rFonts w:eastAsia="Calibri"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304AB0"/>
    <w:rPr>
      <w:rFonts w:eastAsia="Calibri"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04AB0"/>
    <w:rPr>
      <w:rFonts w:eastAsia="Calibri"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04AB0"/>
    <w:rPr>
      <w:rFonts w:eastAsia="Calibri"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304AB0"/>
    <w:rPr>
      <w:rFonts w:eastAsia="Calibri"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sleftalign2">
    <w:name w:val="ss_leftalign2"/>
    <w:basedOn w:val="DefaultParagraphFont"/>
    <w:rsid w:val="00304AB0"/>
    <w:rPr>
      <w:vanish w:val="0"/>
      <w:webHidden w:val="0"/>
      <w:sz w:val="24"/>
      <w:szCs w:val="24"/>
      <w:specVanish w:val="0"/>
    </w:rPr>
  </w:style>
  <w:style w:type="character" w:customStyle="1" w:styleId="sssh">
    <w:name w:val="ss_sh"/>
    <w:basedOn w:val="DefaultParagraphFont"/>
    <w:rsid w:val="00304AB0"/>
  </w:style>
  <w:style w:type="paragraph" w:customStyle="1" w:styleId="aparanumbering">
    <w:name w:val="aparanumbering"/>
    <w:basedOn w:val="Normal"/>
    <w:rsid w:val="00304AB0"/>
    <w:pPr>
      <w:spacing w:before="100" w:beforeAutospacing="1" w:after="100" w:afterAutospacing="1"/>
    </w:pPr>
    <w:rPr>
      <w:rFonts w:eastAsia="Times New Roman" w:cs="Times New Roman"/>
      <w:szCs w:val="24"/>
      <w:lang w:val="en-US"/>
    </w:rPr>
  </w:style>
  <w:style w:type="paragraph" w:customStyle="1" w:styleId="SCCLsocSubfileSeparator0">
    <w:name w:val="SCC.Lsoc.SubfileSeparator"/>
    <w:basedOn w:val="Normal"/>
    <w:next w:val="Normal"/>
    <w:link w:val="SCCLsocSubfileSeparatorChar"/>
    <w:rsid w:val="00304AB0"/>
    <w:pPr>
      <w:jc w:val="both"/>
    </w:pPr>
    <w:rPr>
      <w:rFonts w:cs="Times New Roman"/>
      <w:b/>
      <w:szCs w:val="24"/>
    </w:rPr>
  </w:style>
  <w:style w:type="character" w:customStyle="1" w:styleId="SCCLsocSubfileSeparatorChar">
    <w:name w:val="SCC.Lsoc.SubfileSeparator Char"/>
    <w:basedOn w:val="DefaultParagraphFont"/>
    <w:link w:val="SCCLsocSubfileSeparator0"/>
    <w:rsid w:val="00304AB0"/>
    <w:rPr>
      <w:rFonts w:cs="Times New Roman"/>
      <w:b/>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492479644">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anlii.org/fr/qc/qcca/doc/2020/2020qcca665/2020qcca665.html?autocompleteStr=2020%20QCCA%20665&amp;autocompletePos=1" TargetMode="External"/><Relationship Id="rId26" Type="http://schemas.openxmlformats.org/officeDocument/2006/relationships/hyperlink" Target="https://www.canlii.org/en/bc/bcca/doc/2020/2020bcca301/2020bcca301.html?resultIndex=1" TargetMode="External"/><Relationship Id="rId39" Type="http://schemas.openxmlformats.org/officeDocument/2006/relationships/hyperlink" Target="http://canlii.ca/t/ht9nl" TargetMode="External"/><Relationship Id="rId21" Type="http://schemas.openxmlformats.org/officeDocument/2006/relationships/hyperlink" Target="https://www.canlii.org/en/on/onca/doc/2020/2020onca308/2020onca308.html?autocompleteStr=2020%20ONCA%20308&amp;autocompletePos=1" TargetMode="External"/><Relationship Id="rId34" Type="http://schemas.openxmlformats.org/officeDocument/2006/relationships/hyperlink" Target="https://www.canlii.org/en/ab/abca/doc/2020/2020abca157/2020abca157.html?searchUrlHash=AAAAAQANMjAyMCBBQkNBIDE1NwAAAAAB&amp;resultIndex=1" TargetMode="External"/><Relationship Id="rId42" Type="http://schemas.openxmlformats.org/officeDocument/2006/relationships/hyperlink" Target="https://www.canlii.org/fr/ca/caf/doc/2020/2020caf103/2020caf103.html" TargetMode="External"/><Relationship Id="rId47" Type="http://schemas.openxmlformats.org/officeDocument/2006/relationships/header" Target="header5.xml"/><Relationship Id="rId50" Type="http://schemas.openxmlformats.org/officeDocument/2006/relationships/header" Target="header7.xml"/><Relationship Id="rId55" Type="http://schemas.openxmlformats.org/officeDocument/2006/relationships/header" Target="header9.xml"/><Relationship Id="rId63" Type="http://schemas.openxmlformats.org/officeDocument/2006/relationships/header" Target="header12.xml"/><Relationship Id="rId68" Type="http://schemas.openxmlformats.org/officeDocument/2006/relationships/footer" Target="footer14.xml"/><Relationship Id="rId76" Type="http://schemas.openxmlformats.org/officeDocument/2006/relationships/header" Target="header15.xml"/><Relationship Id="rId84" Type="http://schemas.openxmlformats.org/officeDocument/2006/relationships/header" Target="header18.xml"/><Relationship Id="rId89" Type="http://schemas.openxmlformats.org/officeDocument/2006/relationships/footer" Target="footer20.xml"/><Relationship Id="rId7" Type="http://schemas.openxmlformats.org/officeDocument/2006/relationships/endnotes" Target="endnotes.xml"/><Relationship Id="rId71" Type="http://schemas.openxmlformats.org/officeDocument/2006/relationships/hyperlink" Target="https://www.scc-csc.ca/case-dossier/info/sum-som-fra.aspx?cas=39155" TargetMode="External"/><Relationship Id="rId2" Type="http://schemas.openxmlformats.org/officeDocument/2006/relationships/numbering" Target="numbering.xml"/><Relationship Id="rId16" Type="http://schemas.openxmlformats.org/officeDocument/2006/relationships/hyperlink" Target="https://www.canlii.org/en/ab/abca/doc/2020/2020abca289/2020abca289.html?resultIndex=1" TargetMode="External"/><Relationship Id="rId29" Type="http://schemas.openxmlformats.org/officeDocument/2006/relationships/hyperlink" Target="https://www.canlii.org/en/bc/bcsec/doc/2019/2019canlii85473/2019canlii85473.html?resultIndex=5" TargetMode="External"/><Relationship Id="rId11" Type="http://schemas.openxmlformats.org/officeDocument/2006/relationships/header" Target="header1.xml"/><Relationship Id="rId24" Type="http://schemas.openxmlformats.org/officeDocument/2006/relationships/hyperlink" Target="https://www.canlii.org/en/bc/bcca/doc/2020/2020bcca301/2020bcca301.html?resultIndex=1" TargetMode="External"/><Relationship Id="rId32" Type="http://schemas.openxmlformats.org/officeDocument/2006/relationships/hyperlink" Target="https://www.canlii.org/en/on/onca/doc/2020/2020onca587/2020onca587.html?resultIndex=1" TargetMode="External"/><Relationship Id="rId37" Type="http://schemas.openxmlformats.org/officeDocument/2006/relationships/hyperlink" Target="http://canlii.ca/t/ht9nl" TargetMode="External"/><Relationship Id="rId40" Type="http://schemas.openxmlformats.org/officeDocument/2006/relationships/hyperlink" Target="http://canlii.ca/t/j7xw5" TargetMode="External"/><Relationship Id="rId45" Type="http://schemas.openxmlformats.org/officeDocument/2006/relationships/footer" Target="footer3.xml"/><Relationship Id="rId53" Type="http://schemas.openxmlformats.org/officeDocument/2006/relationships/header" Target="header8.xml"/><Relationship Id="rId58" Type="http://schemas.openxmlformats.org/officeDocument/2006/relationships/footer" Target="footer10.xml"/><Relationship Id="rId66" Type="http://schemas.openxmlformats.org/officeDocument/2006/relationships/footer" Target="footer13.xml"/><Relationship Id="rId74" Type="http://schemas.openxmlformats.org/officeDocument/2006/relationships/hyperlink" Target="https://www.scc-csc.ca/case-dossier/info/sum-som-eng.aspx?cas=39182" TargetMode="External"/><Relationship Id="rId79" Type="http://schemas.openxmlformats.org/officeDocument/2006/relationships/footer" Target="footer16.xml"/><Relationship Id="rId87"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hyperlink" Target="https://decisions.scc-csc.ca/scc-csc/scc-csc/en/item/18734/index.do" TargetMode="External"/><Relationship Id="rId82" Type="http://schemas.openxmlformats.org/officeDocument/2006/relationships/hyperlink" Target="https://decisions.scc-csc.ca/scc-csc/scr/en/item/7084/index.do" TargetMode="External"/><Relationship Id="rId90" Type="http://schemas.openxmlformats.org/officeDocument/2006/relationships/fontTable" Target="fontTable.xml"/><Relationship Id="rId19" Type="http://schemas.openxmlformats.org/officeDocument/2006/relationships/hyperlink" Target="https://www.canlii.org/fr/qc/qccq/doc/2019/2019qccq11429/2019qccq11429.html?autocompleteStr=2019%20QCCQ%2011429&amp;autocompletePos=1" TargetMode="External"/><Relationship Id="rId14" Type="http://schemas.openxmlformats.org/officeDocument/2006/relationships/footer" Target="footer2.xml"/><Relationship Id="rId22" Type="http://schemas.openxmlformats.org/officeDocument/2006/relationships/hyperlink" Target="https://www.canlii.org/en/on/onca/doc/2020/2020onca308/2020onca308.html?autocompleteStr=2020%20ONCA%20308&amp;autocompletePos=1" TargetMode="External"/><Relationship Id="rId27" Type="http://schemas.openxmlformats.org/officeDocument/2006/relationships/hyperlink" Target="https://www.canlii.org/en/bc/bcsec/doc/2019/2019canlii85473/2019canlii85473.html?resultIndex=5" TargetMode="External"/><Relationship Id="rId30" Type="http://schemas.openxmlformats.org/officeDocument/2006/relationships/hyperlink" Target="https://www.canlii.org/en/bc/bcca/doc/2020/2020bcca301/2020bcca301.html?resultIndex=1" TargetMode="External"/><Relationship Id="rId35" Type="http://schemas.openxmlformats.org/officeDocument/2006/relationships/hyperlink" Target="https://www.canlii.org/en/ab/abqb/doc/2018/2018abqb870/2018abqb870.html" TargetMode="External"/><Relationship Id="rId43" Type="http://schemas.openxmlformats.org/officeDocument/2006/relationships/header" Target="header3.xml"/><Relationship Id="rId48" Type="http://schemas.openxmlformats.org/officeDocument/2006/relationships/footer" Target="footer5.xml"/><Relationship Id="rId56" Type="http://schemas.openxmlformats.org/officeDocument/2006/relationships/header" Target="header10.xml"/><Relationship Id="rId64" Type="http://schemas.openxmlformats.org/officeDocument/2006/relationships/header" Target="header13.xml"/><Relationship Id="rId69" Type="http://schemas.openxmlformats.org/officeDocument/2006/relationships/hyperlink" Target="https://www.scc-csc.ca/case-dossier/info/sum-som-eng.aspx?cas=38921" TargetMode="External"/><Relationship Id="rId77" Type="http://schemas.openxmlformats.org/officeDocument/2006/relationships/header" Target="header16.xml"/><Relationship Id="rId8" Type="http://schemas.openxmlformats.org/officeDocument/2006/relationships/image" Target="media/image1.wmf"/><Relationship Id="rId51" Type="http://schemas.openxmlformats.org/officeDocument/2006/relationships/footer" Target="footer6.xml"/><Relationship Id="rId72" Type="http://schemas.openxmlformats.org/officeDocument/2006/relationships/hyperlink" Target="https://www.scc-csc.ca/case-dossier/info/sum-som-eng.aspx?cas=39113" TargetMode="External"/><Relationship Id="rId80" Type="http://schemas.openxmlformats.org/officeDocument/2006/relationships/header" Target="header17.xml"/><Relationship Id="rId85"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anlii.org/fr/qc/qccq/doc/2019/2019qccq11429/2019qccq11429.html?autocompleteStr=2019%20QCCQ%2011429&amp;autocompletePos=1" TargetMode="External"/><Relationship Id="rId25" Type="http://schemas.openxmlformats.org/officeDocument/2006/relationships/hyperlink" Target="https://www.canlii.org/en/bc/bcsec/doc/2019/2019canlii85473/2019canlii85473.html?resultIndex=5" TargetMode="External"/><Relationship Id="rId33" Type="http://schemas.openxmlformats.org/officeDocument/2006/relationships/hyperlink" Target="https://www.canlii.org/en/ab/abqb/doc/2018/2018abqb870/2018abqb870.html" TargetMode="External"/><Relationship Id="rId38" Type="http://schemas.openxmlformats.org/officeDocument/2006/relationships/hyperlink" Target="http://canlii.ca/t/j7xw5" TargetMode="External"/><Relationship Id="rId46" Type="http://schemas.openxmlformats.org/officeDocument/2006/relationships/footer" Target="footer4.xml"/><Relationship Id="rId59" Type="http://schemas.openxmlformats.org/officeDocument/2006/relationships/header" Target="header11.xml"/><Relationship Id="rId67" Type="http://schemas.openxmlformats.org/officeDocument/2006/relationships/header" Target="header14.xml"/><Relationship Id="rId20" Type="http://schemas.openxmlformats.org/officeDocument/2006/relationships/hyperlink" Target="https://www.canlii.org/fr/qc/qcca/doc/2020/2020qcca665/2020qcca665.html?autocompleteStr=2020%20QCCA%20665&amp;autocompletePos=1" TargetMode="External"/><Relationship Id="rId41" Type="http://schemas.openxmlformats.org/officeDocument/2006/relationships/hyperlink" Target="https://www.canlii.org/en/ca/fca/doc/2020/2020fca103/2020fca103.html?autocompleteStr=2020%20FCA%20103&amp;autocompletePos=1" TargetMode="External"/><Relationship Id="rId54" Type="http://schemas.openxmlformats.org/officeDocument/2006/relationships/footer" Target="footer8.xml"/><Relationship Id="rId62" Type="http://schemas.openxmlformats.org/officeDocument/2006/relationships/hyperlink" Target="https://decisions.scc-csc.ca/scc-csc/scc-csc/fr/item/18734/index.do" TargetMode="External"/><Relationship Id="rId70" Type="http://schemas.openxmlformats.org/officeDocument/2006/relationships/hyperlink" Target="https://www.scc-csc.ca/case-dossier/info/sum-som-eng.aspx?cas=38992" TargetMode="External"/><Relationship Id="rId75" Type="http://schemas.openxmlformats.org/officeDocument/2006/relationships/hyperlink" Target="https://www.scc-csc.ca/case-dossier/info/sum-som-eng.aspx?cas=39108" TargetMode="External"/><Relationship Id="rId83" Type="http://schemas.openxmlformats.org/officeDocument/2006/relationships/hyperlink" Target="https://decisions.scc-csc.ca/scc-csc/scr/fr/item/7084/index.do" TargetMode="External"/><Relationship Id="rId88" Type="http://schemas.openxmlformats.org/officeDocument/2006/relationships/header" Target="header20.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nlii.org/en/ab/abca/doc/2020/2020abca289/2020abca289.html?resultIndex=1" TargetMode="External"/><Relationship Id="rId23" Type="http://schemas.openxmlformats.org/officeDocument/2006/relationships/hyperlink" Target="https://www.canlii.org/en/bc/bcsec/doc/2019/2019canlii85473/2019canlii85473.html?resultIndex=5" TargetMode="External"/><Relationship Id="rId28" Type="http://schemas.openxmlformats.org/officeDocument/2006/relationships/hyperlink" Target="https://www.canlii.org/en/bc/bcca/doc/2020/2020bcca301/2020bcca301.html?resultIndex=1" TargetMode="External"/><Relationship Id="rId36" Type="http://schemas.openxmlformats.org/officeDocument/2006/relationships/hyperlink" Target="https://www.canlii.org/en/ab/abca/doc/2020/2020abca157/2020abca157.html?searchUrlHash=AAAAAQANMjAyMCBBQkNBIDE1NwAAAAAB&amp;resultIndex=1" TargetMode="External"/><Relationship Id="rId49" Type="http://schemas.openxmlformats.org/officeDocument/2006/relationships/header" Target="header6.xml"/><Relationship Id="rId57" Type="http://schemas.openxmlformats.org/officeDocument/2006/relationships/footer" Target="footer9.xml"/><Relationship Id="rId10" Type="http://schemas.openxmlformats.org/officeDocument/2006/relationships/hyperlink" Target="https://www.scc-csc.ca" TargetMode="External"/><Relationship Id="rId31" Type="http://schemas.openxmlformats.org/officeDocument/2006/relationships/hyperlink" Target="https://www.canlii.org/en/on/onca/doc/2020/2020onca587/2020onca587.html?resultIndex=1" TargetMode="External"/><Relationship Id="rId44" Type="http://schemas.openxmlformats.org/officeDocument/2006/relationships/header" Target="header4.xml"/><Relationship Id="rId52" Type="http://schemas.openxmlformats.org/officeDocument/2006/relationships/footer" Target="footer7.xml"/><Relationship Id="rId60" Type="http://schemas.openxmlformats.org/officeDocument/2006/relationships/footer" Target="footer11.xml"/><Relationship Id="rId65" Type="http://schemas.openxmlformats.org/officeDocument/2006/relationships/footer" Target="footer12.xml"/><Relationship Id="rId73" Type="http://schemas.openxmlformats.org/officeDocument/2006/relationships/hyperlink" Target="https://www.scc-csc.ca/case-dossier/info/sum-som-eng.aspx?cas=39122" TargetMode="External"/><Relationship Id="rId78" Type="http://schemas.openxmlformats.org/officeDocument/2006/relationships/footer" Target="footer15.xml"/><Relationship Id="rId81" Type="http://schemas.openxmlformats.org/officeDocument/2006/relationships/footer" Target="footer17.xml"/><Relationship Id="rId86"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s://www.scc-cs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3AFD9-4713-4FDA-99A4-F54F4187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2020.dotx</Template>
  <TotalTime>0</TotalTime>
  <Pages>36</Pages>
  <Words>16841</Words>
  <Characters>96000</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2021-02-23T15:44:00Z</dcterms:created>
  <dcterms:modified xsi:type="dcterms:W3CDTF">2021-03-15T02:11:00Z</dcterms:modified>
</cp:coreProperties>
</file>