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B10752" w:rsidTr="00F138C1">
        <w:tc>
          <w:tcPr>
            <w:tcW w:w="9648" w:type="dxa"/>
            <w:gridSpan w:val="3"/>
          </w:tcPr>
          <w:p w:rsidR="008C2D9E" w:rsidRPr="00B10752" w:rsidRDefault="008C2D9E" w:rsidP="00F138C1">
            <w:pPr>
              <w:tabs>
                <w:tab w:val="left" w:pos="6075"/>
              </w:tabs>
              <w:jc w:val="center"/>
              <w:rPr>
                <w:b/>
                <w:sz w:val="32"/>
                <w:szCs w:val="32"/>
                <w:lang w:val="fr-CA"/>
              </w:rPr>
            </w:pPr>
            <w:r w:rsidRPr="00B10752">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B10752" w:rsidRDefault="008C2D9E" w:rsidP="00F138C1">
            <w:pPr>
              <w:tabs>
                <w:tab w:val="left" w:pos="6075"/>
              </w:tabs>
              <w:jc w:val="center"/>
              <w:rPr>
                <w:b/>
                <w:sz w:val="32"/>
                <w:szCs w:val="32"/>
                <w:lang w:val="fr-CA"/>
              </w:rPr>
            </w:pPr>
          </w:p>
        </w:tc>
      </w:tr>
      <w:tr w:rsidR="00F138C1" w:rsidRPr="00B10752" w:rsidTr="00F138C1">
        <w:tc>
          <w:tcPr>
            <w:tcW w:w="4599" w:type="dxa"/>
            <w:tcMar>
              <w:top w:w="284" w:type="dxa"/>
            </w:tcMar>
          </w:tcPr>
          <w:p w:rsidR="00F138C1" w:rsidRPr="00B10752" w:rsidRDefault="00F138C1" w:rsidP="00F138C1">
            <w:pPr>
              <w:tabs>
                <w:tab w:val="left" w:pos="6075"/>
              </w:tabs>
              <w:jc w:val="center"/>
              <w:rPr>
                <w:b/>
                <w:sz w:val="32"/>
                <w:szCs w:val="32"/>
              </w:rPr>
            </w:pPr>
            <w:r w:rsidRPr="00B10752">
              <w:rPr>
                <w:b/>
                <w:sz w:val="32"/>
                <w:szCs w:val="32"/>
              </w:rPr>
              <w:t>SUPREME COURT OF CANADA</w:t>
            </w:r>
          </w:p>
        </w:tc>
        <w:tc>
          <w:tcPr>
            <w:tcW w:w="483" w:type="dxa"/>
          </w:tcPr>
          <w:p w:rsidR="00F138C1" w:rsidRPr="00B10752" w:rsidRDefault="00F138C1" w:rsidP="00F138C1">
            <w:pPr>
              <w:tabs>
                <w:tab w:val="left" w:pos="6075"/>
              </w:tabs>
              <w:jc w:val="center"/>
              <w:rPr>
                <w:sz w:val="32"/>
                <w:szCs w:val="32"/>
              </w:rPr>
            </w:pPr>
          </w:p>
        </w:tc>
        <w:tc>
          <w:tcPr>
            <w:tcW w:w="4566" w:type="dxa"/>
            <w:tcMar>
              <w:top w:w="284" w:type="dxa"/>
            </w:tcMar>
          </w:tcPr>
          <w:p w:rsidR="00F138C1" w:rsidRPr="00B10752" w:rsidRDefault="00F138C1" w:rsidP="00F138C1">
            <w:pPr>
              <w:tabs>
                <w:tab w:val="left" w:pos="6075"/>
              </w:tabs>
              <w:jc w:val="center"/>
              <w:rPr>
                <w:b/>
                <w:sz w:val="32"/>
                <w:szCs w:val="32"/>
                <w:lang w:val="fr-CA"/>
              </w:rPr>
            </w:pPr>
            <w:r w:rsidRPr="00B10752">
              <w:rPr>
                <w:b/>
                <w:sz w:val="32"/>
                <w:szCs w:val="32"/>
                <w:lang w:val="fr-CA"/>
              </w:rPr>
              <w:t>COUR SUPRÊME DU CANADA</w:t>
            </w:r>
          </w:p>
        </w:tc>
      </w:tr>
      <w:tr w:rsidR="00F138C1" w:rsidRPr="00B10752" w:rsidTr="00F138C1">
        <w:tc>
          <w:tcPr>
            <w:tcW w:w="4599" w:type="dxa"/>
            <w:tcMar>
              <w:top w:w="567" w:type="dxa"/>
            </w:tcMar>
          </w:tcPr>
          <w:p w:rsidR="00F138C1" w:rsidRPr="00B10752" w:rsidRDefault="00F138C1" w:rsidP="00F138C1">
            <w:pPr>
              <w:tabs>
                <w:tab w:val="left" w:pos="6075"/>
              </w:tabs>
              <w:jc w:val="center"/>
              <w:rPr>
                <w:sz w:val="28"/>
                <w:szCs w:val="28"/>
              </w:rPr>
            </w:pPr>
            <w:r w:rsidRPr="00B10752">
              <w:rPr>
                <w:sz w:val="28"/>
                <w:szCs w:val="28"/>
              </w:rPr>
              <w:t>BULLETIN OF</w:t>
            </w:r>
            <w:r w:rsidRPr="00B10752">
              <w:rPr>
                <w:sz w:val="28"/>
                <w:szCs w:val="28"/>
              </w:rPr>
              <w:br/>
              <w:t xml:space="preserve"> PROCEEDINGS</w:t>
            </w:r>
          </w:p>
        </w:tc>
        <w:tc>
          <w:tcPr>
            <w:tcW w:w="483" w:type="dxa"/>
          </w:tcPr>
          <w:p w:rsidR="00F138C1" w:rsidRPr="00B10752" w:rsidRDefault="00F138C1" w:rsidP="00F138C1">
            <w:pPr>
              <w:tabs>
                <w:tab w:val="left" w:pos="6075"/>
              </w:tabs>
            </w:pPr>
          </w:p>
        </w:tc>
        <w:tc>
          <w:tcPr>
            <w:tcW w:w="4566" w:type="dxa"/>
            <w:tcMar>
              <w:top w:w="567" w:type="dxa"/>
            </w:tcMar>
          </w:tcPr>
          <w:p w:rsidR="00F138C1" w:rsidRPr="00B10752" w:rsidRDefault="00F138C1" w:rsidP="00F138C1">
            <w:pPr>
              <w:tabs>
                <w:tab w:val="left" w:pos="6075"/>
              </w:tabs>
              <w:jc w:val="center"/>
              <w:rPr>
                <w:sz w:val="28"/>
                <w:szCs w:val="28"/>
                <w:lang w:val="fr-CA"/>
              </w:rPr>
            </w:pPr>
            <w:r w:rsidRPr="00B10752">
              <w:rPr>
                <w:sz w:val="28"/>
                <w:szCs w:val="28"/>
                <w:lang w:val="fr-CA"/>
              </w:rPr>
              <w:t>BULLETIN DES</w:t>
            </w:r>
            <w:r w:rsidRPr="00B10752">
              <w:rPr>
                <w:sz w:val="28"/>
                <w:szCs w:val="28"/>
                <w:lang w:val="fr-CA"/>
              </w:rPr>
              <w:br/>
              <w:t xml:space="preserve"> PROCÉDURES</w:t>
            </w:r>
          </w:p>
        </w:tc>
      </w:tr>
      <w:tr w:rsidR="00F138C1" w:rsidRPr="00B10752" w:rsidTr="00F138C1">
        <w:tc>
          <w:tcPr>
            <w:tcW w:w="4599" w:type="dxa"/>
            <w:tcMar>
              <w:top w:w="567" w:type="dxa"/>
            </w:tcMar>
          </w:tcPr>
          <w:p w:rsidR="00F138C1" w:rsidRPr="00B10752" w:rsidRDefault="00F138C1" w:rsidP="00F138C1">
            <w:pPr>
              <w:tabs>
                <w:tab w:val="left" w:pos="6075"/>
              </w:tabs>
              <w:jc w:val="both"/>
              <w:rPr>
                <w:rFonts w:ascii="Arial" w:hAnsi="Arial" w:cs="Arial"/>
                <w:i/>
                <w:sz w:val="20"/>
                <w:szCs w:val="20"/>
              </w:rPr>
            </w:pPr>
            <w:r w:rsidRPr="00B1075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B1075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10752" w:rsidRDefault="00F138C1" w:rsidP="00F138C1">
            <w:pPr>
              <w:tabs>
                <w:tab w:val="left" w:pos="6075"/>
              </w:tabs>
              <w:jc w:val="both"/>
              <w:rPr>
                <w:rFonts w:ascii="Arial" w:hAnsi="Arial" w:cs="Arial"/>
                <w:i/>
                <w:sz w:val="20"/>
                <w:szCs w:val="20"/>
                <w:lang w:val="fr-CA"/>
              </w:rPr>
            </w:pPr>
            <w:r w:rsidRPr="00B1075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10752" w:rsidTr="00F138C1">
        <w:tc>
          <w:tcPr>
            <w:tcW w:w="4599" w:type="dxa"/>
            <w:tcMar>
              <w:top w:w="567" w:type="dxa"/>
            </w:tcMar>
          </w:tcPr>
          <w:p w:rsidR="00F138C1" w:rsidRPr="00B10752" w:rsidRDefault="00F138C1" w:rsidP="00F138C1">
            <w:pPr>
              <w:tabs>
                <w:tab w:val="left" w:pos="6075"/>
              </w:tabs>
              <w:jc w:val="both"/>
              <w:rPr>
                <w:rFonts w:ascii="Arial" w:hAnsi="Arial" w:cs="Arial"/>
                <w:i/>
                <w:sz w:val="20"/>
                <w:szCs w:val="20"/>
              </w:rPr>
            </w:pPr>
            <w:r w:rsidRPr="00B10752">
              <w:rPr>
                <w:rFonts w:ascii="Arial" w:hAnsi="Arial" w:cs="Arial"/>
                <w:i/>
                <w:sz w:val="20"/>
                <w:szCs w:val="20"/>
              </w:rPr>
              <w:t>During Court sessions, the Bulletin is usually issued weekly.</w:t>
            </w:r>
          </w:p>
        </w:tc>
        <w:tc>
          <w:tcPr>
            <w:tcW w:w="483" w:type="dxa"/>
          </w:tcPr>
          <w:p w:rsidR="00F138C1" w:rsidRPr="00B1075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10752" w:rsidRDefault="00F138C1" w:rsidP="00F138C1">
            <w:pPr>
              <w:tabs>
                <w:tab w:val="left" w:pos="6075"/>
              </w:tabs>
              <w:jc w:val="both"/>
              <w:rPr>
                <w:rFonts w:ascii="Arial" w:hAnsi="Arial" w:cs="Arial"/>
                <w:i/>
                <w:sz w:val="20"/>
                <w:szCs w:val="20"/>
                <w:lang w:val="fr-CA"/>
              </w:rPr>
            </w:pPr>
            <w:r w:rsidRPr="00B10752">
              <w:rPr>
                <w:rFonts w:ascii="Arial" w:hAnsi="Arial" w:cs="Arial"/>
                <w:i/>
                <w:sz w:val="20"/>
                <w:szCs w:val="20"/>
                <w:lang w:val="fr-CA"/>
              </w:rPr>
              <w:t>Le Bulletin paraît en principe toutes les semaines pendant les sessions de la Cour.</w:t>
            </w:r>
          </w:p>
        </w:tc>
      </w:tr>
      <w:tr w:rsidR="00F138C1" w:rsidRPr="00B10752" w:rsidTr="00F138C1">
        <w:tc>
          <w:tcPr>
            <w:tcW w:w="4599" w:type="dxa"/>
            <w:tcMar>
              <w:top w:w="567" w:type="dxa"/>
            </w:tcMar>
          </w:tcPr>
          <w:p w:rsidR="00F138C1" w:rsidRPr="00B10752" w:rsidRDefault="00F138C1" w:rsidP="00F138C1">
            <w:pPr>
              <w:tabs>
                <w:tab w:val="left" w:pos="6075"/>
              </w:tabs>
              <w:jc w:val="both"/>
              <w:rPr>
                <w:rFonts w:ascii="Arial" w:hAnsi="Arial" w:cs="Arial"/>
                <w:i/>
                <w:sz w:val="20"/>
                <w:szCs w:val="20"/>
              </w:rPr>
            </w:pPr>
            <w:r w:rsidRPr="00B10752">
              <w:rPr>
                <w:rFonts w:ascii="Arial" w:hAnsi="Arial" w:cs="Arial"/>
                <w:i/>
                <w:sz w:val="20"/>
                <w:szCs w:val="20"/>
              </w:rPr>
              <w:fldChar w:fldCharType="begin"/>
            </w:r>
            <w:r w:rsidRPr="00B10752">
              <w:rPr>
                <w:rFonts w:ascii="Arial" w:hAnsi="Arial" w:cs="Arial"/>
                <w:i/>
                <w:sz w:val="20"/>
                <w:szCs w:val="20"/>
              </w:rPr>
              <w:instrText xml:space="preserve"> SEQ CHAPTER \h \r 1</w:instrText>
            </w:r>
            <w:r w:rsidRPr="00B10752">
              <w:rPr>
                <w:rFonts w:ascii="Arial" w:hAnsi="Arial" w:cs="Arial"/>
                <w:i/>
                <w:sz w:val="20"/>
                <w:szCs w:val="20"/>
              </w:rPr>
              <w:fldChar w:fldCharType="end"/>
            </w:r>
            <w:r w:rsidRPr="00B1075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B1075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10752" w:rsidRDefault="00F138C1" w:rsidP="00F138C1">
            <w:pPr>
              <w:tabs>
                <w:tab w:val="left" w:pos="6075"/>
              </w:tabs>
              <w:jc w:val="both"/>
              <w:rPr>
                <w:rFonts w:ascii="Arial" w:hAnsi="Arial" w:cs="Arial"/>
                <w:i/>
                <w:sz w:val="20"/>
                <w:szCs w:val="20"/>
                <w:lang w:val="fr-CA"/>
              </w:rPr>
            </w:pPr>
            <w:r w:rsidRPr="00B10752">
              <w:rPr>
                <w:rFonts w:ascii="Arial" w:hAnsi="Arial" w:cs="Arial"/>
                <w:i/>
                <w:sz w:val="20"/>
                <w:szCs w:val="20"/>
                <w:lang w:val="fr-CA"/>
              </w:rPr>
              <w:fldChar w:fldCharType="begin"/>
            </w:r>
            <w:r w:rsidRPr="00B10752">
              <w:rPr>
                <w:rFonts w:ascii="Arial" w:hAnsi="Arial" w:cs="Arial"/>
                <w:i/>
                <w:sz w:val="20"/>
                <w:szCs w:val="20"/>
                <w:lang w:val="fr-CA"/>
              </w:rPr>
              <w:instrText xml:space="preserve"> SEQ CHAPTER \h \r 1</w:instrText>
            </w:r>
            <w:r w:rsidRPr="00B10752">
              <w:rPr>
                <w:rFonts w:ascii="Arial" w:hAnsi="Arial" w:cs="Arial"/>
                <w:i/>
                <w:sz w:val="20"/>
                <w:szCs w:val="20"/>
                <w:lang w:val="fr-CA"/>
              </w:rPr>
              <w:fldChar w:fldCharType="end"/>
            </w:r>
            <w:r w:rsidRPr="00B1075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B10752" w:rsidTr="00F138C1">
        <w:tc>
          <w:tcPr>
            <w:tcW w:w="4599" w:type="dxa"/>
            <w:tcMar>
              <w:top w:w="567" w:type="dxa"/>
            </w:tcMar>
          </w:tcPr>
          <w:p w:rsidR="00F138C1" w:rsidRPr="00B10752" w:rsidRDefault="00F138C1" w:rsidP="00F138C1">
            <w:pPr>
              <w:tabs>
                <w:tab w:val="left" w:pos="6075"/>
              </w:tabs>
              <w:jc w:val="both"/>
              <w:rPr>
                <w:rFonts w:ascii="Arial" w:hAnsi="Arial" w:cs="Arial"/>
                <w:i/>
                <w:sz w:val="20"/>
                <w:szCs w:val="20"/>
              </w:rPr>
            </w:pPr>
            <w:r w:rsidRPr="00B10752">
              <w:rPr>
                <w:rFonts w:ascii="Arial" w:hAnsi="Arial" w:cs="Arial"/>
                <w:i/>
                <w:sz w:val="20"/>
                <w:szCs w:val="20"/>
                <w:lang w:val="en-US"/>
              </w:rPr>
              <w:t>Please c</w:t>
            </w:r>
            <w:r w:rsidRPr="00B10752">
              <w:rPr>
                <w:rFonts w:ascii="Arial" w:hAnsi="Arial" w:cs="Arial"/>
                <w:i/>
                <w:sz w:val="20"/>
                <w:szCs w:val="20"/>
              </w:rPr>
              <w:t xml:space="preserve">onsult the Supreme Court of Canada website at </w:t>
            </w:r>
            <w:hyperlink r:id="rId9" w:history="1">
              <w:r w:rsidRPr="00B10752">
                <w:rPr>
                  <w:rStyle w:val="Hyperlink"/>
                  <w:rFonts w:ascii="Arial" w:hAnsi="Arial" w:cs="Arial"/>
                  <w:i/>
                  <w:sz w:val="20"/>
                  <w:szCs w:val="20"/>
                </w:rPr>
                <w:t>www.scc-csc.ca</w:t>
              </w:r>
            </w:hyperlink>
            <w:r w:rsidRPr="00B10752">
              <w:rPr>
                <w:rFonts w:ascii="Arial" w:hAnsi="Arial" w:cs="Arial"/>
                <w:i/>
                <w:sz w:val="20"/>
                <w:szCs w:val="20"/>
              </w:rPr>
              <w:t xml:space="preserve"> for more information.</w:t>
            </w:r>
          </w:p>
        </w:tc>
        <w:tc>
          <w:tcPr>
            <w:tcW w:w="483" w:type="dxa"/>
          </w:tcPr>
          <w:p w:rsidR="00F138C1" w:rsidRPr="00B1075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B10752" w:rsidRDefault="00F138C1" w:rsidP="00F138C1">
            <w:pPr>
              <w:tabs>
                <w:tab w:val="left" w:pos="6075"/>
              </w:tabs>
              <w:jc w:val="both"/>
              <w:rPr>
                <w:rFonts w:ascii="Arial" w:hAnsi="Arial" w:cs="Arial"/>
                <w:i/>
                <w:sz w:val="20"/>
                <w:szCs w:val="20"/>
                <w:lang w:val="fr-CA"/>
              </w:rPr>
            </w:pPr>
            <w:r w:rsidRPr="00B10752">
              <w:rPr>
                <w:rFonts w:ascii="Arial" w:hAnsi="Arial" w:cs="Arial"/>
                <w:i/>
                <w:sz w:val="20"/>
                <w:szCs w:val="20"/>
                <w:lang w:val="fr-CA"/>
              </w:rPr>
              <w:t xml:space="preserve">Pour de plus amples informations, veuillez consulter le site Web de la Cour suprême du Canada à l’adresse suivante : </w:t>
            </w:r>
            <w:hyperlink r:id="rId10" w:history="1">
              <w:r w:rsidRPr="00B10752">
                <w:rPr>
                  <w:rStyle w:val="Hyperlink"/>
                  <w:rFonts w:ascii="Arial" w:hAnsi="Arial" w:cs="Arial"/>
                  <w:i/>
                  <w:sz w:val="20"/>
                  <w:szCs w:val="20"/>
                  <w:lang w:val="fr-CA"/>
                </w:rPr>
                <w:t>www.scc-csc.ca</w:t>
              </w:r>
            </w:hyperlink>
            <w:r w:rsidRPr="00B10752">
              <w:rPr>
                <w:rFonts w:ascii="Arial" w:hAnsi="Arial" w:cs="Arial"/>
                <w:i/>
                <w:sz w:val="20"/>
                <w:szCs w:val="20"/>
                <w:lang w:val="fr-CA"/>
              </w:rPr>
              <w:t xml:space="preserve"> </w:t>
            </w:r>
          </w:p>
        </w:tc>
      </w:tr>
    </w:tbl>
    <w:p w:rsidR="00F138C1" w:rsidRPr="00B10752"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B10752" w:rsidTr="00F138C1">
        <w:tc>
          <w:tcPr>
            <w:tcW w:w="2250" w:type="pct"/>
            <w:tcBorders>
              <w:top w:val="single" w:sz="4" w:space="0" w:color="auto"/>
            </w:tcBorders>
            <w:tcMar>
              <w:top w:w="284" w:type="dxa"/>
              <w:bottom w:w="284" w:type="dxa"/>
            </w:tcMar>
          </w:tcPr>
          <w:p w:rsidR="00F138C1" w:rsidRPr="00B10752" w:rsidRDefault="00223200" w:rsidP="00223200">
            <w:pPr>
              <w:tabs>
                <w:tab w:val="left" w:pos="6075"/>
              </w:tabs>
              <w:rPr>
                <w:rFonts w:ascii="Arial" w:hAnsi="Arial" w:cs="Arial"/>
                <w:i/>
                <w:sz w:val="20"/>
                <w:szCs w:val="20"/>
              </w:rPr>
            </w:pPr>
            <w:r w:rsidRPr="00B10752">
              <w:rPr>
                <w:lang w:val="fr-CA"/>
              </w:rPr>
              <w:t>May</w:t>
            </w:r>
            <w:r w:rsidR="00F138C1" w:rsidRPr="00B10752">
              <w:rPr>
                <w:lang w:val="fr-CA"/>
              </w:rPr>
              <w:t xml:space="preserve"> </w:t>
            </w:r>
            <w:r w:rsidRPr="00B10752">
              <w:rPr>
                <w:lang w:val="fr-CA"/>
              </w:rPr>
              <w:t>7</w:t>
            </w:r>
            <w:r w:rsidR="00F138C1" w:rsidRPr="00B10752">
              <w:rPr>
                <w:lang w:val="fr-CA"/>
              </w:rPr>
              <w:t>, 20</w:t>
            </w:r>
            <w:r w:rsidR="009B36BA" w:rsidRPr="00B10752">
              <w:rPr>
                <w:lang w:val="fr-CA"/>
              </w:rPr>
              <w:t>21</w:t>
            </w:r>
          </w:p>
        </w:tc>
        <w:tc>
          <w:tcPr>
            <w:tcW w:w="500" w:type="pct"/>
            <w:tcBorders>
              <w:top w:val="single" w:sz="4" w:space="0" w:color="auto"/>
            </w:tcBorders>
            <w:tcMar>
              <w:top w:w="284" w:type="dxa"/>
              <w:bottom w:w="284" w:type="dxa"/>
            </w:tcMar>
          </w:tcPr>
          <w:p w:rsidR="00F138C1" w:rsidRPr="00B10752" w:rsidRDefault="00F138C1" w:rsidP="00F83237">
            <w:pPr>
              <w:tabs>
                <w:tab w:val="left" w:pos="6075"/>
              </w:tabs>
              <w:jc w:val="center"/>
              <w:rPr>
                <w:rFonts w:ascii="Arial" w:hAnsi="Arial" w:cs="Arial"/>
                <w:i/>
                <w:sz w:val="20"/>
                <w:szCs w:val="20"/>
              </w:rPr>
            </w:pPr>
            <w:r w:rsidRPr="00B10752">
              <w:rPr>
                <w:lang w:val="fr-CA"/>
              </w:rPr>
              <w:t xml:space="preserve">1 - </w:t>
            </w:r>
            <w:r w:rsidR="00E70281" w:rsidRPr="00B10752">
              <w:rPr>
                <w:lang w:val="fr-CA"/>
              </w:rPr>
              <w:t>5</w:t>
            </w:r>
            <w:r w:rsidR="00F83237" w:rsidRPr="00B10752">
              <w:rPr>
                <w:lang w:val="fr-CA"/>
              </w:rPr>
              <w:t>3</w:t>
            </w:r>
          </w:p>
        </w:tc>
        <w:tc>
          <w:tcPr>
            <w:tcW w:w="2250" w:type="pct"/>
            <w:tcBorders>
              <w:top w:val="single" w:sz="4" w:space="0" w:color="auto"/>
            </w:tcBorders>
            <w:tcMar>
              <w:top w:w="284" w:type="dxa"/>
              <w:bottom w:w="284" w:type="dxa"/>
            </w:tcMar>
          </w:tcPr>
          <w:p w:rsidR="00F138C1" w:rsidRPr="00B10752" w:rsidRDefault="00F138C1" w:rsidP="00223200">
            <w:pPr>
              <w:tabs>
                <w:tab w:val="left" w:pos="6075"/>
              </w:tabs>
              <w:jc w:val="right"/>
              <w:rPr>
                <w:rFonts w:ascii="Arial" w:hAnsi="Arial" w:cs="Arial"/>
                <w:i/>
                <w:sz w:val="20"/>
                <w:szCs w:val="20"/>
                <w:lang w:val="fr-CA"/>
              </w:rPr>
            </w:pPr>
            <w:r w:rsidRPr="00B10752">
              <w:rPr>
                <w:lang w:val="fr-CA"/>
              </w:rPr>
              <w:t xml:space="preserve">Le </w:t>
            </w:r>
            <w:r w:rsidR="00223200" w:rsidRPr="00B10752">
              <w:rPr>
                <w:lang w:val="fr-CA"/>
              </w:rPr>
              <w:t>7</w:t>
            </w:r>
            <w:r w:rsidRPr="00B10752">
              <w:rPr>
                <w:lang w:val="fr-CA"/>
              </w:rPr>
              <w:t xml:space="preserve"> </w:t>
            </w:r>
            <w:r w:rsidR="00223200" w:rsidRPr="00B10752">
              <w:rPr>
                <w:lang w:val="fr-CA"/>
              </w:rPr>
              <w:t>mai</w:t>
            </w:r>
            <w:r w:rsidRPr="00B10752">
              <w:rPr>
                <w:lang w:val="fr-CA"/>
              </w:rPr>
              <w:t xml:space="preserve"> 202</w:t>
            </w:r>
            <w:r w:rsidR="009B36BA" w:rsidRPr="00B10752">
              <w:rPr>
                <w:lang w:val="fr-CA"/>
              </w:rPr>
              <w:t>1</w:t>
            </w:r>
          </w:p>
        </w:tc>
      </w:tr>
      <w:tr w:rsidR="00F138C1" w:rsidRPr="00B10752" w:rsidTr="00F138C1">
        <w:tc>
          <w:tcPr>
            <w:tcW w:w="2250" w:type="pct"/>
            <w:tcBorders>
              <w:bottom w:val="single" w:sz="4" w:space="0" w:color="auto"/>
            </w:tcBorders>
            <w:tcMar>
              <w:top w:w="284" w:type="dxa"/>
              <w:bottom w:w="284" w:type="dxa"/>
            </w:tcMar>
          </w:tcPr>
          <w:p w:rsidR="00F138C1" w:rsidRPr="00B10752" w:rsidRDefault="00F138C1" w:rsidP="009B36BA">
            <w:pPr>
              <w:tabs>
                <w:tab w:val="left" w:pos="6075"/>
              </w:tabs>
              <w:rPr>
                <w:rFonts w:ascii="Arial" w:hAnsi="Arial" w:cs="Arial"/>
                <w:i/>
                <w:sz w:val="20"/>
                <w:szCs w:val="20"/>
              </w:rPr>
            </w:pPr>
            <w:r w:rsidRPr="00B10752">
              <w:rPr>
                <w:sz w:val="18"/>
                <w:szCs w:val="18"/>
                <w:lang w:val="en-US"/>
              </w:rPr>
              <w:t>© Supreme Court of Canada (202</w:t>
            </w:r>
            <w:r w:rsidR="009B36BA" w:rsidRPr="00B10752">
              <w:rPr>
                <w:sz w:val="18"/>
                <w:szCs w:val="18"/>
                <w:lang w:val="en-US"/>
              </w:rPr>
              <w:t>1</w:t>
            </w:r>
            <w:r w:rsidRPr="00B10752">
              <w:rPr>
                <w:sz w:val="18"/>
                <w:szCs w:val="18"/>
                <w:lang w:val="en-US"/>
              </w:rPr>
              <w:t>)</w:t>
            </w:r>
            <w:r w:rsidRPr="00B10752">
              <w:rPr>
                <w:sz w:val="18"/>
                <w:szCs w:val="18"/>
                <w:lang w:val="en-US"/>
              </w:rPr>
              <w:br/>
              <w:t>ISSN 1918-8358 (Online)</w:t>
            </w:r>
          </w:p>
        </w:tc>
        <w:tc>
          <w:tcPr>
            <w:tcW w:w="500" w:type="pct"/>
            <w:tcBorders>
              <w:bottom w:val="single" w:sz="4" w:space="0" w:color="auto"/>
            </w:tcBorders>
            <w:tcMar>
              <w:top w:w="284" w:type="dxa"/>
              <w:bottom w:w="284" w:type="dxa"/>
            </w:tcMar>
          </w:tcPr>
          <w:p w:rsidR="00F138C1" w:rsidRPr="00B10752"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B10752" w:rsidRDefault="00F138C1" w:rsidP="009B36BA">
            <w:pPr>
              <w:tabs>
                <w:tab w:val="left" w:pos="6075"/>
              </w:tabs>
              <w:jc w:val="right"/>
              <w:rPr>
                <w:rFonts w:ascii="Arial" w:hAnsi="Arial" w:cs="Arial"/>
                <w:i/>
                <w:sz w:val="20"/>
                <w:szCs w:val="20"/>
                <w:lang w:val="fr-CA"/>
              </w:rPr>
            </w:pPr>
            <w:r w:rsidRPr="00B10752">
              <w:rPr>
                <w:sz w:val="18"/>
                <w:szCs w:val="18"/>
                <w:lang w:val="fr-CA"/>
              </w:rPr>
              <w:t>© Cour suprême du Canada (202</w:t>
            </w:r>
            <w:r w:rsidR="009B36BA" w:rsidRPr="00B10752">
              <w:rPr>
                <w:sz w:val="18"/>
                <w:szCs w:val="18"/>
                <w:lang w:val="fr-CA"/>
              </w:rPr>
              <w:t>1</w:t>
            </w:r>
            <w:r w:rsidRPr="00B10752">
              <w:rPr>
                <w:sz w:val="18"/>
                <w:szCs w:val="18"/>
                <w:lang w:val="fr-CA"/>
              </w:rPr>
              <w:t>)</w:t>
            </w:r>
            <w:r w:rsidRPr="00B10752">
              <w:rPr>
                <w:sz w:val="18"/>
                <w:szCs w:val="18"/>
                <w:lang w:val="fr-CA"/>
              </w:rPr>
              <w:br/>
              <w:t>ISSN 1918-8358 (En ligne)</w:t>
            </w:r>
          </w:p>
        </w:tc>
      </w:tr>
    </w:tbl>
    <w:p w:rsidR="0030050B" w:rsidRPr="00B10752" w:rsidRDefault="0030050B" w:rsidP="00F138C1">
      <w:pPr>
        <w:tabs>
          <w:tab w:val="left" w:pos="6075"/>
        </w:tabs>
        <w:rPr>
          <w:lang w:val="fr-CA"/>
        </w:rPr>
      </w:pPr>
    </w:p>
    <w:p w:rsidR="00560DF1" w:rsidRPr="00B10752" w:rsidRDefault="00560DF1" w:rsidP="0095096B">
      <w:pPr>
        <w:tabs>
          <w:tab w:val="right" w:pos="9360"/>
        </w:tabs>
        <w:rPr>
          <w:lang w:val="fr-CA"/>
        </w:rPr>
      </w:pPr>
    </w:p>
    <w:p w:rsidR="00F138C1" w:rsidRPr="00B10752"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B10752" w:rsidRDefault="00DC6B2E" w:rsidP="00693C38">
          <w:pPr>
            <w:pStyle w:val="Title"/>
            <w:jc w:val="center"/>
            <w:rPr>
              <w:rFonts w:ascii="Times New Roman" w:hAnsi="Times New Roman" w:cs="Times New Roman"/>
              <w:b/>
              <w:sz w:val="24"/>
              <w:szCs w:val="28"/>
              <w:lang w:val="fr-CA"/>
            </w:rPr>
          </w:pPr>
          <w:r w:rsidRPr="00B10752">
            <w:rPr>
              <w:rFonts w:ascii="Times New Roman" w:hAnsi="Times New Roman" w:cs="Times New Roman"/>
              <w:b/>
              <w:sz w:val="24"/>
              <w:szCs w:val="28"/>
              <w:lang w:val="fr-CA"/>
            </w:rPr>
            <w:t>Contents</w:t>
          </w:r>
        </w:p>
        <w:p w:rsidR="00693C38" w:rsidRPr="00B10752" w:rsidRDefault="00DC6B2E" w:rsidP="00693C38">
          <w:pPr>
            <w:jc w:val="center"/>
            <w:rPr>
              <w:b/>
              <w:szCs w:val="28"/>
              <w:lang w:val="fr-CA"/>
            </w:rPr>
          </w:pPr>
          <w:r w:rsidRPr="00B10752">
            <w:rPr>
              <w:b/>
              <w:szCs w:val="28"/>
              <w:lang w:val="fr-CA"/>
            </w:rPr>
            <w:t>Table des matières</w:t>
          </w:r>
        </w:p>
        <w:p w:rsidR="00693C38" w:rsidRPr="00B10752" w:rsidRDefault="00693C38" w:rsidP="00693C38">
          <w:pPr>
            <w:rPr>
              <w:lang w:val="fr-CA"/>
            </w:rPr>
          </w:pPr>
        </w:p>
        <w:p w:rsidR="00F83237" w:rsidRPr="00B10752" w:rsidRDefault="00DC6B2E">
          <w:pPr>
            <w:pStyle w:val="TOC1"/>
            <w:tabs>
              <w:tab w:val="right" w:leader="dot" w:pos="9638"/>
            </w:tabs>
            <w:rPr>
              <w:rFonts w:asciiTheme="minorHAnsi" w:eastAsiaTheme="minorEastAsia" w:hAnsiTheme="minorHAnsi"/>
              <w:noProof/>
              <w:sz w:val="22"/>
              <w:lang w:val="en-US"/>
            </w:rPr>
          </w:pPr>
          <w:r w:rsidRPr="00B10752">
            <w:rPr>
              <w:b/>
              <w:bCs/>
              <w:noProof/>
            </w:rPr>
            <w:fldChar w:fldCharType="begin"/>
          </w:r>
          <w:r w:rsidRPr="00B10752">
            <w:rPr>
              <w:b/>
              <w:bCs/>
              <w:noProof/>
            </w:rPr>
            <w:instrText xml:space="preserve"> TOC \o "1-3" \h \z \u </w:instrText>
          </w:r>
          <w:r w:rsidRPr="00B10752">
            <w:rPr>
              <w:b/>
              <w:bCs/>
              <w:noProof/>
            </w:rPr>
            <w:fldChar w:fldCharType="separate"/>
          </w:r>
          <w:hyperlink w:anchor="_Toc71210435" w:history="1">
            <w:r w:rsidR="00F83237" w:rsidRPr="00B10752">
              <w:rPr>
                <w:rStyle w:val="Hyperlink"/>
                <w:noProof/>
                <w:lang w:val="fr-CA"/>
              </w:rPr>
              <w:t>Applications for leave to appeal filed /  Demandes d’autorisation d’appel déposées</w:t>
            </w:r>
            <w:r w:rsidR="00F83237" w:rsidRPr="00B10752">
              <w:rPr>
                <w:noProof/>
                <w:webHidden/>
              </w:rPr>
              <w:tab/>
            </w:r>
            <w:r w:rsidR="00F83237" w:rsidRPr="00B10752">
              <w:rPr>
                <w:noProof/>
                <w:webHidden/>
              </w:rPr>
              <w:fldChar w:fldCharType="begin"/>
            </w:r>
            <w:r w:rsidR="00F83237" w:rsidRPr="00B10752">
              <w:rPr>
                <w:noProof/>
                <w:webHidden/>
              </w:rPr>
              <w:instrText xml:space="preserve"> PAGEREF _Toc71210435 \h </w:instrText>
            </w:r>
            <w:r w:rsidR="00F83237" w:rsidRPr="00B10752">
              <w:rPr>
                <w:noProof/>
                <w:webHidden/>
              </w:rPr>
            </w:r>
            <w:r w:rsidR="00F83237" w:rsidRPr="00B10752">
              <w:rPr>
                <w:noProof/>
                <w:webHidden/>
              </w:rPr>
              <w:fldChar w:fldCharType="separate"/>
            </w:r>
            <w:r w:rsidR="00F83237" w:rsidRPr="00B10752">
              <w:rPr>
                <w:noProof/>
                <w:webHidden/>
              </w:rPr>
              <w:t>1</w:t>
            </w:r>
            <w:r w:rsidR="00F83237" w:rsidRPr="00B10752">
              <w:rPr>
                <w:noProof/>
                <w:webHidden/>
              </w:rPr>
              <w:fldChar w:fldCharType="end"/>
            </w:r>
          </w:hyperlink>
        </w:p>
        <w:p w:rsidR="00F83237" w:rsidRPr="00B10752" w:rsidRDefault="00B10752">
          <w:pPr>
            <w:pStyle w:val="TOC1"/>
            <w:tabs>
              <w:tab w:val="right" w:leader="dot" w:pos="9638"/>
            </w:tabs>
            <w:rPr>
              <w:rFonts w:asciiTheme="minorHAnsi" w:eastAsiaTheme="minorEastAsia" w:hAnsiTheme="minorHAnsi"/>
              <w:noProof/>
              <w:sz w:val="22"/>
              <w:lang w:val="en-US"/>
            </w:rPr>
          </w:pPr>
          <w:hyperlink w:anchor="_Toc71210436" w:history="1">
            <w:r w:rsidR="00F83237" w:rsidRPr="00B10752">
              <w:rPr>
                <w:rStyle w:val="Hyperlink"/>
                <w:noProof/>
                <w:lang w:val="fr-CA"/>
              </w:rPr>
              <w:t>Judgments on applications for leave /  Jugements rendus sur les demandes d’autorisation</w:t>
            </w:r>
            <w:r w:rsidR="00F83237" w:rsidRPr="00B10752">
              <w:rPr>
                <w:noProof/>
                <w:webHidden/>
              </w:rPr>
              <w:tab/>
            </w:r>
            <w:r w:rsidR="00F83237" w:rsidRPr="00B10752">
              <w:rPr>
                <w:noProof/>
                <w:webHidden/>
              </w:rPr>
              <w:fldChar w:fldCharType="begin"/>
            </w:r>
            <w:r w:rsidR="00F83237" w:rsidRPr="00B10752">
              <w:rPr>
                <w:noProof/>
                <w:webHidden/>
              </w:rPr>
              <w:instrText xml:space="preserve"> PAGEREF _Toc71210436 \h </w:instrText>
            </w:r>
            <w:r w:rsidR="00F83237" w:rsidRPr="00B10752">
              <w:rPr>
                <w:noProof/>
                <w:webHidden/>
              </w:rPr>
            </w:r>
            <w:r w:rsidR="00F83237" w:rsidRPr="00B10752">
              <w:rPr>
                <w:noProof/>
                <w:webHidden/>
              </w:rPr>
              <w:fldChar w:fldCharType="separate"/>
            </w:r>
            <w:r w:rsidR="00F83237" w:rsidRPr="00B10752">
              <w:rPr>
                <w:noProof/>
                <w:webHidden/>
              </w:rPr>
              <w:t>3</w:t>
            </w:r>
            <w:r w:rsidR="00F83237" w:rsidRPr="00B10752">
              <w:rPr>
                <w:noProof/>
                <w:webHidden/>
              </w:rPr>
              <w:fldChar w:fldCharType="end"/>
            </w:r>
          </w:hyperlink>
        </w:p>
        <w:p w:rsidR="00F83237" w:rsidRPr="00B10752" w:rsidRDefault="00B10752">
          <w:pPr>
            <w:pStyle w:val="TOC1"/>
            <w:tabs>
              <w:tab w:val="right" w:leader="dot" w:pos="9638"/>
            </w:tabs>
            <w:rPr>
              <w:rFonts w:asciiTheme="minorHAnsi" w:eastAsiaTheme="minorEastAsia" w:hAnsiTheme="minorHAnsi"/>
              <w:noProof/>
              <w:sz w:val="22"/>
              <w:lang w:val="en-US"/>
            </w:rPr>
          </w:pPr>
          <w:hyperlink w:anchor="_Toc71210437" w:history="1">
            <w:r w:rsidR="00F83237" w:rsidRPr="00B10752">
              <w:rPr>
                <w:rStyle w:val="Hyperlink"/>
                <w:noProof/>
                <w:lang w:val="fr-CA"/>
              </w:rPr>
              <w:t>Motions /  Requêtes</w:t>
            </w:r>
            <w:r w:rsidR="00F83237" w:rsidRPr="00B10752">
              <w:rPr>
                <w:noProof/>
                <w:webHidden/>
              </w:rPr>
              <w:tab/>
            </w:r>
            <w:r w:rsidR="00F83237" w:rsidRPr="00B10752">
              <w:rPr>
                <w:noProof/>
                <w:webHidden/>
              </w:rPr>
              <w:fldChar w:fldCharType="begin"/>
            </w:r>
            <w:r w:rsidR="00F83237" w:rsidRPr="00B10752">
              <w:rPr>
                <w:noProof/>
                <w:webHidden/>
              </w:rPr>
              <w:instrText xml:space="preserve"> PAGEREF _Toc71210437 \h </w:instrText>
            </w:r>
            <w:r w:rsidR="00F83237" w:rsidRPr="00B10752">
              <w:rPr>
                <w:noProof/>
                <w:webHidden/>
              </w:rPr>
            </w:r>
            <w:r w:rsidR="00F83237" w:rsidRPr="00B10752">
              <w:rPr>
                <w:noProof/>
                <w:webHidden/>
              </w:rPr>
              <w:fldChar w:fldCharType="separate"/>
            </w:r>
            <w:r w:rsidR="00F83237" w:rsidRPr="00B10752">
              <w:rPr>
                <w:noProof/>
                <w:webHidden/>
              </w:rPr>
              <w:t>51</w:t>
            </w:r>
            <w:r w:rsidR="00F83237" w:rsidRPr="00B10752">
              <w:rPr>
                <w:noProof/>
                <w:webHidden/>
              </w:rPr>
              <w:fldChar w:fldCharType="end"/>
            </w:r>
          </w:hyperlink>
        </w:p>
        <w:p w:rsidR="00F83237" w:rsidRPr="00B10752" w:rsidRDefault="00B10752">
          <w:pPr>
            <w:pStyle w:val="TOC1"/>
            <w:tabs>
              <w:tab w:val="right" w:leader="dot" w:pos="9638"/>
            </w:tabs>
            <w:rPr>
              <w:rFonts w:asciiTheme="minorHAnsi" w:eastAsiaTheme="minorEastAsia" w:hAnsiTheme="minorHAnsi"/>
              <w:noProof/>
              <w:sz w:val="22"/>
              <w:lang w:val="en-US"/>
            </w:rPr>
          </w:pPr>
          <w:hyperlink w:anchor="_Toc71210438" w:history="1">
            <w:r w:rsidR="00F83237" w:rsidRPr="00B10752">
              <w:rPr>
                <w:rStyle w:val="Hyperlink"/>
                <w:noProof/>
              </w:rPr>
              <w:t xml:space="preserve">Notices of appeal filed since the last issue /  </w:t>
            </w:r>
            <w:r w:rsidR="00F83237" w:rsidRPr="00B10752">
              <w:rPr>
                <w:rStyle w:val="Hyperlink"/>
                <w:noProof/>
                <w:lang w:val="fr-CA"/>
              </w:rPr>
              <w:t>Avis d’appel déposés depuis la dernière parution</w:t>
            </w:r>
            <w:r w:rsidR="00F83237" w:rsidRPr="00B10752">
              <w:rPr>
                <w:noProof/>
                <w:webHidden/>
              </w:rPr>
              <w:tab/>
            </w:r>
            <w:r w:rsidR="00F83237" w:rsidRPr="00B10752">
              <w:rPr>
                <w:noProof/>
                <w:webHidden/>
              </w:rPr>
              <w:fldChar w:fldCharType="begin"/>
            </w:r>
            <w:r w:rsidR="00F83237" w:rsidRPr="00B10752">
              <w:rPr>
                <w:noProof/>
                <w:webHidden/>
              </w:rPr>
              <w:instrText xml:space="preserve"> PAGEREF _Toc71210438 \h </w:instrText>
            </w:r>
            <w:r w:rsidR="00F83237" w:rsidRPr="00B10752">
              <w:rPr>
                <w:noProof/>
                <w:webHidden/>
              </w:rPr>
            </w:r>
            <w:r w:rsidR="00F83237" w:rsidRPr="00B10752">
              <w:rPr>
                <w:noProof/>
                <w:webHidden/>
              </w:rPr>
              <w:fldChar w:fldCharType="separate"/>
            </w:r>
            <w:r w:rsidR="00F83237" w:rsidRPr="00B10752">
              <w:rPr>
                <w:noProof/>
                <w:webHidden/>
              </w:rPr>
              <w:t>52</w:t>
            </w:r>
            <w:r w:rsidR="00F83237" w:rsidRPr="00B10752">
              <w:rPr>
                <w:noProof/>
                <w:webHidden/>
              </w:rPr>
              <w:fldChar w:fldCharType="end"/>
            </w:r>
          </w:hyperlink>
        </w:p>
        <w:p w:rsidR="00F83237" w:rsidRPr="00B10752" w:rsidRDefault="00B10752">
          <w:pPr>
            <w:pStyle w:val="TOC1"/>
            <w:tabs>
              <w:tab w:val="right" w:leader="dot" w:pos="9638"/>
            </w:tabs>
            <w:rPr>
              <w:rFonts w:asciiTheme="minorHAnsi" w:eastAsiaTheme="minorEastAsia" w:hAnsiTheme="minorHAnsi"/>
              <w:noProof/>
              <w:sz w:val="22"/>
              <w:lang w:val="en-US"/>
            </w:rPr>
          </w:pPr>
          <w:hyperlink w:anchor="_Toc71210439" w:history="1">
            <w:r w:rsidR="00F83237" w:rsidRPr="00B10752">
              <w:rPr>
                <w:rStyle w:val="Hyperlink"/>
                <w:noProof/>
                <w:lang w:val="fr-CA"/>
              </w:rPr>
              <w:t>Pronouncements of reserved appeals /  Jugements rendus sur les appels en délibéré</w:t>
            </w:r>
            <w:r w:rsidR="00F83237" w:rsidRPr="00B10752">
              <w:rPr>
                <w:noProof/>
                <w:webHidden/>
              </w:rPr>
              <w:tab/>
            </w:r>
            <w:r w:rsidR="00F83237" w:rsidRPr="00B10752">
              <w:rPr>
                <w:noProof/>
                <w:webHidden/>
              </w:rPr>
              <w:fldChar w:fldCharType="begin"/>
            </w:r>
            <w:r w:rsidR="00F83237" w:rsidRPr="00B10752">
              <w:rPr>
                <w:noProof/>
                <w:webHidden/>
              </w:rPr>
              <w:instrText xml:space="preserve"> PAGEREF _Toc71210439 \h </w:instrText>
            </w:r>
            <w:r w:rsidR="00F83237" w:rsidRPr="00B10752">
              <w:rPr>
                <w:noProof/>
                <w:webHidden/>
              </w:rPr>
            </w:r>
            <w:r w:rsidR="00F83237" w:rsidRPr="00B10752">
              <w:rPr>
                <w:noProof/>
                <w:webHidden/>
              </w:rPr>
              <w:fldChar w:fldCharType="separate"/>
            </w:r>
            <w:r w:rsidR="00F83237" w:rsidRPr="00B10752">
              <w:rPr>
                <w:noProof/>
                <w:webHidden/>
              </w:rPr>
              <w:t>53</w:t>
            </w:r>
            <w:r w:rsidR="00F83237" w:rsidRPr="00B10752">
              <w:rPr>
                <w:noProof/>
                <w:webHidden/>
              </w:rPr>
              <w:fldChar w:fldCharType="end"/>
            </w:r>
          </w:hyperlink>
        </w:p>
        <w:p w:rsidR="00560DF1" w:rsidRPr="00B10752" w:rsidRDefault="00DC6B2E">
          <w:r w:rsidRPr="00B10752">
            <w:rPr>
              <w:b/>
              <w:bCs/>
              <w:noProof/>
              <w:sz w:val="20"/>
            </w:rPr>
            <w:fldChar w:fldCharType="end"/>
          </w:r>
        </w:p>
      </w:sdtContent>
    </w:sdt>
    <w:p w:rsidR="00560DF1" w:rsidRPr="00B10752"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B10752" w:rsidTr="00F138C1">
        <w:trPr>
          <w:jc w:val="center"/>
        </w:trPr>
        <w:tc>
          <w:tcPr>
            <w:tcW w:w="9638" w:type="dxa"/>
          </w:tcPr>
          <w:p w:rsidR="00F138C1" w:rsidRPr="00B10752" w:rsidRDefault="00F138C1" w:rsidP="00F138C1">
            <w:pPr>
              <w:keepNext/>
              <w:tabs>
                <w:tab w:val="right" w:pos="9360"/>
              </w:tabs>
              <w:spacing w:after="120"/>
              <w:jc w:val="center"/>
              <w:rPr>
                <w:szCs w:val="24"/>
              </w:rPr>
            </w:pPr>
            <w:r w:rsidRPr="00B10752">
              <w:rPr>
                <w:szCs w:val="24"/>
              </w:rPr>
              <w:t>NOTICE</w:t>
            </w:r>
          </w:p>
          <w:p w:rsidR="00F138C1" w:rsidRPr="00B10752" w:rsidRDefault="00F138C1" w:rsidP="00F138C1">
            <w:pPr>
              <w:keepNext/>
              <w:tabs>
                <w:tab w:val="right" w:pos="9360"/>
              </w:tabs>
              <w:spacing w:after="120"/>
              <w:jc w:val="both"/>
              <w:rPr>
                <w:szCs w:val="24"/>
              </w:rPr>
            </w:pPr>
            <w:r w:rsidRPr="00B10752">
              <w:rPr>
                <w:szCs w:val="24"/>
              </w:rPr>
              <w:t>Case summaries included in the Bulletin are prepared by the Office of the Registrar of the Supreme Court of Canada (Law Branch) for information purposes only.</w:t>
            </w:r>
          </w:p>
          <w:p w:rsidR="00F138C1" w:rsidRPr="00B10752" w:rsidRDefault="00F138C1" w:rsidP="00F138C1">
            <w:pPr>
              <w:keepNext/>
              <w:tabs>
                <w:tab w:val="right" w:pos="9360"/>
              </w:tabs>
              <w:spacing w:after="120"/>
              <w:jc w:val="center"/>
              <w:rPr>
                <w:szCs w:val="24"/>
                <w:lang w:val="fr-CA"/>
              </w:rPr>
            </w:pPr>
            <w:r w:rsidRPr="00B10752">
              <w:rPr>
                <w:szCs w:val="24"/>
                <w:lang w:val="fr-CA"/>
              </w:rPr>
              <w:t>AVIS</w:t>
            </w:r>
          </w:p>
          <w:p w:rsidR="00F138C1" w:rsidRPr="00B10752" w:rsidRDefault="00F138C1" w:rsidP="00F138C1">
            <w:pPr>
              <w:keepNext/>
              <w:tabs>
                <w:tab w:val="right" w:pos="9360"/>
              </w:tabs>
              <w:spacing w:after="120"/>
              <w:jc w:val="both"/>
              <w:rPr>
                <w:sz w:val="20"/>
                <w:szCs w:val="20"/>
                <w:lang w:val="fr-CA"/>
              </w:rPr>
            </w:pPr>
            <w:r w:rsidRPr="00B10752">
              <w:rPr>
                <w:szCs w:val="24"/>
                <w:lang w:val="fr-CA"/>
              </w:rPr>
              <w:t>Les résumés des causes publiés dans le bulletin sont préparés par le Bureau du registraire (Direction générale du droit) uniquement à titre d’information.</w:t>
            </w:r>
          </w:p>
        </w:tc>
      </w:tr>
    </w:tbl>
    <w:p w:rsidR="00F138C1" w:rsidRPr="00B10752" w:rsidRDefault="00F138C1" w:rsidP="00F138C1">
      <w:pPr>
        <w:tabs>
          <w:tab w:val="right" w:pos="9360"/>
        </w:tabs>
        <w:rPr>
          <w:lang w:val="fr-CA"/>
        </w:rPr>
      </w:pPr>
    </w:p>
    <w:p w:rsidR="00F138C1" w:rsidRPr="00B10752" w:rsidRDefault="00F138C1" w:rsidP="00F138C1">
      <w:pPr>
        <w:tabs>
          <w:tab w:val="right" w:pos="9360"/>
        </w:tabs>
        <w:rPr>
          <w:lang w:val="fr-CA"/>
        </w:rPr>
      </w:pPr>
    </w:p>
    <w:p w:rsidR="00C01FCB" w:rsidRPr="00B10752" w:rsidRDefault="00C01FCB" w:rsidP="0095096B">
      <w:pPr>
        <w:tabs>
          <w:tab w:val="right" w:pos="9360"/>
        </w:tabs>
        <w:rPr>
          <w:lang w:val="fr-CA"/>
        </w:rPr>
      </w:pPr>
    </w:p>
    <w:p w:rsidR="00A87207" w:rsidRPr="00B10752" w:rsidRDefault="00A87207" w:rsidP="0095096B">
      <w:pPr>
        <w:tabs>
          <w:tab w:val="right" w:pos="9360"/>
        </w:tabs>
        <w:rPr>
          <w:lang w:val="fr-CA"/>
        </w:rPr>
        <w:sectPr w:rsidR="00A87207" w:rsidRPr="00B10752" w:rsidSect="0044776A">
          <w:pgSz w:w="12240" w:h="15840"/>
          <w:pgMar w:top="720" w:right="1152" w:bottom="1080" w:left="1440" w:header="706" w:footer="706" w:gutter="0"/>
          <w:cols w:space="708"/>
          <w:titlePg/>
          <w:docGrid w:linePitch="360"/>
        </w:sectPr>
      </w:pPr>
    </w:p>
    <w:p w:rsidR="00560DF1" w:rsidRPr="00B10752" w:rsidRDefault="00DD0BDC" w:rsidP="00567602">
      <w:pPr>
        <w:pStyle w:val="Header1StyleE"/>
        <w:pBdr>
          <w:bottom w:val="single" w:sz="12" w:space="1" w:color="auto"/>
        </w:pBdr>
        <w:rPr>
          <w:lang w:val="fr-CA"/>
        </w:rPr>
      </w:pPr>
      <w:bookmarkStart w:id="0" w:name="_Toc71210435"/>
      <w:r w:rsidRPr="00B10752">
        <w:rPr>
          <w:lang w:val="fr-CA"/>
        </w:rPr>
        <w:lastRenderedPageBreak/>
        <w:t>Applications for leave to appeal filed</w:t>
      </w:r>
      <w:r w:rsidR="00271E1E" w:rsidRPr="00B10752">
        <w:rPr>
          <w:lang w:val="fr-CA"/>
        </w:rPr>
        <w:t xml:space="preserve"> / </w:t>
      </w:r>
      <w:r w:rsidR="00727571" w:rsidRPr="00B10752">
        <w:rPr>
          <w:lang w:val="fr-CA"/>
        </w:rPr>
        <w:br/>
      </w:r>
      <w:r w:rsidRPr="00B10752">
        <w:rPr>
          <w:lang w:val="fr-CA"/>
        </w:rPr>
        <w:t>Demandes d’autorisation d’appel déposées</w:t>
      </w:r>
      <w:bookmarkEnd w:id="0"/>
    </w:p>
    <w:p w:rsidR="00F138C1" w:rsidRPr="00B10752"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B10752" w:rsidTr="00F138C1">
        <w:tc>
          <w:tcPr>
            <w:tcW w:w="4239" w:type="dxa"/>
            <w:shd w:val="clear" w:color="auto" w:fill="auto"/>
          </w:tcPr>
          <w:p w:rsidR="00F138C1" w:rsidRPr="00B10752" w:rsidRDefault="0074582E" w:rsidP="00F138C1">
            <w:pPr>
              <w:rPr>
                <w:sz w:val="20"/>
                <w:szCs w:val="20"/>
                <w:lang w:val="en-US"/>
              </w:rPr>
            </w:pPr>
            <w:r w:rsidRPr="00B10752">
              <w:rPr>
                <w:b/>
                <w:sz w:val="20"/>
                <w:szCs w:val="20"/>
                <w:lang w:val="en-US"/>
              </w:rPr>
              <w:t>Luc LeBlanc</w:t>
            </w:r>
          </w:p>
          <w:p w:rsidR="00F138C1" w:rsidRPr="00B10752" w:rsidRDefault="00F138C1" w:rsidP="00F138C1">
            <w:pPr>
              <w:tabs>
                <w:tab w:val="left" w:pos="-1440"/>
                <w:tab w:val="left" w:pos="-720"/>
              </w:tabs>
              <w:rPr>
                <w:sz w:val="20"/>
                <w:szCs w:val="20"/>
                <w:lang w:val="en-US"/>
              </w:rPr>
            </w:pPr>
            <w:r w:rsidRPr="00B10752">
              <w:rPr>
                <w:sz w:val="20"/>
                <w:szCs w:val="20"/>
                <w:lang w:val="en-US"/>
              </w:rPr>
              <w:tab/>
            </w:r>
            <w:r w:rsidR="0074582E" w:rsidRPr="00B10752">
              <w:rPr>
                <w:sz w:val="20"/>
                <w:szCs w:val="20"/>
                <w:lang w:val="en-US"/>
              </w:rPr>
              <w:t>Gorham, Nathan</w:t>
            </w:r>
          </w:p>
          <w:p w:rsidR="00F138C1" w:rsidRPr="00B10752" w:rsidRDefault="00EC6816" w:rsidP="00F138C1">
            <w:pPr>
              <w:tabs>
                <w:tab w:val="left" w:pos="-1440"/>
                <w:tab w:val="left" w:pos="-720"/>
              </w:tabs>
              <w:rPr>
                <w:sz w:val="20"/>
                <w:szCs w:val="20"/>
                <w:lang w:val="en-US"/>
              </w:rPr>
            </w:pPr>
            <w:r w:rsidRPr="00B10752">
              <w:rPr>
                <w:sz w:val="20"/>
                <w:szCs w:val="20"/>
                <w:lang w:val="en-US"/>
              </w:rPr>
              <w:tab/>
            </w:r>
            <w:r w:rsidR="004E12CE" w:rsidRPr="00B10752">
              <w:rPr>
                <w:sz w:val="20"/>
                <w:szCs w:val="20"/>
                <w:lang w:val="en-US"/>
              </w:rPr>
              <w:t>Gorham Vandebeek LLP</w:t>
            </w:r>
          </w:p>
          <w:p w:rsidR="00EC6816" w:rsidRPr="00B10752" w:rsidRDefault="00EC6816" w:rsidP="00F138C1">
            <w:pPr>
              <w:tabs>
                <w:tab w:val="left" w:pos="-1440"/>
                <w:tab w:val="left" w:pos="-720"/>
              </w:tabs>
              <w:rPr>
                <w:sz w:val="20"/>
                <w:szCs w:val="20"/>
                <w:lang w:val="en-US"/>
              </w:rPr>
            </w:pPr>
          </w:p>
          <w:p w:rsidR="00F138C1" w:rsidRPr="00B10752" w:rsidRDefault="00F138C1" w:rsidP="00F138C1">
            <w:pPr>
              <w:tabs>
                <w:tab w:val="left" w:pos="-1440"/>
                <w:tab w:val="left" w:pos="-720"/>
              </w:tabs>
              <w:rPr>
                <w:sz w:val="20"/>
                <w:szCs w:val="20"/>
                <w:lang w:val="en-US"/>
              </w:rPr>
            </w:pPr>
            <w:r w:rsidRPr="00B10752">
              <w:rPr>
                <w:sz w:val="20"/>
                <w:szCs w:val="20"/>
                <w:lang w:val="en-US"/>
              </w:rPr>
              <w:tab/>
              <w:t>v. (39</w:t>
            </w:r>
            <w:r w:rsidR="0074582E" w:rsidRPr="00B10752">
              <w:rPr>
                <w:sz w:val="20"/>
                <w:szCs w:val="20"/>
                <w:lang w:val="en-US"/>
              </w:rPr>
              <w:t>608</w:t>
            </w:r>
            <w:r w:rsidRPr="00B10752">
              <w:rPr>
                <w:sz w:val="20"/>
                <w:szCs w:val="20"/>
                <w:lang w:val="en-US"/>
              </w:rPr>
              <w:t>)</w:t>
            </w:r>
          </w:p>
          <w:p w:rsidR="00F138C1" w:rsidRPr="00B10752" w:rsidRDefault="00F138C1" w:rsidP="00F138C1">
            <w:pPr>
              <w:tabs>
                <w:tab w:val="left" w:pos="-1440"/>
                <w:tab w:val="left" w:pos="-720"/>
              </w:tabs>
              <w:rPr>
                <w:sz w:val="20"/>
                <w:szCs w:val="20"/>
                <w:lang w:val="en-US"/>
              </w:rPr>
            </w:pPr>
          </w:p>
          <w:p w:rsidR="00F138C1" w:rsidRPr="00B10752" w:rsidRDefault="0074582E" w:rsidP="00F138C1">
            <w:pPr>
              <w:tabs>
                <w:tab w:val="left" w:pos="-1440"/>
                <w:tab w:val="left" w:pos="-720"/>
              </w:tabs>
              <w:rPr>
                <w:b/>
                <w:sz w:val="20"/>
                <w:szCs w:val="20"/>
                <w:lang w:val="en-US"/>
              </w:rPr>
            </w:pPr>
            <w:r w:rsidRPr="00B10752">
              <w:rPr>
                <w:b/>
                <w:sz w:val="20"/>
                <w:szCs w:val="20"/>
                <w:lang w:val="en-US"/>
              </w:rPr>
              <w:t>Her Majesty the Queen</w:t>
            </w:r>
            <w:r w:rsidR="00F138C1" w:rsidRPr="00B10752">
              <w:rPr>
                <w:b/>
                <w:sz w:val="20"/>
                <w:szCs w:val="20"/>
                <w:lang w:val="en-US"/>
              </w:rPr>
              <w:t xml:space="preserve"> (</w:t>
            </w:r>
            <w:r w:rsidRPr="00B10752">
              <w:rPr>
                <w:b/>
                <w:sz w:val="20"/>
                <w:szCs w:val="20"/>
                <w:lang w:val="en-US"/>
              </w:rPr>
              <w:t>N.B</w:t>
            </w:r>
            <w:r w:rsidR="00F138C1" w:rsidRPr="00B10752">
              <w:rPr>
                <w:b/>
                <w:sz w:val="20"/>
                <w:szCs w:val="20"/>
                <w:lang w:val="en-US"/>
              </w:rPr>
              <w:t>.)</w:t>
            </w:r>
          </w:p>
          <w:p w:rsidR="00F138C1" w:rsidRPr="00B10752" w:rsidRDefault="00F138C1" w:rsidP="00F138C1">
            <w:pPr>
              <w:tabs>
                <w:tab w:val="left" w:pos="-1440"/>
                <w:tab w:val="left" w:pos="-720"/>
              </w:tabs>
              <w:rPr>
                <w:sz w:val="20"/>
                <w:szCs w:val="20"/>
                <w:lang w:val="en-US"/>
              </w:rPr>
            </w:pPr>
            <w:r w:rsidRPr="00B10752">
              <w:rPr>
                <w:sz w:val="20"/>
                <w:szCs w:val="20"/>
                <w:lang w:val="en-US"/>
              </w:rPr>
              <w:tab/>
            </w:r>
            <w:r w:rsidR="004E12CE" w:rsidRPr="00B10752">
              <w:rPr>
                <w:sz w:val="20"/>
                <w:szCs w:val="20"/>
                <w:lang w:val="en-US"/>
              </w:rPr>
              <w:t>Schermbrucker, David W.</w:t>
            </w:r>
          </w:p>
          <w:p w:rsidR="00F138C1" w:rsidRPr="00B10752" w:rsidRDefault="00F138C1" w:rsidP="00F138C1">
            <w:pPr>
              <w:tabs>
                <w:tab w:val="left" w:pos="-1440"/>
                <w:tab w:val="left" w:pos="-720"/>
              </w:tabs>
              <w:rPr>
                <w:sz w:val="20"/>
                <w:szCs w:val="20"/>
              </w:rPr>
            </w:pPr>
            <w:r w:rsidRPr="00B10752">
              <w:rPr>
                <w:sz w:val="20"/>
                <w:szCs w:val="20"/>
                <w:lang w:val="en-US"/>
              </w:rPr>
              <w:tab/>
            </w:r>
            <w:r w:rsidR="004E12CE" w:rsidRPr="00B10752">
              <w:rPr>
                <w:sz w:val="20"/>
                <w:szCs w:val="20"/>
              </w:rPr>
              <w:t>Public Prosecution Service of Canada</w:t>
            </w:r>
          </w:p>
          <w:p w:rsidR="00F138C1" w:rsidRPr="00B10752" w:rsidRDefault="00F138C1" w:rsidP="00F138C1">
            <w:pPr>
              <w:tabs>
                <w:tab w:val="left" w:pos="-1440"/>
                <w:tab w:val="left" w:pos="-720"/>
              </w:tabs>
              <w:rPr>
                <w:sz w:val="20"/>
                <w:szCs w:val="20"/>
              </w:rPr>
            </w:pPr>
          </w:p>
          <w:p w:rsidR="00F138C1" w:rsidRPr="00B10752" w:rsidRDefault="00F138C1" w:rsidP="00F138C1">
            <w:pPr>
              <w:rPr>
                <w:sz w:val="20"/>
                <w:szCs w:val="20"/>
              </w:rPr>
            </w:pPr>
            <w:r w:rsidRPr="00B10752">
              <w:rPr>
                <w:sz w:val="20"/>
                <w:szCs w:val="20"/>
              </w:rPr>
              <w:t xml:space="preserve">FILING DATE: </w:t>
            </w:r>
            <w:r w:rsidR="0074582E" w:rsidRPr="00B10752">
              <w:rPr>
                <w:sz w:val="20"/>
                <w:szCs w:val="20"/>
              </w:rPr>
              <w:t>April</w:t>
            </w:r>
            <w:r w:rsidRPr="00B10752">
              <w:rPr>
                <w:sz w:val="20"/>
                <w:szCs w:val="20"/>
              </w:rPr>
              <w:t xml:space="preserve"> </w:t>
            </w:r>
            <w:r w:rsidR="0074582E" w:rsidRPr="00B10752">
              <w:rPr>
                <w:sz w:val="20"/>
                <w:szCs w:val="20"/>
              </w:rPr>
              <w:t>23</w:t>
            </w:r>
            <w:r w:rsidRPr="00B10752">
              <w:rPr>
                <w:sz w:val="20"/>
                <w:szCs w:val="20"/>
              </w:rPr>
              <w:t>, 20</w:t>
            </w:r>
            <w:r w:rsidR="00DA1D48" w:rsidRPr="00B10752">
              <w:rPr>
                <w:sz w:val="20"/>
                <w:szCs w:val="20"/>
              </w:rPr>
              <w:t>2</w:t>
            </w:r>
            <w:r w:rsidR="00EC6816" w:rsidRPr="00B10752">
              <w:rPr>
                <w:sz w:val="20"/>
                <w:szCs w:val="20"/>
              </w:rPr>
              <w:t>1</w:t>
            </w:r>
          </w:p>
          <w:p w:rsidR="004B2E86" w:rsidRPr="00B10752" w:rsidRDefault="004B2E86" w:rsidP="00F138C1">
            <w:pPr>
              <w:rPr>
                <w:sz w:val="20"/>
                <w:szCs w:val="20"/>
              </w:rPr>
            </w:pPr>
          </w:p>
          <w:p w:rsidR="00F138C1" w:rsidRPr="00B10752" w:rsidRDefault="00B10752" w:rsidP="00F138C1">
            <w:pPr>
              <w:rPr>
                <w:sz w:val="20"/>
                <w:szCs w:val="20"/>
              </w:rPr>
            </w:pPr>
            <w:r w:rsidRPr="00B10752">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B10752" w:rsidRDefault="00F138C1" w:rsidP="00F138C1">
            <w:pPr>
              <w:jc w:val="center"/>
              <w:rPr>
                <w:sz w:val="20"/>
                <w:szCs w:val="20"/>
              </w:rPr>
            </w:pPr>
          </w:p>
          <w:p w:rsidR="00F138C1" w:rsidRPr="00B10752" w:rsidRDefault="00F138C1" w:rsidP="00F138C1">
            <w:pPr>
              <w:jc w:val="center"/>
              <w:rPr>
                <w:sz w:val="20"/>
                <w:szCs w:val="20"/>
              </w:rPr>
            </w:pPr>
          </w:p>
          <w:p w:rsidR="00F138C1" w:rsidRPr="00B10752" w:rsidRDefault="00F138C1" w:rsidP="00F138C1">
            <w:pPr>
              <w:jc w:val="center"/>
              <w:rPr>
                <w:sz w:val="20"/>
                <w:szCs w:val="20"/>
              </w:rPr>
            </w:pPr>
          </w:p>
          <w:p w:rsidR="00F138C1" w:rsidRPr="00B10752" w:rsidRDefault="00F138C1" w:rsidP="00F138C1">
            <w:pPr>
              <w:jc w:val="center"/>
              <w:rPr>
                <w:sz w:val="20"/>
                <w:szCs w:val="20"/>
              </w:rPr>
            </w:pPr>
          </w:p>
          <w:p w:rsidR="00F138C1" w:rsidRPr="00B10752" w:rsidRDefault="00F138C1" w:rsidP="00F138C1">
            <w:pPr>
              <w:jc w:val="center"/>
              <w:rPr>
                <w:sz w:val="20"/>
                <w:szCs w:val="20"/>
              </w:rPr>
            </w:pPr>
          </w:p>
          <w:p w:rsidR="00F138C1" w:rsidRPr="00B10752" w:rsidRDefault="00F138C1" w:rsidP="00F138C1">
            <w:pPr>
              <w:jc w:val="center"/>
              <w:rPr>
                <w:sz w:val="20"/>
                <w:szCs w:val="20"/>
              </w:rPr>
            </w:pPr>
          </w:p>
          <w:p w:rsidR="00F138C1" w:rsidRPr="00B10752" w:rsidRDefault="00F138C1" w:rsidP="00F138C1">
            <w:pPr>
              <w:jc w:val="center"/>
              <w:rPr>
                <w:sz w:val="20"/>
                <w:szCs w:val="20"/>
              </w:rPr>
            </w:pPr>
          </w:p>
          <w:p w:rsidR="00F138C1" w:rsidRPr="00B10752" w:rsidRDefault="00F138C1" w:rsidP="00F138C1">
            <w:pPr>
              <w:jc w:val="center"/>
              <w:rPr>
                <w:sz w:val="20"/>
                <w:szCs w:val="20"/>
              </w:rPr>
            </w:pPr>
          </w:p>
          <w:p w:rsidR="00F138C1" w:rsidRPr="00B10752" w:rsidRDefault="00F138C1" w:rsidP="00F138C1">
            <w:pPr>
              <w:jc w:val="center"/>
              <w:rPr>
                <w:sz w:val="20"/>
                <w:szCs w:val="20"/>
              </w:rPr>
            </w:pPr>
          </w:p>
          <w:p w:rsidR="00F138C1" w:rsidRPr="00B10752" w:rsidRDefault="00F138C1" w:rsidP="00F138C1">
            <w:pPr>
              <w:jc w:val="center"/>
              <w:rPr>
                <w:sz w:val="20"/>
                <w:szCs w:val="20"/>
              </w:rPr>
            </w:pPr>
          </w:p>
          <w:p w:rsidR="00F138C1" w:rsidRPr="00B10752" w:rsidRDefault="00F138C1" w:rsidP="00F138C1">
            <w:pPr>
              <w:jc w:val="center"/>
              <w:rPr>
                <w:sz w:val="20"/>
                <w:szCs w:val="20"/>
              </w:rPr>
            </w:pPr>
          </w:p>
          <w:p w:rsidR="00F138C1" w:rsidRPr="00B10752" w:rsidRDefault="00F138C1" w:rsidP="00F138C1">
            <w:pPr>
              <w:jc w:val="center"/>
              <w:rPr>
                <w:sz w:val="20"/>
                <w:szCs w:val="20"/>
              </w:rPr>
            </w:pPr>
          </w:p>
          <w:p w:rsidR="004B2E86" w:rsidRPr="00B10752" w:rsidRDefault="004B2E86" w:rsidP="00F138C1">
            <w:pPr>
              <w:jc w:val="center"/>
              <w:rPr>
                <w:sz w:val="20"/>
                <w:szCs w:val="20"/>
              </w:rPr>
            </w:pPr>
          </w:p>
          <w:p w:rsidR="00F138C1" w:rsidRPr="00B10752" w:rsidRDefault="00F138C1" w:rsidP="00F138C1">
            <w:pPr>
              <w:jc w:val="center"/>
              <w:rPr>
                <w:sz w:val="20"/>
                <w:szCs w:val="20"/>
              </w:rPr>
            </w:pPr>
          </w:p>
        </w:tc>
        <w:tc>
          <w:tcPr>
            <w:tcW w:w="4239" w:type="dxa"/>
            <w:shd w:val="clear" w:color="auto" w:fill="auto"/>
          </w:tcPr>
          <w:p w:rsidR="00F138C1" w:rsidRPr="00B10752" w:rsidRDefault="004E12CE" w:rsidP="00F138C1">
            <w:pPr>
              <w:rPr>
                <w:b/>
                <w:sz w:val="20"/>
                <w:szCs w:val="20"/>
                <w:lang w:val="en-US"/>
              </w:rPr>
            </w:pPr>
            <w:r w:rsidRPr="00B10752">
              <w:rPr>
                <w:b/>
                <w:sz w:val="20"/>
                <w:szCs w:val="20"/>
                <w:lang w:val="en-US"/>
              </w:rPr>
              <w:t>Samborski Environmental Ltd.</w:t>
            </w:r>
          </w:p>
          <w:p w:rsidR="00F138C1" w:rsidRPr="00B10752" w:rsidRDefault="00F138C1" w:rsidP="00F138C1">
            <w:pPr>
              <w:tabs>
                <w:tab w:val="left" w:pos="-1440"/>
                <w:tab w:val="left" w:pos="-720"/>
              </w:tabs>
              <w:rPr>
                <w:sz w:val="20"/>
                <w:szCs w:val="20"/>
                <w:lang w:val="en-US"/>
              </w:rPr>
            </w:pPr>
            <w:r w:rsidRPr="00B10752">
              <w:rPr>
                <w:sz w:val="20"/>
                <w:szCs w:val="20"/>
                <w:lang w:val="en-US"/>
              </w:rPr>
              <w:tab/>
            </w:r>
            <w:r w:rsidR="004E12CE" w:rsidRPr="00B10752">
              <w:rPr>
                <w:sz w:val="20"/>
                <w:szCs w:val="20"/>
                <w:lang w:val="en-US"/>
              </w:rPr>
              <w:t>Hill, David G.</w:t>
            </w:r>
          </w:p>
          <w:p w:rsidR="00F138C1" w:rsidRPr="00B10752" w:rsidRDefault="00F138C1" w:rsidP="00F138C1">
            <w:pPr>
              <w:tabs>
                <w:tab w:val="left" w:pos="-1440"/>
                <w:tab w:val="left" w:pos="-720"/>
              </w:tabs>
              <w:rPr>
                <w:sz w:val="20"/>
                <w:szCs w:val="20"/>
                <w:lang w:val="en-US"/>
              </w:rPr>
            </w:pPr>
            <w:r w:rsidRPr="00B10752">
              <w:rPr>
                <w:sz w:val="20"/>
                <w:szCs w:val="20"/>
                <w:lang w:val="en-US"/>
              </w:rPr>
              <w:tab/>
            </w:r>
            <w:r w:rsidR="004E12CE" w:rsidRPr="00B10752">
              <w:rPr>
                <w:sz w:val="20"/>
                <w:szCs w:val="20"/>
                <w:lang w:val="en-US"/>
              </w:rPr>
              <w:t>Hill Sokalski Vincent Walsh Trippier</w:t>
            </w:r>
          </w:p>
          <w:p w:rsidR="00F138C1" w:rsidRPr="00B10752" w:rsidRDefault="00F138C1" w:rsidP="00F138C1">
            <w:pPr>
              <w:tabs>
                <w:tab w:val="left" w:pos="-1440"/>
                <w:tab w:val="left" w:pos="-720"/>
              </w:tabs>
              <w:rPr>
                <w:sz w:val="20"/>
                <w:szCs w:val="20"/>
                <w:lang w:val="en-US"/>
              </w:rPr>
            </w:pPr>
          </w:p>
          <w:p w:rsidR="00F138C1" w:rsidRPr="00B10752" w:rsidRDefault="00F138C1" w:rsidP="00F138C1">
            <w:pPr>
              <w:tabs>
                <w:tab w:val="left" w:pos="-1440"/>
                <w:tab w:val="left" w:pos="-720"/>
              </w:tabs>
              <w:rPr>
                <w:sz w:val="20"/>
                <w:szCs w:val="20"/>
                <w:lang w:val="en-US"/>
              </w:rPr>
            </w:pPr>
            <w:r w:rsidRPr="00B10752">
              <w:rPr>
                <w:sz w:val="20"/>
                <w:szCs w:val="20"/>
                <w:lang w:val="en-US"/>
              </w:rPr>
              <w:tab/>
            </w:r>
            <w:r w:rsidR="004E12CE" w:rsidRPr="00B10752">
              <w:rPr>
                <w:sz w:val="20"/>
                <w:szCs w:val="20"/>
                <w:lang w:val="en-US"/>
              </w:rPr>
              <w:t>v</w:t>
            </w:r>
            <w:r w:rsidRPr="00B10752">
              <w:rPr>
                <w:sz w:val="20"/>
                <w:szCs w:val="20"/>
                <w:lang w:val="en-US"/>
              </w:rPr>
              <w:t>. (396</w:t>
            </w:r>
            <w:r w:rsidR="004E12CE" w:rsidRPr="00B10752">
              <w:rPr>
                <w:sz w:val="20"/>
                <w:szCs w:val="20"/>
                <w:lang w:val="en-US"/>
              </w:rPr>
              <w:t>09</w:t>
            </w:r>
            <w:r w:rsidRPr="00B10752">
              <w:rPr>
                <w:sz w:val="20"/>
                <w:szCs w:val="20"/>
                <w:lang w:val="en-US"/>
              </w:rPr>
              <w:t>)</w:t>
            </w:r>
          </w:p>
          <w:p w:rsidR="00F138C1" w:rsidRPr="00B10752" w:rsidRDefault="00F138C1" w:rsidP="00F138C1">
            <w:pPr>
              <w:tabs>
                <w:tab w:val="left" w:pos="-1440"/>
                <w:tab w:val="left" w:pos="-720"/>
              </w:tabs>
              <w:rPr>
                <w:sz w:val="20"/>
                <w:szCs w:val="20"/>
                <w:lang w:val="en-US"/>
              </w:rPr>
            </w:pPr>
          </w:p>
          <w:p w:rsidR="00F138C1" w:rsidRPr="00B10752" w:rsidRDefault="004E12CE" w:rsidP="00F138C1">
            <w:pPr>
              <w:tabs>
                <w:tab w:val="left" w:pos="-1440"/>
                <w:tab w:val="left" w:pos="-720"/>
              </w:tabs>
              <w:rPr>
                <w:b/>
                <w:sz w:val="20"/>
                <w:szCs w:val="20"/>
                <w:lang w:val="en-US"/>
              </w:rPr>
            </w:pPr>
            <w:r w:rsidRPr="00B10752">
              <w:rPr>
                <w:b/>
                <w:sz w:val="20"/>
                <w:szCs w:val="20"/>
                <w:lang w:val="en-US"/>
              </w:rPr>
              <w:t xml:space="preserve">Government of Manitoba, et al. </w:t>
            </w:r>
            <w:r w:rsidR="00F138C1" w:rsidRPr="00B10752">
              <w:rPr>
                <w:b/>
                <w:sz w:val="20"/>
                <w:szCs w:val="20"/>
                <w:lang w:val="en-US"/>
              </w:rPr>
              <w:t>(</w:t>
            </w:r>
            <w:r w:rsidRPr="00B10752">
              <w:rPr>
                <w:b/>
                <w:sz w:val="20"/>
                <w:szCs w:val="20"/>
                <w:lang w:val="en-US"/>
              </w:rPr>
              <w:t>Man.</w:t>
            </w:r>
            <w:r w:rsidR="00F138C1" w:rsidRPr="00B10752">
              <w:rPr>
                <w:b/>
                <w:sz w:val="20"/>
                <w:szCs w:val="20"/>
                <w:lang w:val="en-US"/>
              </w:rPr>
              <w:t>)</w:t>
            </w:r>
          </w:p>
          <w:p w:rsidR="00F138C1" w:rsidRPr="00B10752" w:rsidRDefault="00F138C1" w:rsidP="00F138C1">
            <w:pPr>
              <w:tabs>
                <w:tab w:val="left" w:pos="-1440"/>
                <w:tab w:val="left" w:pos="-720"/>
              </w:tabs>
              <w:rPr>
                <w:sz w:val="20"/>
                <w:szCs w:val="20"/>
                <w:lang w:val="en-US"/>
              </w:rPr>
            </w:pPr>
            <w:r w:rsidRPr="00B10752">
              <w:rPr>
                <w:sz w:val="20"/>
                <w:szCs w:val="20"/>
                <w:lang w:val="en-US"/>
              </w:rPr>
              <w:tab/>
            </w:r>
            <w:r w:rsidR="004E12CE" w:rsidRPr="00B10752">
              <w:rPr>
                <w:sz w:val="20"/>
                <w:szCs w:val="20"/>
                <w:lang w:val="en-US"/>
              </w:rPr>
              <w:t>Guenette, Denis</w:t>
            </w:r>
          </w:p>
          <w:p w:rsidR="00F138C1" w:rsidRPr="00B10752" w:rsidRDefault="00F138C1" w:rsidP="00F138C1">
            <w:pPr>
              <w:tabs>
                <w:tab w:val="left" w:pos="-1440"/>
                <w:tab w:val="left" w:pos="-720"/>
              </w:tabs>
              <w:rPr>
                <w:sz w:val="20"/>
                <w:szCs w:val="20"/>
                <w:lang w:val="en-US"/>
              </w:rPr>
            </w:pPr>
            <w:r w:rsidRPr="00B10752">
              <w:rPr>
                <w:sz w:val="20"/>
                <w:szCs w:val="20"/>
                <w:lang w:val="en-US"/>
              </w:rPr>
              <w:tab/>
            </w:r>
            <w:r w:rsidR="004E12CE" w:rsidRPr="00B10752">
              <w:rPr>
                <w:sz w:val="20"/>
                <w:szCs w:val="20"/>
                <w:lang w:val="en-US"/>
              </w:rPr>
              <w:t>Manitoba Justice</w:t>
            </w:r>
          </w:p>
          <w:p w:rsidR="00F138C1" w:rsidRPr="00B10752" w:rsidRDefault="00F138C1" w:rsidP="00F138C1">
            <w:pPr>
              <w:tabs>
                <w:tab w:val="left" w:pos="-1440"/>
                <w:tab w:val="left" w:pos="-720"/>
              </w:tabs>
              <w:rPr>
                <w:sz w:val="20"/>
                <w:szCs w:val="20"/>
                <w:lang w:val="en-US"/>
              </w:rPr>
            </w:pPr>
          </w:p>
          <w:p w:rsidR="00F138C1" w:rsidRPr="00B10752" w:rsidRDefault="004E12CE" w:rsidP="00F138C1">
            <w:pPr>
              <w:rPr>
                <w:sz w:val="20"/>
                <w:szCs w:val="20"/>
                <w:lang w:val="en-US"/>
              </w:rPr>
            </w:pPr>
            <w:r w:rsidRPr="00B10752">
              <w:rPr>
                <w:sz w:val="20"/>
                <w:szCs w:val="20"/>
                <w:lang w:val="en-US"/>
              </w:rPr>
              <w:t xml:space="preserve">FILING </w:t>
            </w:r>
            <w:r w:rsidR="00F138C1" w:rsidRPr="00B10752">
              <w:rPr>
                <w:sz w:val="20"/>
                <w:szCs w:val="20"/>
                <w:lang w:val="en-US"/>
              </w:rPr>
              <w:t xml:space="preserve">DATE: </w:t>
            </w:r>
            <w:r w:rsidRPr="00B10752">
              <w:rPr>
                <w:sz w:val="20"/>
                <w:szCs w:val="20"/>
                <w:lang w:val="en-US"/>
              </w:rPr>
              <w:t>April 26,</w:t>
            </w:r>
            <w:r w:rsidR="00F138C1" w:rsidRPr="00B10752">
              <w:rPr>
                <w:sz w:val="20"/>
                <w:szCs w:val="20"/>
                <w:lang w:val="en-US"/>
              </w:rPr>
              <w:t xml:space="preserve"> 20</w:t>
            </w:r>
            <w:r w:rsidR="00DA1D48" w:rsidRPr="00B10752">
              <w:rPr>
                <w:sz w:val="20"/>
                <w:szCs w:val="20"/>
                <w:lang w:val="en-US"/>
              </w:rPr>
              <w:t>2</w:t>
            </w:r>
            <w:r w:rsidR="00EC6816" w:rsidRPr="00B10752">
              <w:rPr>
                <w:sz w:val="20"/>
                <w:szCs w:val="20"/>
                <w:lang w:val="en-US"/>
              </w:rPr>
              <w:t>1</w:t>
            </w:r>
          </w:p>
          <w:p w:rsidR="004B2E86" w:rsidRPr="00B10752" w:rsidRDefault="004B2E86" w:rsidP="00F138C1">
            <w:pPr>
              <w:rPr>
                <w:sz w:val="20"/>
                <w:szCs w:val="20"/>
                <w:lang w:val="en-US"/>
              </w:rPr>
            </w:pPr>
          </w:p>
          <w:p w:rsidR="00F138C1" w:rsidRPr="00B10752" w:rsidRDefault="00B10752" w:rsidP="00F138C1">
            <w:pPr>
              <w:rPr>
                <w:sz w:val="20"/>
                <w:szCs w:val="20"/>
                <w:lang w:val="fr-CA"/>
              </w:rPr>
            </w:pPr>
            <w:r w:rsidRPr="00B10752">
              <w:rPr>
                <w:sz w:val="20"/>
                <w:szCs w:val="20"/>
                <w:lang w:val="fr-CA"/>
              </w:rPr>
              <w:pict>
                <v:rect id="_x0000_i1026" style="width:108pt;height:1pt" o:hrpct="0" o:hrstd="t" o:hrnoshade="t" o:hr="t" fillcolor="black [3213]" stroked="f"/>
              </w:pict>
            </w:r>
          </w:p>
        </w:tc>
      </w:tr>
      <w:tr w:rsidR="00F138C1" w:rsidRPr="00B10752" w:rsidTr="00F138C1">
        <w:tc>
          <w:tcPr>
            <w:tcW w:w="4239" w:type="dxa"/>
            <w:shd w:val="clear" w:color="auto" w:fill="auto"/>
          </w:tcPr>
          <w:p w:rsidR="00F138C1" w:rsidRPr="00B10752" w:rsidRDefault="004E12CE" w:rsidP="009B36BA">
            <w:pPr>
              <w:tabs>
                <w:tab w:val="left" w:pos="-1440"/>
                <w:tab w:val="left" w:pos="-720"/>
              </w:tabs>
              <w:rPr>
                <w:b/>
                <w:sz w:val="20"/>
                <w:szCs w:val="20"/>
                <w:lang w:val="fr-CA"/>
              </w:rPr>
            </w:pPr>
            <w:r w:rsidRPr="00B10752">
              <w:rPr>
                <w:b/>
                <w:sz w:val="20"/>
                <w:szCs w:val="20"/>
                <w:lang w:val="fr-CA"/>
              </w:rPr>
              <w:t>Karl Talbot</w:t>
            </w:r>
          </w:p>
          <w:p w:rsidR="00F138C1" w:rsidRPr="00B10752" w:rsidRDefault="00F138C1" w:rsidP="00F138C1">
            <w:pPr>
              <w:keepNext/>
              <w:keepLines/>
              <w:tabs>
                <w:tab w:val="left" w:pos="-1440"/>
                <w:tab w:val="left" w:pos="-720"/>
              </w:tabs>
              <w:rPr>
                <w:sz w:val="20"/>
                <w:szCs w:val="20"/>
                <w:lang w:val="fr-CA"/>
              </w:rPr>
            </w:pPr>
            <w:r w:rsidRPr="00B10752">
              <w:rPr>
                <w:sz w:val="20"/>
                <w:szCs w:val="20"/>
                <w:lang w:val="fr-CA"/>
              </w:rPr>
              <w:tab/>
            </w:r>
            <w:r w:rsidR="004E12CE" w:rsidRPr="00B10752">
              <w:rPr>
                <w:sz w:val="20"/>
                <w:szCs w:val="20"/>
                <w:lang w:val="fr-CA"/>
              </w:rPr>
              <w:t>Agnaou, Yacine</w:t>
            </w:r>
          </w:p>
          <w:p w:rsidR="004E12CE" w:rsidRPr="00B10752" w:rsidRDefault="00F138C1" w:rsidP="00F138C1">
            <w:pPr>
              <w:keepNext/>
              <w:keepLines/>
              <w:tabs>
                <w:tab w:val="left" w:pos="-1440"/>
                <w:tab w:val="left" w:pos="-720"/>
              </w:tabs>
              <w:rPr>
                <w:sz w:val="20"/>
                <w:szCs w:val="20"/>
                <w:lang w:val="fr-CA"/>
              </w:rPr>
            </w:pPr>
            <w:r w:rsidRPr="00B10752">
              <w:rPr>
                <w:sz w:val="20"/>
                <w:szCs w:val="20"/>
                <w:lang w:val="fr-CA"/>
              </w:rPr>
              <w:tab/>
            </w:r>
            <w:r w:rsidR="004E12CE" w:rsidRPr="00B10752">
              <w:rPr>
                <w:sz w:val="20"/>
                <w:szCs w:val="20"/>
                <w:lang w:val="fr-CA"/>
              </w:rPr>
              <w:t xml:space="preserve">Dupuis Paquin avocats &amp; conseillers </w:t>
            </w:r>
          </w:p>
          <w:p w:rsidR="00F138C1" w:rsidRPr="00B10752" w:rsidRDefault="004E12CE" w:rsidP="00F138C1">
            <w:pPr>
              <w:keepNext/>
              <w:keepLines/>
              <w:tabs>
                <w:tab w:val="left" w:pos="-1440"/>
                <w:tab w:val="left" w:pos="-720"/>
              </w:tabs>
              <w:rPr>
                <w:sz w:val="20"/>
                <w:szCs w:val="20"/>
                <w:lang w:val="fr-CA"/>
              </w:rPr>
            </w:pPr>
            <w:r w:rsidRPr="00B10752">
              <w:rPr>
                <w:sz w:val="20"/>
                <w:szCs w:val="20"/>
                <w:lang w:val="fr-CA"/>
              </w:rPr>
              <w:tab/>
              <w:t>d'affaires inc.</w:t>
            </w:r>
          </w:p>
          <w:p w:rsidR="00F138C1" w:rsidRPr="00B10752" w:rsidRDefault="00F138C1" w:rsidP="00F138C1">
            <w:pPr>
              <w:keepNext/>
              <w:keepLines/>
              <w:tabs>
                <w:tab w:val="left" w:pos="-1440"/>
                <w:tab w:val="left" w:pos="-720"/>
              </w:tabs>
              <w:rPr>
                <w:sz w:val="20"/>
                <w:szCs w:val="20"/>
                <w:lang w:val="fr-CA"/>
              </w:rPr>
            </w:pPr>
          </w:p>
          <w:p w:rsidR="00F138C1" w:rsidRPr="00B10752" w:rsidRDefault="00F138C1" w:rsidP="00F138C1">
            <w:pPr>
              <w:keepNext/>
              <w:keepLines/>
              <w:tabs>
                <w:tab w:val="left" w:pos="-1440"/>
                <w:tab w:val="left" w:pos="-720"/>
              </w:tabs>
              <w:rPr>
                <w:sz w:val="20"/>
                <w:szCs w:val="20"/>
                <w:lang w:val="fr-CA"/>
              </w:rPr>
            </w:pPr>
            <w:r w:rsidRPr="00B10752">
              <w:rPr>
                <w:sz w:val="20"/>
                <w:szCs w:val="20"/>
                <w:lang w:val="fr-CA"/>
              </w:rPr>
              <w:tab/>
            </w:r>
            <w:r w:rsidR="004E12CE" w:rsidRPr="00B10752">
              <w:rPr>
                <w:sz w:val="20"/>
                <w:szCs w:val="20"/>
                <w:lang w:val="fr-CA"/>
              </w:rPr>
              <w:t>c</w:t>
            </w:r>
            <w:r w:rsidRPr="00B10752">
              <w:rPr>
                <w:sz w:val="20"/>
                <w:szCs w:val="20"/>
                <w:lang w:val="fr-CA"/>
              </w:rPr>
              <w:t>. (39</w:t>
            </w:r>
            <w:r w:rsidR="004E12CE" w:rsidRPr="00B10752">
              <w:rPr>
                <w:sz w:val="20"/>
                <w:szCs w:val="20"/>
                <w:lang w:val="fr-CA"/>
              </w:rPr>
              <w:t>6</w:t>
            </w:r>
            <w:r w:rsidRPr="00B10752">
              <w:rPr>
                <w:sz w:val="20"/>
                <w:szCs w:val="20"/>
                <w:lang w:val="fr-CA"/>
              </w:rPr>
              <w:t>1</w:t>
            </w:r>
            <w:r w:rsidR="004E12CE" w:rsidRPr="00B10752">
              <w:rPr>
                <w:sz w:val="20"/>
                <w:szCs w:val="20"/>
                <w:lang w:val="fr-CA"/>
              </w:rPr>
              <w:t>0</w:t>
            </w:r>
            <w:r w:rsidRPr="00B10752">
              <w:rPr>
                <w:sz w:val="20"/>
                <w:szCs w:val="20"/>
                <w:lang w:val="fr-CA"/>
              </w:rPr>
              <w:t>)</w:t>
            </w:r>
          </w:p>
          <w:p w:rsidR="00F138C1" w:rsidRPr="00B10752" w:rsidRDefault="00F138C1" w:rsidP="00F138C1">
            <w:pPr>
              <w:keepNext/>
              <w:keepLines/>
              <w:tabs>
                <w:tab w:val="left" w:pos="-1440"/>
                <w:tab w:val="left" w:pos="-720"/>
              </w:tabs>
              <w:rPr>
                <w:sz w:val="20"/>
                <w:szCs w:val="20"/>
                <w:lang w:val="fr-CA"/>
              </w:rPr>
            </w:pPr>
          </w:p>
          <w:p w:rsidR="00F138C1" w:rsidRPr="00B10752" w:rsidRDefault="004E12CE" w:rsidP="00F138C1">
            <w:pPr>
              <w:keepNext/>
              <w:keepLines/>
              <w:tabs>
                <w:tab w:val="left" w:pos="-1440"/>
                <w:tab w:val="left" w:pos="-720"/>
              </w:tabs>
              <w:rPr>
                <w:b/>
                <w:sz w:val="20"/>
                <w:szCs w:val="20"/>
                <w:lang w:val="fr-CA"/>
              </w:rPr>
            </w:pPr>
            <w:r w:rsidRPr="00B10752">
              <w:rPr>
                <w:b/>
                <w:sz w:val="20"/>
                <w:szCs w:val="20"/>
                <w:lang w:val="fr-CA"/>
              </w:rPr>
              <w:t>Sébastien Talbot</w:t>
            </w:r>
            <w:r w:rsidR="00F138C1" w:rsidRPr="00B10752">
              <w:rPr>
                <w:b/>
                <w:sz w:val="20"/>
                <w:szCs w:val="20"/>
                <w:lang w:val="fr-CA"/>
              </w:rPr>
              <w:t xml:space="preserve"> (</w:t>
            </w:r>
            <w:r w:rsidRPr="00B10752">
              <w:rPr>
                <w:b/>
                <w:sz w:val="20"/>
                <w:szCs w:val="20"/>
                <w:lang w:val="fr-CA"/>
              </w:rPr>
              <w:t>Qc</w:t>
            </w:r>
            <w:r w:rsidR="00F138C1" w:rsidRPr="00B10752">
              <w:rPr>
                <w:b/>
                <w:sz w:val="20"/>
                <w:szCs w:val="20"/>
                <w:lang w:val="fr-CA"/>
              </w:rPr>
              <w:t>)</w:t>
            </w:r>
          </w:p>
          <w:p w:rsidR="00F138C1" w:rsidRPr="00B10752" w:rsidRDefault="00F138C1" w:rsidP="00F138C1">
            <w:pPr>
              <w:keepNext/>
              <w:keepLines/>
              <w:tabs>
                <w:tab w:val="left" w:pos="-1440"/>
                <w:tab w:val="left" w:pos="-720"/>
              </w:tabs>
              <w:rPr>
                <w:sz w:val="20"/>
                <w:szCs w:val="20"/>
                <w:lang w:val="fr-CA"/>
              </w:rPr>
            </w:pPr>
            <w:r w:rsidRPr="00B10752">
              <w:rPr>
                <w:sz w:val="20"/>
                <w:szCs w:val="20"/>
                <w:lang w:val="fr-CA"/>
              </w:rPr>
              <w:tab/>
            </w:r>
            <w:r w:rsidR="004E12CE" w:rsidRPr="00B10752">
              <w:rPr>
                <w:sz w:val="20"/>
                <w:szCs w:val="20"/>
                <w:lang w:val="fr-CA"/>
              </w:rPr>
              <w:t>Lavoie, Guillaume</w:t>
            </w:r>
          </w:p>
          <w:p w:rsidR="00F138C1" w:rsidRPr="00B10752" w:rsidRDefault="00F138C1" w:rsidP="00F138C1">
            <w:pPr>
              <w:keepNext/>
              <w:keepLines/>
              <w:tabs>
                <w:tab w:val="left" w:pos="-1440"/>
                <w:tab w:val="left" w:pos="-720"/>
              </w:tabs>
              <w:rPr>
                <w:sz w:val="20"/>
                <w:szCs w:val="20"/>
                <w:lang w:val="fr-CA"/>
              </w:rPr>
            </w:pPr>
            <w:r w:rsidRPr="00B10752">
              <w:rPr>
                <w:sz w:val="20"/>
                <w:szCs w:val="20"/>
                <w:lang w:val="fr-CA"/>
              </w:rPr>
              <w:tab/>
            </w:r>
            <w:r w:rsidR="004E12CE" w:rsidRPr="00B10752">
              <w:rPr>
                <w:sz w:val="20"/>
                <w:szCs w:val="20"/>
                <w:lang w:val="fr-CA"/>
              </w:rPr>
              <w:t>Dussault Lemay Beauchesne s.e.n.c.r.l.</w:t>
            </w:r>
          </w:p>
          <w:p w:rsidR="00F138C1" w:rsidRPr="00B10752" w:rsidRDefault="00F138C1" w:rsidP="00F138C1">
            <w:pPr>
              <w:keepNext/>
              <w:keepLines/>
              <w:tabs>
                <w:tab w:val="left" w:pos="-1440"/>
                <w:tab w:val="left" w:pos="-720"/>
              </w:tabs>
              <w:rPr>
                <w:sz w:val="20"/>
                <w:szCs w:val="20"/>
                <w:lang w:val="fr-CA"/>
              </w:rPr>
            </w:pPr>
          </w:p>
          <w:p w:rsidR="004B2E86" w:rsidRPr="00B10752" w:rsidRDefault="00F138C1" w:rsidP="00F138C1">
            <w:pPr>
              <w:rPr>
                <w:sz w:val="20"/>
                <w:szCs w:val="20"/>
                <w:lang w:val="fr-CA"/>
              </w:rPr>
            </w:pPr>
            <w:r w:rsidRPr="00B10752">
              <w:rPr>
                <w:sz w:val="20"/>
                <w:szCs w:val="20"/>
                <w:lang w:val="fr-CA"/>
              </w:rPr>
              <w:t>DATE</w:t>
            </w:r>
            <w:r w:rsidR="004E12CE" w:rsidRPr="00B10752">
              <w:rPr>
                <w:sz w:val="20"/>
                <w:szCs w:val="20"/>
                <w:lang w:val="fr-CA"/>
              </w:rPr>
              <w:t xml:space="preserve"> DE PRODUCTION</w:t>
            </w:r>
            <w:r w:rsidRPr="00B10752">
              <w:rPr>
                <w:sz w:val="20"/>
                <w:szCs w:val="20"/>
                <w:lang w:val="fr-CA"/>
              </w:rPr>
              <w:t xml:space="preserve">: </w:t>
            </w:r>
            <w:r w:rsidR="004E12CE" w:rsidRPr="00B10752">
              <w:rPr>
                <w:sz w:val="20"/>
                <w:szCs w:val="20"/>
                <w:lang w:val="fr-CA"/>
              </w:rPr>
              <w:t>le 27 avril</w:t>
            </w:r>
            <w:r w:rsidRPr="00B10752">
              <w:rPr>
                <w:sz w:val="20"/>
                <w:szCs w:val="20"/>
                <w:lang w:val="fr-CA"/>
              </w:rPr>
              <w:t xml:space="preserve"> 20</w:t>
            </w:r>
            <w:r w:rsidR="00DA1D48" w:rsidRPr="00B10752">
              <w:rPr>
                <w:sz w:val="20"/>
                <w:szCs w:val="20"/>
                <w:lang w:val="fr-CA"/>
              </w:rPr>
              <w:t>2</w:t>
            </w:r>
            <w:r w:rsidR="00EC6816" w:rsidRPr="00B10752">
              <w:rPr>
                <w:sz w:val="20"/>
                <w:szCs w:val="20"/>
                <w:lang w:val="fr-CA"/>
              </w:rPr>
              <w:t>1</w:t>
            </w:r>
          </w:p>
          <w:p w:rsidR="004B2E86" w:rsidRPr="00B10752" w:rsidRDefault="004B2E86" w:rsidP="00F138C1">
            <w:pPr>
              <w:rPr>
                <w:sz w:val="20"/>
                <w:szCs w:val="20"/>
                <w:lang w:val="fr-CA"/>
              </w:rPr>
            </w:pPr>
          </w:p>
          <w:p w:rsidR="00F138C1" w:rsidRPr="00B10752" w:rsidRDefault="00B10752" w:rsidP="00F138C1">
            <w:pPr>
              <w:rPr>
                <w:sz w:val="20"/>
                <w:szCs w:val="20"/>
                <w:lang w:val="en-US"/>
              </w:rPr>
            </w:pPr>
            <w:r w:rsidRPr="00B10752">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B10752" w:rsidRDefault="00F138C1" w:rsidP="00F138C1">
            <w:pPr>
              <w:jc w:val="center"/>
              <w:rPr>
                <w:sz w:val="20"/>
                <w:szCs w:val="20"/>
                <w:lang w:val="en-US"/>
              </w:rPr>
            </w:pPr>
          </w:p>
          <w:p w:rsidR="00F138C1" w:rsidRPr="00B10752" w:rsidRDefault="00F138C1" w:rsidP="00F138C1">
            <w:pPr>
              <w:jc w:val="center"/>
              <w:rPr>
                <w:sz w:val="20"/>
                <w:szCs w:val="20"/>
                <w:lang w:val="en-US"/>
              </w:rPr>
            </w:pPr>
          </w:p>
          <w:p w:rsidR="00F138C1" w:rsidRPr="00B10752" w:rsidRDefault="00F138C1" w:rsidP="00F138C1">
            <w:pPr>
              <w:jc w:val="center"/>
              <w:rPr>
                <w:sz w:val="20"/>
                <w:szCs w:val="20"/>
                <w:lang w:val="en-US"/>
              </w:rPr>
            </w:pPr>
          </w:p>
          <w:p w:rsidR="00F138C1" w:rsidRPr="00B10752" w:rsidRDefault="00F138C1" w:rsidP="00F138C1">
            <w:pPr>
              <w:jc w:val="center"/>
              <w:rPr>
                <w:sz w:val="20"/>
                <w:szCs w:val="20"/>
                <w:lang w:val="en-US"/>
              </w:rPr>
            </w:pPr>
          </w:p>
          <w:p w:rsidR="00F138C1" w:rsidRPr="00B10752" w:rsidRDefault="00F138C1" w:rsidP="00F138C1">
            <w:pPr>
              <w:jc w:val="center"/>
              <w:rPr>
                <w:sz w:val="20"/>
                <w:szCs w:val="20"/>
                <w:lang w:val="en-US"/>
              </w:rPr>
            </w:pPr>
          </w:p>
          <w:p w:rsidR="00F138C1" w:rsidRPr="00B10752" w:rsidRDefault="00F138C1" w:rsidP="00F138C1">
            <w:pPr>
              <w:jc w:val="center"/>
              <w:rPr>
                <w:sz w:val="20"/>
                <w:szCs w:val="20"/>
                <w:lang w:val="en-US"/>
              </w:rPr>
            </w:pPr>
          </w:p>
          <w:p w:rsidR="00F138C1" w:rsidRPr="00B10752" w:rsidRDefault="00F138C1" w:rsidP="00F138C1">
            <w:pPr>
              <w:jc w:val="center"/>
              <w:rPr>
                <w:sz w:val="20"/>
                <w:szCs w:val="20"/>
                <w:lang w:val="en-US"/>
              </w:rPr>
            </w:pPr>
          </w:p>
          <w:p w:rsidR="00F138C1" w:rsidRPr="00B10752" w:rsidRDefault="00F138C1" w:rsidP="00F138C1">
            <w:pPr>
              <w:jc w:val="center"/>
              <w:rPr>
                <w:sz w:val="20"/>
                <w:szCs w:val="20"/>
                <w:lang w:val="en-US"/>
              </w:rPr>
            </w:pPr>
          </w:p>
          <w:p w:rsidR="00F138C1" w:rsidRPr="00B10752" w:rsidRDefault="00F138C1" w:rsidP="00F138C1">
            <w:pPr>
              <w:jc w:val="center"/>
              <w:rPr>
                <w:sz w:val="20"/>
                <w:szCs w:val="20"/>
                <w:lang w:val="en-US"/>
              </w:rPr>
            </w:pPr>
          </w:p>
          <w:p w:rsidR="004E12CE" w:rsidRPr="00B10752" w:rsidRDefault="004E12CE" w:rsidP="00F138C1">
            <w:pPr>
              <w:jc w:val="center"/>
              <w:rPr>
                <w:sz w:val="20"/>
                <w:szCs w:val="20"/>
                <w:lang w:val="en-US"/>
              </w:rPr>
            </w:pPr>
          </w:p>
          <w:p w:rsidR="00F138C1" w:rsidRPr="00B10752" w:rsidRDefault="00F138C1" w:rsidP="00F138C1">
            <w:pPr>
              <w:jc w:val="center"/>
              <w:rPr>
                <w:sz w:val="20"/>
                <w:szCs w:val="20"/>
                <w:lang w:val="en-US"/>
              </w:rPr>
            </w:pPr>
          </w:p>
          <w:p w:rsidR="00F138C1" w:rsidRPr="00B10752" w:rsidRDefault="00F138C1" w:rsidP="00F138C1">
            <w:pPr>
              <w:jc w:val="center"/>
              <w:rPr>
                <w:sz w:val="20"/>
                <w:szCs w:val="20"/>
                <w:lang w:val="en-US"/>
              </w:rPr>
            </w:pPr>
          </w:p>
          <w:p w:rsidR="00F138C1" w:rsidRPr="00B10752" w:rsidRDefault="00F138C1" w:rsidP="00F138C1">
            <w:pPr>
              <w:jc w:val="center"/>
              <w:rPr>
                <w:sz w:val="20"/>
                <w:szCs w:val="20"/>
                <w:lang w:val="en-US"/>
              </w:rPr>
            </w:pPr>
          </w:p>
          <w:p w:rsidR="00F138C1" w:rsidRPr="00B10752" w:rsidRDefault="00F138C1" w:rsidP="00F138C1">
            <w:pPr>
              <w:jc w:val="center"/>
              <w:rPr>
                <w:sz w:val="20"/>
                <w:szCs w:val="20"/>
                <w:lang w:val="en-US"/>
              </w:rPr>
            </w:pPr>
          </w:p>
          <w:p w:rsidR="00F138C1" w:rsidRPr="00B10752" w:rsidRDefault="00F138C1" w:rsidP="00F138C1">
            <w:pPr>
              <w:jc w:val="center"/>
              <w:rPr>
                <w:sz w:val="20"/>
                <w:szCs w:val="20"/>
                <w:lang w:val="en-US"/>
              </w:rPr>
            </w:pPr>
          </w:p>
          <w:p w:rsidR="004B2E86" w:rsidRPr="00B10752" w:rsidRDefault="004B2E86" w:rsidP="00F138C1">
            <w:pPr>
              <w:jc w:val="center"/>
              <w:rPr>
                <w:sz w:val="20"/>
                <w:szCs w:val="20"/>
                <w:lang w:val="en-US"/>
              </w:rPr>
            </w:pPr>
          </w:p>
        </w:tc>
        <w:tc>
          <w:tcPr>
            <w:tcW w:w="4239" w:type="dxa"/>
            <w:shd w:val="clear" w:color="auto" w:fill="auto"/>
          </w:tcPr>
          <w:p w:rsidR="00F138C1" w:rsidRPr="00B10752" w:rsidRDefault="004E12CE" w:rsidP="00F138C1">
            <w:pPr>
              <w:rPr>
                <w:b/>
                <w:sz w:val="20"/>
                <w:szCs w:val="20"/>
                <w:lang w:val="en-US"/>
              </w:rPr>
            </w:pPr>
            <w:r w:rsidRPr="00B10752">
              <w:rPr>
                <w:b/>
                <w:sz w:val="20"/>
                <w:szCs w:val="20"/>
                <w:lang w:val="en-US"/>
              </w:rPr>
              <w:t>Subway Franchise Systems of Canada, Inc., et al.</w:t>
            </w:r>
          </w:p>
          <w:p w:rsidR="00F138C1" w:rsidRPr="00B10752" w:rsidRDefault="00F138C1" w:rsidP="00F138C1">
            <w:pPr>
              <w:tabs>
                <w:tab w:val="left" w:pos="-1440"/>
                <w:tab w:val="left" w:pos="-720"/>
              </w:tabs>
              <w:rPr>
                <w:sz w:val="20"/>
                <w:szCs w:val="20"/>
                <w:lang w:val="en-US"/>
              </w:rPr>
            </w:pPr>
            <w:r w:rsidRPr="00B10752">
              <w:rPr>
                <w:sz w:val="20"/>
                <w:szCs w:val="20"/>
                <w:lang w:val="en-US"/>
              </w:rPr>
              <w:tab/>
            </w:r>
            <w:r w:rsidR="004E12CE" w:rsidRPr="00B10752">
              <w:rPr>
                <w:sz w:val="20"/>
                <w:szCs w:val="20"/>
                <w:lang w:val="en-US"/>
              </w:rPr>
              <w:t>McDowell, William C.</w:t>
            </w:r>
          </w:p>
          <w:p w:rsidR="004E12CE" w:rsidRPr="00B10752" w:rsidRDefault="00F138C1" w:rsidP="00F138C1">
            <w:pPr>
              <w:tabs>
                <w:tab w:val="left" w:pos="-1440"/>
                <w:tab w:val="left" w:pos="-720"/>
              </w:tabs>
              <w:rPr>
                <w:sz w:val="20"/>
                <w:szCs w:val="20"/>
                <w:lang w:val="en-US"/>
              </w:rPr>
            </w:pPr>
            <w:r w:rsidRPr="00B10752">
              <w:rPr>
                <w:sz w:val="20"/>
                <w:szCs w:val="20"/>
                <w:lang w:val="en-US"/>
              </w:rPr>
              <w:tab/>
            </w:r>
            <w:r w:rsidR="004E12CE" w:rsidRPr="00B10752">
              <w:rPr>
                <w:sz w:val="20"/>
                <w:szCs w:val="20"/>
                <w:lang w:val="en-US"/>
              </w:rPr>
              <w:t xml:space="preserve">Lenczner Slaght Royce Smith Griffin </w:t>
            </w:r>
          </w:p>
          <w:p w:rsidR="00F138C1" w:rsidRPr="00B10752" w:rsidRDefault="004E12CE" w:rsidP="00F138C1">
            <w:pPr>
              <w:tabs>
                <w:tab w:val="left" w:pos="-1440"/>
                <w:tab w:val="left" w:pos="-720"/>
              </w:tabs>
              <w:rPr>
                <w:sz w:val="20"/>
                <w:szCs w:val="20"/>
                <w:lang w:val="en-US"/>
              </w:rPr>
            </w:pPr>
            <w:r w:rsidRPr="00B10752">
              <w:rPr>
                <w:sz w:val="20"/>
                <w:szCs w:val="20"/>
                <w:lang w:val="en-US"/>
              </w:rPr>
              <w:tab/>
              <w:t>LLP</w:t>
            </w:r>
          </w:p>
          <w:p w:rsidR="00F138C1" w:rsidRPr="00B10752" w:rsidRDefault="00F138C1" w:rsidP="00F138C1">
            <w:pPr>
              <w:tabs>
                <w:tab w:val="left" w:pos="-1440"/>
                <w:tab w:val="left" w:pos="-720"/>
              </w:tabs>
              <w:rPr>
                <w:sz w:val="20"/>
                <w:szCs w:val="20"/>
                <w:lang w:val="en-US"/>
              </w:rPr>
            </w:pPr>
          </w:p>
          <w:p w:rsidR="00F138C1" w:rsidRPr="00B10752" w:rsidRDefault="00F138C1" w:rsidP="00F138C1">
            <w:pPr>
              <w:tabs>
                <w:tab w:val="left" w:pos="-1440"/>
                <w:tab w:val="left" w:pos="-720"/>
              </w:tabs>
              <w:rPr>
                <w:sz w:val="20"/>
                <w:szCs w:val="20"/>
                <w:lang w:val="en-US"/>
              </w:rPr>
            </w:pPr>
            <w:r w:rsidRPr="00B10752">
              <w:rPr>
                <w:sz w:val="20"/>
                <w:szCs w:val="20"/>
                <w:lang w:val="en-US"/>
              </w:rPr>
              <w:tab/>
            </w:r>
            <w:r w:rsidR="004E12CE" w:rsidRPr="00B10752">
              <w:rPr>
                <w:sz w:val="20"/>
                <w:szCs w:val="20"/>
                <w:lang w:val="en-US"/>
              </w:rPr>
              <w:t>v</w:t>
            </w:r>
            <w:r w:rsidRPr="00B10752">
              <w:rPr>
                <w:sz w:val="20"/>
                <w:szCs w:val="20"/>
                <w:lang w:val="en-US"/>
              </w:rPr>
              <w:t>. (39</w:t>
            </w:r>
            <w:r w:rsidR="004E12CE" w:rsidRPr="00B10752">
              <w:rPr>
                <w:sz w:val="20"/>
                <w:szCs w:val="20"/>
                <w:lang w:val="en-US"/>
              </w:rPr>
              <w:t>611</w:t>
            </w:r>
            <w:r w:rsidRPr="00B10752">
              <w:rPr>
                <w:sz w:val="20"/>
                <w:szCs w:val="20"/>
                <w:lang w:val="en-US"/>
              </w:rPr>
              <w:t>)</w:t>
            </w:r>
          </w:p>
          <w:p w:rsidR="00F138C1" w:rsidRPr="00B10752" w:rsidRDefault="00F138C1" w:rsidP="00F138C1">
            <w:pPr>
              <w:tabs>
                <w:tab w:val="left" w:pos="-1440"/>
                <w:tab w:val="left" w:pos="-720"/>
              </w:tabs>
              <w:rPr>
                <w:sz w:val="20"/>
                <w:szCs w:val="20"/>
                <w:lang w:val="en-US"/>
              </w:rPr>
            </w:pPr>
          </w:p>
          <w:p w:rsidR="00F138C1" w:rsidRPr="00B10752" w:rsidRDefault="004E12CE" w:rsidP="00F138C1">
            <w:pPr>
              <w:tabs>
                <w:tab w:val="left" w:pos="-1440"/>
                <w:tab w:val="left" w:pos="-720"/>
              </w:tabs>
              <w:rPr>
                <w:b/>
                <w:sz w:val="20"/>
                <w:szCs w:val="20"/>
                <w:lang w:val="en-US"/>
              </w:rPr>
            </w:pPr>
            <w:r w:rsidRPr="00B10752">
              <w:rPr>
                <w:b/>
                <w:sz w:val="20"/>
                <w:szCs w:val="20"/>
                <w:lang w:val="en-US"/>
              </w:rPr>
              <w:t xml:space="preserve">Trent University </w:t>
            </w:r>
            <w:r w:rsidR="00F138C1" w:rsidRPr="00B10752">
              <w:rPr>
                <w:b/>
                <w:sz w:val="20"/>
                <w:szCs w:val="20"/>
                <w:lang w:val="en-US"/>
              </w:rPr>
              <w:t>(</w:t>
            </w:r>
            <w:r w:rsidRPr="00B10752">
              <w:rPr>
                <w:b/>
                <w:sz w:val="20"/>
                <w:szCs w:val="20"/>
                <w:lang w:val="en-US"/>
              </w:rPr>
              <w:t>Ont.</w:t>
            </w:r>
            <w:r w:rsidR="00F138C1" w:rsidRPr="00B10752">
              <w:rPr>
                <w:b/>
                <w:sz w:val="20"/>
                <w:szCs w:val="20"/>
                <w:lang w:val="en-US"/>
              </w:rPr>
              <w:t>)</w:t>
            </w:r>
          </w:p>
          <w:p w:rsidR="00F138C1" w:rsidRPr="00B10752" w:rsidRDefault="00F138C1" w:rsidP="00F138C1">
            <w:pPr>
              <w:tabs>
                <w:tab w:val="left" w:pos="-1440"/>
                <w:tab w:val="left" w:pos="-720"/>
              </w:tabs>
              <w:rPr>
                <w:sz w:val="20"/>
                <w:szCs w:val="20"/>
                <w:lang w:val="en-US"/>
              </w:rPr>
            </w:pPr>
            <w:r w:rsidRPr="00B10752">
              <w:rPr>
                <w:sz w:val="20"/>
                <w:szCs w:val="20"/>
                <w:lang w:val="en-US"/>
              </w:rPr>
              <w:tab/>
            </w:r>
            <w:r w:rsidR="004E12CE" w:rsidRPr="00B10752">
              <w:rPr>
                <w:sz w:val="20"/>
                <w:szCs w:val="20"/>
                <w:lang w:val="en-US"/>
              </w:rPr>
              <w:t>Pettingill, Alexander D.</w:t>
            </w:r>
          </w:p>
          <w:p w:rsidR="00F138C1" w:rsidRPr="00B10752" w:rsidRDefault="00F138C1" w:rsidP="00F138C1">
            <w:pPr>
              <w:tabs>
                <w:tab w:val="left" w:pos="-1440"/>
                <w:tab w:val="left" w:pos="-720"/>
              </w:tabs>
              <w:rPr>
                <w:sz w:val="20"/>
                <w:szCs w:val="20"/>
                <w:lang w:val="en-US"/>
              </w:rPr>
            </w:pPr>
            <w:r w:rsidRPr="00B10752">
              <w:rPr>
                <w:sz w:val="20"/>
                <w:szCs w:val="20"/>
                <w:lang w:val="en-US"/>
              </w:rPr>
              <w:tab/>
            </w:r>
            <w:r w:rsidR="004E12CE" w:rsidRPr="00B10752">
              <w:rPr>
                <w:sz w:val="20"/>
                <w:szCs w:val="20"/>
                <w:lang w:val="en-US"/>
              </w:rPr>
              <w:t>Thomas Gold Pettingill LLP</w:t>
            </w:r>
          </w:p>
          <w:p w:rsidR="00F138C1" w:rsidRPr="00B10752" w:rsidRDefault="00F138C1" w:rsidP="00F138C1">
            <w:pPr>
              <w:tabs>
                <w:tab w:val="left" w:pos="-1440"/>
                <w:tab w:val="left" w:pos="-720"/>
              </w:tabs>
              <w:rPr>
                <w:sz w:val="20"/>
                <w:szCs w:val="20"/>
                <w:lang w:val="en-US"/>
              </w:rPr>
            </w:pPr>
          </w:p>
          <w:p w:rsidR="00F138C1" w:rsidRPr="00B10752" w:rsidRDefault="004E12CE" w:rsidP="00F138C1">
            <w:pPr>
              <w:rPr>
                <w:sz w:val="20"/>
                <w:szCs w:val="20"/>
                <w:lang w:val="en-US"/>
              </w:rPr>
            </w:pPr>
            <w:r w:rsidRPr="00B10752">
              <w:rPr>
                <w:sz w:val="20"/>
                <w:szCs w:val="20"/>
                <w:lang w:val="en-US"/>
              </w:rPr>
              <w:t xml:space="preserve">FILING </w:t>
            </w:r>
            <w:r w:rsidR="00F138C1" w:rsidRPr="00B10752">
              <w:rPr>
                <w:sz w:val="20"/>
                <w:szCs w:val="20"/>
                <w:lang w:val="en-US"/>
              </w:rPr>
              <w:t xml:space="preserve">DATE: </w:t>
            </w:r>
            <w:r w:rsidRPr="00B10752">
              <w:rPr>
                <w:sz w:val="20"/>
                <w:szCs w:val="20"/>
                <w:lang w:val="en-US"/>
              </w:rPr>
              <w:t>April 27,</w:t>
            </w:r>
            <w:r w:rsidR="00F138C1" w:rsidRPr="00B10752">
              <w:rPr>
                <w:sz w:val="20"/>
                <w:szCs w:val="20"/>
                <w:lang w:val="en-US"/>
              </w:rPr>
              <w:t xml:space="preserve"> 20</w:t>
            </w:r>
            <w:r w:rsidR="00DA1D48" w:rsidRPr="00B10752">
              <w:rPr>
                <w:sz w:val="20"/>
                <w:szCs w:val="20"/>
                <w:lang w:val="en-US"/>
              </w:rPr>
              <w:t>2</w:t>
            </w:r>
            <w:r w:rsidR="00EC6816" w:rsidRPr="00B10752">
              <w:rPr>
                <w:sz w:val="20"/>
                <w:szCs w:val="20"/>
                <w:lang w:val="en-US"/>
              </w:rPr>
              <w:t>1</w:t>
            </w:r>
          </w:p>
          <w:p w:rsidR="004B2E86" w:rsidRPr="00B10752" w:rsidRDefault="004B2E86" w:rsidP="00F138C1">
            <w:pPr>
              <w:rPr>
                <w:sz w:val="20"/>
                <w:szCs w:val="20"/>
                <w:lang w:val="en-US"/>
              </w:rPr>
            </w:pPr>
          </w:p>
          <w:p w:rsidR="00F138C1" w:rsidRPr="00B10752" w:rsidRDefault="00B10752" w:rsidP="00F138C1">
            <w:pPr>
              <w:rPr>
                <w:sz w:val="20"/>
                <w:szCs w:val="20"/>
                <w:lang w:val="en-US"/>
              </w:rPr>
            </w:pPr>
            <w:r w:rsidRPr="00B10752">
              <w:rPr>
                <w:sz w:val="20"/>
                <w:szCs w:val="20"/>
                <w:lang w:val="fr-CA"/>
              </w:rPr>
              <w:pict>
                <v:rect id="_x0000_i1028" style="width:108pt;height:1pt" o:hrpct="0" o:hrstd="t" o:hrnoshade="t" o:hr="t" fillcolor="black [3213]" stroked="f"/>
              </w:pict>
            </w:r>
          </w:p>
        </w:tc>
      </w:tr>
      <w:tr w:rsidR="00F138C1" w:rsidRPr="00B10752" w:rsidTr="00F138C1">
        <w:tc>
          <w:tcPr>
            <w:tcW w:w="4239" w:type="dxa"/>
            <w:shd w:val="clear" w:color="auto" w:fill="auto"/>
          </w:tcPr>
          <w:p w:rsidR="00DA1D48" w:rsidRPr="00B10752" w:rsidRDefault="003773F0" w:rsidP="00DA1D48">
            <w:pPr>
              <w:rPr>
                <w:sz w:val="20"/>
                <w:szCs w:val="20"/>
                <w:lang w:val="en-US"/>
              </w:rPr>
            </w:pPr>
            <w:r w:rsidRPr="00B10752">
              <w:rPr>
                <w:b/>
                <w:sz w:val="20"/>
                <w:szCs w:val="20"/>
                <w:lang w:val="en-US"/>
              </w:rPr>
              <w:t>Marian L. Carroll</w:t>
            </w:r>
          </w:p>
          <w:p w:rsidR="00DA1D48" w:rsidRPr="00B10752" w:rsidRDefault="00DA1D48" w:rsidP="00DA1D48">
            <w:pPr>
              <w:tabs>
                <w:tab w:val="left" w:pos="-1440"/>
                <w:tab w:val="left" w:pos="-720"/>
              </w:tabs>
              <w:rPr>
                <w:sz w:val="20"/>
                <w:szCs w:val="20"/>
                <w:lang w:val="en-US"/>
              </w:rPr>
            </w:pPr>
            <w:r w:rsidRPr="00B10752">
              <w:rPr>
                <w:sz w:val="20"/>
                <w:szCs w:val="20"/>
                <w:lang w:val="en-US"/>
              </w:rPr>
              <w:tab/>
            </w:r>
            <w:r w:rsidR="003773F0" w:rsidRPr="00B10752">
              <w:rPr>
                <w:sz w:val="20"/>
                <w:szCs w:val="20"/>
                <w:lang w:val="en-US"/>
              </w:rPr>
              <w:t>Groia, Joseph</w:t>
            </w:r>
          </w:p>
          <w:p w:rsidR="00DA1D48" w:rsidRPr="00B10752" w:rsidRDefault="00EC6816" w:rsidP="00DA1D48">
            <w:pPr>
              <w:tabs>
                <w:tab w:val="left" w:pos="-1440"/>
                <w:tab w:val="left" w:pos="-720"/>
              </w:tabs>
              <w:rPr>
                <w:sz w:val="20"/>
                <w:szCs w:val="20"/>
                <w:lang w:val="en-US"/>
              </w:rPr>
            </w:pPr>
            <w:r w:rsidRPr="00B10752">
              <w:rPr>
                <w:sz w:val="20"/>
                <w:szCs w:val="20"/>
                <w:lang w:val="en-US"/>
              </w:rPr>
              <w:tab/>
            </w:r>
            <w:r w:rsidR="003773F0" w:rsidRPr="00B10752">
              <w:rPr>
                <w:sz w:val="20"/>
                <w:szCs w:val="20"/>
                <w:lang w:val="en-US"/>
              </w:rPr>
              <w:t>Groia &amp; Company</w:t>
            </w:r>
          </w:p>
          <w:p w:rsidR="00EC6816" w:rsidRPr="00B10752" w:rsidRDefault="00EC6816" w:rsidP="00DA1D48">
            <w:pPr>
              <w:tabs>
                <w:tab w:val="left" w:pos="-1440"/>
                <w:tab w:val="left" w:pos="-720"/>
              </w:tabs>
              <w:rPr>
                <w:sz w:val="20"/>
                <w:szCs w:val="20"/>
                <w:lang w:val="en-US"/>
              </w:rPr>
            </w:pPr>
          </w:p>
          <w:p w:rsidR="00DA1D48" w:rsidRPr="00B10752" w:rsidRDefault="00DA1D48" w:rsidP="00DA1D48">
            <w:pPr>
              <w:tabs>
                <w:tab w:val="left" w:pos="-1440"/>
                <w:tab w:val="left" w:pos="-720"/>
              </w:tabs>
              <w:rPr>
                <w:sz w:val="20"/>
                <w:szCs w:val="20"/>
                <w:lang w:val="en-US"/>
              </w:rPr>
            </w:pPr>
            <w:r w:rsidRPr="00B10752">
              <w:rPr>
                <w:sz w:val="20"/>
                <w:szCs w:val="20"/>
                <w:lang w:val="en-US"/>
              </w:rPr>
              <w:tab/>
              <w:t>v. (39</w:t>
            </w:r>
            <w:r w:rsidR="003773F0" w:rsidRPr="00B10752">
              <w:rPr>
                <w:sz w:val="20"/>
                <w:szCs w:val="20"/>
                <w:lang w:val="en-US"/>
              </w:rPr>
              <w:t>612</w:t>
            </w:r>
            <w:r w:rsidRPr="00B10752">
              <w:rPr>
                <w:sz w:val="20"/>
                <w:szCs w:val="20"/>
                <w:lang w:val="en-US"/>
              </w:rPr>
              <w:t>)</w:t>
            </w:r>
          </w:p>
          <w:p w:rsidR="00DA1D48" w:rsidRPr="00B10752" w:rsidRDefault="00DA1D48" w:rsidP="00DA1D48">
            <w:pPr>
              <w:tabs>
                <w:tab w:val="left" w:pos="-1440"/>
                <w:tab w:val="left" w:pos="-720"/>
              </w:tabs>
              <w:rPr>
                <w:sz w:val="20"/>
                <w:szCs w:val="20"/>
                <w:lang w:val="en-US"/>
              </w:rPr>
            </w:pPr>
          </w:p>
          <w:p w:rsidR="00DA1D48" w:rsidRPr="00B10752" w:rsidRDefault="003773F0" w:rsidP="00DA1D48">
            <w:pPr>
              <w:tabs>
                <w:tab w:val="left" w:pos="-1440"/>
                <w:tab w:val="left" w:pos="-720"/>
              </w:tabs>
              <w:rPr>
                <w:b/>
                <w:sz w:val="20"/>
                <w:szCs w:val="20"/>
                <w:lang w:val="en-US"/>
              </w:rPr>
            </w:pPr>
            <w:r w:rsidRPr="00B10752">
              <w:rPr>
                <w:b/>
                <w:sz w:val="20"/>
                <w:szCs w:val="20"/>
                <w:lang w:val="en-US"/>
              </w:rPr>
              <w:t xml:space="preserve">The Toronto-Dominion Bank c.o.b.TD Bank Group, et al. </w:t>
            </w:r>
            <w:r w:rsidR="00DA1D48" w:rsidRPr="00B10752">
              <w:rPr>
                <w:b/>
                <w:sz w:val="20"/>
                <w:szCs w:val="20"/>
                <w:lang w:val="en-US"/>
              </w:rPr>
              <w:t>(</w:t>
            </w:r>
            <w:r w:rsidRPr="00B10752">
              <w:rPr>
                <w:b/>
                <w:sz w:val="20"/>
                <w:szCs w:val="20"/>
                <w:lang w:val="en-US"/>
              </w:rPr>
              <w:t>Ont</w:t>
            </w:r>
            <w:r w:rsidR="00DA1D48" w:rsidRPr="00B10752">
              <w:rPr>
                <w:b/>
                <w:sz w:val="20"/>
                <w:szCs w:val="20"/>
                <w:lang w:val="en-US"/>
              </w:rPr>
              <w:t>.)</w:t>
            </w:r>
          </w:p>
          <w:p w:rsidR="00DA1D48" w:rsidRPr="00B10752" w:rsidRDefault="00DA1D48" w:rsidP="00DA1D48">
            <w:pPr>
              <w:tabs>
                <w:tab w:val="left" w:pos="-1440"/>
                <w:tab w:val="left" w:pos="-720"/>
              </w:tabs>
              <w:rPr>
                <w:sz w:val="20"/>
                <w:szCs w:val="20"/>
                <w:lang w:val="en-US"/>
              </w:rPr>
            </w:pPr>
            <w:r w:rsidRPr="00B10752">
              <w:rPr>
                <w:sz w:val="20"/>
                <w:szCs w:val="20"/>
                <w:lang w:val="en-US"/>
              </w:rPr>
              <w:tab/>
            </w:r>
            <w:r w:rsidR="003773F0" w:rsidRPr="00B10752">
              <w:rPr>
                <w:sz w:val="20"/>
                <w:szCs w:val="20"/>
                <w:lang w:val="en-US"/>
              </w:rPr>
              <w:t>Fuerst, Linda</w:t>
            </w:r>
          </w:p>
          <w:p w:rsidR="00DA1D48" w:rsidRPr="00B10752" w:rsidRDefault="00DA1D48" w:rsidP="00DA1D48">
            <w:pPr>
              <w:tabs>
                <w:tab w:val="left" w:pos="-1440"/>
                <w:tab w:val="left" w:pos="-720"/>
              </w:tabs>
              <w:rPr>
                <w:sz w:val="20"/>
                <w:szCs w:val="20"/>
              </w:rPr>
            </w:pPr>
            <w:r w:rsidRPr="00B10752">
              <w:rPr>
                <w:sz w:val="20"/>
                <w:szCs w:val="20"/>
                <w:lang w:val="en-US"/>
              </w:rPr>
              <w:tab/>
            </w:r>
            <w:r w:rsidR="003773F0" w:rsidRPr="00B10752">
              <w:rPr>
                <w:sz w:val="20"/>
                <w:szCs w:val="20"/>
              </w:rPr>
              <w:t>Norton Rose Fulbright Canada LLP</w:t>
            </w:r>
          </w:p>
          <w:p w:rsidR="00DA1D48" w:rsidRPr="00B10752" w:rsidRDefault="00DA1D48" w:rsidP="00DA1D48">
            <w:pPr>
              <w:tabs>
                <w:tab w:val="left" w:pos="-1440"/>
                <w:tab w:val="left" w:pos="-720"/>
              </w:tabs>
              <w:rPr>
                <w:sz w:val="20"/>
                <w:szCs w:val="20"/>
              </w:rPr>
            </w:pPr>
          </w:p>
          <w:p w:rsidR="00DA1D48" w:rsidRPr="00B10752" w:rsidRDefault="00DA1D48" w:rsidP="00DA1D48">
            <w:pPr>
              <w:rPr>
                <w:sz w:val="20"/>
                <w:szCs w:val="20"/>
              </w:rPr>
            </w:pPr>
            <w:r w:rsidRPr="00B10752">
              <w:rPr>
                <w:sz w:val="20"/>
                <w:szCs w:val="20"/>
              </w:rPr>
              <w:t xml:space="preserve">FILING DATE: </w:t>
            </w:r>
            <w:r w:rsidR="003773F0" w:rsidRPr="00B10752">
              <w:rPr>
                <w:sz w:val="20"/>
                <w:szCs w:val="20"/>
              </w:rPr>
              <w:t>April</w:t>
            </w:r>
            <w:r w:rsidRPr="00B10752">
              <w:rPr>
                <w:sz w:val="20"/>
                <w:szCs w:val="20"/>
              </w:rPr>
              <w:t xml:space="preserve"> </w:t>
            </w:r>
            <w:r w:rsidR="003773F0" w:rsidRPr="00B10752">
              <w:rPr>
                <w:sz w:val="20"/>
                <w:szCs w:val="20"/>
              </w:rPr>
              <w:t>27</w:t>
            </w:r>
            <w:r w:rsidRPr="00B10752">
              <w:rPr>
                <w:sz w:val="20"/>
                <w:szCs w:val="20"/>
              </w:rPr>
              <w:t>, 202</w:t>
            </w:r>
            <w:r w:rsidR="00EC6816" w:rsidRPr="00B10752">
              <w:rPr>
                <w:sz w:val="20"/>
                <w:szCs w:val="20"/>
              </w:rPr>
              <w:t>1</w:t>
            </w:r>
          </w:p>
          <w:p w:rsidR="00DA1D48" w:rsidRPr="00B10752" w:rsidRDefault="00DA1D48" w:rsidP="00DA1D48">
            <w:pPr>
              <w:rPr>
                <w:sz w:val="20"/>
                <w:szCs w:val="20"/>
              </w:rPr>
            </w:pPr>
          </w:p>
          <w:p w:rsidR="00F138C1" w:rsidRPr="00B10752" w:rsidRDefault="00B10752" w:rsidP="00DA1D48">
            <w:pPr>
              <w:rPr>
                <w:sz w:val="20"/>
                <w:szCs w:val="20"/>
                <w:lang w:val="en-US"/>
              </w:rPr>
            </w:pPr>
            <w:r w:rsidRPr="00B10752">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B10752" w:rsidRDefault="00F138C1" w:rsidP="00F138C1">
            <w:pPr>
              <w:jc w:val="center"/>
              <w:rPr>
                <w:sz w:val="20"/>
                <w:szCs w:val="20"/>
                <w:lang w:val="en-US"/>
              </w:rPr>
            </w:pPr>
          </w:p>
          <w:p w:rsidR="00DA1D48" w:rsidRPr="00B10752" w:rsidRDefault="00DA1D48" w:rsidP="00F138C1">
            <w:pPr>
              <w:jc w:val="center"/>
              <w:rPr>
                <w:sz w:val="20"/>
                <w:szCs w:val="20"/>
                <w:lang w:val="en-US"/>
              </w:rPr>
            </w:pPr>
          </w:p>
          <w:p w:rsidR="00DA1D48" w:rsidRPr="00B10752" w:rsidRDefault="00DA1D48" w:rsidP="00F138C1">
            <w:pPr>
              <w:jc w:val="center"/>
              <w:rPr>
                <w:sz w:val="20"/>
                <w:szCs w:val="20"/>
                <w:lang w:val="en-US"/>
              </w:rPr>
            </w:pPr>
          </w:p>
          <w:p w:rsidR="00DA1D48" w:rsidRPr="00B10752" w:rsidRDefault="00DA1D48" w:rsidP="00F138C1">
            <w:pPr>
              <w:jc w:val="center"/>
              <w:rPr>
                <w:sz w:val="20"/>
                <w:szCs w:val="20"/>
                <w:lang w:val="en-US"/>
              </w:rPr>
            </w:pPr>
          </w:p>
          <w:p w:rsidR="00DA1D48" w:rsidRPr="00B10752" w:rsidRDefault="00DA1D48" w:rsidP="00F138C1">
            <w:pPr>
              <w:jc w:val="center"/>
              <w:rPr>
                <w:sz w:val="20"/>
                <w:szCs w:val="20"/>
                <w:lang w:val="en-US"/>
              </w:rPr>
            </w:pPr>
          </w:p>
          <w:p w:rsidR="00DA1D48" w:rsidRPr="00B10752" w:rsidRDefault="00DA1D48" w:rsidP="00F138C1">
            <w:pPr>
              <w:jc w:val="center"/>
              <w:rPr>
                <w:sz w:val="20"/>
                <w:szCs w:val="20"/>
                <w:lang w:val="en-US"/>
              </w:rPr>
            </w:pPr>
          </w:p>
          <w:p w:rsidR="00DA1D48" w:rsidRPr="00B10752" w:rsidRDefault="00DA1D48" w:rsidP="00F138C1">
            <w:pPr>
              <w:jc w:val="center"/>
              <w:rPr>
                <w:sz w:val="20"/>
                <w:szCs w:val="20"/>
                <w:lang w:val="en-US"/>
              </w:rPr>
            </w:pPr>
          </w:p>
          <w:p w:rsidR="00DA1D48" w:rsidRPr="00B10752" w:rsidRDefault="00DA1D48" w:rsidP="00F138C1">
            <w:pPr>
              <w:jc w:val="center"/>
              <w:rPr>
                <w:sz w:val="20"/>
                <w:szCs w:val="20"/>
                <w:lang w:val="en-US"/>
              </w:rPr>
            </w:pPr>
          </w:p>
          <w:p w:rsidR="003773F0" w:rsidRPr="00B10752" w:rsidRDefault="003773F0" w:rsidP="00F138C1">
            <w:pPr>
              <w:jc w:val="center"/>
              <w:rPr>
                <w:sz w:val="20"/>
                <w:szCs w:val="20"/>
                <w:lang w:val="en-US"/>
              </w:rPr>
            </w:pPr>
          </w:p>
          <w:p w:rsidR="00DA1D48" w:rsidRPr="00B10752" w:rsidRDefault="00DA1D48" w:rsidP="00F138C1">
            <w:pPr>
              <w:jc w:val="center"/>
              <w:rPr>
                <w:sz w:val="20"/>
                <w:szCs w:val="20"/>
                <w:lang w:val="en-US"/>
              </w:rPr>
            </w:pPr>
          </w:p>
          <w:p w:rsidR="00DA1D48" w:rsidRPr="00B10752" w:rsidRDefault="00DA1D48" w:rsidP="00F138C1">
            <w:pPr>
              <w:jc w:val="center"/>
              <w:rPr>
                <w:sz w:val="20"/>
                <w:szCs w:val="20"/>
                <w:lang w:val="en-US"/>
              </w:rPr>
            </w:pPr>
          </w:p>
          <w:p w:rsidR="00DA1D48" w:rsidRPr="00B10752" w:rsidRDefault="00DA1D48" w:rsidP="00F138C1">
            <w:pPr>
              <w:jc w:val="center"/>
              <w:rPr>
                <w:sz w:val="20"/>
                <w:szCs w:val="20"/>
                <w:lang w:val="en-US"/>
              </w:rPr>
            </w:pPr>
          </w:p>
          <w:p w:rsidR="00DA1D48" w:rsidRPr="00B10752" w:rsidRDefault="00DA1D48" w:rsidP="00F138C1">
            <w:pPr>
              <w:jc w:val="center"/>
              <w:rPr>
                <w:sz w:val="20"/>
                <w:szCs w:val="20"/>
                <w:lang w:val="en-US"/>
              </w:rPr>
            </w:pPr>
          </w:p>
          <w:p w:rsidR="00DA1D48" w:rsidRPr="00B10752" w:rsidRDefault="00DA1D48" w:rsidP="00F138C1">
            <w:pPr>
              <w:jc w:val="center"/>
              <w:rPr>
                <w:sz w:val="20"/>
                <w:szCs w:val="20"/>
                <w:lang w:val="en-US"/>
              </w:rPr>
            </w:pPr>
          </w:p>
          <w:p w:rsidR="00DA1D48" w:rsidRPr="00B10752" w:rsidRDefault="00DA1D48" w:rsidP="00F138C1">
            <w:pPr>
              <w:jc w:val="center"/>
              <w:rPr>
                <w:sz w:val="20"/>
                <w:szCs w:val="20"/>
                <w:lang w:val="en-US"/>
              </w:rPr>
            </w:pPr>
          </w:p>
        </w:tc>
        <w:tc>
          <w:tcPr>
            <w:tcW w:w="4239" w:type="dxa"/>
            <w:shd w:val="clear" w:color="auto" w:fill="auto"/>
          </w:tcPr>
          <w:p w:rsidR="00DA1D48" w:rsidRPr="00B10752" w:rsidRDefault="00440B28" w:rsidP="00DA1D48">
            <w:pPr>
              <w:rPr>
                <w:b/>
                <w:sz w:val="20"/>
                <w:szCs w:val="20"/>
                <w:lang w:val="fr-CA"/>
              </w:rPr>
            </w:pPr>
            <w:r w:rsidRPr="00B10752">
              <w:rPr>
                <w:b/>
                <w:sz w:val="20"/>
                <w:szCs w:val="20"/>
                <w:lang w:val="fr-CA"/>
              </w:rPr>
              <w:t>Richard Boies</w:t>
            </w:r>
          </w:p>
          <w:p w:rsidR="00DA1D48" w:rsidRPr="00B10752" w:rsidRDefault="00DA1D48" w:rsidP="00DA1D48">
            <w:pPr>
              <w:tabs>
                <w:tab w:val="left" w:pos="-1440"/>
                <w:tab w:val="left" w:pos="-720"/>
              </w:tabs>
              <w:rPr>
                <w:sz w:val="20"/>
                <w:szCs w:val="20"/>
                <w:lang w:val="fr-CA"/>
              </w:rPr>
            </w:pPr>
            <w:r w:rsidRPr="00B10752">
              <w:rPr>
                <w:sz w:val="20"/>
                <w:szCs w:val="20"/>
                <w:lang w:val="fr-CA"/>
              </w:rPr>
              <w:tab/>
            </w:r>
            <w:r w:rsidR="00440B28" w:rsidRPr="00B10752">
              <w:rPr>
                <w:sz w:val="20"/>
                <w:szCs w:val="20"/>
                <w:lang w:val="fr-CA"/>
              </w:rPr>
              <w:t>Daigle, François</w:t>
            </w:r>
          </w:p>
          <w:p w:rsidR="00DA1D48" w:rsidRPr="00B10752" w:rsidRDefault="00DA1D48" w:rsidP="00DA1D48">
            <w:pPr>
              <w:tabs>
                <w:tab w:val="left" w:pos="-1440"/>
                <w:tab w:val="left" w:pos="-720"/>
              </w:tabs>
              <w:rPr>
                <w:sz w:val="20"/>
                <w:szCs w:val="20"/>
                <w:lang w:val="fr-CA"/>
              </w:rPr>
            </w:pPr>
            <w:r w:rsidRPr="00B10752">
              <w:rPr>
                <w:sz w:val="20"/>
                <w:szCs w:val="20"/>
                <w:lang w:val="fr-CA"/>
              </w:rPr>
              <w:tab/>
            </w:r>
            <w:r w:rsidR="00440B28" w:rsidRPr="00B10752">
              <w:rPr>
                <w:sz w:val="20"/>
                <w:szCs w:val="20"/>
                <w:lang w:val="fr-CA"/>
              </w:rPr>
              <w:t>Daigle &amp; Matte, Avocats fiscalistes inc</w:t>
            </w:r>
          </w:p>
          <w:p w:rsidR="00DA1D48" w:rsidRPr="00B10752" w:rsidRDefault="00DA1D48" w:rsidP="00DA1D48">
            <w:pPr>
              <w:tabs>
                <w:tab w:val="left" w:pos="-1440"/>
                <w:tab w:val="left" w:pos="-720"/>
              </w:tabs>
              <w:rPr>
                <w:sz w:val="20"/>
                <w:szCs w:val="20"/>
                <w:lang w:val="fr-CA"/>
              </w:rPr>
            </w:pPr>
          </w:p>
          <w:p w:rsidR="00DA1D48" w:rsidRPr="00B10752" w:rsidRDefault="00DA1D48" w:rsidP="00DA1D48">
            <w:pPr>
              <w:tabs>
                <w:tab w:val="left" w:pos="-1440"/>
                <w:tab w:val="left" w:pos="-720"/>
              </w:tabs>
              <w:rPr>
                <w:sz w:val="20"/>
                <w:szCs w:val="20"/>
                <w:lang w:val="fr-CA"/>
              </w:rPr>
            </w:pPr>
            <w:r w:rsidRPr="00B10752">
              <w:rPr>
                <w:sz w:val="20"/>
                <w:szCs w:val="20"/>
                <w:lang w:val="fr-CA"/>
              </w:rPr>
              <w:tab/>
              <w:t>c. (396</w:t>
            </w:r>
            <w:r w:rsidR="003773F0" w:rsidRPr="00B10752">
              <w:rPr>
                <w:sz w:val="20"/>
                <w:szCs w:val="20"/>
                <w:lang w:val="fr-CA"/>
              </w:rPr>
              <w:t>13</w:t>
            </w:r>
            <w:r w:rsidRPr="00B10752">
              <w:rPr>
                <w:sz w:val="20"/>
                <w:szCs w:val="20"/>
                <w:lang w:val="fr-CA"/>
              </w:rPr>
              <w:t>)</w:t>
            </w:r>
          </w:p>
          <w:p w:rsidR="00DA1D48" w:rsidRPr="00B10752" w:rsidRDefault="00DA1D48" w:rsidP="00DA1D48">
            <w:pPr>
              <w:tabs>
                <w:tab w:val="left" w:pos="-1440"/>
                <w:tab w:val="left" w:pos="-720"/>
              </w:tabs>
              <w:rPr>
                <w:sz w:val="20"/>
                <w:szCs w:val="20"/>
                <w:lang w:val="fr-CA"/>
              </w:rPr>
            </w:pPr>
          </w:p>
          <w:p w:rsidR="00DA1D48" w:rsidRPr="00B10752" w:rsidRDefault="00440B28" w:rsidP="00DA1D48">
            <w:pPr>
              <w:tabs>
                <w:tab w:val="left" w:pos="-1440"/>
                <w:tab w:val="left" w:pos="-720"/>
              </w:tabs>
              <w:rPr>
                <w:b/>
                <w:sz w:val="20"/>
                <w:szCs w:val="20"/>
                <w:lang w:val="fr-CA"/>
              </w:rPr>
            </w:pPr>
            <w:r w:rsidRPr="00B10752">
              <w:rPr>
                <w:b/>
                <w:sz w:val="20"/>
                <w:szCs w:val="20"/>
                <w:lang w:val="fr-CA"/>
              </w:rPr>
              <w:t>Agence du revenu du Québec</w:t>
            </w:r>
            <w:r w:rsidR="00DA1D48" w:rsidRPr="00B10752">
              <w:rPr>
                <w:sz w:val="20"/>
                <w:szCs w:val="20"/>
                <w:lang w:val="fr-CA"/>
              </w:rPr>
              <w:t xml:space="preserve"> </w:t>
            </w:r>
            <w:r w:rsidR="00DA1D48" w:rsidRPr="00B10752">
              <w:rPr>
                <w:b/>
                <w:sz w:val="20"/>
                <w:szCs w:val="20"/>
                <w:lang w:val="fr-CA"/>
              </w:rPr>
              <w:t>(Qc)</w:t>
            </w:r>
          </w:p>
          <w:p w:rsidR="00DA1D48" w:rsidRPr="00B10752" w:rsidRDefault="00DA1D48" w:rsidP="00DA1D48">
            <w:pPr>
              <w:tabs>
                <w:tab w:val="left" w:pos="-1440"/>
                <w:tab w:val="left" w:pos="-720"/>
              </w:tabs>
              <w:rPr>
                <w:sz w:val="20"/>
                <w:szCs w:val="20"/>
                <w:lang w:val="fr-CA"/>
              </w:rPr>
            </w:pPr>
            <w:r w:rsidRPr="00B10752">
              <w:rPr>
                <w:sz w:val="20"/>
                <w:szCs w:val="20"/>
                <w:lang w:val="fr-CA"/>
              </w:rPr>
              <w:tab/>
            </w:r>
            <w:r w:rsidR="00440B28" w:rsidRPr="00B10752">
              <w:rPr>
                <w:sz w:val="20"/>
                <w:szCs w:val="20"/>
                <w:lang w:val="fr-CA"/>
              </w:rPr>
              <w:t>Pelletier, Mario</w:t>
            </w:r>
          </w:p>
          <w:p w:rsidR="00DA1D48" w:rsidRPr="00B10752" w:rsidRDefault="00DA1D48" w:rsidP="00DA1D48">
            <w:pPr>
              <w:tabs>
                <w:tab w:val="left" w:pos="-1440"/>
                <w:tab w:val="left" w:pos="-720"/>
              </w:tabs>
              <w:rPr>
                <w:sz w:val="20"/>
                <w:szCs w:val="20"/>
                <w:lang w:val="fr-CA"/>
              </w:rPr>
            </w:pPr>
            <w:r w:rsidRPr="00B10752">
              <w:rPr>
                <w:sz w:val="20"/>
                <w:szCs w:val="20"/>
                <w:lang w:val="fr-CA"/>
              </w:rPr>
              <w:tab/>
            </w:r>
            <w:r w:rsidR="00440B28" w:rsidRPr="00B10752">
              <w:rPr>
                <w:sz w:val="20"/>
                <w:szCs w:val="20"/>
                <w:lang w:val="fr-CA"/>
              </w:rPr>
              <w:t>Larivière, Meunier</w:t>
            </w:r>
          </w:p>
          <w:p w:rsidR="00DA1D48" w:rsidRPr="00B10752" w:rsidRDefault="00DA1D48" w:rsidP="00DA1D48">
            <w:pPr>
              <w:tabs>
                <w:tab w:val="left" w:pos="-1440"/>
                <w:tab w:val="left" w:pos="-720"/>
              </w:tabs>
              <w:rPr>
                <w:sz w:val="20"/>
                <w:szCs w:val="20"/>
                <w:lang w:val="fr-CA"/>
              </w:rPr>
            </w:pPr>
          </w:p>
          <w:p w:rsidR="00DA1D48" w:rsidRPr="00B10752" w:rsidRDefault="00DA1D48" w:rsidP="00DA1D48">
            <w:pPr>
              <w:rPr>
                <w:sz w:val="20"/>
                <w:szCs w:val="20"/>
                <w:lang w:val="fr-CA"/>
              </w:rPr>
            </w:pPr>
            <w:r w:rsidRPr="00B10752">
              <w:rPr>
                <w:sz w:val="20"/>
                <w:szCs w:val="20"/>
                <w:lang w:val="fr-CA"/>
              </w:rPr>
              <w:t xml:space="preserve">DATE DE PRODUCTION : </w:t>
            </w:r>
            <w:r w:rsidR="00440B28" w:rsidRPr="00B10752">
              <w:rPr>
                <w:sz w:val="20"/>
                <w:szCs w:val="20"/>
                <w:lang w:val="fr-CA"/>
              </w:rPr>
              <w:t>le 27 avril 2021</w:t>
            </w:r>
          </w:p>
          <w:p w:rsidR="00DA1D48" w:rsidRPr="00B10752" w:rsidRDefault="00DA1D48" w:rsidP="00DA1D48">
            <w:pPr>
              <w:rPr>
                <w:sz w:val="20"/>
                <w:szCs w:val="20"/>
                <w:lang w:val="fr-CA"/>
              </w:rPr>
            </w:pPr>
          </w:p>
          <w:p w:rsidR="00F138C1" w:rsidRPr="00B10752" w:rsidRDefault="00B10752" w:rsidP="00DA1D48">
            <w:pPr>
              <w:rPr>
                <w:sz w:val="20"/>
                <w:szCs w:val="20"/>
                <w:lang w:val="fr-CA"/>
              </w:rPr>
            </w:pPr>
            <w:r w:rsidRPr="00B10752">
              <w:rPr>
                <w:sz w:val="20"/>
                <w:szCs w:val="20"/>
                <w:lang w:val="fr-CA"/>
              </w:rPr>
              <w:pict>
                <v:rect id="_x0000_i1030" style="width:108pt;height:1pt" o:hrpct="0" o:hrstd="t" o:hrnoshade="t" o:hr="t" fillcolor="black [3213]" stroked="f"/>
              </w:pict>
            </w:r>
          </w:p>
        </w:tc>
      </w:tr>
    </w:tbl>
    <w:p w:rsidR="00C4004C" w:rsidRPr="00B10752" w:rsidRDefault="00C4004C">
      <w:r w:rsidRPr="00B1075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C4004C" w:rsidRPr="00B10752" w:rsidTr="00F138C1">
        <w:tc>
          <w:tcPr>
            <w:tcW w:w="4239" w:type="dxa"/>
            <w:shd w:val="clear" w:color="auto" w:fill="auto"/>
          </w:tcPr>
          <w:p w:rsidR="00C4004C" w:rsidRPr="00B10752" w:rsidRDefault="00440B28" w:rsidP="00C4004C">
            <w:pPr>
              <w:rPr>
                <w:sz w:val="20"/>
                <w:szCs w:val="20"/>
                <w:lang w:val="fr-CA"/>
              </w:rPr>
            </w:pPr>
            <w:r w:rsidRPr="00B10752">
              <w:rPr>
                <w:b/>
                <w:sz w:val="20"/>
                <w:szCs w:val="20"/>
                <w:lang w:val="fr-CA"/>
              </w:rPr>
              <w:lastRenderedPageBreak/>
              <w:t>Honorable Gérard Dugré</w:t>
            </w:r>
          </w:p>
          <w:p w:rsidR="00C4004C" w:rsidRPr="00B10752" w:rsidRDefault="00C4004C" w:rsidP="00C4004C">
            <w:pPr>
              <w:tabs>
                <w:tab w:val="left" w:pos="-1440"/>
                <w:tab w:val="left" w:pos="-720"/>
              </w:tabs>
              <w:rPr>
                <w:sz w:val="20"/>
                <w:szCs w:val="20"/>
                <w:lang w:val="fr-CA"/>
              </w:rPr>
            </w:pPr>
            <w:r w:rsidRPr="00B10752">
              <w:rPr>
                <w:sz w:val="20"/>
                <w:szCs w:val="20"/>
                <w:lang w:val="fr-CA"/>
              </w:rPr>
              <w:tab/>
            </w:r>
            <w:r w:rsidR="00440B28" w:rsidRPr="00B10752">
              <w:rPr>
                <w:sz w:val="20"/>
                <w:szCs w:val="20"/>
                <w:lang w:val="fr-CA"/>
              </w:rPr>
              <w:t>Fournier, Ad. E., Magali</w:t>
            </w:r>
          </w:p>
          <w:p w:rsidR="00C4004C" w:rsidRPr="00B10752" w:rsidRDefault="00C4004C" w:rsidP="00C4004C">
            <w:pPr>
              <w:tabs>
                <w:tab w:val="left" w:pos="-1440"/>
                <w:tab w:val="left" w:pos="-720"/>
              </w:tabs>
              <w:rPr>
                <w:sz w:val="20"/>
                <w:szCs w:val="20"/>
                <w:lang w:val="fr-CA"/>
              </w:rPr>
            </w:pPr>
            <w:r w:rsidRPr="00B10752">
              <w:rPr>
                <w:sz w:val="20"/>
                <w:szCs w:val="20"/>
                <w:lang w:val="fr-CA"/>
              </w:rPr>
              <w:tab/>
            </w:r>
            <w:r w:rsidR="00440B28" w:rsidRPr="00B10752">
              <w:rPr>
                <w:sz w:val="20"/>
                <w:szCs w:val="20"/>
                <w:lang w:val="fr-CA"/>
              </w:rPr>
              <w:t>Fournier Avocats Inc.</w:t>
            </w:r>
          </w:p>
          <w:p w:rsidR="00C4004C" w:rsidRPr="00B10752" w:rsidRDefault="00C4004C" w:rsidP="00C4004C">
            <w:pPr>
              <w:tabs>
                <w:tab w:val="left" w:pos="-1440"/>
                <w:tab w:val="left" w:pos="-720"/>
              </w:tabs>
              <w:rPr>
                <w:sz w:val="20"/>
                <w:szCs w:val="20"/>
                <w:lang w:val="fr-CA"/>
              </w:rPr>
            </w:pPr>
          </w:p>
          <w:p w:rsidR="00C4004C" w:rsidRPr="00B10752" w:rsidRDefault="00C4004C" w:rsidP="00C4004C">
            <w:pPr>
              <w:tabs>
                <w:tab w:val="left" w:pos="-1440"/>
                <w:tab w:val="left" w:pos="-720"/>
              </w:tabs>
              <w:rPr>
                <w:sz w:val="20"/>
                <w:szCs w:val="20"/>
                <w:lang w:val="fr-CA"/>
              </w:rPr>
            </w:pPr>
            <w:r w:rsidRPr="00B10752">
              <w:rPr>
                <w:sz w:val="20"/>
                <w:szCs w:val="20"/>
                <w:lang w:val="fr-CA"/>
              </w:rPr>
              <w:tab/>
            </w:r>
            <w:r w:rsidR="00440B28" w:rsidRPr="00B10752">
              <w:rPr>
                <w:sz w:val="20"/>
                <w:szCs w:val="20"/>
                <w:lang w:val="fr-CA"/>
              </w:rPr>
              <w:t>c</w:t>
            </w:r>
            <w:r w:rsidRPr="00B10752">
              <w:rPr>
                <w:sz w:val="20"/>
                <w:szCs w:val="20"/>
                <w:lang w:val="fr-CA"/>
              </w:rPr>
              <w:t>. (39</w:t>
            </w:r>
            <w:r w:rsidR="00440B28" w:rsidRPr="00B10752">
              <w:rPr>
                <w:sz w:val="20"/>
                <w:szCs w:val="20"/>
                <w:lang w:val="fr-CA"/>
              </w:rPr>
              <w:t>61</w:t>
            </w:r>
            <w:r w:rsidRPr="00B10752">
              <w:rPr>
                <w:sz w:val="20"/>
                <w:szCs w:val="20"/>
                <w:lang w:val="fr-CA"/>
              </w:rPr>
              <w:t>4)</w:t>
            </w:r>
          </w:p>
          <w:p w:rsidR="00C4004C" w:rsidRPr="00B10752" w:rsidRDefault="00C4004C" w:rsidP="00C4004C">
            <w:pPr>
              <w:tabs>
                <w:tab w:val="left" w:pos="-1440"/>
                <w:tab w:val="left" w:pos="-720"/>
              </w:tabs>
              <w:rPr>
                <w:sz w:val="20"/>
                <w:szCs w:val="20"/>
                <w:lang w:val="fr-CA"/>
              </w:rPr>
            </w:pPr>
          </w:p>
          <w:p w:rsidR="00C4004C" w:rsidRPr="00B10752" w:rsidRDefault="00440B28" w:rsidP="00C4004C">
            <w:pPr>
              <w:tabs>
                <w:tab w:val="left" w:pos="-1440"/>
                <w:tab w:val="left" w:pos="-720"/>
              </w:tabs>
              <w:rPr>
                <w:b/>
                <w:sz w:val="20"/>
                <w:szCs w:val="20"/>
                <w:lang w:val="fr-CA"/>
              </w:rPr>
            </w:pPr>
            <w:r w:rsidRPr="00B10752">
              <w:rPr>
                <w:b/>
                <w:sz w:val="20"/>
                <w:szCs w:val="20"/>
                <w:lang w:val="fr-CA"/>
              </w:rPr>
              <w:t>Procureur général du Canada</w:t>
            </w:r>
            <w:r w:rsidR="00C4004C" w:rsidRPr="00B10752">
              <w:rPr>
                <w:b/>
                <w:sz w:val="20"/>
                <w:szCs w:val="20"/>
                <w:lang w:val="fr-CA"/>
              </w:rPr>
              <w:t xml:space="preserve"> (</w:t>
            </w:r>
            <w:r w:rsidRPr="00B10752">
              <w:rPr>
                <w:b/>
                <w:sz w:val="20"/>
                <w:szCs w:val="20"/>
                <w:lang w:val="fr-CA"/>
              </w:rPr>
              <w:t>Qc</w:t>
            </w:r>
            <w:r w:rsidR="00C4004C" w:rsidRPr="00B10752">
              <w:rPr>
                <w:b/>
                <w:sz w:val="20"/>
                <w:szCs w:val="20"/>
                <w:lang w:val="fr-CA"/>
              </w:rPr>
              <w:t>)</w:t>
            </w:r>
          </w:p>
          <w:p w:rsidR="00C4004C" w:rsidRPr="00B10752" w:rsidRDefault="00C4004C" w:rsidP="00C4004C">
            <w:pPr>
              <w:tabs>
                <w:tab w:val="left" w:pos="-1440"/>
                <w:tab w:val="left" w:pos="-720"/>
              </w:tabs>
              <w:rPr>
                <w:sz w:val="20"/>
                <w:szCs w:val="20"/>
                <w:lang w:val="fr-CA"/>
              </w:rPr>
            </w:pPr>
            <w:r w:rsidRPr="00B10752">
              <w:rPr>
                <w:sz w:val="20"/>
                <w:szCs w:val="20"/>
                <w:lang w:val="fr-CA"/>
              </w:rPr>
              <w:tab/>
            </w:r>
            <w:r w:rsidR="00440B28" w:rsidRPr="00B10752">
              <w:rPr>
                <w:sz w:val="20"/>
                <w:szCs w:val="20"/>
                <w:lang w:val="fr-CA"/>
              </w:rPr>
              <w:t>Bruneau, Liliane</w:t>
            </w:r>
          </w:p>
          <w:p w:rsidR="00C4004C" w:rsidRPr="00B10752" w:rsidRDefault="00C4004C" w:rsidP="00C4004C">
            <w:pPr>
              <w:tabs>
                <w:tab w:val="left" w:pos="-1440"/>
                <w:tab w:val="left" w:pos="-720"/>
              </w:tabs>
              <w:rPr>
                <w:sz w:val="20"/>
                <w:szCs w:val="20"/>
                <w:lang w:val="fr-CA"/>
              </w:rPr>
            </w:pPr>
            <w:r w:rsidRPr="00B10752">
              <w:rPr>
                <w:sz w:val="20"/>
                <w:szCs w:val="20"/>
                <w:lang w:val="fr-CA"/>
              </w:rPr>
              <w:tab/>
            </w:r>
            <w:r w:rsidR="00440B28" w:rsidRPr="00B10752">
              <w:rPr>
                <w:sz w:val="20"/>
                <w:szCs w:val="20"/>
                <w:lang w:val="fr-CA"/>
              </w:rPr>
              <w:t>Ministère de la Justice - Canada</w:t>
            </w:r>
          </w:p>
          <w:p w:rsidR="00C4004C" w:rsidRPr="00B10752" w:rsidRDefault="00C4004C" w:rsidP="00C4004C">
            <w:pPr>
              <w:tabs>
                <w:tab w:val="left" w:pos="-1440"/>
                <w:tab w:val="left" w:pos="-720"/>
              </w:tabs>
              <w:rPr>
                <w:sz w:val="20"/>
                <w:szCs w:val="20"/>
                <w:lang w:val="fr-CA"/>
              </w:rPr>
            </w:pPr>
          </w:p>
          <w:p w:rsidR="00C4004C" w:rsidRPr="00B10752" w:rsidRDefault="00C4004C" w:rsidP="00C4004C">
            <w:pPr>
              <w:rPr>
                <w:sz w:val="20"/>
                <w:szCs w:val="20"/>
                <w:lang w:val="fr-CA"/>
              </w:rPr>
            </w:pPr>
            <w:r w:rsidRPr="00B10752">
              <w:rPr>
                <w:sz w:val="20"/>
                <w:szCs w:val="20"/>
                <w:lang w:val="fr-CA"/>
              </w:rPr>
              <w:t>DATE</w:t>
            </w:r>
            <w:r w:rsidR="00440B28" w:rsidRPr="00B10752">
              <w:rPr>
                <w:sz w:val="20"/>
                <w:szCs w:val="20"/>
                <w:lang w:val="fr-CA"/>
              </w:rPr>
              <w:t xml:space="preserve"> DE PRODUCTION</w:t>
            </w:r>
            <w:r w:rsidRPr="00B10752">
              <w:rPr>
                <w:sz w:val="20"/>
                <w:szCs w:val="20"/>
                <w:lang w:val="fr-CA"/>
              </w:rPr>
              <w:t xml:space="preserve">: </w:t>
            </w:r>
            <w:r w:rsidR="00440B28" w:rsidRPr="00B10752">
              <w:rPr>
                <w:sz w:val="20"/>
                <w:szCs w:val="20"/>
                <w:lang w:val="fr-CA"/>
              </w:rPr>
              <w:t>le 28 avril</w:t>
            </w:r>
            <w:r w:rsidRPr="00B10752">
              <w:rPr>
                <w:sz w:val="20"/>
                <w:szCs w:val="20"/>
                <w:lang w:val="fr-CA"/>
              </w:rPr>
              <w:t xml:space="preserve"> 2021</w:t>
            </w:r>
          </w:p>
          <w:p w:rsidR="00C4004C" w:rsidRPr="00B10752" w:rsidRDefault="00C4004C" w:rsidP="00C4004C">
            <w:pPr>
              <w:rPr>
                <w:sz w:val="20"/>
                <w:szCs w:val="20"/>
                <w:lang w:val="fr-CA"/>
              </w:rPr>
            </w:pPr>
          </w:p>
          <w:p w:rsidR="00C4004C" w:rsidRPr="00B10752" w:rsidRDefault="00B10752" w:rsidP="00C4004C">
            <w:pPr>
              <w:rPr>
                <w:b/>
                <w:sz w:val="20"/>
                <w:szCs w:val="20"/>
                <w:lang w:val="en-US"/>
              </w:rPr>
            </w:pPr>
            <w:r w:rsidRPr="00B10752">
              <w:rPr>
                <w:sz w:val="20"/>
                <w:szCs w:val="20"/>
                <w:lang w:val="fr-CA"/>
              </w:rPr>
              <w:pict>
                <v:rect id="_x0000_i1031" style="width:108pt;height:1pt" o:hrpct="0" o:hrstd="t" o:hrnoshade="t" o:hr="t" fillcolor="black [3213]" stroked="f"/>
              </w:pict>
            </w:r>
          </w:p>
        </w:tc>
        <w:tc>
          <w:tcPr>
            <w:tcW w:w="1141" w:type="dxa"/>
            <w:shd w:val="clear" w:color="auto" w:fill="auto"/>
          </w:tcPr>
          <w:p w:rsidR="00C4004C" w:rsidRPr="00B10752" w:rsidRDefault="00C4004C" w:rsidP="00F138C1">
            <w:pPr>
              <w:jc w:val="center"/>
              <w:rPr>
                <w:sz w:val="20"/>
                <w:szCs w:val="20"/>
                <w:lang w:val="en-US"/>
              </w:rPr>
            </w:pPr>
          </w:p>
          <w:p w:rsidR="00C4004C" w:rsidRPr="00B10752" w:rsidRDefault="00C4004C" w:rsidP="00F138C1">
            <w:pPr>
              <w:jc w:val="center"/>
              <w:rPr>
                <w:sz w:val="20"/>
                <w:szCs w:val="20"/>
                <w:lang w:val="en-US"/>
              </w:rPr>
            </w:pPr>
          </w:p>
          <w:p w:rsidR="00C4004C" w:rsidRPr="00B10752" w:rsidRDefault="00C4004C" w:rsidP="00F138C1">
            <w:pPr>
              <w:jc w:val="center"/>
              <w:rPr>
                <w:sz w:val="20"/>
                <w:szCs w:val="20"/>
                <w:lang w:val="en-US"/>
              </w:rPr>
            </w:pPr>
          </w:p>
          <w:p w:rsidR="00C4004C" w:rsidRPr="00B10752" w:rsidRDefault="00C4004C" w:rsidP="00F138C1">
            <w:pPr>
              <w:jc w:val="center"/>
              <w:rPr>
                <w:sz w:val="20"/>
                <w:szCs w:val="20"/>
                <w:lang w:val="en-US"/>
              </w:rPr>
            </w:pPr>
          </w:p>
          <w:p w:rsidR="00C4004C" w:rsidRPr="00B10752" w:rsidRDefault="00C4004C" w:rsidP="00F138C1">
            <w:pPr>
              <w:jc w:val="center"/>
              <w:rPr>
                <w:sz w:val="20"/>
                <w:szCs w:val="20"/>
                <w:lang w:val="en-US"/>
              </w:rPr>
            </w:pPr>
          </w:p>
          <w:p w:rsidR="00C4004C" w:rsidRPr="00B10752" w:rsidRDefault="00C4004C" w:rsidP="00F138C1">
            <w:pPr>
              <w:jc w:val="center"/>
              <w:rPr>
                <w:sz w:val="20"/>
                <w:szCs w:val="20"/>
                <w:lang w:val="en-US"/>
              </w:rPr>
            </w:pPr>
          </w:p>
          <w:p w:rsidR="00C4004C" w:rsidRPr="00B10752" w:rsidRDefault="00C4004C" w:rsidP="00F138C1">
            <w:pPr>
              <w:jc w:val="center"/>
              <w:rPr>
                <w:sz w:val="20"/>
                <w:szCs w:val="20"/>
                <w:lang w:val="en-US"/>
              </w:rPr>
            </w:pPr>
          </w:p>
          <w:p w:rsidR="00C4004C" w:rsidRPr="00B10752" w:rsidRDefault="00C4004C" w:rsidP="00F138C1">
            <w:pPr>
              <w:jc w:val="center"/>
              <w:rPr>
                <w:sz w:val="20"/>
                <w:szCs w:val="20"/>
                <w:lang w:val="en-US"/>
              </w:rPr>
            </w:pPr>
          </w:p>
          <w:p w:rsidR="00C4004C" w:rsidRPr="00B10752" w:rsidRDefault="00C4004C" w:rsidP="00F138C1">
            <w:pPr>
              <w:jc w:val="center"/>
              <w:rPr>
                <w:sz w:val="20"/>
                <w:szCs w:val="20"/>
                <w:lang w:val="en-US"/>
              </w:rPr>
            </w:pPr>
          </w:p>
          <w:p w:rsidR="00C4004C" w:rsidRPr="00B10752" w:rsidRDefault="00C4004C" w:rsidP="00F138C1">
            <w:pPr>
              <w:jc w:val="center"/>
              <w:rPr>
                <w:sz w:val="20"/>
                <w:szCs w:val="20"/>
                <w:lang w:val="en-US"/>
              </w:rPr>
            </w:pPr>
          </w:p>
          <w:p w:rsidR="00C4004C" w:rsidRPr="00B10752" w:rsidRDefault="00C4004C" w:rsidP="00F138C1">
            <w:pPr>
              <w:jc w:val="center"/>
              <w:rPr>
                <w:sz w:val="20"/>
                <w:szCs w:val="20"/>
                <w:lang w:val="en-US"/>
              </w:rPr>
            </w:pPr>
          </w:p>
          <w:p w:rsidR="00C4004C" w:rsidRPr="00B10752" w:rsidRDefault="00C4004C" w:rsidP="00F138C1">
            <w:pPr>
              <w:jc w:val="center"/>
              <w:rPr>
                <w:sz w:val="20"/>
                <w:szCs w:val="20"/>
                <w:lang w:val="en-US"/>
              </w:rPr>
            </w:pPr>
          </w:p>
          <w:p w:rsidR="00C4004C" w:rsidRPr="00B10752" w:rsidRDefault="00C4004C" w:rsidP="00F138C1">
            <w:pPr>
              <w:jc w:val="center"/>
              <w:rPr>
                <w:sz w:val="20"/>
                <w:szCs w:val="20"/>
                <w:lang w:val="en-US"/>
              </w:rPr>
            </w:pPr>
          </w:p>
          <w:p w:rsidR="00C4004C" w:rsidRPr="00B10752" w:rsidRDefault="00C4004C" w:rsidP="00F138C1">
            <w:pPr>
              <w:jc w:val="center"/>
              <w:rPr>
                <w:sz w:val="20"/>
                <w:szCs w:val="20"/>
                <w:lang w:val="en-US"/>
              </w:rPr>
            </w:pPr>
          </w:p>
        </w:tc>
        <w:tc>
          <w:tcPr>
            <w:tcW w:w="4239" w:type="dxa"/>
            <w:shd w:val="clear" w:color="auto" w:fill="auto"/>
          </w:tcPr>
          <w:p w:rsidR="00C4004C" w:rsidRPr="00B10752" w:rsidRDefault="00440B28" w:rsidP="00C4004C">
            <w:pPr>
              <w:rPr>
                <w:sz w:val="20"/>
                <w:szCs w:val="20"/>
                <w:lang w:val="fr-CA"/>
              </w:rPr>
            </w:pPr>
            <w:r w:rsidRPr="00B10752">
              <w:rPr>
                <w:b/>
                <w:sz w:val="20"/>
                <w:szCs w:val="20"/>
                <w:lang w:val="fr-CA"/>
              </w:rPr>
              <w:t>Alexandre Bergevin</w:t>
            </w:r>
          </w:p>
          <w:p w:rsidR="00C4004C" w:rsidRPr="00B10752" w:rsidRDefault="00C4004C" w:rsidP="00C4004C">
            <w:pPr>
              <w:tabs>
                <w:tab w:val="left" w:pos="-1440"/>
                <w:tab w:val="left" w:pos="-720"/>
              </w:tabs>
              <w:rPr>
                <w:sz w:val="20"/>
                <w:szCs w:val="20"/>
                <w:lang w:val="fr-CA"/>
              </w:rPr>
            </w:pPr>
            <w:r w:rsidRPr="00B10752">
              <w:rPr>
                <w:sz w:val="20"/>
                <w:szCs w:val="20"/>
                <w:lang w:val="fr-CA"/>
              </w:rPr>
              <w:tab/>
            </w:r>
            <w:r w:rsidR="00440B28" w:rsidRPr="00B10752">
              <w:rPr>
                <w:sz w:val="20"/>
                <w:szCs w:val="20"/>
                <w:lang w:val="fr-CA"/>
              </w:rPr>
              <w:t>Bellemare, Daniel Martin</w:t>
            </w:r>
          </w:p>
          <w:p w:rsidR="00C4004C" w:rsidRPr="00B10752" w:rsidRDefault="00C4004C" w:rsidP="00C4004C">
            <w:pPr>
              <w:tabs>
                <w:tab w:val="left" w:pos="-1440"/>
                <w:tab w:val="left" w:pos="-720"/>
              </w:tabs>
              <w:rPr>
                <w:sz w:val="20"/>
                <w:szCs w:val="20"/>
                <w:lang w:val="fr-CA"/>
              </w:rPr>
            </w:pPr>
          </w:p>
          <w:p w:rsidR="00C4004C" w:rsidRPr="00B10752" w:rsidRDefault="00C4004C" w:rsidP="00C4004C">
            <w:pPr>
              <w:tabs>
                <w:tab w:val="left" w:pos="-1440"/>
                <w:tab w:val="left" w:pos="-720"/>
              </w:tabs>
              <w:rPr>
                <w:sz w:val="20"/>
                <w:szCs w:val="20"/>
                <w:lang w:val="fr-CA"/>
              </w:rPr>
            </w:pPr>
            <w:r w:rsidRPr="00B10752">
              <w:rPr>
                <w:sz w:val="20"/>
                <w:szCs w:val="20"/>
                <w:lang w:val="fr-CA"/>
              </w:rPr>
              <w:tab/>
            </w:r>
            <w:r w:rsidR="00440B28" w:rsidRPr="00B10752">
              <w:rPr>
                <w:sz w:val="20"/>
                <w:szCs w:val="20"/>
                <w:lang w:val="fr-CA"/>
              </w:rPr>
              <w:t>c</w:t>
            </w:r>
            <w:r w:rsidRPr="00B10752">
              <w:rPr>
                <w:sz w:val="20"/>
                <w:szCs w:val="20"/>
                <w:lang w:val="fr-CA"/>
              </w:rPr>
              <w:t>. (39</w:t>
            </w:r>
            <w:r w:rsidR="00440B28" w:rsidRPr="00B10752">
              <w:rPr>
                <w:sz w:val="20"/>
                <w:szCs w:val="20"/>
                <w:lang w:val="fr-CA"/>
              </w:rPr>
              <w:t>6</w:t>
            </w:r>
            <w:r w:rsidRPr="00B10752">
              <w:rPr>
                <w:sz w:val="20"/>
                <w:szCs w:val="20"/>
                <w:lang w:val="fr-CA"/>
              </w:rPr>
              <w:t>1</w:t>
            </w:r>
            <w:r w:rsidR="00440B28" w:rsidRPr="00B10752">
              <w:rPr>
                <w:sz w:val="20"/>
                <w:szCs w:val="20"/>
                <w:lang w:val="fr-CA"/>
              </w:rPr>
              <w:t>5</w:t>
            </w:r>
            <w:r w:rsidRPr="00B10752">
              <w:rPr>
                <w:sz w:val="20"/>
                <w:szCs w:val="20"/>
                <w:lang w:val="fr-CA"/>
              </w:rPr>
              <w:t>)</w:t>
            </w:r>
          </w:p>
          <w:p w:rsidR="00C4004C" w:rsidRPr="00B10752" w:rsidRDefault="00C4004C" w:rsidP="00C4004C">
            <w:pPr>
              <w:tabs>
                <w:tab w:val="left" w:pos="-1440"/>
                <w:tab w:val="left" w:pos="-720"/>
              </w:tabs>
              <w:rPr>
                <w:sz w:val="20"/>
                <w:szCs w:val="20"/>
                <w:lang w:val="fr-CA"/>
              </w:rPr>
            </w:pPr>
          </w:p>
          <w:p w:rsidR="00C4004C" w:rsidRPr="00B10752" w:rsidRDefault="00440B28" w:rsidP="00C4004C">
            <w:pPr>
              <w:tabs>
                <w:tab w:val="left" w:pos="-1440"/>
                <w:tab w:val="left" w:pos="-720"/>
              </w:tabs>
              <w:rPr>
                <w:b/>
                <w:sz w:val="20"/>
                <w:szCs w:val="20"/>
                <w:lang w:val="fr-CA"/>
              </w:rPr>
            </w:pPr>
            <w:r w:rsidRPr="00B10752">
              <w:rPr>
                <w:b/>
                <w:sz w:val="20"/>
                <w:szCs w:val="20"/>
                <w:lang w:val="fr-CA"/>
              </w:rPr>
              <w:t>Sa Majesté la</w:t>
            </w:r>
            <w:r w:rsidR="00C4004C" w:rsidRPr="00B10752">
              <w:rPr>
                <w:b/>
                <w:sz w:val="20"/>
                <w:szCs w:val="20"/>
                <w:lang w:val="fr-CA"/>
              </w:rPr>
              <w:t xml:space="preserve"> </w:t>
            </w:r>
            <w:r w:rsidRPr="00B10752">
              <w:rPr>
                <w:b/>
                <w:sz w:val="20"/>
                <w:szCs w:val="20"/>
                <w:lang w:val="fr-CA"/>
              </w:rPr>
              <w:t>Reine</w:t>
            </w:r>
            <w:r w:rsidR="00C4004C" w:rsidRPr="00B10752">
              <w:rPr>
                <w:b/>
                <w:sz w:val="20"/>
                <w:szCs w:val="20"/>
                <w:lang w:val="fr-CA"/>
              </w:rPr>
              <w:t xml:space="preserve"> (</w:t>
            </w:r>
            <w:r w:rsidRPr="00B10752">
              <w:rPr>
                <w:b/>
                <w:sz w:val="20"/>
                <w:szCs w:val="20"/>
                <w:lang w:val="fr-CA"/>
              </w:rPr>
              <w:t>C.F.</w:t>
            </w:r>
            <w:r w:rsidR="00C4004C" w:rsidRPr="00B10752">
              <w:rPr>
                <w:b/>
                <w:sz w:val="20"/>
                <w:szCs w:val="20"/>
                <w:lang w:val="fr-CA"/>
              </w:rPr>
              <w:t>)</w:t>
            </w:r>
          </w:p>
          <w:p w:rsidR="00C4004C" w:rsidRPr="00B10752" w:rsidRDefault="00C4004C" w:rsidP="00C4004C">
            <w:pPr>
              <w:tabs>
                <w:tab w:val="left" w:pos="-1440"/>
                <w:tab w:val="left" w:pos="-720"/>
              </w:tabs>
              <w:rPr>
                <w:sz w:val="20"/>
                <w:szCs w:val="20"/>
                <w:lang w:val="fr-CA"/>
              </w:rPr>
            </w:pPr>
            <w:r w:rsidRPr="00B10752">
              <w:rPr>
                <w:sz w:val="20"/>
                <w:szCs w:val="20"/>
                <w:lang w:val="fr-CA"/>
              </w:rPr>
              <w:tab/>
            </w:r>
            <w:r w:rsidR="00440B28" w:rsidRPr="00B10752">
              <w:rPr>
                <w:sz w:val="20"/>
                <w:szCs w:val="20"/>
                <w:lang w:val="fr-CA"/>
              </w:rPr>
              <w:t>Di Dodo, Bruno</w:t>
            </w:r>
          </w:p>
          <w:p w:rsidR="00C4004C" w:rsidRPr="00B10752" w:rsidRDefault="00C4004C" w:rsidP="00C4004C">
            <w:pPr>
              <w:tabs>
                <w:tab w:val="left" w:pos="-1440"/>
                <w:tab w:val="left" w:pos="-720"/>
              </w:tabs>
              <w:rPr>
                <w:sz w:val="20"/>
                <w:szCs w:val="20"/>
                <w:lang w:val="fr-CA"/>
              </w:rPr>
            </w:pPr>
            <w:r w:rsidRPr="00B10752">
              <w:rPr>
                <w:sz w:val="20"/>
                <w:szCs w:val="20"/>
                <w:lang w:val="fr-CA"/>
              </w:rPr>
              <w:tab/>
            </w:r>
            <w:r w:rsidR="00440B28" w:rsidRPr="00B10752">
              <w:rPr>
                <w:sz w:val="20"/>
                <w:szCs w:val="20"/>
                <w:lang w:val="fr-CA"/>
              </w:rPr>
              <w:t>Larivière, Meunier</w:t>
            </w:r>
          </w:p>
          <w:p w:rsidR="00C4004C" w:rsidRPr="00B10752" w:rsidRDefault="00C4004C" w:rsidP="00C4004C">
            <w:pPr>
              <w:tabs>
                <w:tab w:val="left" w:pos="-1440"/>
                <w:tab w:val="left" w:pos="-720"/>
              </w:tabs>
              <w:rPr>
                <w:sz w:val="20"/>
                <w:szCs w:val="20"/>
                <w:lang w:val="fr-CA"/>
              </w:rPr>
            </w:pPr>
          </w:p>
          <w:p w:rsidR="00C4004C" w:rsidRPr="00B10752" w:rsidRDefault="00440B28" w:rsidP="00C4004C">
            <w:pPr>
              <w:rPr>
                <w:sz w:val="20"/>
                <w:szCs w:val="20"/>
                <w:lang w:val="fr-CA"/>
              </w:rPr>
            </w:pPr>
            <w:r w:rsidRPr="00B10752">
              <w:rPr>
                <w:sz w:val="20"/>
                <w:szCs w:val="20"/>
                <w:lang w:val="fr-CA"/>
              </w:rPr>
              <w:t>DATE DE PRODUCTION: le 29 avril 2021</w:t>
            </w:r>
          </w:p>
          <w:p w:rsidR="00C4004C" w:rsidRPr="00B10752" w:rsidRDefault="00C4004C" w:rsidP="00C4004C">
            <w:pPr>
              <w:rPr>
                <w:sz w:val="20"/>
                <w:szCs w:val="20"/>
                <w:lang w:val="fr-CA"/>
              </w:rPr>
            </w:pPr>
          </w:p>
          <w:p w:rsidR="00C4004C" w:rsidRPr="00B10752" w:rsidRDefault="00B10752" w:rsidP="00C4004C">
            <w:pPr>
              <w:rPr>
                <w:b/>
                <w:sz w:val="20"/>
                <w:szCs w:val="20"/>
                <w:lang w:val="fr-CA"/>
              </w:rPr>
            </w:pPr>
            <w:r w:rsidRPr="00B10752">
              <w:rPr>
                <w:sz w:val="20"/>
                <w:szCs w:val="20"/>
                <w:lang w:val="fr-CA"/>
              </w:rPr>
              <w:pict>
                <v:rect id="_x0000_i1032" style="width:108pt;height:1pt" o:hrpct="0" o:hrstd="t" o:hrnoshade="t" o:hr="t" fillcolor="black [3213]" stroked="f"/>
              </w:pict>
            </w:r>
          </w:p>
        </w:tc>
      </w:tr>
    </w:tbl>
    <w:p w:rsidR="00F138C1" w:rsidRPr="00B10752" w:rsidRDefault="00F138C1" w:rsidP="00F138C1">
      <w:pPr>
        <w:tabs>
          <w:tab w:val="right" w:pos="9360"/>
        </w:tabs>
        <w:rPr>
          <w:sz w:val="20"/>
          <w:szCs w:val="20"/>
          <w:lang w:val="fr-CA"/>
        </w:rPr>
      </w:pPr>
    </w:p>
    <w:p w:rsidR="00F138C1" w:rsidRPr="00B10752" w:rsidRDefault="00F138C1" w:rsidP="00F138C1">
      <w:pPr>
        <w:tabs>
          <w:tab w:val="right" w:pos="9360"/>
        </w:tabs>
        <w:rPr>
          <w:sz w:val="20"/>
          <w:szCs w:val="20"/>
          <w:lang w:val="fr-CA"/>
        </w:rPr>
      </w:pPr>
    </w:p>
    <w:p w:rsidR="00C01FCB" w:rsidRPr="00B10752" w:rsidRDefault="00C01FCB" w:rsidP="0095096B">
      <w:pPr>
        <w:tabs>
          <w:tab w:val="right" w:pos="9360"/>
        </w:tabs>
        <w:rPr>
          <w:sz w:val="20"/>
          <w:szCs w:val="20"/>
          <w:lang w:val="fr-CA"/>
        </w:rPr>
      </w:pPr>
    </w:p>
    <w:p w:rsidR="00242AEE" w:rsidRPr="00B10752" w:rsidRDefault="00242AEE" w:rsidP="0095096B">
      <w:pPr>
        <w:tabs>
          <w:tab w:val="right" w:pos="9360"/>
        </w:tabs>
        <w:rPr>
          <w:sz w:val="20"/>
          <w:szCs w:val="20"/>
          <w:lang w:val="fr-CA"/>
        </w:rPr>
        <w:sectPr w:rsidR="00242AEE" w:rsidRPr="00B10752"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B10752" w:rsidRDefault="00DD0BDC" w:rsidP="00567602">
      <w:pPr>
        <w:pStyle w:val="Header1StyleE"/>
        <w:pBdr>
          <w:bottom w:val="single" w:sz="12" w:space="1" w:color="auto"/>
        </w:pBdr>
        <w:rPr>
          <w:lang w:val="fr-CA"/>
        </w:rPr>
      </w:pPr>
      <w:bookmarkStart w:id="1" w:name="QuickMark_1"/>
      <w:bookmarkStart w:id="2" w:name="_Toc71210436"/>
      <w:bookmarkEnd w:id="1"/>
      <w:r w:rsidRPr="00B10752">
        <w:rPr>
          <w:lang w:val="fr-CA"/>
        </w:rPr>
        <w:lastRenderedPageBreak/>
        <w:t>Judgments on applications</w:t>
      </w:r>
      <w:r w:rsidR="000C1D9D" w:rsidRPr="00B10752">
        <w:rPr>
          <w:lang w:val="fr-CA"/>
        </w:rPr>
        <w:t xml:space="preserve"> </w:t>
      </w:r>
      <w:r w:rsidRPr="00B10752">
        <w:rPr>
          <w:lang w:val="fr-CA"/>
        </w:rPr>
        <w:t>for leave</w:t>
      </w:r>
      <w:r w:rsidR="00693C38" w:rsidRPr="00B10752">
        <w:rPr>
          <w:noProof/>
          <w:sz w:val="20"/>
          <w:lang w:val="fr-CA"/>
        </w:rPr>
        <w:t xml:space="preserve"> </w:t>
      </w:r>
      <w:r w:rsidR="00271E1E" w:rsidRPr="00B10752">
        <w:rPr>
          <w:noProof/>
          <w:sz w:val="20"/>
          <w:lang w:val="fr-CA"/>
        </w:rPr>
        <w:t xml:space="preserve">/ </w:t>
      </w:r>
      <w:r w:rsidR="00693C38" w:rsidRPr="00B10752">
        <w:rPr>
          <w:noProof/>
          <w:sz w:val="20"/>
          <w:lang w:val="fr-CA"/>
        </w:rPr>
        <w:br/>
      </w:r>
      <w:r w:rsidRPr="00B10752">
        <w:rPr>
          <w:lang w:val="fr-CA"/>
        </w:rPr>
        <w:t>Jugements rendus sur les demandes d’autorisation</w:t>
      </w:r>
      <w:bookmarkEnd w:id="2"/>
    </w:p>
    <w:p w:rsidR="00FB1DB6" w:rsidRPr="00B10752" w:rsidRDefault="00FB1DB6" w:rsidP="00693C38">
      <w:pPr>
        <w:rPr>
          <w:sz w:val="20"/>
          <w:szCs w:val="20"/>
          <w:lang w:val="fr-CA"/>
        </w:rPr>
      </w:pPr>
    </w:p>
    <w:p w:rsidR="00F16063" w:rsidRPr="00B10752" w:rsidRDefault="00223200" w:rsidP="00F16063">
      <w:pPr>
        <w:rPr>
          <w:b/>
          <w:sz w:val="20"/>
          <w:szCs w:val="20"/>
        </w:rPr>
      </w:pPr>
      <w:r w:rsidRPr="00B10752">
        <w:rPr>
          <w:b/>
          <w:sz w:val="20"/>
          <w:szCs w:val="20"/>
          <w:lang w:val="fr-CA"/>
        </w:rPr>
        <w:t>MAY</w:t>
      </w:r>
      <w:r w:rsidR="00F16063" w:rsidRPr="00B10752">
        <w:rPr>
          <w:b/>
          <w:sz w:val="20"/>
          <w:szCs w:val="20"/>
        </w:rPr>
        <w:t xml:space="preserve"> </w:t>
      </w:r>
      <w:r w:rsidRPr="00B10752">
        <w:rPr>
          <w:b/>
          <w:sz w:val="20"/>
          <w:szCs w:val="20"/>
        </w:rPr>
        <w:t>6</w:t>
      </w:r>
      <w:r w:rsidR="00F16063" w:rsidRPr="00B10752">
        <w:rPr>
          <w:b/>
          <w:sz w:val="20"/>
          <w:szCs w:val="20"/>
        </w:rPr>
        <w:t xml:space="preserve">, </w:t>
      </w:r>
      <w:r w:rsidR="0034657E" w:rsidRPr="00B10752">
        <w:rPr>
          <w:b/>
          <w:sz w:val="20"/>
          <w:szCs w:val="20"/>
        </w:rPr>
        <w:t>20</w:t>
      </w:r>
      <w:r w:rsidR="005967EF" w:rsidRPr="00B10752">
        <w:rPr>
          <w:b/>
          <w:sz w:val="20"/>
          <w:szCs w:val="20"/>
        </w:rPr>
        <w:t>2</w:t>
      </w:r>
      <w:r w:rsidR="009B36BA" w:rsidRPr="00B10752">
        <w:rPr>
          <w:b/>
          <w:sz w:val="20"/>
          <w:szCs w:val="20"/>
        </w:rPr>
        <w:t>1</w:t>
      </w:r>
      <w:r w:rsidR="00F16063" w:rsidRPr="00B10752">
        <w:rPr>
          <w:b/>
          <w:sz w:val="20"/>
          <w:szCs w:val="20"/>
        </w:rPr>
        <w:t xml:space="preserve"> / LE </w:t>
      </w:r>
      <w:r w:rsidRPr="00B10752">
        <w:rPr>
          <w:b/>
          <w:sz w:val="20"/>
          <w:szCs w:val="20"/>
        </w:rPr>
        <w:t>6</w:t>
      </w:r>
      <w:r w:rsidR="00F16063" w:rsidRPr="00B10752">
        <w:rPr>
          <w:b/>
          <w:sz w:val="20"/>
          <w:szCs w:val="20"/>
        </w:rPr>
        <w:t xml:space="preserve"> </w:t>
      </w:r>
      <w:r w:rsidRPr="00B10752">
        <w:rPr>
          <w:b/>
          <w:sz w:val="20"/>
          <w:szCs w:val="20"/>
        </w:rPr>
        <w:t>MAI</w:t>
      </w:r>
      <w:r w:rsidR="00F16063" w:rsidRPr="00B10752">
        <w:rPr>
          <w:b/>
          <w:sz w:val="20"/>
          <w:szCs w:val="20"/>
        </w:rPr>
        <w:t xml:space="preserve"> </w:t>
      </w:r>
      <w:r w:rsidR="0034657E" w:rsidRPr="00B10752">
        <w:rPr>
          <w:b/>
          <w:sz w:val="20"/>
          <w:szCs w:val="20"/>
        </w:rPr>
        <w:t>20</w:t>
      </w:r>
      <w:r w:rsidR="005967EF" w:rsidRPr="00B10752">
        <w:rPr>
          <w:b/>
          <w:sz w:val="20"/>
          <w:szCs w:val="20"/>
        </w:rPr>
        <w:t>2</w:t>
      </w:r>
      <w:r w:rsidR="009B36BA" w:rsidRPr="00B10752">
        <w:rPr>
          <w:b/>
          <w:sz w:val="20"/>
          <w:szCs w:val="20"/>
        </w:rPr>
        <w:t>1</w:t>
      </w:r>
    </w:p>
    <w:p w:rsidR="00E70281" w:rsidRPr="00B10752" w:rsidRDefault="00E70281" w:rsidP="00E70281">
      <w:pPr>
        <w:widowControl w:val="0"/>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E70281" w:rsidRPr="00B10752" w:rsidTr="0074582E">
        <w:trPr>
          <w:gridAfter w:val="1"/>
          <w:wAfter w:w="48" w:type="pct"/>
        </w:trPr>
        <w:tc>
          <w:tcPr>
            <w:tcW w:w="537" w:type="pct"/>
          </w:tcPr>
          <w:p w:rsidR="00E70281" w:rsidRPr="00B10752" w:rsidRDefault="00E70281" w:rsidP="0074582E">
            <w:pPr>
              <w:jc w:val="both"/>
              <w:rPr>
                <w:sz w:val="20"/>
              </w:rPr>
            </w:pPr>
            <w:r w:rsidRPr="00B10752">
              <w:rPr>
                <w:rStyle w:val="SCCFileNumberChar"/>
                <w:sz w:val="20"/>
                <w:szCs w:val="20"/>
              </w:rPr>
              <w:t>39494</w:t>
            </w:r>
          </w:p>
        </w:tc>
        <w:tc>
          <w:tcPr>
            <w:tcW w:w="4415" w:type="pct"/>
            <w:gridSpan w:val="3"/>
          </w:tcPr>
          <w:p w:rsidR="00E70281" w:rsidRPr="00B10752" w:rsidRDefault="00E70281" w:rsidP="0074582E">
            <w:pPr>
              <w:pStyle w:val="SCCLsocParty"/>
              <w:jc w:val="both"/>
              <w:rPr>
                <w:b/>
                <w:sz w:val="20"/>
                <w:szCs w:val="20"/>
                <w:lang w:val="en-CA"/>
              </w:rPr>
            </w:pPr>
            <w:r w:rsidRPr="00B10752">
              <w:rPr>
                <w:b/>
                <w:sz w:val="20"/>
                <w:szCs w:val="20"/>
                <w:lang w:val="en-CA"/>
              </w:rPr>
              <w:t>Louis-Pierre Lafortune v. Her Majesty the Queen</w:t>
            </w:r>
          </w:p>
          <w:p w:rsidR="00E70281" w:rsidRPr="00B10752" w:rsidRDefault="00E70281" w:rsidP="0074582E">
            <w:pPr>
              <w:jc w:val="both"/>
              <w:rPr>
                <w:sz w:val="20"/>
              </w:rPr>
            </w:pPr>
            <w:r w:rsidRPr="00B10752">
              <w:rPr>
                <w:sz w:val="20"/>
              </w:rPr>
              <w:t>(Que.) (Criminal) (By Leave)</w:t>
            </w:r>
          </w:p>
        </w:tc>
      </w:tr>
      <w:tr w:rsidR="00E70281" w:rsidRPr="00B10752" w:rsidTr="0074582E">
        <w:trPr>
          <w:gridAfter w:val="1"/>
          <w:wAfter w:w="48" w:type="pct"/>
        </w:trPr>
        <w:tc>
          <w:tcPr>
            <w:tcW w:w="4952" w:type="pct"/>
            <w:gridSpan w:val="4"/>
          </w:tcPr>
          <w:p w:rsidR="00E108DC" w:rsidRPr="00B10752" w:rsidRDefault="00E108DC" w:rsidP="00E108DC">
            <w:pPr>
              <w:jc w:val="both"/>
              <w:rPr>
                <w:sz w:val="20"/>
                <w:szCs w:val="20"/>
              </w:rPr>
            </w:pPr>
            <w:r w:rsidRPr="00B10752">
              <w:rPr>
                <w:sz w:val="20"/>
                <w:szCs w:val="20"/>
              </w:rPr>
              <w:t>The application for leave to appeal from the judgment of the</w:t>
            </w:r>
            <w:bookmarkStart w:id="3" w:name="BM_1_"/>
            <w:bookmarkEnd w:id="3"/>
            <w:r w:rsidRPr="00B10752">
              <w:rPr>
                <w:sz w:val="20"/>
                <w:szCs w:val="20"/>
              </w:rPr>
              <w:t xml:space="preserve"> </w:t>
            </w:r>
            <w:r w:rsidRPr="00B10752">
              <w:rPr>
                <w:sz w:val="20"/>
                <w:szCs w:val="20"/>
                <w:lang w:val="en-US"/>
              </w:rPr>
              <w:t>Court of Appeal of Quebec (Montréal)</w:t>
            </w:r>
            <w:r w:rsidRPr="00B10752">
              <w:rPr>
                <w:sz w:val="20"/>
                <w:szCs w:val="20"/>
              </w:rPr>
              <w:t xml:space="preserve">, Number </w:t>
            </w:r>
            <w:r w:rsidRPr="00B10752">
              <w:rPr>
                <w:sz w:val="20"/>
                <w:szCs w:val="20"/>
                <w:lang w:val="en-US"/>
              </w:rPr>
              <w:t xml:space="preserve">500-10-006197-162, 2020 QCCA 1378, </w:t>
            </w:r>
            <w:r w:rsidRPr="00B10752">
              <w:rPr>
                <w:sz w:val="20"/>
                <w:szCs w:val="20"/>
              </w:rPr>
              <w:t xml:space="preserve">dated </w:t>
            </w:r>
            <w:r w:rsidRPr="00B10752">
              <w:rPr>
                <w:sz w:val="20"/>
                <w:szCs w:val="20"/>
                <w:lang w:val="en-US"/>
              </w:rPr>
              <w:t>October 26, 2020,</w:t>
            </w:r>
            <w:r w:rsidRPr="00B10752">
              <w:rPr>
                <w:sz w:val="20"/>
                <w:szCs w:val="20"/>
              </w:rPr>
              <w:t xml:space="preserve"> is dismissed. </w:t>
            </w:r>
          </w:p>
          <w:p w:rsidR="00E70281" w:rsidRPr="00B10752" w:rsidRDefault="00E70281" w:rsidP="0074582E">
            <w:pPr>
              <w:jc w:val="both"/>
              <w:rPr>
                <w:sz w:val="20"/>
              </w:rPr>
            </w:pPr>
          </w:p>
        </w:tc>
      </w:tr>
      <w:tr w:rsidR="00E70281" w:rsidRPr="00B10752" w:rsidTr="0074582E">
        <w:trPr>
          <w:gridAfter w:val="1"/>
          <w:wAfter w:w="48" w:type="pct"/>
        </w:trPr>
        <w:tc>
          <w:tcPr>
            <w:tcW w:w="4952" w:type="pct"/>
            <w:gridSpan w:val="4"/>
          </w:tcPr>
          <w:p w:rsidR="00E70281" w:rsidRPr="00B10752" w:rsidRDefault="00E70281" w:rsidP="0074582E">
            <w:pPr>
              <w:jc w:val="both"/>
              <w:rPr>
                <w:sz w:val="20"/>
              </w:rPr>
            </w:pPr>
            <w:r w:rsidRPr="00B10752">
              <w:rPr>
                <w:sz w:val="20"/>
              </w:rPr>
              <w:t xml:space="preserve">Criminal law — Conspiracy — Instruction to jury — Whether duty remains to give jury limiting instruction to counter effect of evidence of discreditable conduct, despite this Court’s decision in </w:t>
            </w:r>
            <w:r w:rsidRPr="00B10752">
              <w:rPr>
                <w:i/>
                <w:sz w:val="20"/>
              </w:rPr>
              <w:t>R. v. Calnen</w:t>
            </w:r>
            <w:r w:rsidRPr="00B10752">
              <w:rPr>
                <w:sz w:val="20"/>
              </w:rPr>
              <w:t>, [2019] 1 S.C.R. 301, except when there is express waiver by accused — Circumstances in which trial judge must caution jury with regard to count of general conspiracy when accused cannot be connected to any of sub</w:t>
            </w:r>
            <w:r w:rsidRPr="00B10752">
              <w:rPr>
                <w:sz w:val="20"/>
              </w:rPr>
              <w:noBreakHyphen/>
              <w:t xml:space="preserve">conspiracies proved by prosecution — Evidence that must be considered at second stage of </w:t>
            </w:r>
            <w:r w:rsidRPr="00B10752">
              <w:rPr>
                <w:i/>
                <w:sz w:val="20"/>
              </w:rPr>
              <w:t>R. v. Carter</w:t>
            </w:r>
            <w:r w:rsidRPr="00B10752">
              <w:rPr>
                <w:sz w:val="20"/>
              </w:rPr>
              <w:t>, [1982] 1 S.C.R. 938, to find probable participation by accused in conspiracy.</w:t>
            </w:r>
          </w:p>
          <w:p w:rsidR="00E70281" w:rsidRPr="00B10752" w:rsidRDefault="00E70281" w:rsidP="0074582E">
            <w:pPr>
              <w:jc w:val="both"/>
              <w:rPr>
                <w:sz w:val="20"/>
              </w:rPr>
            </w:pPr>
          </w:p>
        </w:tc>
      </w:tr>
      <w:tr w:rsidR="00E70281" w:rsidRPr="00B10752" w:rsidTr="0074582E">
        <w:trPr>
          <w:gridAfter w:val="1"/>
          <w:wAfter w:w="48" w:type="pct"/>
        </w:trPr>
        <w:tc>
          <w:tcPr>
            <w:tcW w:w="4952" w:type="pct"/>
            <w:gridSpan w:val="4"/>
          </w:tcPr>
          <w:p w:rsidR="00E70281" w:rsidRPr="00B10752" w:rsidRDefault="00E70281" w:rsidP="0074582E">
            <w:pPr>
              <w:jc w:val="both"/>
              <w:rPr>
                <w:sz w:val="20"/>
              </w:rPr>
            </w:pPr>
            <w:r w:rsidRPr="00B10752">
              <w:rPr>
                <w:sz w:val="20"/>
              </w:rPr>
              <w:t>The applicant was found guilty by a jury of conspiracy to launder proceeds of crime (s. 465(1)(c) Cr. C.). The applicant and the prosecutor appealed the trial judge’s decision granting a motion for a directed verdict of acquittal in part. On appeal, the applicant essentially argued that his motion for a directed verdict of acquittal should have been granted on all the counts that concerned him. In addition, he argued mainly that the jury’s verdict was unreasonable. The prosecutor, on the other hand, took the view that the motion for a directed verdict of acquittal should not have been granted with respect to the applicant and that the counts in the indictment that concerned him should have been put to the jury. The Court of Appeal dismissed the appeal from the applicant’s guilty verdict, the applicant’s motion for a stay of proceedings and the prosecutor’s appeal.</w:t>
            </w:r>
          </w:p>
          <w:p w:rsidR="00E70281" w:rsidRPr="00B10752" w:rsidRDefault="00E70281" w:rsidP="0074582E">
            <w:pPr>
              <w:jc w:val="both"/>
              <w:rPr>
                <w:sz w:val="20"/>
              </w:rPr>
            </w:pPr>
          </w:p>
        </w:tc>
      </w:tr>
      <w:tr w:rsidR="00E70281" w:rsidRPr="00B10752" w:rsidTr="0074582E">
        <w:tblPrEx>
          <w:tblCellMar>
            <w:bottom w:w="0" w:type="dxa"/>
          </w:tblCellMar>
        </w:tblPrEx>
        <w:tc>
          <w:tcPr>
            <w:tcW w:w="2367" w:type="pct"/>
            <w:gridSpan w:val="2"/>
          </w:tcPr>
          <w:p w:rsidR="00E70281" w:rsidRPr="00B10752" w:rsidRDefault="00E70281" w:rsidP="0074582E">
            <w:pPr>
              <w:jc w:val="both"/>
              <w:rPr>
                <w:sz w:val="20"/>
              </w:rPr>
            </w:pPr>
            <w:r w:rsidRPr="00B10752">
              <w:rPr>
                <w:sz w:val="20"/>
              </w:rPr>
              <w:t>July 1, 2016</w:t>
            </w:r>
          </w:p>
          <w:p w:rsidR="00E70281" w:rsidRPr="00B10752" w:rsidRDefault="00E70281" w:rsidP="0074582E">
            <w:pPr>
              <w:jc w:val="both"/>
              <w:rPr>
                <w:sz w:val="20"/>
              </w:rPr>
            </w:pPr>
            <w:r w:rsidRPr="00B10752">
              <w:rPr>
                <w:sz w:val="20"/>
              </w:rPr>
              <w:t>Quebec Superior Court</w:t>
            </w:r>
          </w:p>
          <w:p w:rsidR="00E70281" w:rsidRPr="00B10752" w:rsidRDefault="00E70281" w:rsidP="0074582E">
            <w:pPr>
              <w:jc w:val="both"/>
              <w:rPr>
                <w:sz w:val="20"/>
              </w:rPr>
            </w:pPr>
            <w:r w:rsidRPr="00B10752">
              <w:rPr>
                <w:sz w:val="20"/>
              </w:rPr>
              <w:t>(St</w:t>
            </w:r>
            <w:r w:rsidRPr="00B10752">
              <w:rPr>
                <w:sz w:val="20"/>
              </w:rPr>
              <w:noBreakHyphen/>
              <w:t>Gelais J.)</w:t>
            </w:r>
          </w:p>
          <w:p w:rsidR="00E70281" w:rsidRPr="00B10752" w:rsidRDefault="00E70281" w:rsidP="0074582E">
            <w:pPr>
              <w:jc w:val="both"/>
              <w:rPr>
                <w:sz w:val="20"/>
              </w:rPr>
            </w:pPr>
            <w:r w:rsidRPr="00B10752">
              <w:rPr>
                <w:sz w:val="20"/>
              </w:rPr>
              <w:t>Unreported</w:t>
            </w:r>
          </w:p>
          <w:p w:rsidR="00E70281" w:rsidRPr="00B10752" w:rsidRDefault="00E70281" w:rsidP="0074582E">
            <w:pPr>
              <w:jc w:val="both"/>
              <w:rPr>
                <w:sz w:val="20"/>
              </w:rPr>
            </w:pPr>
          </w:p>
        </w:tc>
        <w:tc>
          <w:tcPr>
            <w:tcW w:w="267" w:type="pct"/>
          </w:tcPr>
          <w:p w:rsidR="00E70281" w:rsidRPr="00B10752" w:rsidRDefault="00E70281" w:rsidP="0074582E">
            <w:pPr>
              <w:jc w:val="both"/>
              <w:rPr>
                <w:sz w:val="20"/>
              </w:rPr>
            </w:pPr>
          </w:p>
        </w:tc>
        <w:tc>
          <w:tcPr>
            <w:tcW w:w="2366" w:type="pct"/>
            <w:gridSpan w:val="2"/>
          </w:tcPr>
          <w:p w:rsidR="00E70281" w:rsidRPr="00B10752" w:rsidRDefault="00E70281" w:rsidP="0074582E">
            <w:pPr>
              <w:jc w:val="both"/>
              <w:rPr>
                <w:sz w:val="20"/>
              </w:rPr>
            </w:pPr>
            <w:r w:rsidRPr="00B10752">
              <w:rPr>
                <w:sz w:val="20"/>
              </w:rPr>
              <w:t>Guilty verdict handed down by jury</w:t>
            </w:r>
          </w:p>
        </w:tc>
      </w:tr>
      <w:tr w:rsidR="00E70281" w:rsidRPr="00B10752" w:rsidTr="0074582E">
        <w:tblPrEx>
          <w:tblCellMar>
            <w:bottom w:w="0" w:type="dxa"/>
          </w:tblCellMar>
        </w:tblPrEx>
        <w:tc>
          <w:tcPr>
            <w:tcW w:w="2367" w:type="pct"/>
            <w:gridSpan w:val="2"/>
          </w:tcPr>
          <w:p w:rsidR="00E70281" w:rsidRPr="00B10752" w:rsidRDefault="00E70281" w:rsidP="0074582E">
            <w:pPr>
              <w:jc w:val="both"/>
              <w:rPr>
                <w:sz w:val="20"/>
              </w:rPr>
            </w:pPr>
            <w:r w:rsidRPr="00B10752">
              <w:rPr>
                <w:sz w:val="20"/>
              </w:rPr>
              <w:t>October 26, 2020</w:t>
            </w:r>
          </w:p>
          <w:p w:rsidR="00E70281" w:rsidRPr="00B10752" w:rsidRDefault="00E70281" w:rsidP="0074582E">
            <w:pPr>
              <w:jc w:val="both"/>
              <w:rPr>
                <w:sz w:val="20"/>
              </w:rPr>
            </w:pPr>
            <w:r w:rsidRPr="00B10752">
              <w:rPr>
                <w:sz w:val="20"/>
              </w:rPr>
              <w:t>Quebec Court of Appeal (Montréal)</w:t>
            </w:r>
          </w:p>
          <w:p w:rsidR="00E70281" w:rsidRPr="00B10752" w:rsidRDefault="00E70281" w:rsidP="0074582E">
            <w:pPr>
              <w:jc w:val="both"/>
              <w:rPr>
                <w:sz w:val="20"/>
              </w:rPr>
            </w:pPr>
            <w:r w:rsidRPr="00B10752">
              <w:rPr>
                <w:sz w:val="20"/>
              </w:rPr>
              <w:t>(Lévesque, Mainville and Roy JJ.A.)</w:t>
            </w:r>
          </w:p>
          <w:p w:rsidR="00E70281" w:rsidRPr="00B10752" w:rsidRDefault="00B10752" w:rsidP="0074582E">
            <w:pPr>
              <w:jc w:val="both"/>
              <w:rPr>
                <w:sz w:val="20"/>
              </w:rPr>
            </w:pPr>
            <w:hyperlink r:id="rId15" w:history="1">
              <w:r w:rsidR="00E70281" w:rsidRPr="00B10752">
                <w:rPr>
                  <w:rStyle w:val="Hyperlink"/>
                  <w:sz w:val="20"/>
                </w:rPr>
                <w:t>2020 QCCA 1378</w:t>
              </w:r>
            </w:hyperlink>
            <w:r w:rsidR="00E70281" w:rsidRPr="00B10752">
              <w:rPr>
                <w:sz w:val="20"/>
              </w:rPr>
              <w:t xml:space="preserve"> </w:t>
            </w:r>
          </w:p>
          <w:p w:rsidR="00E70281" w:rsidRPr="00B10752" w:rsidRDefault="00E70281" w:rsidP="0074582E">
            <w:pPr>
              <w:jc w:val="both"/>
              <w:rPr>
                <w:sz w:val="20"/>
              </w:rPr>
            </w:pPr>
          </w:p>
        </w:tc>
        <w:tc>
          <w:tcPr>
            <w:tcW w:w="267" w:type="pct"/>
          </w:tcPr>
          <w:p w:rsidR="00E70281" w:rsidRPr="00B10752" w:rsidRDefault="00E70281" w:rsidP="0074582E">
            <w:pPr>
              <w:jc w:val="both"/>
              <w:rPr>
                <w:sz w:val="20"/>
              </w:rPr>
            </w:pPr>
          </w:p>
        </w:tc>
        <w:tc>
          <w:tcPr>
            <w:tcW w:w="2366" w:type="pct"/>
            <w:gridSpan w:val="2"/>
          </w:tcPr>
          <w:p w:rsidR="00E70281" w:rsidRPr="00B10752" w:rsidRDefault="00E70281" w:rsidP="0074582E">
            <w:pPr>
              <w:jc w:val="both"/>
              <w:rPr>
                <w:sz w:val="20"/>
              </w:rPr>
            </w:pPr>
            <w:r w:rsidRPr="00B10752">
              <w:rPr>
                <w:sz w:val="20"/>
              </w:rPr>
              <w:t>Appeal from guilty verdict dismissed; motion for stay of proceedings dismissed; prosecutor’s appeal dismissed</w:t>
            </w:r>
          </w:p>
          <w:p w:rsidR="00E70281" w:rsidRPr="00B10752" w:rsidRDefault="00E70281" w:rsidP="0074582E">
            <w:pPr>
              <w:jc w:val="both"/>
              <w:rPr>
                <w:sz w:val="20"/>
              </w:rPr>
            </w:pPr>
            <w:r w:rsidRPr="00B10752">
              <w:rPr>
                <w:sz w:val="20"/>
              </w:rPr>
              <w:t xml:space="preserve"> </w:t>
            </w:r>
          </w:p>
        </w:tc>
      </w:tr>
      <w:tr w:rsidR="00E70281" w:rsidRPr="00B10752" w:rsidTr="0074582E">
        <w:tblPrEx>
          <w:tblCellMar>
            <w:bottom w:w="0" w:type="dxa"/>
          </w:tblCellMar>
        </w:tblPrEx>
        <w:tc>
          <w:tcPr>
            <w:tcW w:w="2367" w:type="pct"/>
            <w:gridSpan w:val="2"/>
          </w:tcPr>
          <w:p w:rsidR="00E70281" w:rsidRPr="00B10752" w:rsidRDefault="00E70281" w:rsidP="0074582E">
            <w:pPr>
              <w:jc w:val="both"/>
              <w:rPr>
                <w:sz w:val="20"/>
              </w:rPr>
            </w:pPr>
            <w:r w:rsidRPr="00B10752">
              <w:rPr>
                <w:sz w:val="20"/>
              </w:rPr>
              <w:t>December 22, 2020</w:t>
            </w:r>
          </w:p>
          <w:p w:rsidR="00E70281" w:rsidRPr="00B10752" w:rsidRDefault="00E70281" w:rsidP="0074582E">
            <w:pPr>
              <w:jc w:val="both"/>
              <w:rPr>
                <w:sz w:val="20"/>
              </w:rPr>
            </w:pPr>
            <w:r w:rsidRPr="00B10752">
              <w:rPr>
                <w:sz w:val="20"/>
              </w:rPr>
              <w:t>Supreme Court of Canada</w:t>
            </w:r>
          </w:p>
        </w:tc>
        <w:tc>
          <w:tcPr>
            <w:tcW w:w="267" w:type="pct"/>
          </w:tcPr>
          <w:p w:rsidR="00E70281" w:rsidRPr="00B10752" w:rsidRDefault="00E70281" w:rsidP="0074582E">
            <w:pPr>
              <w:jc w:val="both"/>
              <w:rPr>
                <w:sz w:val="20"/>
              </w:rPr>
            </w:pPr>
          </w:p>
        </w:tc>
        <w:tc>
          <w:tcPr>
            <w:tcW w:w="2366" w:type="pct"/>
            <w:gridSpan w:val="2"/>
          </w:tcPr>
          <w:p w:rsidR="00E70281" w:rsidRPr="00B10752" w:rsidRDefault="00E70281" w:rsidP="0074582E">
            <w:pPr>
              <w:jc w:val="both"/>
              <w:rPr>
                <w:sz w:val="20"/>
              </w:rPr>
            </w:pPr>
            <w:r w:rsidRPr="00B10752">
              <w:rPr>
                <w:sz w:val="20"/>
              </w:rPr>
              <w:t>Application for leave to appeal filed</w:t>
            </w: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35" style="width:2in;height:1pt" o:hrpct="0" o:hralign="center" o:hrstd="t" o:hrnoshade="t" o:hr="t" fillcolor="black [3213]" stroked="f"/>
        </w:pict>
      </w:r>
    </w:p>
    <w:p w:rsidR="00E70281" w:rsidRPr="00B10752" w:rsidRDefault="00E70281" w:rsidP="00E7028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E70281" w:rsidRPr="00B10752" w:rsidTr="0074582E">
        <w:trPr>
          <w:gridAfter w:val="1"/>
          <w:wAfter w:w="48" w:type="pct"/>
        </w:trPr>
        <w:tc>
          <w:tcPr>
            <w:tcW w:w="537" w:type="pct"/>
          </w:tcPr>
          <w:p w:rsidR="00E70281" w:rsidRPr="00B10752" w:rsidRDefault="00E70281" w:rsidP="0074582E">
            <w:pPr>
              <w:jc w:val="both"/>
              <w:rPr>
                <w:sz w:val="20"/>
              </w:rPr>
            </w:pPr>
            <w:r w:rsidRPr="00B10752">
              <w:rPr>
                <w:rStyle w:val="SCCFileNumberChar"/>
                <w:sz w:val="20"/>
                <w:szCs w:val="20"/>
              </w:rPr>
              <w:t>39494</w:t>
            </w:r>
          </w:p>
        </w:tc>
        <w:tc>
          <w:tcPr>
            <w:tcW w:w="4415" w:type="pct"/>
            <w:gridSpan w:val="3"/>
          </w:tcPr>
          <w:p w:rsidR="00E70281" w:rsidRPr="00B10752" w:rsidRDefault="00E70281" w:rsidP="0074582E">
            <w:pPr>
              <w:pStyle w:val="SCCLsocParty"/>
              <w:jc w:val="both"/>
              <w:rPr>
                <w:b/>
                <w:sz w:val="20"/>
                <w:szCs w:val="20"/>
              </w:rPr>
            </w:pPr>
            <w:r w:rsidRPr="00B10752">
              <w:rPr>
                <w:b/>
                <w:sz w:val="20"/>
                <w:szCs w:val="20"/>
              </w:rPr>
              <w:t>Louis-Pierre Lafortune c. Sa Majesté la Reine</w:t>
            </w:r>
          </w:p>
          <w:p w:rsidR="00E70281" w:rsidRPr="00B10752" w:rsidRDefault="00E70281" w:rsidP="0074582E">
            <w:pPr>
              <w:jc w:val="both"/>
              <w:rPr>
                <w:sz w:val="20"/>
              </w:rPr>
            </w:pPr>
            <w:r w:rsidRPr="00B10752">
              <w:rPr>
                <w:sz w:val="20"/>
              </w:rPr>
              <w:t>(Qc) (Criminelle) (Autorisation)</w:t>
            </w:r>
          </w:p>
        </w:tc>
      </w:tr>
      <w:tr w:rsidR="00E70281" w:rsidRPr="00B10752" w:rsidTr="0074582E">
        <w:trPr>
          <w:gridAfter w:val="1"/>
          <w:wAfter w:w="48" w:type="pct"/>
        </w:trPr>
        <w:tc>
          <w:tcPr>
            <w:tcW w:w="4952" w:type="pct"/>
            <w:gridSpan w:val="4"/>
          </w:tcPr>
          <w:p w:rsidR="00E108DC" w:rsidRPr="00B10752" w:rsidRDefault="00E108DC" w:rsidP="00E108DC">
            <w:pPr>
              <w:jc w:val="both"/>
              <w:rPr>
                <w:sz w:val="20"/>
                <w:szCs w:val="20"/>
                <w:lang w:val="fr-CA"/>
              </w:rPr>
            </w:pPr>
            <w:r w:rsidRPr="00B10752">
              <w:rPr>
                <w:sz w:val="20"/>
                <w:szCs w:val="20"/>
                <w:lang w:val="fr-CA"/>
              </w:rPr>
              <w:t>La demande d’autorisation d’appel de l’arrêt de la Cour d’appel du Québec (Montréal), numéro 500-10-006197-162, 2020 QCCA 1378, daté du 26 octobre 2020, est rejetée.</w:t>
            </w:r>
          </w:p>
          <w:p w:rsidR="00E70281" w:rsidRPr="00B10752" w:rsidRDefault="00E70281" w:rsidP="0074582E">
            <w:pPr>
              <w:jc w:val="both"/>
              <w:rPr>
                <w:sz w:val="20"/>
                <w:lang w:val="fr-CA"/>
              </w:rPr>
            </w:pPr>
          </w:p>
        </w:tc>
      </w:tr>
      <w:tr w:rsidR="00E70281" w:rsidRPr="00B10752" w:rsidTr="0074582E">
        <w:trPr>
          <w:gridAfter w:val="1"/>
          <w:wAfter w:w="48" w:type="pct"/>
        </w:trPr>
        <w:tc>
          <w:tcPr>
            <w:tcW w:w="4952" w:type="pct"/>
            <w:gridSpan w:val="4"/>
          </w:tcPr>
          <w:p w:rsidR="00E70281" w:rsidRPr="00B10752" w:rsidRDefault="00E70281" w:rsidP="0074582E">
            <w:pPr>
              <w:jc w:val="both"/>
              <w:rPr>
                <w:sz w:val="20"/>
                <w:lang w:val="fr-CA"/>
              </w:rPr>
            </w:pPr>
            <w:r w:rsidRPr="00B10752">
              <w:rPr>
                <w:sz w:val="20"/>
                <w:lang w:val="fr-CA"/>
              </w:rPr>
              <w:t>Droit criminel — Complot — Directive au jury — L’obligation de donner au jury une directive restrictive pour contrer l’effet d’une preuve de conduite indigne demeure</w:t>
            </w:r>
            <w:r w:rsidRPr="00B10752">
              <w:rPr>
                <w:sz w:val="20"/>
                <w:lang w:val="fr-CA"/>
              </w:rPr>
              <w:noBreakHyphen/>
              <w:t>t</w:t>
            </w:r>
            <w:r w:rsidRPr="00B10752">
              <w:rPr>
                <w:sz w:val="20"/>
                <w:lang w:val="fr-CA"/>
              </w:rPr>
              <w:noBreakHyphen/>
              <w:t xml:space="preserve">elle, malgré l’arrêt de cette cour dans </w:t>
            </w:r>
            <w:r w:rsidRPr="00B10752">
              <w:rPr>
                <w:i/>
                <w:sz w:val="20"/>
                <w:lang w:val="fr-CA"/>
              </w:rPr>
              <w:t>R. c. Calnen</w:t>
            </w:r>
            <w:r w:rsidRPr="00B10752">
              <w:rPr>
                <w:sz w:val="20"/>
                <w:lang w:val="fr-CA"/>
              </w:rPr>
              <w:t>, [2019] 1 R.C.S. 301, sauf quand l’accusé y renonce expressément ? — Dans quelles circonstances un juge de première instance doit</w:t>
            </w:r>
            <w:r w:rsidRPr="00B10752">
              <w:rPr>
                <w:sz w:val="20"/>
                <w:lang w:val="fr-CA"/>
              </w:rPr>
              <w:noBreakHyphen/>
              <w:t>il mettre le jury en garde à l’égard d’un chef de complot général, quand l’accusé ne peut être relié à aucun des sous</w:t>
            </w:r>
            <w:r w:rsidRPr="00B10752">
              <w:rPr>
                <w:sz w:val="20"/>
                <w:lang w:val="fr-CA"/>
              </w:rPr>
              <w:noBreakHyphen/>
              <w:t xml:space="preserve">complots prouvés par la poursuite? — Quels éléments de preuve doivent être considérés à la deuxième étape de l’arrêt </w:t>
            </w:r>
            <w:r w:rsidRPr="00B10752">
              <w:rPr>
                <w:i/>
                <w:sz w:val="20"/>
                <w:lang w:val="fr-CA"/>
              </w:rPr>
              <w:t>R. c. Carter</w:t>
            </w:r>
            <w:r w:rsidRPr="00B10752">
              <w:rPr>
                <w:sz w:val="20"/>
                <w:lang w:val="fr-CA"/>
              </w:rPr>
              <w:t xml:space="preserve">, [1982] 1 R.C.S. 938 afin de conclure à la participation probable de l’accusé à un complot? </w:t>
            </w:r>
          </w:p>
          <w:p w:rsidR="00E70281" w:rsidRPr="00B10752" w:rsidRDefault="00E70281" w:rsidP="0074582E">
            <w:pPr>
              <w:jc w:val="both"/>
              <w:rPr>
                <w:sz w:val="20"/>
                <w:lang w:val="fr-CA"/>
              </w:rPr>
            </w:pPr>
          </w:p>
        </w:tc>
      </w:tr>
      <w:tr w:rsidR="00E70281" w:rsidRPr="00B10752" w:rsidTr="0074582E">
        <w:trPr>
          <w:gridAfter w:val="1"/>
          <w:wAfter w:w="48" w:type="pct"/>
        </w:trPr>
        <w:tc>
          <w:tcPr>
            <w:tcW w:w="4952" w:type="pct"/>
            <w:gridSpan w:val="4"/>
          </w:tcPr>
          <w:p w:rsidR="00E70281" w:rsidRPr="00B10752" w:rsidRDefault="00E70281" w:rsidP="0074582E">
            <w:pPr>
              <w:jc w:val="both"/>
              <w:rPr>
                <w:sz w:val="20"/>
                <w:lang w:val="fr-CA"/>
              </w:rPr>
            </w:pPr>
            <w:r w:rsidRPr="00B10752">
              <w:rPr>
                <w:sz w:val="20"/>
                <w:lang w:val="fr-CA"/>
              </w:rPr>
              <w:lastRenderedPageBreak/>
              <w:t xml:space="preserve">Le demandeur a été déclaré coupable par un jury de complot pour le recyclage des produits de la criminalité (al. 465(1)c) C.cr.). Le demandeur et la poursuivante se sont pourvus contre la décision de la juge d’instance qui a accueilli en partie une requête en verdict imposé d’acquittement. En appel, le demandeur fait essentiellement valoir que sa requête en verdict imposé d’acquittement aurait dû être accueillie à l’égard de tous les chefs le concernant. Au surplus, il soutient principalement que le verdict rendu par le jury est déraisonnable. La poursuivante, pour sa part, considère que la requête en verdict imposé d’acquittement n’aurait pas dû être accueillie pour ce qui est du demandeur et que les chefs de l’acte d’accusation le concernant auraient dû être soumis au jury. La Cour d’appel rejette l’appel </w:t>
            </w:r>
            <w:r w:rsidRPr="00B10752">
              <w:rPr>
                <w:sz w:val="20"/>
                <w:lang w:val="fr-FR"/>
              </w:rPr>
              <w:t>contre le verdict de culpabilité du demandeur, la requête de ce dernier en arrêt des procédures de même que l’appel de la poursuivante.</w:t>
            </w:r>
          </w:p>
          <w:p w:rsidR="00E70281" w:rsidRPr="00B10752" w:rsidRDefault="00E70281" w:rsidP="0074582E">
            <w:pPr>
              <w:jc w:val="both"/>
              <w:rPr>
                <w:sz w:val="20"/>
                <w:lang w:val="fr-CA"/>
              </w:rPr>
            </w:pPr>
          </w:p>
        </w:tc>
      </w:tr>
      <w:tr w:rsidR="00E70281" w:rsidRPr="00B10752" w:rsidTr="0074582E">
        <w:tblPrEx>
          <w:tblCellMar>
            <w:bottom w:w="0" w:type="dxa"/>
          </w:tblCellMar>
        </w:tblPrEx>
        <w:tc>
          <w:tcPr>
            <w:tcW w:w="2367" w:type="pct"/>
            <w:gridSpan w:val="2"/>
          </w:tcPr>
          <w:p w:rsidR="00E70281" w:rsidRPr="00B10752" w:rsidRDefault="00E70281" w:rsidP="0074582E">
            <w:pPr>
              <w:jc w:val="both"/>
              <w:rPr>
                <w:sz w:val="20"/>
                <w:lang w:val="fr-CA"/>
              </w:rPr>
            </w:pPr>
            <w:r w:rsidRPr="00B10752">
              <w:rPr>
                <w:sz w:val="20"/>
                <w:lang w:val="fr-CA"/>
              </w:rPr>
              <w:t>Le 1 juillet 2016</w:t>
            </w:r>
          </w:p>
          <w:p w:rsidR="00E70281" w:rsidRPr="00B10752" w:rsidRDefault="00E70281" w:rsidP="0074582E">
            <w:pPr>
              <w:jc w:val="both"/>
              <w:rPr>
                <w:sz w:val="20"/>
                <w:lang w:val="fr-CA"/>
              </w:rPr>
            </w:pPr>
            <w:r w:rsidRPr="00B10752">
              <w:rPr>
                <w:sz w:val="20"/>
                <w:lang w:val="fr-CA"/>
              </w:rPr>
              <w:t>Cour supérieure du Québec</w:t>
            </w:r>
          </w:p>
          <w:p w:rsidR="00E70281" w:rsidRPr="00B10752" w:rsidRDefault="00E70281" w:rsidP="0074582E">
            <w:pPr>
              <w:jc w:val="both"/>
              <w:rPr>
                <w:sz w:val="20"/>
                <w:lang w:val="fr-CA"/>
              </w:rPr>
            </w:pPr>
            <w:r w:rsidRPr="00B10752">
              <w:rPr>
                <w:sz w:val="20"/>
                <w:lang w:val="fr-CA"/>
              </w:rPr>
              <w:t>(La juge St</w:t>
            </w:r>
            <w:r w:rsidRPr="00B10752">
              <w:rPr>
                <w:sz w:val="20"/>
                <w:lang w:val="fr-CA"/>
              </w:rPr>
              <w:noBreakHyphen/>
              <w:t>Gelais)</w:t>
            </w:r>
          </w:p>
          <w:p w:rsidR="00E70281" w:rsidRPr="00B10752" w:rsidRDefault="00E70281" w:rsidP="0074582E">
            <w:pPr>
              <w:jc w:val="both"/>
              <w:rPr>
                <w:sz w:val="20"/>
                <w:lang w:val="fr-CA"/>
              </w:rPr>
            </w:pPr>
            <w:r w:rsidRPr="00B10752">
              <w:rPr>
                <w:sz w:val="20"/>
                <w:lang w:val="fr-CA"/>
              </w:rPr>
              <w:t>Non publié</w:t>
            </w:r>
          </w:p>
          <w:p w:rsidR="00E70281" w:rsidRPr="00B10752" w:rsidRDefault="00E70281" w:rsidP="0074582E">
            <w:pPr>
              <w:jc w:val="both"/>
              <w:rPr>
                <w:sz w:val="20"/>
                <w:lang w:val="fr-CA"/>
              </w:rPr>
            </w:pPr>
          </w:p>
        </w:tc>
        <w:tc>
          <w:tcPr>
            <w:tcW w:w="267" w:type="pct"/>
          </w:tcPr>
          <w:p w:rsidR="00E70281" w:rsidRPr="00B10752" w:rsidRDefault="00E70281" w:rsidP="0074582E">
            <w:pPr>
              <w:jc w:val="both"/>
              <w:rPr>
                <w:sz w:val="20"/>
                <w:lang w:val="fr-CA"/>
              </w:rPr>
            </w:pPr>
          </w:p>
        </w:tc>
        <w:tc>
          <w:tcPr>
            <w:tcW w:w="2366" w:type="pct"/>
            <w:gridSpan w:val="2"/>
          </w:tcPr>
          <w:p w:rsidR="00E70281" w:rsidRPr="00B10752" w:rsidRDefault="00E70281" w:rsidP="0074582E">
            <w:pPr>
              <w:jc w:val="both"/>
              <w:rPr>
                <w:sz w:val="20"/>
                <w:lang w:val="fr-CA"/>
              </w:rPr>
            </w:pPr>
            <w:r w:rsidRPr="00B10752">
              <w:rPr>
                <w:sz w:val="20"/>
                <w:lang w:val="fr-CA"/>
              </w:rPr>
              <w:t>Verdict de culpabilité prononcé par un jury</w:t>
            </w:r>
          </w:p>
        </w:tc>
      </w:tr>
      <w:tr w:rsidR="00E70281" w:rsidRPr="00B10752" w:rsidTr="0074582E">
        <w:tblPrEx>
          <w:tblCellMar>
            <w:bottom w:w="0" w:type="dxa"/>
          </w:tblCellMar>
        </w:tblPrEx>
        <w:tc>
          <w:tcPr>
            <w:tcW w:w="2367" w:type="pct"/>
            <w:gridSpan w:val="2"/>
          </w:tcPr>
          <w:p w:rsidR="00E70281" w:rsidRPr="00B10752" w:rsidRDefault="00E70281" w:rsidP="0074582E">
            <w:pPr>
              <w:jc w:val="both"/>
              <w:rPr>
                <w:sz w:val="20"/>
                <w:lang w:val="fr-CA"/>
              </w:rPr>
            </w:pPr>
            <w:r w:rsidRPr="00B10752">
              <w:rPr>
                <w:sz w:val="20"/>
                <w:lang w:val="fr-CA"/>
              </w:rPr>
              <w:t>Le 26 octobre 2020</w:t>
            </w:r>
          </w:p>
          <w:p w:rsidR="00E70281" w:rsidRPr="00B10752" w:rsidRDefault="00E70281" w:rsidP="0074582E">
            <w:pPr>
              <w:jc w:val="both"/>
              <w:rPr>
                <w:sz w:val="20"/>
                <w:lang w:val="fr-CA"/>
              </w:rPr>
            </w:pPr>
            <w:r w:rsidRPr="00B10752">
              <w:rPr>
                <w:sz w:val="20"/>
                <w:lang w:val="fr-CA"/>
              </w:rPr>
              <w:t>Cour d’appel du Québec (Montréal)</w:t>
            </w:r>
          </w:p>
          <w:p w:rsidR="00E70281" w:rsidRPr="00B10752" w:rsidRDefault="00E70281" w:rsidP="0074582E">
            <w:pPr>
              <w:jc w:val="both"/>
              <w:rPr>
                <w:sz w:val="20"/>
                <w:lang w:val="fr-CA"/>
              </w:rPr>
            </w:pPr>
            <w:r w:rsidRPr="00B10752">
              <w:rPr>
                <w:sz w:val="20"/>
                <w:lang w:val="fr-CA"/>
              </w:rPr>
              <w:t>(Les juges Lévesque, Mainville et Roy)</w:t>
            </w:r>
          </w:p>
          <w:p w:rsidR="00E70281" w:rsidRPr="00B10752" w:rsidRDefault="00B10752" w:rsidP="0074582E">
            <w:pPr>
              <w:jc w:val="both"/>
              <w:rPr>
                <w:sz w:val="20"/>
              </w:rPr>
            </w:pPr>
            <w:hyperlink r:id="rId16" w:history="1">
              <w:r w:rsidR="00E70281" w:rsidRPr="00B10752">
                <w:rPr>
                  <w:rStyle w:val="Hyperlink"/>
                  <w:sz w:val="20"/>
                </w:rPr>
                <w:t>2020 QCCA 1378</w:t>
              </w:r>
            </w:hyperlink>
            <w:r w:rsidR="00E70281" w:rsidRPr="00B10752">
              <w:rPr>
                <w:sz w:val="20"/>
              </w:rPr>
              <w:t xml:space="preserve"> </w:t>
            </w:r>
          </w:p>
          <w:p w:rsidR="00E70281" w:rsidRPr="00B10752" w:rsidRDefault="00E70281" w:rsidP="0074582E">
            <w:pPr>
              <w:jc w:val="both"/>
              <w:rPr>
                <w:sz w:val="20"/>
              </w:rPr>
            </w:pPr>
          </w:p>
        </w:tc>
        <w:tc>
          <w:tcPr>
            <w:tcW w:w="267" w:type="pct"/>
          </w:tcPr>
          <w:p w:rsidR="00E70281" w:rsidRPr="00B10752" w:rsidRDefault="00E70281" w:rsidP="0074582E">
            <w:pPr>
              <w:jc w:val="both"/>
              <w:rPr>
                <w:sz w:val="20"/>
              </w:rPr>
            </w:pPr>
          </w:p>
        </w:tc>
        <w:tc>
          <w:tcPr>
            <w:tcW w:w="2366" w:type="pct"/>
            <w:gridSpan w:val="2"/>
          </w:tcPr>
          <w:p w:rsidR="00E70281" w:rsidRPr="00B10752" w:rsidRDefault="00E70281" w:rsidP="0074582E">
            <w:pPr>
              <w:jc w:val="both"/>
              <w:rPr>
                <w:sz w:val="20"/>
                <w:lang w:val="fr-FR"/>
              </w:rPr>
            </w:pPr>
            <w:r w:rsidRPr="00B10752">
              <w:rPr>
                <w:sz w:val="20"/>
                <w:lang w:val="fr-CA"/>
              </w:rPr>
              <w:t>A</w:t>
            </w:r>
            <w:r w:rsidRPr="00B10752">
              <w:rPr>
                <w:sz w:val="20"/>
                <w:lang w:val="fr-FR"/>
              </w:rPr>
              <w:t>ppel contre le verdict de culpabilité rejeté; requête en arrêt des procédures rejetée; appel de la poursuivante rejeté</w:t>
            </w:r>
          </w:p>
          <w:p w:rsidR="00E70281" w:rsidRPr="00B10752" w:rsidRDefault="00E70281" w:rsidP="0074582E">
            <w:pPr>
              <w:jc w:val="both"/>
              <w:rPr>
                <w:sz w:val="20"/>
                <w:lang w:val="fr-CA"/>
              </w:rPr>
            </w:pPr>
            <w:r w:rsidRPr="00B10752">
              <w:rPr>
                <w:sz w:val="20"/>
                <w:lang w:val="fr-CA"/>
              </w:rPr>
              <w:t xml:space="preserve"> </w:t>
            </w:r>
          </w:p>
        </w:tc>
      </w:tr>
      <w:tr w:rsidR="00E70281" w:rsidRPr="00B10752" w:rsidTr="0074582E">
        <w:tblPrEx>
          <w:tblCellMar>
            <w:bottom w:w="0" w:type="dxa"/>
          </w:tblCellMar>
        </w:tblPrEx>
        <w:tc>
          <w:tcPr>
            <w:tcW w:w="2367" w:type="pct"/>
            <w:gridSpan w:val="2"/>
          </w:tcPr>
          <w:p w:rsidR="00E70281" w:rsidRPr="00B10752" w:rsidRDefault="00E70281" w:rsidP="0074582E">
            <w:pPr>
              <w:jc w:val="both"/>
              <w:rPr>
                <w:sz w:val="20"/>
                <w:lang w:val="fr-CA"/>
              </w:rPr>
            </w:pPr>
            <w:r w:rsidRPr="00B10752">
              <w:rPr>
                <w:sz w:val="20"/>
                <w:lang w:val="fr-CA"/>
              </w:rPr>
              <w:t>Le 22 décembre 2020</w:t>
            </w:r>
          </w:p>
          <w:p w:rsidR="00E70281" w:rsidRPr="00B10752" w:rsidRDefault="00E70281" w:rsidP="0074582E">
            <w:pPr>
              <w:jc w:val="both"/>
              <w:rPr>
                <w:sz w:val="20"/>
                <w:lang w:val="fr-CA"/>
              </w:rPr>
            </w:pPr>
            <w:r w:rsidRPr="00B10752">
              <w:rPr>
                <w:sz w:val="20"/>
                <w:lang w:val="fr-CA"/>
              </w:rPr>
              <w:t>Cour suprême du Canada</w:t>
            </w:r>
          </w:p>
        </w:tc>
        <w:tc>
          <w:tcPr>
            <w:tcW w:w="267" w:type="pct"/>
          </w:tcPr>
          <w:p w:rsidR="00E70281" w:rsidRPr="00B10752" w:rsidRDefault="00E70281" w:rsidP="0074582E">
            <w:pPr>
              <w:jc w:val="both"/>
              <w:rPr>
                <w:sz w:val="20"/>
                <w:lang w:val="fr-CA"/>
              </w:rPr>
            </w:pPr>
          </w:p>
        </w:tc>
        <w:tc>
          <w:tcPr>
            <w:tcW w:w="2366" w:type="pct"/>
            <w:gridSpan w:val="2"/>
          </w:tcPr>
          <w:p w:rsidR="00E70281" w:rsidRPr="00B10752" w:rsidRDefault="00E70281" w:rsidP="0074582E">
            <w:pPr>
              <w:jc w:val="both"/>
              <w:rPr>
                <w:sz w:val="20"/>
              </w:rPr>
            </w:pPr>
            <w:r w:rsidRPr="00B10752">
              <w:rPr>
                <w:sz w:val="20"/>
              </w:rPr>
              <w:t>Demande d’autorisation d’appel déposée</w:t>
            </w: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36" style="width:2in;height:1pt" o:hrpct="0" o:hralign="center" o:hrstd="t" o:hrnoshade="t" o:hr="t" fillcolor="black [3213]" stroked="f"/>
        </w:pict>
      </w:r>
    </w:p>
    <w:p w:rsidR="00E70281" w:rsidRPr="00B10752" w:rsidRDefault="00E70281" w:rsidP="00E70281">
      <w:pPr>
        <w:widowControl w:val="0"/>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E70281" w:rsidRPr="00B10752" w:rsidTr="0074582E">
        <w:trPr>
          <w:gridAfter w:val="1"/>
          <w:wAfter w:w="48" w:type="pct"/>
        </w:trPr>
        <w:tc>
          <w:tcPr>
            <w:tcW w:w="537" w:type="pct"/>
          </w:tcPr>
          <w:p w:rsidR="00E70281" w:rsidRPr="00B10752" w:rsidRDefault="00E70281" w:rsidP="0074582E">
            <w:pPr>
              <w:jc w:val="both"/>
              <w:rPr>
                <w:sz w:val="20"/>
              </w:rPr>
            </w:pPr>
            <w:r w:rsidRPr="00B10752">
              <w:rPr>
                <w:rStyle w:val="SCCFileNumberChar"/>
                <w:sz w:val="20"/>
                <w:szCs w:val="20"/>
              </w:rPr>
              <w:t>39498</w:t>
            </w:r>
          </w:p>
        </w:tc>
        <w:tc>
          <w:tcPr>
            <w:tcW w:w="4415" w:type="pct"/>
            <w:gridSpan w:val="3"/>
          </w:tcPr>
          <w:p w:rsidR="00E70281" w:rsidRPr="00B10752" w:rsidRDefault="00E70281" w:rsidP="0074582E">
            <w:pPr>
              <w:pStyle w:val="SCCLsocParty"/>
              <w:jc w:val="both"/>
              <w:rPr>
                <w:b/>
                <w:sz w:val="20"/>
                <w:szCs w:val="20"/>
                <w:lang w:val="en-CA"/>
              </w:rPr>
            </w:pPr>
            <w:r w:rsidRPr="00B10752">
              <w:rPr>
                <w:b/>
                <w:sz w:val="20"/>
                <w:szCs w:val="20"/>
                <w:lang w:val="en-CA"/>
              </w:rPr>
              <w:t>Roberto Amato v. Her Majesty the Queen</w:t>
            </w:r>
          </w:p>
          <w:p w:rsidR="00E70281" w:rsidRPr="00B10752" w:rsidRDefault="00E70281" w:rsidP="0074582E">
            <w:pPr>
              <w:jc w:val="both"/>
              <w:rPr>
                <w:sz w:val="20"/>
              </w:rPr>
            </w:pPr>
            <w:r w:rsidRPr="00B10752">
              <w:rPr>
                <w:sz w:val="20"/>
              </w:rPr>
              <w:t>(Que.) (Criminal) (By Leave)</w:t>
            </w:r>
          </w:p>
        </w:tc>
      </w:tr>
      <w:tr w:rsidR="00E70281" w:rsidRPr="00B10752" w:rsidTr="0074582E">
        <w:trPr>
          <w:gridAfter w:val="1"/>
          <w:wAfter w:w="48" w:type="pct"/>
        </w:trPr>
        <w:tc>
          <w:tcPr>
            <w:tcW w:w="4952" w:type="pct"/>
            <w:gridSpan w:val="4"/>
          </w:tcPr>
          <w:p w:rsidR="00E108DC" w:rsidRPr="00B10752" w:rsidRDefault="00E108DC" w:rsidP="00E108DC">
            <w:pPr>
              <w:jc w:val="both"/>
              <w:rPr>
                <w:sz w:val="20"/>
                <w:szCs w:val="20"/>
              </w:rPr>
            </w:pPr>
            <w:r w:rsidRPr="00B10752">
              <w:rPr>
                <w:sz w:val="20"/>
                <w:szCs w:val="20"/>
              </w:rPr>
              <w:t xml:space="preserve">The application for leave to appeal from the judgment of the </w:t>
            </w:r>
            <w:r w:rsidRPr="00B10752">
              <w:rPr>
                <w:sz w:val="20"/>
                <w:szCs w:val="20"/>
                <w:lang w:val="en-US"/>
              </w:rPr>
              <w:t>Court of Appeal of Quebec (Montréal)</w:t>
            </w:r>
            <w:r w:rsidRPr="00B10752">
              <w:rPr>
                <w:sz w:val="20"/>
                <w:szCs w:val="20"/>
              </w:rPr>
              <w:t xml:space="preserve">, Number </w:t>
            </w:r>
            <w:r w:rsidRPr="00B10752">
              <w:rPr>
                <w:sz w:val="20"/>
                <w:szCs w:val="20"/>
                <w:lang w:val="en-US"/>
              </w:rPr>
              <w:t>500-10-006237-166</w:t>
            </w:r>
            <w:r w:rsidRPr="00B10752">
              <w:rPr>
                <w:sz w:val="20"/>
                <w:szCs w:val="20"/>
              </w:rPr>
              <w:t xml:space="preserve">, 2020 QCCA 1380, dated </w:t>
            </w:r>
            <w:r w:rsidRPr="00B10752">
              <w:rPr>
                <w:sz w:val="20"/>
                <w:szCs w:val="20"/>
                <w:lang w:val="en-US"/>
              </w:rPr>
              <w:t>October 26, 2020,</w:t>
            </w:r>
            <w:r w:rsidRPr="00B10752">
              <w:rPr>
                <w:sz w:val="20"/>
                <w:szCs w:val="20"/>
              </w:rPr>
              <w:t xml:space="preserve"> is dismissed. </w:t>
            </w:r>
          </w:p>
          <w:p w:rsidR="00E70281" w:rsidRPr="00B10752" w:rsidRDefault="00E70281" w:rsidP="0074582E">
            <w:pPr>
              <w:jc w:val="both"/>
              <w:rPr>
                <w:sz w:val="20"/>
              </w:rPr>
            </w:pPr>
          </w:p>
        </w:tc>
      </w:tr>
      <w:tr w:rsidR="00E70281" w:rsidRPr="00B10752" w:rsidTr="0074582E">
        <w:trPr>
          <w:gridAfter w:val="1"/>
          <w:wAfter w:w="48" w:type="pct"/>
        </w:trPr>
        <w:tc>
          <w:tcPr>
            <w:tcW w:w="4952" w:type="pct"/>
            <w:gridSpan w:val="4"/>
          </w:tcPr>
          <w:p w:rsidR="00E70281" w:rsidRPr="00B10752" w:rsidRDefault="00E70281" w:rsidP="0074582E">
            <w:pPr>
              <w:jc w:val="both"/>
              <w:rPr>
                <w:sz w:val="20"/>
              </w:rPr>
            </w:pPr>
            <w:r w:rsidRPr="00B10752">
              <w:rPr>
                <w:sz w:val="20"/>
              </w:rPr>
              <w:t>Criminal law — Sentencing — Length of proceedings — Whether Court of Appeal erred in holding that trial judge could not consider length of proceedings as relevant factor in sentencing.</w:t>
            </w:r>
          </w:p>
          <w:p w:rsidR="00E70281" w:rsidRPr="00B10752" w:rsidRDefault="00E70281" w:rsidP="0074582E">
            <w:pPr>
              <w:jc w:val="both"/>
              <w:rPr>
                <w:sz w:val="20"/>
              </w:rPr>
            </w:pPr>
          </w:p>
        </w:tc>
      </w:tr>
      <w:tr w:rsidR="00E70281" w:rsidRPr="00B10752" w:rsidTr="0074582E">
        <w:trPr>
          <w:gridAfter w:val="1"/>
          <w:wAfter w:w="48" w:type="pct"/>
        </w:trPr>
        <w:tc>
          <w:tcPr>
            <w:tcW w:w="4952" w:type="pct"/>
            <w:gridSpan w:val="4"/>
          </w:tcPr>
          <w:p w:rsidR="00E70281" w:rsidRPr="00B10752" w:rsidRDefault="00E70281" w:rsidP="0074582E">
            <w:pPr>
              <w:jc w:val="both"/>
              <w:rPr>
                <w:sz w:val="20"/>
              </w:rPr>
            </w:pPr>
            <w:r w:rsidRPr="00B10752">
              <w:rPr>
                <w:sz w:val="20"/>
              </w:rPr>
              <w:t>The applicant was found guilty by a jury of the following offences: conspiracy to launder proceeds of crime (s. 465(1)(c) Cr. C.); a criminal organization offence (s. 467.12 Cr. C.); and laundering proceeds of crime (s. 462.31 Cr. C.). The applicant and the prosecutor appealed the trial judge’s decision granting a motion for a directed verdict of acquittal in part. On appeal, the applicant essentially argued that his motion for a directed verdict of acquittal should have been granted on all the counts that concerned him. In addition, he argued mainly that the jury’s verdict was unreasonable in relation to several counts. The prosecutor, on the other hand, took the view that the motion for a directed verdict of acquittal should not have been granted with respect to a co</w:t>
            </w:r>
            <w:r w:rsidRPr="00B10752">
              <w:rPr>
                <w:sz w:val="20"/>
              </w:rPr>
              <w:noBreakHyphen/>
              <w:t>accused, Mr. Lafortune, and that the counts in the indictment that concerned him should have been put to the jury. The Court of Appeal dismissed the appeals of Mr. Amato and Mr. Lafortune from the guilty verdicts, Mr. Lafortune’s motion for a stay of proceedings and the prosecutor’s appeal.</w:t>
            </w:r>
          </w:p>
          <w:p w:rsidR="00E70281" w:rsidRPr="00B10752" w:rsidRDefault="00E70281" w:rsidP="0074582E">
            <w:pPr>
              <w:jc w:val="both"/>
              <w:rPr>
                <w:sz w:val="20"/>
              </w:rPr>
            </w:pPr>
          </w:p>
        </w:tc>
      </w:tr>
      <w:tr w:rsidR="00E70281" w:rsidRPr="00B10752" w:rsidTr="0074582E">
        <w:tblPrEx>
          <w:tblCellMar>
            <w:bottom w:w="0" w:type="dxa"/>
          </w:tblCellMar>
        </w:tblPrEx>
        <w:tc>
          <w:tcPr>
            <w:tcW w:w="2367" w:type="pct"/>
            <w:gridSpan w:val="2"/>
          </w:tcPr>
          <w:p w:rsidR="00E70281" w:rsidRPr="00B10752" w:rsidRDefault="00E70281" w:rsidP="0074582E">
            <w:pPr>
              <w:jc w:val="both"/>
              <w:rPr>
                <w:sz w:val="20"/>
              </w:rPr>
            </w:pPr>
            <w:r w:rsidRPr="00B10752">
              <w:rPr>
                <w:sz w:val="20"/>
              </w:rPr>
              <w:t>July 1, 2016</w:t>
            </w:r>
          </w:p>
          <w:p w:rsidR="00E70281" w:rsidRPr="00B10752" w:rsidRDefault="00E70281" w:rsidP="0074582E">
            <w:pPr>
              <w:jc w:val="both"/>
              <w:rPr>
                <w:sz w:val="20"/>
              </w:rPr>
            </w:pPr>
            <w:r w:rsidRPr="00B10752">
              <w:rPr>
                <w:sz w:val="20"/>
              </w:rPr>
              <w:t>Quebec Superior Court</w:t>
            </w:r>
          </w:p>
          <w:p w:rsidR="00E70281" w:rsidRPr="00B10752" w:rsidRDefault="00E70281" w:rsidP="0074582E">
            <w:pPr>
              <w:jc w:val="both"/>
              <w:rPr>
                <w:sz w:val="20"/>
              </w:rPr>
            </w:pPr>
            <w:r w:rsidRPr="00B10752">
              <w:rPr>
                <w:sz w:val="20"/>
              </w:rPr>
              <w:t>(St</w:t>
            </w:r>
            <w:r w:rsidRPr="00B10752">
              <w:rPr>
                <w:sz w:val="20"/>
              </w:rPr>
              <w:noBreakHyphen/>
              <w:t>Gelais J.)</w:t>
            </w:r>
          </w:p>
          <w:p w:rsidR="00E70281" w:rsidRPr="00B10752" w:rsidRDefault="00E70281" w:rsidP="0074582E">
            <w:pPr>
              <w:jc w:val="both"/>
              <w:rPr>
                <w:sz w:val="20"/>
              </w:rPr>
            </w:pPr>
            <w:r w:rsidRPr="00B10752">
              <w:rPr>
                <w:sz w:val="20"/>
              </w:rPr>
              <w:t>Unreported</w:t>
            </w:r>
          </w:p>
          <w:p w:rsidR="00E70281" w:rsidRPr="00B10752" w:rsidRDefault="00E70281" w:rsidP="0074582E">
            <w:pPr>
              <w:jc w:val="both"/>
              <w:rPr>
                <w:sz w:val="20"/>
              </w:rPr>
            </w:pPr>
          </w:p>
        </w:tc>
        <w:tc>
          <w:tcPr>
            <w:tcW w:w="267" w:type="pct"/>
          </w:tcPr>
          <w:p w:rsidR="00E70281" w:rsidRPr="00B10752" w:rsidRDefault="00E70281" w:rsidP="0074582E">
            <w:pPr>
              <w:jc w:val="both"/>
              <w:rPr>
                <w:sz w:val="20"/>
              </w:rPr>
            </w:pPr>
          </w:p>
        </w:tc>
        <w:tc>
          <w:tcPr>
            <w:tcW w:w="2366" w:type="pct"/>
            <w:gridSpan w:val="2"/>
          </w:tcPr>
          <w:p w:rsidR="00E70281" w:rsidRPr="00B10752" w:rsidRDefault="00E70281" w:rsidP="0074582E">
            <w:pPr>
              <w:jc w:val="both"/>
              <w:rPr>
                <w:sz w:val="20"/>
              </w:rPr>
            </w:pPr>
            <w:r w:rsidRPr="00B10752">
              <w:rPr>
                <w:sz w:val="20"/>
              </w:rPr>
              <w:t xml:space="preserve">Guilty verdict handed down by jury </w:t>
            </w:r>
          </w:p>
        </w:tc>
      </w:tr>
      <w:tr w:rsidR="00E70281" w:rsidRPr="00B10752" w:rsidTr="0074582E">
        <w:tblPrEx>
          <w:tblCellMar>
            <w:bottom w:w="0" w:type="dxa"/>
          </w:tblCellMar>
        </w:tblPrEx>
        <w:tc>
          <w:tcPr>
            <w:tcW w:w="2367" w:type="pct"/>
            <w:gridSpan w:val="2"/>
          </w:tcPr>
          <w:p w:rsidR="00E70281" w:rsidRPr="00B10752" w:rsidRDefault="00E70281" w:rsidP="0074582E">
            <w:pPr>
              <w:jc w:val="both"/>
              <w:rPr>
                <w:sz w:val="20"/>
              </w:rPr>
            </w:pPr>
            <w:r w:rsidRPr="00B10752">
              <w:rPr>
                <w:sz w:val="20"/>
              </w:rPr>
              <w:t>October 26, 2020</w:t>
            </w:r>
          </w:p>
          <w:p w:rsidR="00E70281" w:rsidRPr="00B10752" w:rsidRDefault="00E70281" w:rsidP="0074582E">
            <w:pPr>
              <w:jc w:val="both"/>
              <w:rPr>
                <w:sz w:val="20"/>
              </w:rPr>
            </w:pPr>
            <w:r w:rsidRPr="00B10752">
              <w:rPr>
                <w:sz w:val="20"/>
              </w:rPr>
              <w:t>Quebec Court of Appeal (Montréal)</w:t>
            </w:r>
          </w:p>
          <w:p w:rsidR="00E70281" w:rsidRPr="00B10752" w:rsidRDefault="00E70281" w:rsidP="0074582E">
            <w:pPr>
              <w:jc w:val="both"/>
              <w:rPr>
                <w:sz w:val="20"/>
              </w:rPr>
            </w:pPr>
            <w:r w:rsidRPr="00B10752">
              <w:rPr>
                <w:sz w:val="20"/>
              </w:rPr>
              <w:t>(Lévesque, Mainville and Roy JJ.A.)</w:t>
            </w:r>
          </w:p>
          <w:p w:rsidR="00E70281" w:rsidRPr="00B10752" w:rsidRDefault="00B10752" w:rsidP="0074582E">
            <w:pPr>
              <w:jc w:val="both"/>
              <w:rPr>
                <w:sz w:val="20"/>
              </w:rPr>
            </w:pPr>
            <w:hyperlink r:id="rId17" w:history="1">
              <w:r w:rsidR="00E70281" w:rsidRPr="00B10752">
                <w:rPr>
                  <w:rStyle w:val="Hyperlink"/>
                  <w:sz w:val="20"/>
                </w:rPr>
                <w:t>2020 QCCA 1378</w:t>
              </w:r>
            </w:hyperlink>
            <w:r w:rsidR="00E70281" w:rsidRPr="00B10752">
              <w:rPr>
                <w:sz w:val="20"/>
              </w:rPr>
              <w:t xml:space="preserve"> </w:t>
            </w:r>
          </w:p>
          <w:p w:rsidR="00E70281" w:rsidRPr="00B10752" w:rsidRDefault="00E70281" w:rsidP="0074582E">
            <w:pPr>
              <w:jc w:val="both"/>
              <w:rPr>
                <w:sz w:val="20"/>
              </w:rPr>
            </w:pPr>
          </w:p>
        </w:tc>
        <w:tc>
          <w:tcPr>
            <w:tcW w:w="267" w:type="pct"/>
          </w:tcPr>
          <w:p w:rsidR="00E70281" w:rsidRPr="00B10752" w:rsidRDefault="00E70281" w:rsidP="0074582E">
            <w:pPr>
              <w:jc w:val="both"/>
              <w:rPr>
                <w:sz w:val="20"/>
              </w:rPr>
            </w:pPr>
          </w:p>
        </w:tc>
        <w:tc>
          <w:tcPr>
            <w:tcW w:w="2366" w:type="pct"/>
            <w:gridSpan w:val="2"/>
          </w:tcPr>
          <w:p w:rsidR="00E70281" w:rsidRPr="00B10752" w:rsidRDefault="00E70281" w:rsidP="0074582E">
            <w:pPr>
              <w:jc w:val="both"/>
              <w:rPr>
                <w:sz w:val="20"/>
              </w:rPr>
            </w:pPr>
            <w:r w:rsidRPr="00B10752">
              <w:rPr>
                <w:sz w:val="20"/>
              </w:rPr>
              <w:t>Appeal from guilty verdict dismissed</w:t>
            </w:r>
          </w:p>
          <w:p w:rsidR="00E70281" w:rsidRPr="00B10752" w:rsidRDefault="00E70281" w:rsidP="0074582E">
            <w:pPr>
              <w:jc w:val="both"/>
              <w:rPr>
                <w:sz w:val="20"/>
              </w:rPr>
            </w:pPr>
            <w:r w:rsidRPr="00B10752">
              <w:rPr>
                <w:sz w:val="20"/>
              </w:rPr>
              <w:t xml:space="preserve"> </w:t>
            </w:r>
          </w:p>
        </w:tc>
      </w:tr>
    </w:tbl>
    <w:p w:rsidR="00D90258" w:rsidRPr="00B10752" w:rsidRDefault="00D90258">
      <w:r w:rsidRPr="00B10752">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E70281" w:rsidRPr="00B10752" w:rsidTr="0074582E">
        <w:tc>
          <w:tcPr>
            <w:tcW w:w="2367" w:type="pct"/>
          </w:tcPr>
          <w:p w:rsidR="00E70281" w:rsidRPr="00B10752" w:rsidRDefault="00E70281" w:rsidP="0074582E">
            <w:pPr>
              <w:jc w:val="both"/>
              <w:rPr>
                <w:sz w:val="20"/>
              </w:rPr>
            </w:pPr>
            <w:r w:rsidRPr="00B10752">
              <w:rPr>
                <w:sz w:val="20"/>
              </w:rPr>
              <w:lastRenderedPageBreak/>
              <w:t>December 23, 2020</w:t>
            </w:r>
          </w:p>
          <w:p w:rsidR="00E70281" w:rsidRPr="00B10752" w:rsidRDefault="00E70281" w:rsidP="0074582E">
            <w:pPr>
              <w:jc w:val="both"/>
              <w:rPr>
                <w:sz w:val="20"/>
              </w:rPr>
            </w:pPr>
            <w:r w:rsidRPr="00B10752">
              <w:rPr>
                <w:sz w:val="20"/>
              </w:rPr>
              <w:t>Supreme Court of Canada</w:t>
            </w:r>
          </w:p>
        </w:tc>
        <w:tc>
          <w:tcPr>
            <w:tcW w:w="267" w:type="pct"/>
          </w:tcPr>
          <w:p w:rsidR="00E70281" w:rsidRPr="00B10752" w:rsidRDefault="00E70281" w:rsidP="0074582E">
            <w:pPr>
              <w:jc w:val="both"/>
              <w:rPr>
                <w:sz w:val="20"/>
              </w:rPr>
            </w:pPr>
          </w:p>
        </w:tc>
        <w:tc>
          <w:tcPr>
            <w:tcW w:w="2366" w:type="pct"/>
          </w:tcPr>
          <w:p w:rsidR="00E70281" w:rsidRPr="00B10752" w:rsidRDefault="00E70281" w:rsidP="0074582E">
            <w:pPr>
              <w:jc w:val="both"/>
              <w:rPr>
                <w:sz w:val="20"/>
              </w:rPr>
            </w:pPr>
            <w:r w:rsidRPr="00B10752">
              <w:rPr>
                <w:sz w:val="20"/>
              </w:rPr>
              <w:t>Application for leave to appeal filed</w:t>
            </w: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37" style="width:2in;height:1pt" o:hrpct="0" o:hralign="center" o:hrstd="t" o:hrnoshade="t" o:hr="t" fillcolor="black [3213]" stroked="f"/>
        </w:pict>
      </w:r>
    </w:p>
    <w:p w:rsidR="00E70281" w:rsidRPr="00B10752" w:rsidRDefault="00E70281" w:rsidP="00E70281">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21"/>
        <w:gridCol w:w="514"/>
        <w:gridCol w:w="4459"/>
        <w:gridCol w:w="92"/>
      </w:tblGrid>
      <w:tr w:rsidR="00E70281" w:rsidRPr="00B10752" w:rsidTr="0074582E">
        <w:trPr>
          <w:gridAfter w:val="1"/>
          <w:wAfter w:w="48" w:type="pct"/>
        </w:trPr>
        <w:tc>
          <w:tcPr>
            <w:tcW w:w="537" w:type="pct"/>
          </w:tcPr>
          <w:p w:rsidR="00E70281" w:rsidRPr="00B10752" w:rsidRDefault="00E70281" w:rsidP="0074582E">
            <w:pPr>
              <w:jc w:val="both"/>
              <w:rPr>
                <w:sz w:val="20"/>
              </w:rPr>
            </w:pPr>
            <w:r w:rsidRPr="00B10752">
              <w:rPr>
                <w:rStyle w:val="SCCFileNumberChar"/>
                <w:sz w:val="20"/>
                <w:szCs w:val="20"/>
              </w:rPr>
              <w:t>39498</w:t>
            </w:r>
          </w:p>
        </w:tc>
        <w:tc>
          <w:tcPr>
            <w:tcW w:w="4415" w:type="pct"/>
            <w:gridSpan w:val="3"/>
          </w:tcPr>
          <w:p w:rsidR="00E70281" w:rsidRPr="00B10752" w:rsidRDefault="00E70281" w:rsidP="0074582E">
            <w:pPr>
              <w:pStyle w:val="SCCLsocParty"/>
              <w:jc w:val="both"/>
              <w:rPr>
                <w:b/>
                <w:sz w:val="20"/>
                <w:szCs w:val="20"/>
              </w:rPr>
            </w:pPr>
            <w:r w:rsidRPr="00B10752">
              <w:rPr>
                <w:b/>
                <w:sz w:val="20"/>
                <w:szCs w:val="20"/>
              </w:rPr>
              <w:t>Roberto Amato c. Sa Majesté la Reine</w:t>
            </w:r>
          </w:p>
          <w:p w:rsidR="00E70281" w:rsidRPr="00B10752" w:rsidRDefault="00E70281" w:rsidP="0074582E">
            <w:pPr>
              <w:jc w:val="both"/>
              <w:rPr>
                <w:sz w:val="20"/>
              </w:rPr>
            </w:pPr>
            <w:r w:rsidRPr="00B10752">
              <w:rPr>
                <w:sz w:val="20"/>
              </w:rPr>
              <w:t>(Qc) (Criminelle) (Autorisation)</w:t>
            </w:r>
          </w:p>
        </w:tc>
      </w:tr>
      <w:tr w:rsidR="00E70281" w:rsidRPr="00B10752" w:rsidTr="0074582E">
        <w:trPr>
          <w:gridAfter w:val="1"/>
          <w:wAfter w:w="48" w:type="pct"/>
        </w:trPr>
        <w:tc>
          <w:tcPr>
            <w:tcW w:w="4952" w:type="pct"/>
            <w:gridSpan w:val="4"/>
          </w:tcPr>
          <w:p w:rsidR="00E108DC" w:rsidRPr="00B10752" w:rsidRDefault="00E108DC" w:rsidP="00E108DC">
            <w:pPr>
              <w:jc w:val="both"/>
              <w:rPr>
                <w:sz w:val="20"/>
                <w:szCs w:val="20"/>
                <w:lang w:val="fr-CA"/>
              </w:rPr>
            </w:pPr>
            <w:r w:rsidRPr="00B10752">
              <w:rPr>
                <w:sz w:val="20"/>
                <w:szCs w:val="20"/>
                <w:lang w:val="fr-CA"/>
              </w:rPr>
              <w:t>La demande d’autorisation d’appel de l’arrêt de la Cour d’appel du Québec (Montréal), numéro 500-10-006237-166, 2020 QCCA 1380, daté du 26 octobre 2020, est rejetée.</w:t>
            </w:r>
          </w:p>
          <w:p w:rsidR="00E70281" w:rsidRPr="00B10752" w:rsidRDefault="00E70281" w:rsidP="00E108DC">
            <w:pPr>
              <w:tabs>
                <w:tab w:val="left" w:pos="1514"/>
              </w:tabs>
              <w:jc w:val="both"/>
              <w:rPr>
                <w:sz w:val="20"/>
                <w:lang w:val="fr-CA"/>
              </w:rPr>
            </w:pPr>
          </w:p>
        </w:tc>
      </w:tr>
      <w:tr w:rsidR="00E70281" w:rsidRPr="00B10752" w:rsidTr="0074582E">
        <w:trPr>
          <w:gridAfter w:val="1"/>
          <w:wAfter w:w="48" w:type="pct"/>
        </w:trPr>
        <w:tc>
          <w:tcPr>
            <w:tcW w:w="4952" w:type="pct"/>
            <w:gridSpan w:val="4"/>
          </w:tcPr>
          <w:p w:rsidR="00E70281" w:rsidRPr="00B10752" w:rsidRDefault="00E70281" w:rsidP="0074582E">
            <w:pPr>
              <w:jc w:val="both"/>
              <w:rPr>
                <w:sz w:val="20"/>
                <w:lang w:val="fr-CA"/>
              </w:rPr>
            </w:pPr>
            <w:r w:rsidRPr="00B10752">
              <w:rPr>
                <w:sz w:val="20"/>
                <w:lang w:val="fr-CA"/>
              </w:rPr>
              <w:t>Droit criminel — Détermination de la peine — Durée des procédures — La Cour d’appel a</w:t>
            </w:r>
            <w:r w:rsidRPr="00B10752">
              <w:rPr>
                <w:sz w:val="20"/>
                <w:lang w:val="fr-CA"/>
              </w:rPr>
              <w:noBreakHyphen/>
              <w:t>t</w:t>
            </w:r>
            <w:r w:rsidRPr="00B10752">
              <w:rPr>
                <w:sz w:val="20"/>
                <w:lang w:val="fr-CA"/>
              </w:rPr>
              <w:noBreakHyphen/>
              <w:t>elle erré en décidant que la juge de première instance ne pouvait pas prendre en considération la durée des procédures comme facteur pertinent de détermination de la peine?</w:t>
            </w:r>
          </w:p>
          <w:p w:rsidR="00E70281" w:rsidRPr="00B10752" w:rsidRDefault="00E70281" w:rsidP="0074582E">
            <w:pPr>
              <w:jc w:val="both"/>
              <w:rPr>
                <w:sz w:val="20"/>
                <w:lang w:val="fr-CA"/>
              </w:rPr>
            </w:pPr>
          </w:p>
        </w:tc>
      </w:tr>
      <w:tr w:rsidR="00E70281" w:rsidRPr="00B10752" w:rsidTr="0074582E">
        <w:trPr>
          <w:gridAfter w:val="1"/>
          <w:wAfter w:w="48" w:type="pct"/>
        </w:trPr>
        <w:tc>
          <w:tcPr>
            <w:tcW w:w="4952" w:type="pct"/>
            <w:gridSpan w:val="4"/>
          </w:tcPr>
          <w:p w:rsidR="00E70281" w:rsidRPr="00B10752" w:rsidRDefault="00E70281" w:rsidP="0074582E">
            <w:pPr>
              <w:jc w:val="both"/>
              <w:rPr>
                <w:sz w:val="20"/>
                <w:lang w:val="fr-CA"/>
              </w:rPr>
            </w:pPr>
            <w:r w:rsidRPr="00B10752">
              <w:rPr>
                <w:sz w:val="20"/>
                <w:lang w:val="fr-CA"/>
              </w:rPr>
              <w:t xml:space="preserve">Le demandeur a été déclaré coupable par un jury des infractions suivantes : complot pour le recyclage des produits de la criminalité (al. 465(1)c) C.cr.); gangstérisme (art. 467.12 C.cr.); et recyclage des produits de la criminalité (art. 462.31 C.cr.). Le demandeur et la poursuivante se sont pourvus contre la décision de la juge d’instance qui a accueilli en partie une requête en verdict imposé d’acquittement. En appel, le demandeur fait essentiellement valoir que sa requête en verdict imposé d’acquittement aurait dû être accueillie à l’égard de tous les chefs le concernant. Au surplus, il soutient principalement que le verdict rendu par le jury est déraisonnable à l’égard de plusieurs des chefs d’accusation. La poursuivante, pour sa part, considère que la requête en verdict imposé d’acquittement n’aurait pas dû être accueillie pour ce qui est d’un coaccusé, Monsieur Lafortune, et que les chefs de l’acte d’accusation le concernant auraient dû être soumis au jury. La Cour d’appel rejette les appels </w:t>
            </w:r>
            <w:r w:rsidRPr="00B10752">
              <w:rPr>
                <w:sz w:val="20"/>
                <w:lang w:val="fr-FR"/>
              </w:rPr>
              <w:t>contre les verdicts de culpabilité de Messieurs Amato et Lafortune, la requête de Monsieur Lafortune en arrêt des procédures de même que l’appel de la poursuivante.</w:t>
            </w:r>
          </w:p>
          <w:p w:rsidR="00E70281" w:rsidRPr="00B10752" w:rsidRDefault="00E70281" w:rsidP="0074582E">
            <w:pPr>
              <w:jc w:val="both"/>
              <w:rPr>
                <w:sz w:val="20"/>
                <w:lang w:val="fr-CA"/>
              </w:rPr>
            </w:pPr>
          </w:p>
        </w:tc>
      </w:tr>
      <w:tr w:rsidR="00E70281" w:rsidRPr="00B10752" w:rsidTr="0074582E">
        <w:tblPrEx>
          <w:tblCellMar>
            <w:bottom w:w="0" w:type="dxa"/>
          </w:tblCellMar>
        </w:tblPrEx>
        <w:tc>
          <w:tcPr>
            <w:tcW w:w="2367" w:type="pct"/>
            <w:gridSpan w:val="2"/>
          </w:tcPr>
          <w:p w:rsidR="00E70281" w:rsidRPr="00B10752" w:rsidRDefault="00E70281" w:rsidP="0074582E">
            <w:pPr>
              <w:jc w:val="both"/>
              <w:rPr>
                <w:sz w:val="20"/>
                <w:lang w:val="fr-CA"/>
              </w:rPr>
            </w:pPr>
            <w:r w:rsidRPr="00B10752">
              <w:rPr>
                <w:sz w:val="20"/>
                <w:lang w:val="fr-CA"/>
              </w:rPr>
              <w:t>Le 1 juillet 2016</w:t>
            </w:r>
          </w:p>
          <w:p w:rsidR="00E70281" w:rsidRPr="00B10752" w:rsidRDefault="00E70281" w:rsidP="0074582E">
            <w:pPr>
              <w:jc w:val="both"/>
              <w:rPr>
                <w:sz w:val="20"/>
                <w:lang w:val="fr-CA"/>
              </w:rPr>
            </w:pPr>
            <w:r w:rsidRPr="00B10752">
              <w:rPr>
                <w:sz w:val="20"/>
                <w:lang w:val="fr-CA"/>
              </w:rPr>
              <w:t>Cour supérieure du Québec</w:t>
            </w:r>
          </w:p>
          <w:p w:rsidR="00E70281" w:rsidRPr="00B10752" w:rsidRDefault="00E70281" w:rsidP="0074582E">
            <w:pPr>
              <w:jc w:val="both"/>
              <w:rPr>
                <w:sz w:val="20"/>
                <w:lang w:val="fr-CA"/>
              </w:rPr>
            </w:pPr>
            <w:r w:rsidRPr="00B10752">
              <w:rPr>
                <w:sz w:val="20"/>
                <w:lang w:val="fr-CA"/>
              </w:rPr>
              <w:t>(La juge St</w:t>
            </w:r>
            <w:r w:rsidRPr="00B10752">
              <w:rPr>
                <w:sz w:val="20"/>
                <w:lang w:val="fr-CA"/>
              </w:rPr>
              <w:noBreakHyphen/>
              <w:t>Gelais)</w:t>
            </w:r>
          </w:p>
          <w:p w:rsidR="00E70281" w:rsidRPr="00B10752" w:rsidRDefault="00E70281" w:rsidP="0074582E">
            <w:pPr>
              <w:jc w:val="both"/>
              <w:rPr>
                <w:sz w:val="20"/>
                <w:lang w:val="fr-CA"/>
              </w:rPr>
            </w:pPr>
            <w:r w:rsidRPr="00B10752">
              <w:rPr>
                <w:sz w:val="20"/>
                <w:lang w:val="fr-CA"/>
              </w:rPr>
              <w:t>Non publié</w:t>
            </w:r>
          </w:p>
          <w:p w:rsidR="00E70281" w:rsidRPr="00B10752" w:rsidRDefault="00E70281" w:rsidP="0074582E">
            <w:pPr>
              <w:jc w:val="both"/>
              <w:rPr>
                <w:sz w:val="20"/>
                <w:lang w:val="fr-CA"/>
              </w:rPr>
            </w:pPr>
          </w:p>
        </w:tc>
        <w:tc>
          <w:tcPr>
            <w:tcW w:w="267" w:type="pct"/>
          </w:tcPr>
          <w:p w:rsidR="00E70281" w:rsidRPr="00B10752" w:rsidRDefault="00E70281" w:rsidP="0074582E">
            <w:pPr>
              <w:jc w:val="both"/>
              <w:rPr>
                <w:sz w:val="20"/>
                <w:lang w:val="fr-CA"/>
              </w:rPr>
            </w:pPr>
          </w:p>
        </w:tc>
        <w:tc>
          <w:tcPr>
            <w:tcW w:w="2366" w:type="pct"/>
            <w:gridSpan w:val="2"/>
          </w:tcPr>
          <w:p w:rsidR="00E70281" w:rsidRPr="00B10752" w:rsidRDefault="00E70281" w:rsidP="0074582E">
            <w:pPr>
              <w:jc w:val="both"/>
              <w:rPr>
                <w:sz w:val="20"/>
                <w:lang w:val="fr-CA"/>
              </w:rPr>
            </w:pPr>
            <w:r w:rsidRPr="00B10752">
              <w:rPr>
                <w:sz w:val="20"/>
                <w:lang w:val="fr-CA"/>
              </w:rPr>
              <w:t>Verdict de culpabilité prononcé par un jury</w:t>
            </w:r>
          </w:p>
        </w:tc>
      </w:tr>
      <w:tr w:rsidR="00E70281" w:rsidRPr="00B10752" w:rsidTr="0074582E">
        <w:tblPrEx>
          <w:tblCellMar>
            <w:bottom w:w="0" w:type="dxa"/>
          </w:tblCellMar>
        </w:tblPrEx>
        <w:tc>
          <w:tcPr>
            <w:tcW w:w="2367" w:type="pct"/>
            <w:gridSpan w:val="2"/>
          </w:tcPr>
          <w:p w:rsidR="00E70281" w:rsidRPr="00B10752" w:rsidRDefault="00E70281" w:rsidP="0074582E">
            <w:pPr>
              <w:jc w:val="both"/>
              <w:rPr>
                <w:sz w:val="20"/>
                <w:lang w:val="fr-CA"/>
              </w:rPr>
            </w:pPr>
            <w:r w:rsidRPr="00B10752">
              <w:rPr>
                <w:sz w:val="20"/>
                <w:lang w:val="fr-CA"/>
              </w:rPr>
              <w:t>Le 26 octobre 2020</w:t>
            </w:r>
          </w:p>
          <w:p w:rsidR="00E70281" w:rsidRPr="00B10752" w:rsidRDefault="00E70281" w:rsidP="0074582E">
            <w:pPr>
              <w:jc w:val="both"/>
              <w:rPr>
                <w:sz w:val="20"/>
                <w:lang w:val="fr-CA"/>
              </w:rPr>
            </w:pPr>
            <w:r w:rsidRPr="00B10752">
              <w:rPr>
                <w:sz w:val="20"/>
                <w:lang w:val="fr-CA"/>
              </w:rPr>
              <w:t>Cour d’appel du Québec (Montréal)</w:t>
            </w:r>
          </w:p>
          <w:p w:rsidR="00E70281" w:rsidRPr="00B10752" w:rsidRDefault="00E70281" w:rsidP="0074582E">
            <w:pPr>
              <w:jc w:val="both"/>
              <w:rPr>
                <w:sz w:val="20"/>
                <w:lang w:val="fr-CA"/>
              </w:rPr>
            </w:pPr>
            <w:r w:rsidRPr="00B10752">
              <w:rPr>
                <w:sz w:val="20"/>
                <w:lang w:val="fr-CA"/>
              </w:rPr>
              <w:t>(Les juges Lévesque, Mainville et Roy)</w:t>
            </w:r>
          </w:p>
          <w:p w:rsidR="00E70281" w:rsidRPr="00B10752" w:rsidRDefault="00B10752" w:rsidP="0074582E">
            <w:pPr>
              <w:jc w:val="both"/>
              <w:rPr>
                <w:sz w:val="20"/>
              </w:rPr>
            </w:pPr>
            <w:hyperlink r:id="rId18" w:history="1">
              <w:r w:rsidR="00E70281" w:rsidRPr="00B10752">
                <w:rPr>
                  <w:rStyle w:val="Hyperlink"/>
                  <w:sz w:val="20"/>
                </w:rPr>
                <w:t>2020 QCCA 1378</w:t>
              </w:r>
            </w:hyperlink>
            <w:r w:rsidR="00E70281" w:rsidRPr="00B10752">
              <w:rPr>
                <w:sz w:val="20"/>
              </w:rPr>
              <w:t xml:space="preserve"> </w:t>
            </w:r>
          </w:p>
          <w:p w:rsidR="00E70281" w:rsidRPr="00B10752" w:rsidRDefault="00E70281" w:rsidP="0074582E">
            <w:pPr>
              <w:jc w:val="both"/>
              <w:rPr>
                <w:sz w:val="20"/>
              </w:rPr>
            </w:pPr>
          </w:p>
        </w:tc>
        <w:tc>
          <w:tcPr>
            <w:tcW w:w="267" w:type="pct"/>
          </w:tcPr>
          <w:p w:rsidR="00E70281" w:rsidRPr="00B10752" w:rsidRDefault="00E70281" w:rsidP="0074582E">
            <w:pPr>
              <w:jc w:val="both"/>
              <w:rPr>
                <w:sz w:val="20"/>
              </w:rPr>
            </w:pPr>
          </w:p>
        </w:tc>
        <w:tc>
          <w:tcPr>
            <w:tcW w:w="2366" w:type="pct"/>
            <w:gridSpan w:val="2"/>
          </w:tcPr>
          <w:p w:rsidR="00E70281" w:rsidRPr="00B10752" w:rsidRDefault="00E70281" w:rsidP="0074582E">
            <w:pPr>
              <w:jc w:val="both"/>
              <w:rPr>
                <w:sz w:val="20"/>
                <w:lang w:val="fr-FR"/>
              </w:rPr>
            </w:pPr>
            <w:r w:rsidRPr="00B10752">
              <w:rPr>
                <w:sz w:val="20"/>
                <w:lang w:val="fr-CA"/>
              </w:rPr>
              <w:t>A</w:t>
            </w:r>
            <w:r w:rsidRPr="00B10752">
              <w:rPr>
                <w:sz w:val="20"/>
                <w:lang w:val="fr-FR"/>
              </w:rPr>
              <w:t>ppel contre le verdict de culpabilité rejeté</w:t>
            </w:r>
          </w:p>
          <w:p w:rsidR="00E70281" w:rsidRPr="00B10752" w:rsidRDefault="00E70281" w:rsidP="0074582E">
            <w:pPr>
              <w:jc w:val="both"/>
              <w:rPr>
                <w:sz w:val="20"/>
                <w:lang w:val="fr-CA"/>
              </w:rPr>
            </w:pPr>
            <w:r w:rsidRPr="00B10752">
              <w:rPr>
                <w:sz w:val="20"/>
                <w:lang w:val="fr-CA"/>
              </w:rPr>
              <w:t xml:space="preserve"> </w:t>
            </w:r>
          </w:p>
        </w:tc>
      </w:tr>
      <w:tr w:rsidR="00E70281" w:rsidRPr="00B10752" w:rsidTr="0074582E">
        <w:tblPrEx>
          <w:tblCellMar>
            <w:bottom w:w="0" w:type="dxa"/>
          </w:tblCellMar>
        </w:tblPrEx>
        <w:tc>
          <w:tcPr>
            <w:tcW w:w="2367" w:type="pct"/>
            <w:gridSpan w:val="2"/>
          </w:tcPr>
          <w:p w:rsidR="00E70281" w:rsidRPr="00B10752" w:rsidRDefault="00E70281" w:rsidP="0074582E">
            <w:pPr>
              <w:jc w:val="both"/>
              <w:rPr>
                <w:sz w:val="20"/>
                <w:lang w:val="fr-CA"/>
              </w:rPr>
            </w:pPr>
            <w:r w:rsidRPr="00B10752">
              <w:rPr>
                <w:sz w:val="20"/>
                <w:lang w:val="fr-CA"/>
              </w:rPr>
              <w:t>Le 23 décembre 2020</w:t>
            </w:r>
          </w:p>
          <w:p w:rsidR="00E70281" w:rsidRPr="00B10752" w:rsidRDefault="00E70281" w:rsidP="0074582E">
            <w:pPr>
              <w:jc w:val="both"/>
              <w:rPr>
                <w:sz w:val="20"/>
                <w:lang w:val="fr-CA"/>
              </w:rPr>
            </w:pPr>
            <w:r w:rsidRPr="00B10752">
              <w:rPr>
                <w:sz w:val="20"/>
                <w:lang w:val="fr-CA"/>
              </w:rPr>
              <w:t>Cour suprême du Canada</w:t>
            </w:r>
          </w:p>
        </w:tc>
        <w:tc>
          <w:tcPr>
            <w:tcW w:w="267" w:type="pct"/>
          </w:tcPr>
          <w:p w:rsidR="00E70281" w:rsidRPr="00B10752" w:rsidRDefault="00E70281" w:rsidP="0074582E">
            <w:pPr>
              <w:jc w:val="both"/>
              <w:rPr>
                <w:sz w:val="20"/>
                <w:lang w:val="fr-CA"/>
              </w:rPr>
            </w:pPr>
          </w:p>
        </w:tc>
        <w:tc>
          <w:tcPr>
            <w:tcW w:w="2366" w:type="pct"/>
            <w:gridSpan w:val="2"/>
          </w:tcPr>
          <w:p w:rsidR="00E70281" w:rsidRPr="00B10752" w:rsidRDefault="00E70281" w:rsidP="0074582E">
            <w:pPr>
              <w:jc w:val="both"/>
              <w:rPr>
                <w:sz w:val="20"/>
              </w:rPr>
            </w:pPr>
            <w:r w:rsidRPr="00B10752">
              <w:rPr>
                <w:sz w:val="20"/>
              </w:rPr>
              <w:t>Demande d’autorisation d’appel déposée</w:t>
            </w:r>
          </w:p>
        </w:tc>
      </w:tr>
    </w:tbl>
    <w:p w:rsidR="00E70281" w:rsidRPr="00B10752" w:rsidRDefault="00E70281" w:rsidP="00E70281">
      <w:pPr>
        <w:widowControl w:val="0"/>
        <w:jc w:val="both"/>
        <w:rPr>
          <w:sz w:val="20"/>
        </w:rPr>
      </w:pPr>
    </w:p>
    <w:p w:rsidR="00E70281" w:rsidRPr="00B10752" w:rsidRDefault="00B10752" w:rsidP="00E70281">
      <w:pPr>
        <w:widowControl w:val="0"/>
        <w:jc w:val="both"/>
        <w:rPr>
          <w:sz w:val="20"/>
        </w:rPr>
      </w:pPr>
      <w:r w:rsidRPr="00B10752">
        <w:rPr>
          <w:sz w:val="20"/>
        </w:rPr>
        <w:pict>
          <v:rect id="_x0000_i1038" style="width:2in;height:1pt" o:hrpct="0" o:hralign="center" o:hrstd="t" o:hrnoshade="t" o:hr="t" fillcolor="black [3213]" stroked="f"/>
        </w:pict>
      </w:r>
    </w:p>
    <w:p w:rsidR="00E70281" w:rsidRPr="00B10752" w:rsidRDefault="00E70281" w:rsidP="00E70281">
      <w:pPr>
        <w:widowControl w:val="0"/>
        <w:jc w:val="both"/>
        <w:rPr>
          <w:sz w:val="20"/>
        </w:rPr>
      </w:pPr>
    </w:p>
    <w:p w:rsidR="00D90258" w:rsidRPr="00B10752" w:rsidRDefault="00D90258">
      <w:r w:rsidRPr="00B10752">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lastRenderedPageBreak/>
              <w:t>39305</w:t>
            </w:r>
          </w:p>
        </w:tc>
        <w:tc>
          <w:tcPr>
            <w:tcW w:w="4457" w:type="pct"/>
          </w:tcPr>
          <w:p w:rsidR="00E70281" w:rsidRPr="00B10752" w:rsidRDefault="005E4499" w:rsidP="0074582E">
            <w:pPr>
              <w:pStyle w:val="SCCLsocParty"/>
              <w:jc w:val="both"/>
              <w:rPr>
                <w:b/>
                <w:sz w:val="20"/>
                <w:szCs w:val="20"/>
                <w:lang w:val="en-US"/>
              </w:rPr>
            </w:pPr>
            <w:r w:rsidRPr="00B10752">
              <w:rPr>
                <w:b/>
                <w:sz w:val="20"/>
                <w:szCs w:val="20"/>
                <w:lang w:val="en-US"/>
              </w:rPr>
              <w:t>Lloyd’s Underwriters (as insurer of SNC-Lavalin Inc., formerly doing business as Terratech Inc. and SNC-Lavalin Environnement Inc., and Alain Blanchette) v. Lise Deguise et al.</w:t>
            </w:r>
          </w:p>
          <w:p w:rsidR="00E70281" w:rsidRPr="00B10752" w:rsidRDefault="00E70281" w:rsidP="0074582E">
            <w:pPr>
              <w:pStyle w:val="SCCLsocParty"/>
              <w:jc w:val="both"/>
              <w:rPr>
                <w:sz w:val="20"/>
                <w:szCs w:val="20"/>
                <w:lang w:val="en-US"/>
              </w:rPr>
            </w:pPr>
          </w:p>
          <w:p w:rsidR="00E70281" w:rsidRPr="00B10752" w:rsidRDefault="00E70281" w:rsidP="0074582E">
            <w:pPr>
              <w:pStyle w:val="SCCLsocSubfileSeparator0"/>
              <w:rPr>
                <w:sz w:val="20"/>
                <w:szCs w:val="20"/>
              </w:rPr>
            </w:pPr>
            <w:r w:rsidRPr="00B10752">
              <w:rPr>
                <w:sz w:val="20"/>
                <w:szCs w:val="20"/>
              </w:rPr>
              <w:t xml:space="preserve">- and between </w:t>
            </w:r>
            <w:r w:rsidR="005E4499" w:rsidRPr="00B10752">
              <w:rPr>
                <w:sz w:val="20"/>
                <w:szCs w:val="20"/>
              </w:rPr>
              <w:t>-</w:t>
            </w:r>
          </w:p>
          <w:p w:rsidR="00E70281" w:rsidRPr="00B10752" w:rsidRDefault="00E70281" w:rsidP="0074582E">
            <w:pPr>
              <w:jc w:val="both"/>
              <w:rPr>
                <w:sz w:val="20"/>
              </w:rPr>
            </w:pPr>
          </w:p>
          <w:p w:rsidR="00E70281" w:rsidRPr="00B10752" w:rsidRDefault="005E4499" w:rsidP="0074582E">
            <w:pPr>
              <w:pStyle w:val="SCCLsocParty"/>
              <w:jc w:val="both"/>
              <w:rPr>
                <w:b/>
                <w:sz w:val="20"/>
                <w:szCs w:val="20"/>
                <w:lang w:val="en-US"/>
              </w:rPr>
            </w:pPr>
            <w:r w:rsidRPr="00B10752">
              <w:rPr>
                <w:b/>
                <w:sz w:val="20"/>
                <w:szCs w:val="20"/>
                <w:lang w:val="en-US"/>
              </w:rPr>
              <w:t>AIG Insurance Company of Canada (formerly known as Chartis Insurance Company of Canada), (as insurer of SNC-Lavalin Inc., formerly doing business as Terratech Inc. and SNC-Lavalin Environnement Inc., and Alain Blanchette) v. Denis Trahan, et al.</w:t>
            </w:r>
          </w:p>
          <w:p w:rsidR="00E70281" w:rsidRPr="00B10752" w:rsidRDefault="00E70281" w:rsidP="0074582E">
            <w:pPr>
              <w:jc w:val="both"/>
              <w:rPr>
                <w:sz w:val="20"/>
              </w:rPr>
            </w:pPr>
          </w:p>
          <w:p w:rsidR="00E70281" w:rsidRPr="00B10752" w:rsidRDefault="00E70281" w:rsidP="0074582E">
            <w:pPr>
              <w:pStyle w:val="SCCLsocSubfileSeparator0"/>
              <w:rPr>
                <w:sz w:val="20"/>
                <w:szCs w:val="20"/>
              </w:rPr>
            </w:pPr>
            <w:r w:rsidRPr="00B10752">
              <w:rPr>
                <w:sz w:val="20"/>
                <w:szCs w:val="20"/>
              </w:rPr>
              <w:t xml:space="preserve">- and between </w:t>
            </w:r>
            <w:r w:rsidR="005E4499" w:rsidRPr="00B10752">
              <w:rPr>
                <w:sz w:val="20"/>
                <w:szCs w:val="20"/>
              </w:rPr>
              <w:t>-</w:t>
            </w:r>
          </w:p>
          <w:p w:rsidR="00E70281" w:rsidRPr="00B10752" w:rsidRDefault="00E70281" w:rsidP="0074582E">
            <w:pPr>
              <w:jc w:val="both"/>
              <w:rPr>
                <w:sz w:val="20"/>
              </w:rPr>
            </w:pPr>
          </w:p>
          <w:p w:rsidR="00E70281" w:rsidRPr="00B10752" w:rsidRDefault="005E4499" w:rsidP="0074582E">
            <w:pPr>
              <w:pStyle w:val="SCCLsocParty"/>
              <w:jc w:val="both"/>
              <w:rPr>
                <w:b/>
                <w:sz w:val="20"/>
                <w:szCs w:val="20"/>
                <w:lang w:val="en-US"/>
              </w:rPr>
            </w:pPr>
            <w:r w:rsidRPr="00B10752">
              <w:rPr>
                <w:b/>
                <w:sz w:val="20"/>
                <w:szCs w:val="20"/>
                <w:lang w:val="en-US"/>
              </w:rPr>
              <w:t>Zurich Insurance Company Ltd. (as insurer of SNC-Lavalin Inc. and Alain Blanchette)</w:t>
            </w:r>
            <w:r w:rsidR="00E70281" w:rsidRPr="00B10752">
              <w:rPr>
                <w:b/>
                <w:sz w:val="20"/>
                <w:szCs w:val="20"/>
                <w:lang w:val="en-US"/>
              </w:rPr>
              <w:t xml:space="preserve"> v. Lise Deguis</w:t>
            </w:r>
            <w:r w:rsidRPr="00B10752">
              <w:rPr>
                <w:b/>
                <w:sz w:val="20"/>
                <w:szCs w:val="20"/>
                <w:lang w:val="en-US"/>
              </w:rPr>
              <w:t>e et al.</w:t>
            </w:r>
          </w:p>
          <w:p w:rsidR="00E70281" w:rsidRPr="00B10752" w:rsidRDefault="00E70281" w:rsidP="0074582E">
            <w:pPr>
              <w:jc w:val="both"/>
              <w:rPr>
                <w:sz w:val="20"/>
              </w:rPr>
            </w:pPr>
          </w:p>
          <w:p w:rsidR="00E70281" w:rsidRPr="00B10752" w:rsidRDefault="00E70281" w:rsidP="0074582E">
            <w:pPr>
              <w:pStyle w:val="SCCLsocSubfileSeparator0"/>
              <w:rPr>
                <w:sz w:val="20"/>
                <w:szCs w:val="20"/>
              </w:rPr>
            </w:pPr>
            <w:r w:rsidRPr="00B10752">
              <w:rPr>
                <w:sz w:val="20"/>
                <w:szCs w:val="20"/>
              </w:rPr>
              <w:t xml:space="preserve">- and between </w:t>
            </w:r>
            <w:r w:rsidR="005E4499" w:rsidRPr="00B10752">
              <w:rPr>
                <w:sz w:val="20"/>
                <w:szCs w:val="20"/>
              </w:rPr>
              <w:t>-</w:t>
            </w:r>
          </w:p>
          <w:p w:rsidR="00E70281" w:rsidRPr="00B10752" w:rsidRDefault="00E70281" w:rsidP="0074582E">
            <w:pPr>
              <w:jc w:val="both"/>
              <w:rPr>
                <w:sz w:val="20"/>
              </w:rPr>
            </w:pPr>
          </w:p>
          <w:p w:rsidR="00E70281" w:rsidRPr="00B10752" w:rsidRDefault="005E4499" w:rsidP="0074582E">
            <w:pPr>
              <w:pStyle w:val="SCCLsocParty"/>
              <w:jc w:val="both"/>
              <w:rPr>
                <w:b/>
                <w:sz w:val="20"/>
                <w:szCs w:val="20"/>
                <w:lang w:val="en-US"/>
              </w:rPr>
            </w:pPr>
            <w:r w:rsidRPr="00B10752">
              <w:rPr>
                <w:b/>
                <w:sz w:val="20"/>
                <w:szCs w:val="20"/>
                <w:lang w:val="en-US"/>
              </w:rPr>
              <w:t>Chubb Insurance Company of Canada (as insurer of SNC-Lavalin Inc. and Alain Blanchette) v. Lise Deguise et al.</w:t>
            </w:r>
          </w:p>
          <w:p w:rsidR="00E70281" w:rsidRPr="00B10752" w:rsidRDefault="00E70281" w:rsidP="0074582E">
            <w:pPr>
              <w:pStyle w:val="SCCLsocParty"/>
              <w:jc w:val="both"/>
              <w:rPr>
                <w:sz w:val="20"/>
                <w:szCs w:val="20"/>
                <w:lang w:val="en-US"/>
              </w:rPr>
            </w:pPr>
          </w:p>
          <w:p w:rsidR="00E70281" w:rsidRPr="00B10752" w:rsidRDefault="00E70281" w:rsidP="0074582E">
            <w:pPr>
              <w:pStyle w:val="SCCLsocSubfileSeparator0"/>
              <w:rPr>
                <w:sz w:val="20"/>
                <w:szCs w:val="20"/>
              </w:rPr>
            </w:pPr>
            <w:r w:rsidRPr="00B10752">
              <w:rPr>
                <w:sz w:val="20"/>
                <w:szCs w:val="20"/>
              </w:rPr>
              <w:t xml:space="preserve">- and between </w:t>
            </w:r>
            <w:r w:rsidR="005E4499" w:rsidRPr="00B10752">
              <w:rPr>
                <w:sz w:val="20"/>
                <w:szCs w:val="20"/>
              </w:rPr>
              <w:t>-</w:t>
            </w:r>
          </w:p>
          <w:p w:rsidR="00E70281" w:rsidRPr="00B10752" w:rsidRDefault="00E70281" w:rsidP="0074582E">
            <w:pPr>
              <w:jc w:val="both"/>
              <w:rPr>
                <w:sz w:val="20"/>
              </w:rPr>
            </w:pPr>
          </w:p>
          <w:p w:rsidR="00E70281" w:rsidRPr="00B10752" w:rsidRDefault="005E4499" w:rsidP="0074582E">
            <w:pPr>
              <w:pStyle w:val="SCCLsocParty"/>
              <w:jc w:val="both"/>
              <w:rPr>
                <w:b/>
                <w:sz w:val="20"/>
                <w:szCs w:val="20"/>
                <w:lang w:val="en-US"/>
              </w:rPr>
            </w:pPr>
            <w:r w:rsidRPr="00B10752">
              <w:rPr>
                <w:b/>
                <w:sz w:val="20"/>
                <w:szCs w:val="20"/>
                <w:lang w:val="en-US"/>
              </w:rPr>
              <w:t>SNC-Lavalin Inc. (formerly doing business as Terratech Inc. and SNC-Lavalin Environnement Inc.), and Alain Blanchette v. Denis Trahan et al.</w:t>
            </w:r>
          </w:p>
          <w:p w:rsidR="00E70281" w:rsidRPr="00B10752" w:rsidRDefault="00E70281" w:rsidP="0074582E">
            <w:pPr>
              <w:jc w:val="both"/>
              <w:rPr>
                <w:sz w:val="20"/>
              </w:rPr>
            </w:pPr>
          </w:p>
          <w:p w:rsidR="00E70281" w:rsidRPr="00B10752" w:rsidRDefault="00E70281" w:rsidP="0074582E">
            <w:pPr>
              <w:pStyle w:val="SCCLsocSubfileSeparator0"/>
              <w:rPr>
                <w:sz w:val="20"/>
                <w:szCs w:val="20"/>
              </w:rPr>
            </w:pPr>
            <w:r w:rsidRPr="00B10752">
              <w:rPr>
                <w:sz w:val="20"/>
                <w:szCs w:val="20"/>
              </w:rPr>
              <w:t xml:space="preserve">- and between </w:t>
            </w:r>
            <w:r w:rsidR="005E4499" w:rsidRPr="00B10752">
              <w:rPr>
                <w:sz w:val="20"/>
                <w:szCs w:val="20"/>
              </w:rPr>
              <w:t>-</w:t>
            </w:r>
          </w:p>
          <w:p w:rsidR="00E70281" w:rsidRPr="00B10752" w:rsidRDefault="00E70281" w:rsidP="0074582E">
            <w:pPr>
              <w:jc w:val="both"/>
              <w:rPr>
                <w:sz w:val="20"/>
              </w:rPr>
            </w:pPr>
          </w:p>
          <w:p w:rsidR="00E70281" w:rsidRPr="00B10752" w:rsidRDefault="005E4499" w:rsidP="0074582E">
            <w:pPr>
              <w:pStyle w:val="SCCLsocParty"/>
              <w:jc w:val="both"/>
              <w:rPr>
                <w:b/>
                <w:sz w:val="20"/>
                <w:szCs w:val="20"/>
                <w:lang w:val="en-US"/>
              </w:rPr>
            </w:pPr>
            <w:r w:rsidRPr="00B10752">
              <w:rPr>
                <w:b/>
                <w:sz w:val="20"/>
                <w:szCs w:val="20"/>
                <w:lang w:val="en-US"/>
              </w:rPr>
              <w:t>AIG Insurance Company of Canada (formerly known as Chartis Insurance Company of Canada) (as insurer of Carrière B &amp; B inc. and Béton Laurentide inc.) v. Denis Trahan et al.</w:t>
            </w:r>
          </w:p>
          <w:p w:rsidR="00E70281" w:rsidRPr="00B10752" w:rsidRDefault="00E70281" w:rsidP="0074582E">
            <w:pPr>
              <w:jc w:val="both"/>
              <w:rPr>
                <w:sz w:val="20"/>
              </w:rPr>
            </w:pPr>
            <w:r w:rsidRPr="00B10752">
              <w:rPr>
                <w:sz w:val="20"/>
              </w:rPr>
              <w:t>(Que.) (Civil) (By Leave)</w:t>
            </w:r>
          </w:p>
        </w:tc>
      </w:tr>
      <w:tr w:rsidR="00E70281" w:rsidRPr="00B10752" w:rsidTr="0074582E">
        <w:tc>
          <w:tcPr>
            <w:tcW w:w="5000" w:type="pct"/>
            <w:gridSpan w:val="2"/>
          </w:tcPr>
          <w:p w:rsidR="005E4499" w:rsidRPr="00B10752" w:rsidRDefault="005E4499" w:rsidP="005E4499">
            <w:pPr>
              <w:jc w:val="both"/>
              <w:rPr>
                <w:sz w:val="20"/>
                <w:szCs w:val="20"/>
              </w:rPr>
            </w:pPr>
            <w:r w:rsidRPr="00B10752">
              <w:rPr>
                <w:sz w:val="20"/>
                <w:szCs w:val="20"/>
              </w:rPr>
              <w:t>The motions for an extension of time to serve and file the applications for leave to appeal are granted. The motion by the applicant Lloyd’s Underwriters for an extension of time to serve and file its replies to October 30, 2020 is granted. The motions to join lower court file numbers and consolidate the applications for leave to appeal from the related judgments of the Court of Appeal of Quebec are granted. The motion to strike by the respondents to the First Application is granted in part, and the affidavits of Travis Budd and David J. Matcham are struck from the application for leave to appeal of Lloyd’s Underwriters. The motion to strike by the respondents to the Fourth Application is granted in part, and the affidavit of Peter Needra is struck from the application for leave to appeal of Chubb Insurance Company of Canada. The six applications for leave to appeal from the judgments of the Court of Appeal of Quebec (Québec), Numbers 200-09-008788-140</w:t>
            </w:r>
            <w:r w:rsidRPr="00B10752">
              <w:rPr>
                <w:rStyle w:val="Hyperlink"/>
                <w:color w:val="auto"/>
                <w:sz w:val="20"/>
                <w:szCs w:val="20"/>
                <w:u w:val="none"/>
              </w:rPr>
              <w:t xml:space="preserve">; 200-09-028788-153; 200-09-038788-151; 200-09-048788-159; </w:t>
            </w:r>
            <w:r w:rsidRPr="00B10752">
              <w:rPr>
                <w:sz w:val="20"/>
                <w:szCs w:val="20"/>
              </w:rPr>
              <w:t>200-09-058788-156; 200-09-068788-154; 200-09-108788-156; 200-09-118788-154; 200-09-128788-152; and 200-09-158788-155, 2020 QCCA 495, all dated April 6, 2020, and from the judgment of the Court of Appeal of Quebec (Québec), Number 200-09-008788-140, dated June 12, 2020, are dismissed with costs.</w:t>
            </w:r>
          </w:p>
          <w:p w:rsidR="005E4499" w:rsidRPr="00B10752" w:rsidRDefault="005E4499" w:rsidP="005E4499">
            <w:pPr>
              <w:jc w:val="both"/>
              <w:rPr>
                <w:rFonts w:cs="Times New Roman"/>
                <w:sz w:val="20"/>
                <w:szCs w:val="20"/>
              </w:rPr>
            </w:pPr>
          </w:p>
          <w:p w:rsidR="005E4499" w:rsidRPr="00B10752" w:rsidRDefault="005E4499" w:rsidP="005E4499">
            <w:pPr>
              <w:jc w:val="both"/>
              <w:rPr>
                <w:sz w:val="20"/>
                <w:szCs w:val="20"/>
              </w:rPr>
            </w:pPr>
            <w:r w:rsidRPr="00B10752">
              <w:rPr>
                <w:rFonts w:cs="Times New Roman"/>
                <w:sz w:val="20"/>
                <w:szCs w:val="20"/>
              </w:rPr>
              <w:t xml:space="preserve">*For greater certainty, this judgment incorporates by reference the related lower court file numbers and parties set out in the annexes of the Court of Appeal of Quebec’s Main Judgment dated April 6, 2020 and of its judgment dated June 12, 2020. A list of respondents to each of the six leave applications can be obtained on the Supreme Court of Canada website at </w:t>
            </w:r>
            <w:hyperlink r:id="rId19" w:history="1">
              <w:r w:rsidRPr="00B10752">
                <w:rPr>
                  <w:rStyle w:val="Hyperlink"/>
                  <w:sz w:val="20"/>
                  <w:szCs w:val="20"/>
                </w:rPr>
                <w:t>https://scc-csc.ca/case-dossier/info/parties-eng.aspx?cas=39305</w:t>
              </w:r>
            </w:hyperlink>
            <w:r w:rsidRPr="00B10752">
              <w:rPr>
                <w:rFonts w:cs="Times New Roman"/>
                <w:sz w:val="20"/>
                <w:szCs w:val="20"/>
              </w:rPr>
              <w:t>.</w:t>
            </w:r>
          </w:p>
          <w:p w:rsidR="00E70281" w:rsidRPr="00B10752" w:rsidRDefault="00E70281" w:rsidP="005E4499">
            <w:pPr>
              <w:tabs>
                <w:tab w:val="left" w:pos="1452"/>
              </w:tabs>
              <w:jc w:val="both"/>
              <w:rPr>
                <w:sz w:val="20"/>
              </w:rPr>
            </w:pPr>
          </w:p>
        </w:tc>
      </w:tr>
    </w:tbl>
    <w:p w:rsidR="00D90258" w:rsidRPr="00B10752" w:rsidRDefault="00D90258">
      <w:r w:rsidRPr="00B10752">
        <w:br w:type="page"/>
      </w: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E70281" w:rsidRPr="00B10752" w:rsidTr="0074582E">
        <w:tc>
          <w:tcPr>
            <w:tcW w:w="5000" w:type="pct"/>
          </w:tcPr>
          <w:p w:rsidR="00E70281" w:rsidRPr="00B10752" w:rsidRDefault="00E70281" w:rsidP="0074582E">
            <w:pPr>
              <w:jc w:val="both"/>
              <w:rPr>
                <w:sz w:val="20"/>
              </w:rPr>
            </w:pPr>
            <w:r w:rsidRPr="00B10752">
              <w:rPr>
                <w:sz w:val="20"/>
              </w:rPr>
              <w:lastRenderedPageBreak/>
              <w:t xml:space="preserve">Civil liability — Professional liability — Failure to warn — Causation — Indeterminate liability —Apportionment of liability — Insurance — Liability Insurance — Contracts — Legislation — Interpretation — </w:t>
            </w:r>
            <w:r w:rsidRPr="00B10752">
              <w:rPr>
                <w:color w:val="000000"/>
                <w:sz w:val="20"/>
              </w:rPr>
              <w:t xml:space="preserve">Whether harmonized solution for Quebec and rest of Canada must be adopted with respect to limit on liability of professional to third persons </w:t>
            </w:r>
            <w:r w:rsidRPr="00B10752">
              <w:rPr>
                <w:sz w:val="20"/>
              </w:rPr>
              <w:t>—</w:t>
            </w:r>
            <w:r w:rsidRPr="00B10752">
              <w:rPr>
                <w:color w:val="000000"/>
                <w:sz w:val="20"/>
              </w:rPr>
              <w:t xml:space="preserve"> Whether manufacturer aware of risks associated with use of manufactured product, and in possession of contradictory reports concerning quality of product sold, can make </w:t>
            </w:r>
            <w:r w:rsidRPr="00B10752">
              <w:rPr>
                <w:color w:val="000000"/>
                <w:spacing w:val="-1"/>
                <w:sz w:val="20"/>
              </w:rPr>
              <w:t xml:space="preserve">one of professionals consulted shoulder responsibility for its business choices and bear consequences relating to warranty of quality by which it is legally bound </w:t>
            </w:r>
            <w:r w:rsidRPr="00B10752">
              <w:rPr>
                <w:sz w:val="20"/>
              </w:rPr>
              <w:t>—</w:t>
            </w:r>
            <w:r w:rsidRPr="00B10752">
              <w:rPr>
                <w:color w:val="000000"/>
                <w:spacing w:val="-1"/>
                <w:sz w:val="20"/>
              </w:rPr>
              <w:t xml:space="preserve"> Whether contractors can avoid assuming any share of liability where award made </w:t>
            </w:r>
            <w:r w:rsidRPr="00B10752">
              <w:rPr>
                <w:i/>
                <w:color w:val="000000"/>
                <w:sz w:val="20"/>
              </w:rPr>
              <w:t xml:space="preserve">in solidum </w:t>
            </w:r>
            <w:r w:rsidRPr="00B10752">
              <w:rPr>
                <w:color w:val="000000"/>
                <w:sz w:val="20"/>
              </w:rPr>
              <w:t xml:space="preserve">even though they breached their duty to act with prudence and diligence in interests of their clients and are subject to statutory liability scheme </w:t>
            </w:r>
            <w:r w:rsidRPr="00B10752">
              <w:rPr>
                <w:sz w:val="20"/>
              </w:rPr>
              <w:t xml:space="preserve">— When an insured has notified a prior circumstance to its insurer, or has prior knowledge of a claim that could be made now or in the future, should a standard notice of circumstance clause, or prior knowledge exclusion, be given its full effect to limit the scope of coverage in subsequent policies — What effects do articles 2500 and 2503 of the </w:t>
            </w:r>
            <w:r w:rsidRPr="00B10752">
              <w:rPr>
                <w:i/>
                <w:sz w:val="20"/>
              </w:rPr>
              <w:t xml:space="preserve">Civil Code of Québec </w:t>
            </w:r>
            <w:r w:rsidRPr="00B10752">
              <w:rPr>
                <w:sz w:val="20"/>
              </w:rPr>
              <w:t xml:space="preserve">(the “CCQ”) have on the erosion of policy limits of liability insurance towers providing worldwide coverage — In particular, to what extent can articles 2500 and 2503 CCQ validly apply to claims received and processed under liability insurance towers in foreign jurisdictions to limit erosion of the total coverage available in Québec under such towers — </w:t>
            </w:r>
            <w:r w:rsidRPr="00B10752">
              <w:rPr>
                <w:color w:val="000000"/>
                <w:sz w:val="20"/>
              </w:rPr>
              <w:t>Whether the Court of Appeal erred in taking into account the identity of insurers in interpreting Clauses 7.2.1 and 6.5 of the Benchmark Policy in the context of successive renewals of multi</w:t>
            </w:r>
            <w:r w:rsidRPr="00B10752">
              <w:rPr>
                <w:color w:val="000000"/>
                <w:sz w:val="20"/>
              </w:rPr>
              <w:noBreakHyphen/>
              <w:t>tower professional liability insurance, thereby accepting the multiplication of coverage for the 2009</w:t>
            </w:r>
            <w:r w:rsidRPr="00B10752">
              <w:rPr>
                <w:color w:val="000000"/>
                <w:sz w:val="20"/>
              </w:rPr>
              <w:noBreakHyphen/>
              <w:t>2010, 2010</w:t>
            </w:r>
            <w:r w:rsidRPr="00B10752">
              <w:rPr>
                <w:color w:val="000000"/>
                <w:sz w:val="20"/>
              </w:rPr>
              <w:noBreakHyphen/>
              <w:t>2011, and 2011</w:t>
            </w:r>
            <w:r w:rsidRPr="00B10752">
              <w:rPr>
                <w:color w:val="000000"/>
                <w:sz w:val="20"/>
              </w:rPr>
              <w:noBreakHyphen/>
              <w:t xml:space="preserve">2012 towers </w:t>
            </w:r>
            <w:r w:rsidRPr="00B10752">
              <w:rPr>
                <w:sz w:val="20"/>
              </w:rPr>
              <w:t xml:space="preserve">— </w:t>
            </w:r>
            <w:r w:rsidRPr="00B10752">
              <w:rPr>
                <w:color w:val="000000"/>
                <w:sz w:val="20"/>
              </w:rPr>
              <w:t xml:space="preserve">Whether arts. 2500 and 2503 CCQ apply to all claims received and processed under the 2009-2010 tower policies regardless of jurisdiction, such that the Claim Expenses incurred in defending the Keystone Claim cannot contribute to the erosion of proceeds from the coverage available to injured third parties in Québec </w:t>
            </w:r>
            <w:r w:rsidRPr="00B10752">
              <w:rPr>
                <w:sz w:val="20"/>
              </w:rPr>
              <w:t xml:space="preserve">— </w:t>
            </w:r>
            <w:r w:rsidRPr="00B10752">
              <w:rPr>
                <w:color w:val="000000"/>
                <w:sz w:val="20"/>
              </w:rPr>
              <w:t>What is the appropriate contextual analytical framework applicable to the characterization, interpretation and application of hybrid claims</w:t>
            </w:r>
            <w:r w:rsidRPr="00B10752">
              <w:rPr>
                <w:color w:val="000000"/>
                <w:sz w:val="20"/>
              </w:rPr>
              <w:noBreakHyphen/>
              <w:t>made liability insurance policies, and the core components of same, given the structure and purpose of such coverage</w:t>
            </w:r>
            <w:r w:rsidRPr="00B10752">
              <w:rPr>
                <w:sz w:val="20"/>
              </w:rPr>
              <w:t xml:space="preserve"> — </w:t>
            </w:r>
            <w:r w:rsidRPr="00B10752">
              <w:rPr>
                <w:color w:val="000000"/>
                <w:sz w:val="20"/>
              </w:rPr>
              <w:t>In what circumstances can the clear intent of the parties to insurance contracts, as established both in writing and via oral testimony, be displaced</w:t>
            </w:r>
            <w:r w:rsidRPr="00B10752">
              <w:rPr>
                <w:sz w:val="20"/>
              </w:rPr>
              <w:t xml:space="preserve"> — </w:t>
            </w:r>
            <w:r w:rsidRPr="00B10752">
              <w:rPr>
                <w:color w:val="000000"/>
                <w:sz w:val="20"/>
              </w:rPr>
              <w:t>How should the Prior Insurance and Non</w:t>
            </w:r>
            <w:r w:rsidRPr="00B10752">
              <w:rPr>
                <w:color w:val="000000"/>
                <w:sz w:val="20"/>
              </w:rPr>
              <w:noBreakHyphen/>
              <w:t>Cumulation of Liability clause contained in an insurance contract be interpreted</w:t>
            </w:r>
            <w:r w:rsidRPr="00B10752">
              <w:rPr>
                <w:sz w:val="20"/>
              </w:rPr>
              <w:t xml:space="preserve"> — </w:t>
            </w:r>
            <w:r w:rsidRPr="00B10752">
              <w:rPr>
                <w:color w:val="000000"/>
                <w:sz w:val="20"/>
              </w:rPr>
              <w:t xml:space="preserve">What is the meaning of the term “occurrence” in Commercial General Liability Policies </w:t>
            </w:r>
            <w:r w:rsidRPr="00B10752">
              <w:rPr>
                <w:sz w:val="20"/>
              </w:rPr>
              <w:t xml:space="preserve">— </w:t>
            </w:r>
            <w:r w:rsidRPr="00B10752">
              <w:rPr>
                <w:i/>
                <w:sz w:val="20"/>
              </w:rPr>
              <w:t xml:space="preserve">Civil Code of Québec, </w:t>
            </w:r>
            <w:r w:rsidRPr="00B10752">
              <w:rPr>
                <w:sz w:val="20"/>
              </w:rPr>
              <w:t>C.Q.L.R. c. CCQ</w:t>
            </w:r>
            <w:r w:rsidRPr="00B10752">
              <w:rPr>
                <w:sz w:val="20"/>
              </w:rPr>
              <w:noBreakHyphen/>
              <w:t>1991, arts. 1457, 2500, 2503, and 3119.</w:t>
            </w:r>
          </w:p>
          <w:p w:rsidR="00E70281" w:rsidRPr="00B10752" w:rsidRDefault="00E70281" w:rsidP="0074582E">
            <w:pPr>
              <w:jc w:val="both"/>
              <w:rPr>
                <w:sz w:val="20"/>
              </w:rPr>
            </w:pPr>
          </w:p>
        </w:tc>
      </w:tr>
      <w:tr w:rsidR="00E70281" w:rsidRPr="00B10752" w:rsidTr="0074582E">
        <w:tc>
          <w:tcPr>
            <w:tcW w:w="5000" w:type="pct"/>
          </w:tcPr>
          <w:p w:rsidR="00E70281" w:rsidRPr="00B10752" w:rsidRDefault="00E70281" w:rsidP="0074582E">
            <w:pPr>
              <w:jc w:val="both"/>
              <w:rPr>
                <w:sz w:val="20"/>
              </w:rPr>
            </w:pPr>
            <w:r w:rsidRPr="00B10752">
              <w:rPr>
                <w:sz w:val="20"/>
              </w:rPr>
              <w:t>This matter, referred to over the years as the “pyrrhotite case”, has been in the headlines for more than 10 years, causing much ink to flow and fueling discussions in the construction community in Canada. Pyrrhotite is an iron sulphide sometimes found in deposits mined to extract concrete stone aggregate. Its presence can be deleterious, as it is known to cause highly undesirable chemical reactions. Upon oxidation, pyrrhotite can cause concrete to expand internally. As concrete is used as a construction material in most building foundations, the presence of pyrrhotite can accordingly lead to the degradation and weakening of building structures.</w:t>
            </w:r>
          </w:p>
          <w:p w:rsidR="00E70281" w:rsidRPr="00B10752" w:rsidRDefault="00E70281" w:rsidP="0074582E">
            <w:pPr>
              <w:jc w:val="both"/>
              <w:rPr>
                <w:sz w:val="20"/>
              </w:rPr>
            </w:pPr>
          </w:p>
          <w:p w:rsidR="00E70281" w:rsidRPr="00B10752" w:rsidRDefault="00E70281" w:rsidP="0074582E">
            <w:pPr>
              <w:jc w:val="both"/>
              <w:rPr>
                <w:sz w:val="20"/>
              </w:rPr>
            </w:pPr>
            <w:r w:rsidRPr="00B10752">
              <w:rPr>
                <w:sz w:val="20"/>
              </w:rPr>
              <w:t>The pyrrhotite litigation first dealt with by the lower courts was divided into three groups or “waves”, the first involving 832 buildings — that is, 446 single</w:t>
            </w:r>
            <w:r w:rsidRPr="00B10752">
              <w:rPr>
                <w:sz w:val="20"/>
              </w:rPr>
              <w:noBreakHyphen/>
              <w:t>family residences, 312 semi</w:t>
            </w:r>
            <w:r w:rsidRPr="00B10752">
              <w:rPr>
                <w:sz w:val="20"/>
              </w:rPr>
              <w:noBreakHyphen/>
              <w:t>detached residences, 56 multi</w:t>
            </w:r>
            <w:r w:rsidRPr="00B10752">
              <w:rPr>
                <w:sz w:val="20"/>
              </w:rPr>
              <w:noBreakHyphen/>
              <w:t>unit residential immovables and 18 commercial immovables. The foundations of these buildings were damaged by the presence of pyrrhotite in the concrete aggregate used to build them. The litigation encompasses more than 880 actions which were divided, at first instance, among 69 court files. More than 800 appeals were filed with the Québec Court of Appeal, by the plaintiffs as well as the defendants and their insurers.</w:t>
            </w:r>
          </w:p>
          <w:p w:rsidR="00E70281" w:rsidRPr="00B10752" w:rsidRDefault="00E70281" w:rsidP="00D90258">
            <w:pPr>
              <w:jc w:val="both"/>
              <w:rPr>
                <w:sz w:val="20"/>
              </w:rPr>
            </w:pPr>
          </w:p>
        </w:tc>
      </w:tr>
    </w:tbl>
    <w:p w:rsidR="00D90258" w:rsidRPr="00B10752" w:rsidRDefault="00D90258">
      <w:r w:rsidRPr="00B1075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258" w:rsidRPr="00B10752" w:rsidTr="0074582E">
        <w:tc>
          <w:tcPr>
            <w:tcW w:w="5000" w:type="pct"/>
            <w:gridSpan w:val="3"/>
          </w:tcPr>
          <w:p w:rsidR="00D90258" w:rsidRPr="00B10752" w:rsidRDefault="00D90258" w:rsidP="00D90258">
            <w:pPr>
              <w:jc w:val="both"/>
              <w:rPr>
                <w:sz w:val="20"/>
              </w:rPr>
            </w:pPr>
            <w:r w:rsidRPr="00B10752">
              <w:rPr>
                <w:sz w:val="20"/>
              </w:rPr>
              <w:lastRenderedPageBreak/>
              <w:t>The various actions were launched against the general contractors or formworkers involved in building the foundations; the concrete suppliers who supplied the problematic concrete; the corporation that mined the quarry where the deleterious aggregate was extracted; Alain Blanchette, the geologist who approved the use of aggregate extracted from the quarry, and the successor to his employer, SNC</w:t>
            </w:r>
            <w:r w:rsidRPr="00B10752">
              <w:rPr>
                <w:sz w:val="20"/>
              </w:rPr>
              <w:noBreakHyphen/>
              <w:t>Lavalin Inc.; and the insurance companies that entered into contracts with any of the parties being sued. The trial judge ultimately held that, with some exceptions, the contractors, the corporation that mined the quarry, SNC</w:t>
            </w:r>
            <w:r w:rsidRPr="00B10752">
              <w:rPr>
                <w:sz w:val="20"/>
              </w:rPr>
              <w:noBreakHyphen/>
              <w:t xml:space="preserve">Lavalin and Alain Blanchette and their insurers were liable </w:t>
            </w:r>
            <w:r w:rsidRPr="00B10752">
              <w:rPr>
                <w:i/>
                <w:sz w:val="20"/>
              </w:rPr>
              <w:t>in solidum</w:t>
            </w:r>
            <w:r w:rsidRPr="00B10752">
              <w:rPr>
                <w:sz w:val="20"/>
              </w:rPr>
              <w:t xml:space="preserve">. He apportioned liability in accordance with article 469 of the former </w:t>
            </w:r>
            <w:r w:rsidRPr="00B10752">
              <w:rPr>
                <w:i/>
                <w:sz w:val="20"/>
              </w:rPr>
              <w:t>Code of Civil Procedure</w:t>
            </w:r>
            <w:r w:rsidRPr="00B10752">
              <w:rPr>
                <w:sz w:val="20"/>
              </w:rPr>
              <w:t>. The apportionment of liability between the defendants for the damage caused to the plaintiffs for most of the residential cases was determined as follows: SNC</w:t>
            </w:r>
            <w:r w:rsidRPr="00B10752">
              <w:rPr>
                <w:sz w:val="20"/>
              </w:rPr>
              <w:noBreakHyphen/>
              <w:t xml:space="preserve">Lavalin Inc. and Alain Blanchette are liable </w:t>
            </w:r>
            <w:r w:rsidRPr="00B10752">
              <w:rPr>
                <w:i/>
                <w:sz w:val="20"/>
              </w:rPr>
              <w:t>in solidum</w:t>
            </w:r>
            <w:r w:rsidRPr="00B10752">
              <w:rPr>
                <w:sz w:val="20"/>
              </w:rPr>
              <w:t xml:space="preserve"> for the period from May 2003 to November 28, 2007 (70%); the quarry owner and concrete suppliers are liable </w:t>
            </w:r>
            <w:r w:rsidRPr="00B10752">
              <w:rPr>
                <w:i/>
                <w:sz w:val="20"/>
              </w:rPr>
              <w:t>in solidum</w:t>
            </w:r>
            <w:r w:rsidRPr="00B10752">
              <w:rPr>
                <w:sz w:val="20"/>
              </w:rPr>
              <w:t xml:space="preserve"> (25%, to be divided in two, i.e., 12.5% for the concrete supplier at issue and 12.5% for the quarry); and the independent contractors and formworkers were liable </w:t>
            </w:r>
            <w:r w:rsidRPr="00B10752">
              <w:rPr>
                <w:i/>
                <w:sz w:val="20"/>
              </w:rPr>
              <w:t>in solidum</w:t>
            </w:r>
            <w:r w:rsidRPr="00B10752">
              <w:rPr>
                <w:sz w:val="20"/>
              </w:rPr>
              <w:t xml:space="preserve"> (5%). The Quebec Court of Appeal allowed the appeals in part, with respect to the apportionment of liability between defendants and the applications for forced intervention. The court reduced the liability of the contractors to 0%. The court also determined that the insurance tower covering SNC</w:t>
            </w:r>
            <w:r w:rsidRPr="00B10752">
              <w:rPr>
                <w:sz w:val="20"/>
              </w:rPr>
              <w:noBreakHyphen/>
              <w:t>Lavalin for the 2009</w:t>
            </w:r>
            <w:r w:rsidRPr="00B10752">
              <w:rPr>
                <w:sz w:val="20"/>
              </w:rPr>
              <w:noBreakHyphen/>
              <w:t>2010 policy period was not eroded by the payment of costs and expenses in the settlement of the Keystone litigation in Alberta.</w:t>
            </w:r>
          </w:p>
          <w:p w:rsidR="00D90258" w:rsidRPr="00B10752" w:rsidRDefault="00D90258"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 xml:space="preserve">June 12, 2014, rectified July 31, 2014 and </w:t>
            </w:r>
          </w:p>
          <w:p w:rsidR="00E70281" w:rsidRPr="00B10752" w:rsidRDefault="00E70281" w:rsidP="0074582E">
            <w:pPr>
              <w:jc w:val="both"/>
              <w:rPr>
                <w:sz w:val="20"/>
              </w:rPr>
            </w:pPr>
            <w:r w:rsidRPr="00B10752">
              <w:rPr>
                <w:sz w:val="20"/>
              </w:rPr>
              <w:t>November 6, 2014</w:t>
            </w:r>
          </w:p>
          <w:p w:rsidR="00E70281" w:rsidRPr="00B10752" w:rsidRDefault="00E70281" w:rsidP="0074582E">
            <w:pPr>
              <w:jc w:val="both"/>
              <w:rPr>
                <w:sz w:val="20"/>
              </w:rPr>
            </w:pPr>
            <w:r w:rsidRPr="00B10752">
              <w:rPr>
                <w:sz w:val="20"/>
              </w:rPr>
              <w:t>Quebec Superior Court</w:t>
            </w:r>
          </w:p>
          <w:p w:rsidR="00E70281" w:rsidRPr="00B10752" w:rsidRDefault="00E70281" w:rsidP="0074582E">
            <w:pPr>
              <w:jc w:val="both"/>
              <w:rPr>
                <w:sz w:val="20"/>
              </w:rPr>
            </w:pPr>
            <w:r w:rsidRPr="00B10752">
              <w:rPr>
                <w:sz w:val="20"/>
              </w:rPr>
              <w:t>(Richard J.)</w:t>
            </w:r>
          </w:p>
          <w:p w:rsidR="00E70281" w:rsidRPr="00B10752" w:rsidRDefault="00B10752" w:rsidP="0074582E">
            <w:pPr>
              <w:jc w:val="both"/>
              <w:rPr>
                <w:rStyle w:val="Hyperlink"/>
                <w:sz w:val="20"/>
              </w:rPr>
            </w:pPr>
            <w:hyperlink r:id="rId20" w:history="1">
              <w:r w:rsidR="00E70281" w:rsidRPr="00B10752">
                <w:rPr>
                  <w:rStyle w:val="Hyperlink"/>
                  <w:sz w:val="20"/>
                </w:rPr>
                <w:t>2014 QCCS 2672</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Defendants Construction Yvan Boisvert inc. and Carrière B &amp; B inc., and SNC</w:t>
            </w:r>
            <w:r w:rsidRPr="00B10752">
              <w:rPr>
                <w:sz w:val="20"/>
              </w:rPr>
              <w:noBreakHyphen/>
              <w:t xml:space="preserve">Lavalin and Mr. Blanchette, found liable solidarily and </w:t>
            </w:r>
            <w:r w:rsidRPr="00B10752">
              <w:rPr>
                <w:i/>
                <w:sz w:val="20"/>
              </w:rPr>
              <w:t>in solidum</w:t>
            </w:r>
            <w:r w:rsidRPr="00B10752">
              <w:rPr>
                <w:sz w:val="20"/>
              </w:rPr>
              <w:t xml:space="preserve"> to pay plaintiffs $304,691.42; share of Construction Yvan Boisvert inc. and Carrière B. &amp; B inc. declared to be 25%, while share of SNC</w:t>
            </w:r>
            <w:r w:rsidRPr="00B10752">
              <w:rPr>
                <w:sz w:val="20"/>
              </w:rPr>
              <w:noBreakHyphen/>
              <w:t>Lavalin and Mr. Blanchette found to be 70%; insurers of defendants Construction Yvan Boisvert inc. and Carrière B &amp; B inc. ordered to pay damages awarded, on pro rata basis between them, according to dates of their respective coverage between time when concrete poured and date when damage crystallized; SNC</w:t>
            </w:r>
            <w:r w:rsidRPr="00B10752">
              <w:rPr>
                <w:sz w:val="20"/>
              </w:rPr>
              <w:noBreakHyphen/>
              <w:t>Lavalin’s professional liability insurers ordered to apportion among themselves damages flowing from liability of their insured, SNC</w:t>
            </w:r>
            <w:r w:rsidRPr="00B10752">
              <w:rPr>
                <w:sz w:val="20"/>
              </w:rPr>
              <w:noBreakHyphen/>
              <w:t>Lavalin, for each applicable tower by reason of claims submitted and made by plaintiffs, in manner consistent with order of insurers in each tower and in light of any applicable erosion, up to amounts of coverage available</w:t>
            </w:r>
          </w:p>
          <w:p w:rsidR="00E70281" w:rsidRPr="00B10752" w:rsidRDefault="00E70281" w:rsidP="0074582E">
            <w:pPr>
              <w:jc w:val="both"/>
              <w:rPr>
                <w:sz w:val="20"/>
              </w:rPr>
            </w:pPr>
          </w:p>
        </w:tc>
      </w:tr>
    </w:tbl>
    <w:p w:rsidR="00D90258" w:rsidRPr="00B10752" w:rsidRDefault="00D90258">
      <w:r w:rsidRPr="00B1075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2427" w:type="pct"/>
          </w:tcPr>
          <w:p w:rsidR="00E70281" w:rsidRPr="00B10752" w:rsidRDefault="00E70281" w:rsidP="0074582E">
            <w:pPr>
              <w:jc w:val="both"/>
              <w:rPr>
                <w:sz w:val="20"/>
              </w:rPr>
            </w:pPr>
            <w:r w:rsidRPr="00B10752">
              <w:rPr>
                <w:sz w:val="20"/>
              </w:rPr>
              <w:lastRenderedPageBreak/>
              <w:t>April 6, 2020 (Main Judgment)</w:t>
            </w:r>
          </w:p>
          <w:p w:rsidR="00E70281" w:rsidRPr="00B10752" w:rsidRDefault="00E70281" w:rsidP="0074582E">
            <w:pPr>
              <w:jc w:val="both"/>
              <w:rPr>
                <w:sz w:val="20"/>
              </w:rPr>
            </w:pPr>
            <w:r w:rsidRPr="00B10752">
              <w:rPr>
                <w:sz w:val="20"/>
              </w:rPr>
              <w:t>Court of Appeal of Quebec (Québec)</w:t>
            </w:r>
          </w:p>
          <w:p w:rsidR="00E70281" w:rsidRPr="00B10752" w:rsidRDefault="00E70281" w:rsidP="0074582E">
            <w:pPr>
              <w:jc w:val="both"/>
              <w:rPr>
                <w:sz w:val="20"/>
                <w:lang w:val="fr-CA"/>
              </w:rPr>
            </w:pPr>
            <w:r w:rsidRPr="00B10752">
              <w:rPr>
                <w:sz w:val="20"/>
                <w:lang w:val="fr-CA"/>
              </w:rPr>
              <w:t>(Pelletier, Giroux and Gagnon JJ.A.)</w:t>
            </w:r>
          </w:p>
          <w:p w:rsidR="00E70281" w:rsidRPr="00B10752" w:rsidRDefault="00B10752" w:rsidP="0074582E">
            <w:pPr>
              <w:jc w:val="both"/>
              <w:rPr>
                <w:rStyle w:val="Hyperlink"/>
                <w:sz w:val="20"/>
              </w:rPr>
            </w:pPr>
            <w:hyperlink r:id="rId21" w:history="1">
              <w:r w:rsidR="00E70281" w:rsidRPr="00B10752">
                <w:rPr>
                  <w:rStyle w:val="Hyperlink"/>
                  <w:sz w:val="20"/>
                </w:rPr>
                <w:t>2020 QCCA 495</w:t>
              </w:r>
            </w:hyperlink>
          </w:p>
          <w:p w:rsidR="00E70281" w:rsidRPr="00B10752" w:rsidRDefault="00E70281" w:rsidP="0074582E">
            <w:pPr>
              <w:jc w:val="both"/>
              <w:rPr>
                <w:rStyle w:val="Hyperlink"/>
                <w:sz w:val="20"/>
              </w:rPr>
            </w:pPr>
            <w:r w:rsidRPr="00B10752">
              <w:rPr>
                <w:rStyle w:val="Hyperlink"/>
                <w:sz w:val="20"/>
              </w:rPr>
              <w:t xml:space="preserve">200-09-008788-140; 200-09-028788-153; </w:t>
            </w:r>
          </w:p>
          <w:p w:rsidR="00E70281" w:rsidRPr="00B10752" w:rsidRDefault="00E70281" w:rsidP="0074582E">
            <w:pPr>
              <w:jc w:val="both"/>
              <w:rPr>
                <w:rStyle w:val="Hyperlink"/>
                <w:sz w:val="20"/>
              </w:rPr>
            </w:pPr>
            <w:r w:rsidRPr="00B10752">
              <w:rPr>
                <w:rStyle w:val="Hyperlink"/>
                <w:sz w:val="20"/>
              </w:rPr>
              <w:t xml:space="preserve">200-09-038788-151; 200-09-048788-159; </w:t>
            </w:r>
          </w:p>
          <w:p w:rsidR="00E70281" w:rsidRPr="00B10752" w:rsidRDefault="00E70281" w:rsidP="0074582E">
            <w:pPr>
              <w:jc w:val="both"/>
              <w:rPr>
                <w:sz w:val="20"/>
              </w:rPr>
            </w:pPr>
            <w:r w:rsidRPr="00B10752">
              <w:rPr>
                <w:sz w:val="20"/>
              </w:rPr>
              <w:t>200-09-058788-156; 200-09-068788-154;</w:t>
            </w:r>
          </w:p>
          <w:p w:rsidR="00E70281" w:rsidRPr="00B10752" w:rsidRDefault="00E70281" w:rsidP="0074582E">
            <w:pPr>
              <w:jc w:val="both"/>
              <w:rPr>
                <w:sz w:val="20"/>
              </w:rPr>
            </w:pPr>
            <w:r w:rsidRPr="00B10752">
              <w:rPr>
                <w:sz w:val="20"/>
              </w:rPr>
              <w:t>200-09-108788-156;200-09-118788-154; 200-09-128788-152; 200-09-158788-155</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 xml:space="preserve">Appeals in all files subject to certain Corrections of the designations of the parties, Orders for the splitting of proceedings to calculate the compensation, and Reservations; </w:t>
            </w:r>
          </w:p>
          <w:p w:rsidR="00E70281" w:rsidRPr="00B10752" w:rsidRDefault="00E70281" w:rsidP="0074582E">
            <w:pPr>
              <w:jc w:val="both"/>
              <w:rPr>
                <w:sz w:val="20"/>
              </w:rPr>
            </w:pPr>
            <w:r w:rsidRPr="00B10752">
              <w:rPr>
                <w:sz w:val="20"/>
              </w:rPr>
              <w:t>Appeals dismissed in files: 200</w:t>
            </w:r>
            <w:r w:rsidRPr="00B10752">
              <w:rPr>
                <w:sz w:val="20"/>
              </w:rPr>
              <w:noBreakHyphen/>
              <w:t>09</w:t>
            </w:r>
            <w:r w:rsidRPr="00B10752">
              <w:rPr>
                <w:sz w:val="20"/>
              </w:rPr>
              <w:noBreakHyphen/>
              <w:t>008788</w:t>
            </w:r>
            <w:r w:rsidRPr="00B10752">
              <w:rPr>
                <w:sz w:val="20"/>
              </w:rPr>
              <w:noBreakHyphen/>
              <w:t>140; 200</w:t>
            </w:r>
            <w:r w:rsidRPr="00B10752">
              <w:rPr>
                <w:sz w:val="20"/>
              </w:rPr>
              <w:noBreakHyphen/>
              <w:t>09</w:t>
            </w:r>
            <w:r w:rsidRPr="00B10752">
              <w:rPr>
                <w:sz w:val="20"/>
              </w:rPr>
              <w:noBreakHyphen/>
              <w:t>048788</w:t>
            </w:r>
            <w:r w:rsidRPr="00B10752">
              <w:rPr>
                <w:sz w:val="20"/>
              </w:rPr>
              <w:noBreakHyphen/>
              <w:t>159; 200</w:t>
            </w:r>
            <w:r w:rsidRPr="00B10752">
              <w:rPr>
                <w:sz w:val="20"/>
              </w:rPr>
              <w:noBreakHyphen/>
              <w:t>09</w:t>
            </w:r>
            <w:r w:rsidRPr="00B10752">
              <w:rPr>
                <w:sz w:val="20"/>
              </w:rPr>
              <w:noBreakHyphen/>
              <w:t>068788</w:t>
            </w:r>
            <w:r w:rsidRPr="00B10752">
              <w:rPr>
                <w:sz w:val="20"/>
              </w:rPr>
              <w:noBreakHyphen/>
              <w:t>154; 200</w:t>
            </w:r>
            <w:r w:rsidRPr="00B10752">
              <w:rPr>
                <w:sz w:val="20"/>
              </w:rPr>
              <w:noBreakHyphen/>
              <w:t>09</w:t>
            </w:r>
            <w:r w:rsidRPr="00B10752">
              <w:rPr>
                <w:sz w:val="20"/>
              </w:rPr>
              <w:noBreakHyphen/>
              <w:t>118788</w:t>
            </w:r>
            <w:r w:rsidRPr="00B10752">
              <w:rPr>
                <w:sz w:val="20"/>
              </w:rPr>
              <w:noBreakHyphen/>
              <w:t>154; 200</w:t>
            </w:r>
            <w:r w:rsidRPr="00B10752">
              <w:rPr>
                <w:sz w:val="20"/>
              </w:rPr>
              <w:noBreakHyphen/>
              <w:t>09</w:t>
            </w:r>
            <w:r w:rsidRPr="00B10752">
              <w:rPr>
                <w:sz w:val="20"/>
              </w:rPr>
              <w:noBreakHyphen/>
              <w:t>128788</w:t>
            </w:r>
            <w:r w:rsidRPr="00B10752">
              <w:rPr>
                <w:sz w:val="20"/>
              </w:rPr>
              <w:noBreakHyphen/>
              <w:t>152 and 200</w:t>
            </w:r>
            <w:r w:rsidRPr="00B10752">
              <w:rPr>
                <w:sz w:val="20"/>
              </w:rPr>
              <w:noBreakHyphen/>
              <w:t>09</w:t>
            </w:r>
            <w:r w:rsidRPr="00B10752">
              <w:rPr>
                <w:sz w:val="20"/>
              </w:rPr>
              <w:noBreakHyphen/>
              <w:t>158788</w:t>
            </w:r>
            <w:r w:rsidRPr="00B10752">
              <w:rPr>
                <w:sz w:val="20"/>
              </w:rPr>
              <w:noBreakHyphen/>
              <w:t xml:space="preserve">155; </w:t>
            </w:r>
          </w:p>
          <w:p w:rsidR="00E70281" w:rsidRPr="00B10752" w:rsidRDefault="00E70281" w:rsidP="0074582E">
            <w:pPr>
              <w:jc w:val="both"/>
              <w:rPr>
                <w:sz w:val="20"/>
                <w:u w:val="single"/>
              </w:rPr>
            </w:pPr>
            <w:r w:rsidRPr="00B10752">
              <w:rPr>
                <w:sz w:val="20"/>
              </w:rPr>
              <w:t>Appeals allowed in part in files 200</w:t>
            </w:r>
            <w:r w:rsidRPr="00B10752">
              <w:rPr>
                <w:sz w:val="20"/>
              </w:rPr>
              <w:noBreakHyphen/>
              <w:t>09</w:t>
            </w:r>
            <w:r w:rsidRPr="00B10752">
              <w:rPr>
                <w:sz w:val="20"/>
              </w:rPr>
              <w:noBreakHyphen/>
              <w:t>028788</w:t>
            </w:r>
            <w:r w:rsidRPr="00B10752">
              <w:rPr>
                <w:sz w:val="20"/>
              </w:rPr>
              <w:noBreakHyphen/>
              <w:t>153; 200</w:t>
            </w:r>
            <w:r w:rsidRPr="00B10752">
              <w:rPr>
                <w:sz w:val="20"/>
              </w:rPr>
              <w:noBreakHyphen/>
              <w:t>09</w:t>
            </w:r>
            <w:r w:rsidRPr="00B10752">
              <w:rPr>
                <w:sz w:val="20"/>
              </w:rPr>
              <w:noBreakHyphen/>
              <w:t>038788</w:t>
            </w:r>
            <w:r w:rsidRPr="00B10752">
              <w:rPr>
                <w:sz w:val="20"/>
              </w:rPr>
              <w:noBreakHyphen/>
              <w:t>151; and 200</w:t>
            </w:r>
            <w:r w:rsidRPr="00B10752">
              <w:rPr>
                <w:sz w:val="20"/>
              </w:rPr>
              <w:noBreakHyphen/>
              <w:t>09</w:t>
            </w:r>
            <w:r w:rsidRPr="00B10752">
              <w:rPr>
                <w:sz w:val="20"/>
              </w:rPr>
              <w:noBreakHyphen/>
              <w:t>058788</w:t>
            </w:r>
            <w:r w:rsidRPr="00B10752">
              <w:rPr>
                <w:sz w:val="20"/>
              </w:rPr>
              <w:noBreakHyphen/>
              <w:t>156 and rulings made with respect to proceedings in forced intervention</w:t>
            </w:r>
            <w:r w:rsidRPr="00B10752">
              <w:rPr>
                <w:rStyle w:val="Hyperlink"/>
                <w:vertAlign w:val="superscript"/>
              </w:rPr>
              <w:footnoteReference w:id="1"/>
            </w:r>
            <w:r w:rsidRPr="00B10752">
              <w:rPr>
                <w:sz w:val="20"/>
              </w:rPr>
              <w:t>, resulting in SCN</w:t>
            </w:r>
            <w:r w:rsidRPr="00B10752">
              <w:rPr>
                <w:sz w:val="20"/>
              </w:rPr>
              <w:noBreakHyphen/>
              <w:t>Lavalin inc. being condemned to reimburse certain amounts;</w:t>
            </w:r>
          </w:p>
          <w:p w:rsidR="00E70281" w:rsidRPr="00B10752" w:rsidRDefault="00E70281" w:rsidP="0074582E">
            <w:pPr>
              <w:jc w:val="both"/>
              <w:rPr>
                <w:sz w:val="20"/>
              </w:rPr>
            </w:pPr>
            <w:r w:rsidRPr="00B10752">
              <w:rPr>
                <w:sz w:val="20"/>
              </w:rPr>
              <w:t>Appeal allowed in part in file 200</w:t>
            </w:r>
            <w:r w:rsidRPr="00B10752">
              <w:rPr>
                <w:sz w:val="20"/>
              </w:rPr>
              <w:noBreakHyphen/>
              <w:t>09</w:t>
            </w:r>
            <w:r w:rsidRPr="00B10752">
              <w:rPr>
                <w:sz w:val="20"/>
              </w:rPr>
              <w:noBreakHyphen/>
              <w:t>108788</w:t>
            </w:r>
            <w:r w:rsidRPr="00B10752">
              <w:rPr>
                <w:sz w:val="20"/>
              </w:rPr>
              <w:noBreakHyphen/>
              <w:t>156; declaration made [</w:t>
            </w:r>
            <w:r w:rsidRPr="00B10752">
              <w:rPr>
                <w:smallCaps/>
                <w:sz w:val="20"/>
              </w:rPr>
              <w:t>translation</w:t>
            </w:r>
            <w:r w:rsidRPr="00B10752">
              <w:rPr>
                <w:rFonts w:asciiTheme="minorBidi" w:hAnsiTheme="minorBidi"/>
                <w:sz w:val="20"/>
              </w:rPr>
              <w:t>] “that the 2009</w:t>
            </w:r>
            <w:r w:rsidRPr="00B10752">
              <w:rPr>
                <w:rFonts w:asciiTheme="minorBidi" w:hAnsiTheme="minorBidi"/>
                <w:sz w:val="20"/>
              </w:rPr>
              <w:noBreakHyphen/>
              <w:t>2010 tower is eroded only by the payments in capital made for the benefit of the injured third persons in the settlement of the Keystone case, to the exclusion of costs and expenses including claim expenses”</w:t>
            </w:r>
            <w:r w:rsidRPr="00B10752">
              <w:rPr>
                <w:sz w:val="20"/>
              </w:rPr>
              <w:t>;</w:t>
            </w:r>
          </w:p>
          <w:p w:rsidR="00E70281" w:rsidRPr="00B10752" w:rsidRDefault="00E70281" w:rsidP="0074582E">
            <w:pPr>
              <w:jc w:val="both"/>
              <w:rPr>
                <w:sz w:val="20"/>
              </w:rPr>
            </w:pPr>
            <w:r w:rsidRPr="00B10752">
              <w:rPr>
                <w:sz w:val="20"/>
              </w:rPr>
              <w:t>Para. 2291 of the QCCS judgment struck and replaced with [</w:t>
            </w:r>
            <w:r w:rsidRPr="00B10752">
              <w:rPr>
                <w:smallCaps/>
                <w:sz w:val="20"/>
              </w:rPr>
              <w:t>translation</w:t>
            </w:r>
            <w:r w:rsidRPr="00B10752">
              <w:rPr>
                <w:rFonts w:asciiTheme="minorBidi" w:hAnsiTheme="minorBidi"/>
                <w:sz w:val="20"/>
              </w:rPr>
              <w:t>] “CONDEMNS 9312</w:t>
            </w:r>
            <w:r w:rsidRPr="00B10752">
              <w:rPr>
                <w:rFonts w:asciiTheme="minorBidi" w:hAnsiTheme="minorBidi"/>
                <w:sz w:val="20"/>
              </w:rPr>
              <w:noBreakHyphen/>
              <w:t>1994 Québec inc. and Carrière B&amp;B inc. solidarily and SNC</w:t>
            </w:r>
            <w:r w:rsidRPr="00B10752">
              <w:rPr>
                <w:rFonts w:asciiTheme="minorBidi" w:hAnsiTheme="minorBidi"/>
                <w:sz w:val="20"/>
              </w:rPr>
              <w:noBreakHyphen/>
              <w:t xml:space="preserve">Lavalin Inc. and Alain Blanchette with them </w:t>
            </w:r>
            <w:r w:rsidRPr="00B10752">
              <w:rPr>
                <w:rFonts w:asciiTheme="minorBidi" w:hAnsiTheme="minorBidi"/>
                <w:i/>
                <w:sz w:val="20"/>
              </w:rPr>
              <w:t>in solidum</w:t>
            </w:r>
            <w:r w:rsidRPr="00B10752">
              <w:rPr>
                <w:rFonts w:asciiTheme="minorBidi" w:hAnsiTheme="minorBidi"/>
                <w:sz w:val="20"/>
              </w:rPr>
              <w:t xml:space="preserve"> to pay the plaintiffs the amount of $289,456.85”</w:t>
            </w:r>
            <w:r w:rsidRPr="00B10752">
              <w:rPr>
                <w:sz w:val="20"/>
              </w:rPr>
              <w:t>.</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rStyle w:val="Hyperlink"/>
                <w:color w:val="auto"/>
                <w:sz w:val="20"/>
                <w:u w:val="none"/>
              </w:rPr>
            </w:pPr>
            <w:r w:rsidRPr="00B10752">
              <w:rPr>
                <w:sz w:val="20"/>
              </w:rPr>
              <w:t>June 12, 2020</w:t>
            </w:r>
          </w:p>
          <w:p w:rsidR="00E70281" w:rsidRPr="00B10752" w:rsidRDefault="00E70281" w:rsidP="0074582E">
            <w:pPr>
              <w:jc w:val="both"/>
              <w:rPr>
                <w:sz w:val="20"/>
              </w:rPr>
            </w:pPr>
            <w:r w:rsidRPr="00B10752">
              <w:rPr>
                <w:sz w:val="20"/>
              </w:rPr>
              <w:t>Court of Appeal of Québec (Québec)</w:t>
            </w:r>
          </w:p>
          <w:p w:rsidR="00E70281" w:rsidRPr="00B10752" w:rsidRDefault="00E70281" w:rsidP="0074582E">
            <w:pPr>
              <w:jc w:val="both"/>
              <w:rPr>
                <w:sz w:val="20"/>
                <w:lang w:val="fr-CA"/>
              </w:rPr>
            </w:pPr>
            <w:r w:rsidRPr="00B10752">
              <w:rPr>
                <w:sz w:val="20"/>
                <w:lang w:val="fr-CA"/>
              </w:rPr>
              <w:t>(Pelletier, Giroux and Gagnon JJ.A.)</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rPr>
            </w:pPr>
            <w:r w:rsidRPr="00B10752">
              <w:rPr>
                <w:sz w:val="20"/>
              </w:rPr>
              <w:t>Judgment splitting the proceedings, approving the agreement on distribution of liability and declaring the listed files closed.</w:t>
            </w:r>
          </w:p>
        </w:tc>
      </w:tr>
      <w:tr w:rsidR="00E70281" w:rsidRPr="00B10752" w:rsidTr="0074582E">
        <w:tc>
          <w:tcPr>
            <w:tcW w:w="2427" w:type="pct"/>
          </w:tcPr>
          <w:p w:rsidR="00E70281" w:rsidRPr="00B10752" w:rsidRDefault="00E70281" w:rsidP="0074582E">
            <w:pPr>
              <w:jc w:val="both"/>
              <w:rPr>
                <w:sz w:val="20"/>
              </w:rPr>
            </w:pPr>
            <w:r w:rsidRPr="00B10752">
              <w:rPr>
                <w:sz w:val="20"/>
              </w:rPr>
              <w:t>June 5, 2020</w:t>
            </w:r>
          </w:p>
          <w:p w:rsidR="00E70281" w:rsidRPr="00B10752" w:rsidRDefault="00E70281" w:rsidP="0074582E">
            <w:pPr>
              <w:jc w:val="both"/>
              <w:rPr>
                <w:sz w:val="20"/>
              </w:rPr>
            </w:pPr>
            <w:r w:rsidRPr="00B10752">
              <w:rPr>
                <w:sz w:val="20"/>
              </w:rPr>
              <w:t>Supreme Court of Canada</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First Application for leave to appeal filed</w:t>
            </w:r>
          </w:p>
          <w:p w:rsidR="00E70281" w:rsidRPr="00B10752" w:rsidRDefault="00E70281" w:rsidP="0074582E">
            <w:pPr>
              <w:jc w:val="both"/>
              <w:rPr>
                <w:sz w:val="20"/>
              </w:rPr>
            </w:pPr>
            <w:r w:rsidRPr="00B10752">
              <w:rPr>
                <w:sz w:val="20"/>
              </w:rPr>
              <w:t xml:space="preserve">by Lloyd’s </w:t>
            </w:r>
          </w:p>
        </w:tc>
      </w:tr>
      <w:tr w:rsidR="00E70281" w:rsidRPr="00B10752" w:rsidTr="0074582E">
        <w:tc>
          <w:tcPr>
            <w:tcW w:w="2427" w:type="pct"/>
          </w:tcPr>
          <w:p w:rsidR="00E70281" w:rsidRPr="00B10752" w:rsidRDefault="00E70281" w:rsidP="0074582E">
            <w:pPr>
              <w:jc w:val="both"/>
              <w:rPr>
                <w:sz w:val="20"/>
              </w:rPr>
            </w:pPr>
            <w:r w:rsidRPr="00B10752">
              <w:rPr>
                <w:sz w:val="20"/>
              </w:rPr>
              <w:t>July 3, 2020</w:t>
            </w:r>
          </w:p>
          <w:p w:rsidR="00E70281" w:rsidRPr="00B10752" w:rsidRDefault="00E70281" w:rsidP="0074582E">
            <w:pPr>
              <w:jc w:val="both"/>
              <w:rPr>
                <w:sz w:val="20"/>
              </w:rPr>
            </w:pPr>
            <w:r w:rsidRPr="00B10752">
              <w:rPr>
                <w:sz w:val="20"/>
              </w:rPr>
              <w:t>Supreme Court of Canada</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Second Application for leave to appeal filed</w:t>
            </w:r>
          </w:p>
          <w:p w:rsidR="00E70281" w:rsidRPr="00B10752" w:rsidRDefault="00E70281" w:rsidP="0074582E">
            <w:pPr>
              <w:jc w:val="both"/>
              <w:rPr>
                <w:sz w:val="20"/>
              </w:rPr>
            </w:pPr>
            <w:r w:rsidRPr="00B10752">
              <w:rPr>
                <w:sz w:val="20"/>
              </w:rPr>
              <w:t xml:space="preserve">by AIG Insurance </w:t>
            </w:r>
          </w:p>
        </w:tc>
      </w:tr>
      <w:tr w:rsidR="00E70281" w:rsidRPr="00B10752" w:rsidTr="0074582E">
        <w:tc>
          <w:tcPr>
            <w:tcW w:w="2427" w:type="pct"/>
          </w:tcPr>
          <w:p w:rsidR="00E70281" w:rsidRPr="00B10752" w:rsidRDefault="00E70281" w:rsidP="0074582E">
            <w:pPr>
              <w:jc w:val="both"/>
              <w:rPr>
                <w:sz w:val="20"/>
              </w:rPr>
            </w:pPr>
            <w:r w:rsidRPr="00B10752">
              <w:rPr>
                <w:sz w:val="20"/>
              </w:rPr>
              <w:t>July 16, 2020</w:t>
            </w:r>
          </w:p>
          <w:p w:rsidR="00E70281" w:rsidRPr="00B10752" w:rsidRDefault="00E70281" w:rsidP="0074582E">
            <w:pPr>
              <w:jc w:val="both"/>
              <w:rPr>
                <w:sz w:val="20"/>
              </w:rPr>
            </w:pPr>
            <w:r w:rsidRPr="00B10752">
              <w:rPr>
                <w:sz w:val="20"/>
              </w:rPr>
              <w:t>Supreme Court of Canada</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Third Application for leave to appeal filed</w:t>
            </w:r>
          </w:p>
          <w:p w:rsidR="00E70281" w:rsidRPr="00B10752" w:rsidRDefault="00E70281" w:rsidP="0074582E">
            <w:pPr>
              <w:jc w:val="both"/>
              <w:rPr>
                <w:sz w:val="20"/>
              </w:rPr>
            </w:pPr>
            <w:r w:rsidRPr="00B10752">
              <w:rPr>
                <w:sz w:val="20"/>
              </w:rPr>
              <w:t xml:space="preserve">by Zurich </w:t>
            </w:r>
          </w:p>
        </w:tc>
      </w:tr>
      <w:tr w:rsidR="00E70281" w:rsidRPr="00B10752" w:rsidTr="0074582E">
        <w:tc>
          <w:tcPr>
            <w:tcW w:w="2427" w:type="pct"/>
          </w:tcPr>
          <w:p w:rsidR="00E70281" w:rsidRPr="00B10752" w:rsidRDefault="00E70281" w:rsidP="0074582E">
            <w:pPr>
              <w:jc w:val="both"/>
              <w:rPr>
                <w:sz w:val="20"/>
              </w:rPr>
            </w:pPr>
            <w:r w:rsidRPr="00B10752">
              <w:rPr>
                <w:sz w:val="20"/>
              </w:rPr>
              <w:t>July 17, 2020</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Fourth Application for leave to appeal filed</w:t>
            </w:r>
          </w:p>
          <w:p w:rsidR="00E70281" w:rsidRPr="00B10752" w:rsidRDefault="00E70281" w:rsidP="0074582E">
            <w:pPr>
              <w:jc w:val="both"/>
              <w:rPr>
                <w:sz w:val="20"/>
              </w:rPr>
            </w:pPr>
            <w:r w:rsidRPr="00B10752">
              <w:rPr>
                <w:sz w:val="20"/>
              </w:rPr>
              <w:t xml:space="preserve">by Chubb </w:t>
            </w:r>
          </w:p>
        </w:tc>
      </w:tr>
      <w:tr w:rsidR="00E70281" w:rsidRPr="00B10752" w:rsidTr="0074582E">
        <w:tc>
          <w:tcPr>
            <w:tcW w:w="2427" w:type="pct"/>
          </w:tcPr>
          <w:p w:rsidR="00E70281" w:rsidRPr="00B10752" w:rsidRDefault="00E70281" w:rsidP="0074582E">
            <w:pPr>
              <w:jc w:val="both"/>
              <w:rPr>
                <w:sz w:val="20"/>
              </w:rPr>
            </w:pPr>
            <w:r w:rsidRPr="00B10752">
              <w:rPr>
                <w:sz w:val="20"/>
              </w:rPr>
              <w:t>July 17, 2020</w:t>
            </w:r>
          </w:p>
          <w:p w:rsidR="00E70281" w:rsidRPr="00B10752" w:rsidRDefault="00E70281" w:rsidP="0074582E">
            <w:pPr>
              <w:jc w:val="both"/>
              <w:rPr>
                <w:sz w:val="20"/>
              </w:rPr>
            </w:pPr>
            <w:r w:rsidRPr="00B10752">
              <w:rPr>
                <w:sz w:val="20"/>
              </w:rPr>
              <w:t>Supreme Court of Canada</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Fifth Application for leave to appeal filed</w:t>
            </w:r>
          </w:p>
          <w:p w:rsidR="00E70281" w:rsidRPr="00B10752" w:rsidRDefault="00E70281" w:rsidP="0074582E">
            <w:pPr>
              <w:jc w:val="both"/>
              <w:rPr>
                <w:sz w:val="20"/>
              </w:rPr>
            </w:pPr>
            <w:r w:rsidRPr="00B10752">
              <w:rPr>
                <w:sz w:val="20"/>
              </w:rPr>
              <w:t xml:space="preserve">by SNC-Lavalin </w:t>
            </w:r>
          </w:p>
        </w:tc>
      </w:tr>
    </w:tbl>
    <w:p w:rsidR="00D90258" w:rsidRPr="00B10752" w:rsidRDefault="00D90258">
      <w:r w:rsidRPr="00B1075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2427" w:type="pct"/>
          </w:tcPr>
          <w:p w:rsidR="00E70281" w:rsidRPr="00B10752" w:rsidRDefault="00E70281" w:rsidP="0074582E">
            <w:pPr>
              <w:jc w:val="both"/>
              <w:rPr>
                <w:sz w:val="20"/>
              </w:rPr>
            </w:pPr>
            <w:r w:rsidRPr="00B10752">
              <w:rPr>
                <w:sz w:val="20"/>
              </w:rPr>
              <w:lastRenderedPageBreak/>
              <w:t>July 17, 2020</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Sixth Application for leave to appeal filed</w:t>
            </w:r>
          </w:p>
          <w:p w:rsidR="00E70281" w:rsidRPr="00B10752" w:rsidRDefault="00E70281" w:rsidP="0074582E">
            <w:pPr>
              <w:jc w:val="both"/>
              <w:rPr>
                <w:sz w:val="20"/>
              </w:rPr>
            </w:pPr>
            <w:r w:rsidRPr="00B10752">
              <w:rPr>
                <w:sz w:val="20"/>
              </w:rPr>
              <w:t xml:space="preserve">by AIG Insurance </w:t>
            </w:r>
          </w:p>
        </w:tc>
      </w:tr>
    </w:tbl>
    <w:p w:rsidR="00E70281" w:rsidRPr="00B10752" w:rsidRDefault="00E70281" w:rsidP="00E70281">
      <w:pPr>
        <w:jc w:val="both"/>
        <w:rPr>
          <w:sz w:val="20"/>
        </w:rPr>
      </w:pPr>
    </w:p>
    <w:p w:rsidR="00E70281" w:rsidRPr="00B10752" w:rsidRDefault="00B10752" w:rsidP="00E70281">
      <w:pPr>
        <w:widowControl w:val="0"/>
        <w:jc w:val="both"/>
        <w:rPr>
          <w:sz w:val="20"/>
        </w:rPr>
      </w:pPr>
      <w:r w:rsidRPr="00B10752">
        <w:rPr>
          <w:sz w:val="20"/>
        </w:rPr>
        <w:pict>
          <v:rect id="_x0000_i1039"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39305</w:t>
            </w:r>
          </w:p>
        </w:tc>
        <w:tc>
          <w:tcPr>
            <w:tcW w:w="4457" w:type="pct"/>
          </w:tcPr>
          <w:p w:rsidR="00E70281" w:rsidRPr="00B10752" w:rsidRDefault="005E4499" w:rsidP="0074582E">
            <w:pPr>
              <w:pStyle w:val="SCCLsocParty"/>
              <w:jc w:val="both"/>
              <w:rPr>
                <w:b/>
                <w:sz w:val="20"/>
                <w:szCs w:val="20"/>
              </w:rPr>
            </w:pPr>
            <w:r w:rsidRPr="00B10752">
              <w:rPr>
                <w:b/>
                <w:bCs/>
                <w:sz w:val="20"/>
                <w:szCs w:val="20"/>
              </w:rPr>
              <w:t>Les Souscripteurs du Lloyd’s (à titre d’assureur de SNC-Lavalin inc., faisant affaire antérieurement sous le nom de Terratech inc. et SNC-Lavalin Environnement inc., et Alain Blanchette)</w:t>
            </w:r>
            <w:r w:rsidR="00E70281" w:rsidRPr="00B10752">
              <w:rPr>
                <w:b/>
                <w:bCs/>
                <w:sz w:val="20"/>
                <w:szCs w:val="20"/>
              </w:rPr>
              <w:t xml:space="preserve"> c. Lise Deguise et a</w:t>
            </w:r>
            <w:r w:rsidR="0071481B" w:rsidRPr="00B10752">
              <w:rPr>
                <w:b/>
                <w:bCs/>
                <w:sz w:val="20"/>
                <w:szCs w:val="20"/>
              </w:rPr>
              <w:t>l.</w:t>
            </w:r>
          </w:p>
          <w:p w:rsidR="00E70281" w:rsidRPr="00B10752" w:rsidRDefault="00E70281" w:rsidP="0074582E">
            <w:pPr>
              <w:pStyle w:val="SCCLsocParty"/>
              <w:jc w:val="both"/>
              <w:rPr>
                <w:sz w:val="20"/>
                <w:szCs w:val="20"/>
              </w:rPr>
            </w:pPr>
          </w:p>
          <w:p w:rsidR="00E70281" w:rsidRPr="00B10752" w:rsidRDefault="00E70281" w:rsidP="0074582E">
            <w:pPr>
              <w:pStyle w:val="SCCLsocSubfileSeparator0"/>
              <w:rPr>
                <w:sz w:val="20"/>
                <w:szCs w:val="20"/>
                <w:lang w:val="fr-CA"/>
              </w:rPr>
            </w:pPr>
            <w:r w:rsidRPr="00B10752">
              <w:rPr>
                <w:sz w:val="20"/>
                <w:szCs w:val="20"/>
                <w:lang w:val="fr-CA"/>
              </w:rPr>
              <w:t xml:space="preserve">- et entre </w:t>
            </w:r>
            <w:r w:rsidR="0071481B" w:rsidRPr="00B10752">
              <w:rPr>
                <w:sz w:val="20"/>
                <w:szCs w:val="20"/>
                <w:lang w:val="fr-CA"/>
              </w:rPr>
              <w:t>-</w:t>
            </w:r>
          </w:p>
          <w:p w:rsidR="00E70281" w:rsidRPr="00B10752" w:rsidRDefault="00E70281" w:rsidP="0074582E">
            <w:pPr>
              <w:jc w:val="both"/>
              <w:rPr>
                <w:sz w:val="20"/>
                <w:lang w:val="fr-CA"/>
              </w:rPr>
            </w:pPr>
          </w:p>
          <w:p w:rsidR="00E70281" w:rsidRPr="00B10752" w:rsidRDefault="0071481B" w:rsidP="0074582E">
            <w:pPr>
              <w:pStyle w:val="SCCLsocParty"/>
              <w:jc w:val="both"/>
              <w:rPr>
                <w:b/>
                <w:sz w:val="20"/>
                <w:szCs w:val="20"/>
              </w:rPr>
            </w:pPr>
            <w:r w:rsidRPr="00B10752">
              <w:rPr>
                <w:b/>
                <w:sz w:val="20"/>
                <w:szCs w:val="20"/>
              </w:rPr>
              <w:t>Compagnie d’Assurance AIG du Canada (autrefois connue sous le nom de Compagnie d’Assurance Chartis du Canada), (à titre d’assureur de SNC-Lavalin inc., faisant affaire antérieurement sous le nom de Terratech inc. et SNC-Lavalin Environnement inc., et Alain Blanchette)</w:t>
            </w:r>
            <w:r w:rsidR="00E70281" w:rsidRPr="00B10752">
              <w:rPr>
                <w:b/>
                <w:sz w:val="20"/>
                <w:szCs w:val="20"/>
              </w:rPr>
              <w:t xml:space="preserve"> c. Denis Trahan </w:t>
            </w:r>
            <w:r w:rsidR="00E70281" w:rsidRPr="00B10752">
              <w:rPr>
                <w:b/>
                <w:bCs/>
                <w:sz w:val="20"/>
                <w:szCs w:val="20"/>
              </w:rPr>
              <w:t>et a</w:t>
            </w:r>
            <w:r w:rsidRPr="00B10752">
              <w:rPr>
                <w:b/>
                <w:bCs/>
                <w:sz w:val="20"/>
                <w:szCs w:val="20"/>
              </w:rPr>
              <w:t>l.</w:t>
            </w:r>
          </w:p>
          <w:p w:rsidR="00E70281" w:rsidRPr="00B10752" w:rsidRDefault="00E70281" w:rsidP="0074582E">
            <w:pPr>
              <w:pStyle w:val="SCCLsocParty"/>
              <w:jc w:val="both"/>
              <w:rPr>
                <w:sz w:val="20"/>
                <w:szCs w:val="20"/>
              </w:rPr>
            </w:pPr>
          </w:p>
          <w:p w:rsidR="00E70281" w:rsidRPr="00B10752" w:rsidRDefault="00E70281" w:rsidP="0074582E">
            <w:pPr>
              <w:pStyle w:val="SCCLsocSubfileSeparator0"/>
              <w:rPr>
                <w:sz w:val="20"/>
                <w:szCs w:val="20"/>
                <w:lang w:val="fr-CA"/>
              </w:rPr>
            </w:pPr>
            <w:r w:rsidRPr="00B10752">
              <w:rPr>
                <w:sz w:val="20"/>
                <w:szCs w:val="20"/>
                <w:lang w:val="fr-CA"/>
              </w:rPr>
              <w:t xml:space="preserve">- et entre </w:t>
            </w:r>
            <w:r w:rsidR="0071481B" w:rsidRPr="00B10752">
              <w:rPr>
                <w:sz w:val="20"/>
                <w:szCs w:val="20"/>
                <w:lang w:val="fr-CA"/>
              </w:rPr>
              <w:t>-</w:t>
            </w:r>
          </w:p>
          <w:p w:rsidR="00E70281" w:rsidRPr="00B10752" w:rsidRDefault="00E70281" w:rsidP="0074582E">
            <w:pPr>
              <w:jc w:val="both"/>
              <w:rPr>
                <w:sz w:val="20"/>
                <w:lang w:val="fr-CA"/>
              </w:rPr>
            </w:pPr>
          </w:p>
          <w:p w:rsidR="00E70281" w:rsidRPr="00B10752" w:rsidRDefault="0071481B" w:rsidP="0074582E">
            <w:pPr>
              <w:pStyle w:val="SCCLsocParty"/>
              <w:jc w:val="both"/>
              <w:rPr>
                <w:b/>
                <w:sz w:val="20"/>
                <w:szCs w:val="20"/>
              </w:rPr>
            </w:pPr>
            <w:r w:rsidRPr="00B10752">
              <w:rPr>
                <w:b/>
                <w:sz w:val="20"/>
                <w:szCs w:val="20"/>
              </w:rPr>
              <w:t>Zurich Insurance Company Ltd. (à titre d’assureur de SNC-Lavalin inc. et Alain Blanchette)</w:t>
            </w:r>
            <w:r w:rsidR="00E70281" w:rsidRPr="00B10752">
              <w:rPr>
                <w:b/>
                <w:sz w:val="20"/>
                <w:szCs w:val="20"/>
              </w:rPr>
              <w:t xml:space="preserve"> c. Lise Deguise </w:t>
            </w:r>
            <w:r w:rsidR="00E70281" w:rsidRPr="00B10752">
              <w:rPr>
                <w:b/>
                <w:bCs/>
                <w:sz w:val="20"/>
                <w:szCs w:val="20"/>
              </w:rPr>
              <w:t>et a</w:t>
            </w:r>
            <w:r w:rsidRPr="00B10752">
              <w:rPr>
                <w:b/>
                <w:bCs/>
                <w:sz w:val="20"/>
                <w:szCs w:val="20"/>
              </w:rPr>
              <w:t>l.</w:t>
            </w:r>
          </w:p>
          <w:p w:rsidR="00E70281" w:rsidRPr="00B10752" w:rsidRDefault="00E70281" w:rsidP="0074582E">
            <w:pPr>
              <w:jc w:val="both"/>
              <w:rPr>
                <w:sz w:val="20"/>
                <w:lang w:val="fr-CA"/>
              </w:rPr>
            </w:pPr>
          </w:p>
          <w:p w:rsidR="00E70281" w:rsidRPr="00B10752" w:rsidRDefault="00E70281" w:rsidP="0074582E">
            <w:pPr>
              <w:pStyle w:val="SCCLsocSubfileSeparator0"/>
              <w:rPr>
                <w:sz w:val="20"/>
                <w:szCs w:val="20"/>
                <w:lang w:val="fr-CA"/>
              </w:rPr>
            </w:pPr>
            <w:r w:rsidRPr="00B10752">
              <w:rPr>
                <w:sz w:val="20"/>
                <w:szCs w:val="20"/>
                <w:lang w:val="fr-CA"/>
              </w:rPr>
              <w:t xml:space="preserve">- et entre </w:t>
            </w:r>
            <w:r w:rsidR="0071481B" w:rsidRPr="00B10752">
              <w:rPr>
                <w:sz w:val="20"/>
                <w:szCs w:val="20"/>
                <w:lang w:val="fr-CA"/>
              </w:rPr>
              <w:t>-</w:t>
            </w:r>
          </w:p>
          <w:p w:rsidR="00E70281" w:rsidRPr="00B10752" w:rsidRDefault="00E70281" w:rsidP="0074582E">
            <w:pPr>
              <w:pStyle w:val="SCCLsocSubfileSeparator0"/>
              <w:rPr>
                <w:sz w:val="20"/>
                <w:szCs w:val="20"/>
                <w:lang w:val="fr-CA"/>
              </w:rPr>
            </w:pPr>
          </w:p>
          <w:p w:rsidR="00E70281" w:rsidRPr="00B10752" w:rsidRDefault="0071481B" w:rsidP="0074582E">
            <w:pPr>
              <w:pStyle w:val="SCCLsocParty"/>
              <w:jc w:val="both"/>
              <w:rPr>
                <w:b/>
                <w:sz w:val="20"/>
                <w:szCs w:val="20"/>
              </w:rPr>
            </w:pPr>
            <w:r w:rsidRPr="00B10752">
              <w:rPr>
                <w:b/>
                <w:sz w:val="20"/>
                <w:szCs w:val="20"/>
              </w:rPr>
              <w:t>Chubb du Canada compagnie d’Assurance (à titre d’assureur de SNC-Lavalin inc. et Alain Blanchette)</w:t>
            </w:r>
            <w:r w:rsidR="00E70281" w:rsidRPr="00B10752">
              <w:rPr>
                <w:b/>
                <w:sz w:val="20"/>
                <w:szCs w:val="20"/>
              </w:rPr>
              <w:t xml:space="preserve"> c. Lise Deguise et a</w:t>
            </w:r>
            <w:r w:rsidRPr="00B10752">
              <w:rPr>
                <w:b/>
                <w:sz w:val="20"/>
                <w:szCs w:val="20"/>
              </w:rPr>
              <w:t>l.</w:t>
            </w:r>
          </w:p>
          <w:p w:rsidR="00E70281" w:rsidRPr="00B10752" w:rsidRDefault="00E70281" w:rsidP="0074582E">
            <w:pPr>
              <w:pStyle w:val="SCCLsocParty"/>
              <w:jc w:val="both"/>
              <w:rPr>
                <w:sz w:val="20"/>
                <w:szCs w:val="20"/>
              </w:rPr>
            </w:pPr>
          </w:p>
          <w:p w:rsidR="00E70281" w:rsidRPr="00B10752" w:rsidRDefault="00E70281" w:rsidP="0074582E">
            <w:pPr>
              <w:pStyle w:val="SCCLsocSubfileSeparator0"/>
              <w:rPr>
                <w:sz w:val="20"/>
                <w:szCs w:val="20"/>
                <w:lang w:val="fr-CA"/>
              </w:rPr>
            </w:pPr>
            <w:r w:rsidRPr="00B10752">
              <w:rPr>
                <w:sz w:val="20"/>
                <w:szCs w:val="20"/>
                <w:lang w:val="fr-CA"/>
              </w:rPr>
              <w:t xml:space="preserve">- et entre </w:t>
            </w:r>
            <w:r w:rsidR="0071481B" w:rsidRPr="00B10752">
              <w:rPr>
                <w:sz w:val="20"/>
                <w:szCs w:val="20"/>
                <w:lang w:val="fr-CA"/>
              </w:rPr>
              <w:t>-</w:t>
            </w:r>
          </w:p>
          <w:p w:rsidR="00E70281" w:rsidRPr="00B10752" w:rsidRDefault="00E70281" w:rsidP="0074582E">
            <w:pPr>
              <w:jc w:val="both"/>
              <w:rPr>
                <w:sz w:val="20"/>
                <w:lang w:val="fr-CA"/>
              </w:rPr>
            </w:pPr>
          </w:p>
          <w:p w:rsidR="00E70281" w:rsidRPr="00B10752" w:rsidRDefault="0071481B" w:rsidP="0074582E">
            <w:pPr>
              <w:pStyle w:val="SCCLsocParty"/>
              <w:jc w:val="both"/>
              <w:rPr>
                <w:b/>
                <w:sz w:val="20"/>
                <w:szCs w:val="20"/>
              </w:rPr>
            </w:pPr>
            <w:r w:rsidRPr="00B10752">
              <w:rPr>
                <w:b/>
                <w:sz w:val="20"/>
                <w:szCs w:val="20"/>
              </w:rPr>
              <w:t>SNC-Lavalin inc. (faisant affaire antérieurement sous le nom de Terratech inc. et SNC-Lavalin Environnement inc.), et Alain Blanchette</w:t>
            </w:r>
            <w:r w:rsidR="00E70281" w:rsidRPr="00B10752">
              <w:rPr>
                <w:b/>
                <w:sz w:val="20"/>
                <w:szCs w:val="20"/>
              </w:rPr>
              <w:t xml:space="preserve"> c. Denis Trahan et a</w:t>
            </w:r>
            <w:r w:rsidRPr="00B10752">
              <w:rPr>
                <w:b/>
                <w:sz w:val="20"/>
                <w:szCs w:val="20"/>
              </w:rPr>
              <w:t>l.</w:t>
            </w:r>
          </w:p>
          <w:p w:rsidR="00E70281" w:rsidRPr="00B10752" w:rsidRDefault="00E70281" w:rsidP="0074582E">
            <w:pPr>
              <w:jc w:val="both"/>
              <w:rPr>
                <w:sz w:val="20"/>
                <w:lang w:val="fr-CA"/>
              </w:rPr>
            </w:pPr>
          </w:p>
          <w:p w:rsidR="00E70281" w:rsidRPr="00B10752" w:rsidRDefault="00E70281" w:rsidP="0074582E">
            <w:pPr>
              <w:pStyle w:val="SCCLsocSubfileSeparator0"/>
              <w:rPr>
                <w:sz w:val="20"/>
                <w:szCs w:val="20"/>
                <w:lang w:val="fr-CA"/>
              </w:rPr>
            </w:pPr>
            <w:r w:rsidRPr="00B10752">
              <w:rPr>
                <w:sz w:val="20"/>
                <w:szCs w:val="20"/>
                <w:lang w:val="fr-CA"/>
              </w:rPr>
              <w:t xml:space="preserve">- et entre </w:t>
            </w:r>
            <w:r w:rsidR="0071481B" w:rsidRPr="00B10752">
              <w:rPr>
                <w:sz w:val="20"/>
                <w:szCs w:val="20"/>
                <w:lang w:val="fr-CA"/>
              </w:rPr>
              <w:t>-</w:t>
            </w:r>
          </w:p>
          <w:p w:rsidR="00E70281" w:rsidRPr="00B10752" w:rsidRDefault="00E70281" w:rsidP="0074582E">
            <w:pPr>
              <w:jc w:val="both"/>
              <w:rPr>
                <w:sz w:val="20"/>
                <w:lang w:val="fr-CA"/>
              </w:rPr>
            </w:pPr>
          </w:p>
          <w:p w:rsidR="00E70281" w:rsidRPr="00B10752" w:rsidRDefault="0071481B" w:rsidP="0074582E">
            <w:pPr>
              <w:pStyle w:val="SCCLsocParty"/>
              <w:jc w:val="both"/>
              <w:rPr>
                <w:b/>
                <w:sz w:val="20"/>
                <w:szCs w:val="20"/>
              </w:rPr>
            </w:pPr>
            <w:r w:rsidRPr="00B10752">
              <w:rPr>
                <w:b/>
                <w:sz w:val="20"/>
                <w:szCs w:val="20"/>
              </w:rPr>
              <w:t>Compagnie d’assurance AIG du Canada (autrefois connue sous le nom de Compagnie d’Assurance Chartis du Canada) (à titre d’assureur de Carrière B &amp; B inc. et Béton Laurentide inc.)</w:t>
            </w:r>
            <w:r w:rsidR="00E70281" w:rsidRPr="00B10752">
              <w:rPr>
                <w:b/>
                <w:sz w:val="20"/>
                <w:szCs w:val="20"/>
              </w:rPr>
              <w:t xml:space="preserve"> c. Denis Trahan et a</w:t>
            </w:r>
            <w:r w:rsidRPr="00B10752">
              <w:rPr>
                <w:b/>
                <w:sz w:val="20"/>
                <w:szCs w:val="20"/>
              </w:rPr>
              <w:t>l.</w:t>
            </w:r>
          </w:p>
          <w:p w:rsidR="00E70281" w:rsidRPr="00B10752" w:rsidRDefault="00E70281" w:rsidP="0074582E">
            <w:pPr>
              <w:jc w:val="both"/>
              <w:rPr>
                <w:sz w:val="20"/>
                <w:lang w:val="fr-CA"/>
              </w:rPr>
            </w:pPr>
            <w:r w:rsidRPr="00B10752">
              <w:rPr>
                <w:sz w:val="20"/>
                <w:lang w:val="fr-CA"/>
              </w:rPr>
              <w:t>(Qc) (Civile) (Sur autorisation)</w:t>
            </w:r>
          </w:p>
        </w:tc>
      </w:tr>
      <w:tr w:rsidR="00E70281" w:rsidRPr="00B10752" w:rsidTr="0074582E">
        <w:tc>
          <w:tcPr>
            <w:tcW w:w="5000" w:type="pct"/>
            <w:gridSpan w:val="2"/>
          </w:tcPr>
          <w:p w:rsidR="005E4499" w:rsidRPr="00B10752" w:rsidRDefault="005E4499" w:rsidP="005E4499">
            <w:pPr>
              <w:jc w:val="both"/>
              <w:rPr>
                <w:sz w:val="20"/>
                <w:szCs w:val="20"/>
                <w:lang w:val="fr-CA"/>
              </w:rPr>
            </w:pPr>
            <w:r w:rsidRPr="00B10752">
              <w:rPr>
                <w:sz w:val="20"/>
                <w:szCs w:val="20"/>
                <w:lang w:val="fr-CA"/>
              </w:rPr>
              <w:t>Les requ</w:t>
            </w:r>
            <w:r w:rsidRPr="00B10752">
              <w:rPr>
                <w:rFonts w:cs="Times New Roman"/>
                <w:sz w:val="20"/>
                <w:szCs w:val="20"/>
                <w:lang w:val="fr-CA"/>
              </w:rPr>
              <w:t>ê</w:t>
            </w:r>
            <w:r w:rsidRPr="00B10752">
              <w:rPr>
                <w:sz w:val="20"/>
                <w:szCs w:val="20"/>
                <w:lang w:val="fr-CA"/>
              </w:rPr>
              <w:t>tes en prorogation du d</w:t>
            </w:r>
            <w:r w:rsidRPr="00B10752">
              <w:rPr>
                <w:rFonts w:cs="Times New Roman"/>
                <w:sz w:val="20"/>
                <w:szCs w:val="20"/>
                <w:lang w:val="fr-CA"/>
              </w:rPr>
              <w:t>é</w:t>
            </w:r>
            <w:r w:rsidRPr="00B10752">
              <w:rPr>
                <w:sz w:val="20"/>
                <w:szCs w:val="20"/>
                <w:lang w:val="fr-CA"/>
              </w:rPr>
              <w:t>lai de signification et de d</w:t>
            </w:r>
            <w:r w:rsidRPr="00B10752">
              <w:rPr>
                <w:rFonts w:cs="Times New Roman"/>
                <w:sz w:val="20"/>
                <w:szCs w:val="20"/>
                <w:lang w:val="fr-CA"/>
              </w:rPr>
              <w:t>é</w:t>
            </w:r>
            <w:r w:rsidRPr="00B10752">
              <w:rPr>
                <w:sz w:val="20"/>
                <w:szCs w:val="20"/>
                <w:lang w:val="fr-CA"/>
              </w:rPr>
              <w:t>p</w:t>
            </w:r>
            <w:r w:rsidRPr="00B10752">
              <w:rPr>
                <w:rFonts w:cs="Times New Roman"/>
                <w:sz w:val="20"/>
                <w:szCs w:val="20"/>
                <w:lang w:val="fr-CA"/>
              </w:rPr>
              <w:t>ô</w:t>
            </w:r>
            <w:r w:rsidRPr="00B10752">
              <w:rPr>
                <w:sz w:val="20"/>
                <w:szCs w:val="20"/>
                <w:lang w:val="fr-CA"/>
              </w:rPr>
              <w:t xml:space="preserve">t des demandes d’autorisation d’appel sont accueillies. La requête de la demanderesse Les Souscripteurs du Lloyd’s en prorogation du délai pour signifier et déposer ses répliques au 30 octobre 2020 est accueillie. Les requêtes pour réunir les numéros de dossiers de la cour d’instance inférieure et pour consolider les demandes d’autorisation d’appel des jugements liés de la Cour d’appel du Québec sont accueillies. La requête des intimés en radiation de la première demande est accueillie en partie, et les affidavits de Travis Budd et de David J. Matcham sont radiés de la demande d’autorisation d’appel de la demanderesse Les Souscripteurs du Lloyd’s. La requête des intimés en radiation de la quatrième demande est accueillie en partie, et l’affidavit de Peter Needra est radié de la demande d’autorisation d’appel de la demanderesse Chubb du Canada compagnie d’Assurance. Les six demandes d’autorisation d’appel de l’arrêt de la Cour d’appel du Québec (Québec), numéros 200-09-008788-140; 200-09-028788-153; 200-09-038788-151; 200-09-048788-159; 200-09-058788-156; 200-09-068788-154; 200-09-108788-156; 200-09-118788-154; 200-09-128788-152; et 200-09-158788-155, 2020 QCCA 495, tous datés du 6 avril 2020, et du jugement de la Cour d’appel du Québec (Québec), numéro 200-09-008788-140, daté du 12 juin 2020, sont rejetées avec dépens. </w:t>
            </w:r>
          </w:p>
          <w:p w:rsidR="00E70281" w:rsidRPr="00B10752" w:rsidRDefault="00E70281" w:rsidP="00D90258">
            <w:pPr>
              <w:jc w:val="both"/>
              <w:rPr>
                <w:sz w:val="20"/>
                <w:lang w:val="fr-CA"/>
              </w:rPr>
            </w:pPr>
          </w:p>
        </w:tc>
      </w:tr>
    </w:tbl>
    <w:p w:rsidR="00D90258" w:rsidRPr="00B10752" w:rsidRDefault="00D90258">
      <w:pPr>
        <w:rPr>
          <w:lang w:val="fr-CA"/>
        </w:rPr>
      </w:pPr>
      <w:r w:rsidRPr="00B1075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D90258" w:rsidRPr="00B10752" w:rsidTr="0074582E">
        <w:tc>
          <w:tcPr>
            <w:tcW w:w="5000" w:type="pct"/>
          </w:tcPr>
          <w:p w:rsidR="00D90258" w:rsidRPr="00B10752" w:rsidRDefault="00D90258" w:rsidP="00D90258">
            <w:pPr>
              <w:jc w:val="both"/>
              <w:rPr>
                <w:sz w:val="20"/>
                <w:szCs w:val="20"/>
                <w:lang w:val="fr-CA"/>
              </w:rPr>
            </w:pPr>
            <w:r w:rsidRPr="00B10752">
              <w:rPr>
                <w:sz w:val="20"/>
                <w:szCs w:val="20"/>
                <w:lang w:val="fr-CA"/>
              </w:rPr>
              <w:lastRenderedPageBreak/>
              <w:t xml:space="preserve">*Il est entendu que le présent jugement incorpore par renvoi les numéros de dossiers liés des cours d’instances inférieures et vise les parties dont la liste figure aux annexes du jugement principal de la Cour d’appel du Québec daté du 6 avril 2020 et de son jugement daté du 12 juin 2020. Une liste des intimés dans chacune des six demandes d’autorisation d’appel peut être consultée sur le site Web de la Cour suprême du Canada à </w:t>
            </w:r>
            <w:hyperlink r:id="rId22" w:history="1">
              <w:r w:rsidRPr="00B10752">
                <w:rPr>
                  <w:rStyle w:val="Hyperlink"/>
                  <w:sz w:val="20"/>
                  <w:szCs w:val="20"/>
                  <w:lang w:val="fr-CA"/>
                </w:rPr>
                <w:t>https://scc-csc.ca/case-dossier/info/parties-fra.aspx?cas=39305</w:t>
              </w:r>
            </w:hyperlink>
            <w:r w:rsidRPr="00B10752">
              <w:rPr>
                <w:sz w:val="20"/>
                <w:szCs w:val="20"/>
                <w:lang w:val="fr-CA"/>
              </w:rPr>
              <w:t>.</w:t>
            </w:r>
          </w:p>
          <w:p w:rsidR="00D90258" w:rsidRPr="00B10752" w:rsidRDefault="00D90258" w:rsidP="0074582E">
            <w:pPr>
              <w:jc w:val="both"/>
              <w:rPr>
                <w:sz w:val="20"/>
                <w:lang w:val="fr-CA"/>
              </w:rPr>
            </w:pPr>
          </w:p>
        </w:tc>
      </w:tr>
      <w:tr w:rsidR="00E70281" w:rsidRPr="00B10752" w:rsidTr="0074582E">
        <w:tc>
          <w:tcPr>
            <w:tcW w:w="5000" w:type="pct"/>
          </w:tcPr>
          <w:p w:rsidR="00E70281" w:rsidRPr="00B10752" w:rsidRDefault="00E70281" w:rsidP="0074582E">
            <w:pPr>
              <w:jc w:val="both"/>
              <w:rPr>
                <w:sz w:val="20"/>
                <w:lang w:val="fr-CA"/>
              </w:rPr>
            </w:pPr>
            <w:r w:rsidRPr="00B10752">
              <w:rPr>
                <w:sz w:val="20"/>
                <w:lang w:val="fr-CA"/>
              </w:rPr>
              <w:t xml:space="preserve">Responsabilité civile — Responsabilité professionnelle — Défaut de mise en garde — Causalité — Responsabilité indéterminée — Partage de la responsabilité — Assurances — Assurance de responsabilité — Contrats — Législation — Interprétation — </w:t>
            </w:r>
            <w:r w:rsidRPr="00B10752">
              <w:rPr>
                <w:color w:val="000000"/>
                <w:sz w:val="20"/>
                <w:lang w:val="fr-CA"/>
              </w:rPr>
              <w:t>Est</w:t>
            </w:r>
            <w:r w:rsidRPr="00B10752">
              <w:rPr>
                <w:color w:val="000000"/>
                <w:sz w:val="20"/>
                <w:lang w:val="fr-CA"/>
              </w:rPr>
              <w:noBreakHyphen/>
              <w:t xml:space="preserve">ce qu’une solution harmonisée au Québec et dans le reste du Canada doit être apportée quant à la limite de la responsabilité du professionnel envers les tiers? </w:t>
            </w:r>
            <w:r w:rsidRPr="00B10752">
              <w:rPr>
                <w:sz w:val="20"/>
                <w:lang w:val="fr-CA"/>
              </w:rPr>
              <w:t>—</w:t>
            </w:r>
            <w:r w:rsidRPr="00B10752">
              <w:rPr>
                <w:color w:val="000000"/>
                <w:sz w:val="20"/>
                <w:lang w:val="fr-CA"/>
              </w:rPr>
              <w:t xml:space="preserve"> </w:t>
            </w:r>
            <w:r w:rsidRPr="00B10752">
              <w:rPr>
                <w:color w:val="000000"/>
                <w:spacing w:val="-1"/>
                <w:sz w:val="20"/>
                <w:lang w:val="fr-CA"/>
              </w:rPr>
              <w:t>Le fabricant, conscient des risques liés à l’exploitation du produit manufacturé et détenant des rapports contradictoires concernant la qualité du produit vendu, peut</w:t>
            </w:r>
            <w:r w:rsidRPr="00B10752">
              <w:rPr>
                <w:color w:val="000000"/>
                <w:spacing w:val="-1"/>
                <w:sz w:val="20"/>
                <w:lang w:val="fr-CA"/>
              </w:rPr>
              <w:noBreakHyphen/>
              <w:t xml:space="preserve">il faire assumer à l’un des professionnels consultés ses choix commerciaux et les conséquences liées à la garantie de qualité à laquelle il est légalement tenu? </w:t>
            </w:r>
            <w:r w:rsidRPr="00B10752">
              <w:rPr>
                <w:sz w:val="20"/>
                <w:lang w:val="fr-CA"/>
              </w:rPr>
              <w:t>—</w:t>
            </w:r>
            <w:r w:rsidRPr="00B10752">
              <w:rPr>
                <w:color w:val="000000"/>
                <w:spacing w:val="-1"/>
                <w:sz w:val="20"/>
                <w:lang w:val="fr-CA"/>
              </w:rPr>
              <w:t xml:space="preserve"> </w:t>
            </w:r>
            <w:r w:rsidRPr="00B10752">
              <w:rPr>
                <w:color w:val="000000"/>
                <w:sz w:val="20"/>
                <w:lang w:val="fr-CA"/>
              </w:rPr>
              <w:t>Les entrepreneurs peuvent</w:t>
            </w:r>
            <w:r w:rsidRPr="00B10752">
              <w:rPr>
                <w:color w:val="000000"/>
                <w:sz w:val="20"/>
                <w:lang w:val="fr-CA"/>
              </w:rPr>
              <w:noBreakHyphen/>
              <w:t xml:space="preserve">ils éviter d’assumer toute part de responsabilité dans le cadre d’une condamnation </w:t>
            </w:r>
            <w:r w:rsidRPr="00B10752">
              <w:rPr>
                <w:i/>
                <w:color w:val="000000"/>
                <w:sz w:val="20"/>
                <w:lang w:val="fr-CA"/>
              </w:rPr>
              <w:t xml:space="preserve">in solidum </w:t>
            </w:r>
            <w:r w:rsidRPr="00B10752">
              <w:rPr>
                <w:color w:val="000000"/>
                <w:sz w:val="20"/>
                <w:lang w:val="fr-CA"/>
              </w:rPr>
              <w:t xml:space="preserve">alors qu’ils ont manqué à leur devoir d’agir avec prudence et diligence dans l’intérêt de leurs clients et qu’ils sont assujettis à un régime de responsabilité légale? </w:t>
            </w:r>
            <w:r w:rsidRPr="00B10752">
              <w:rPr>
                <w:sz w:val="20"/>
                <w:lang w:val="fr-CA"/>
              </w:rPr>
              <w:t>— Lorsque l’assuré informe son assureur d’une circonstance antérieure, ou qu’il a connaissance antérieure d’une réclamation qui pourrait être présentée maintenant ou à l’avenir, devrait</w:t>
            </w:r>
            <w:r w:rsidRPr="00B10752">
              <w:rPr>
                <w:sz w:val="20"/>
                <w:lang w:val="fr-CA"/>
              </w:rPr>
              <w:noBreakHyphen/>
              <w:t xml:space="preserve">on donner plein effet à une clause type de déclaration d’une circonstance, ou une exclusion basée sur la connaissance antérieure, afin de limiter la portée de la couverture dans des polices ultérieures? — Quelle est l’incidence des articles 2500 et 2503 du </w:t>
            </w:r>
            <w:r w:rsidRPr="00B10752">
              <w:rPr>
                <w:i/>
                <w:sz w:val="20"/>
                <w:lang w:val="fr-CA"/>
              </w:rPr>
              <w:t xml:space="preserve">Code civil du Québec </w:t>
            </w:r>
            <w:r w:rsidRPr="00B10752">
              <w:rPr>
                <w:sz w:val="20"/>
                <w:lang w:val="fr-CA"/>
              </w:rPr>
              <w:t>(« CCQ ») sur l’érosion des limites des tours d’assurance responsabilité offrant une couverture de type « worldwide »? — Plus précisément, dans quelle mesure les articles 2500 et 2503 du CCQ peuvent</w:t>
            </w:r>
            <w:r w:rsidRPr="00B10752">
              <w:rPr>
                <w:sz w:val="20"/>
                <w:lang w:val="fr-CA"/>
              </w:rPr>
              <w:noBreakHyphen/>
              <w:t xml:space="preserve">ils s’appliquer validement aux réclamations reçues et traitées en vertu de tours d’assurance responsabilité dans des ressorts étrangers afin de limiter l’érosion de la protection totale disponible au Québec en vertu de telles tours? — La </w:t>
            </w:r>
            <w:r w:rsidRPr="00B10752">
              <w:rPr>
                <w:color w:val="000000"/>
                <w:sz w:val="20"/>
                <w:lang w:val="fr-CA"/>
              </w:rPr>
              <w:t>Cour d’appel a</w:t>
            </w:r>
            <w:r w:rsidRPr="00B10752">
              <w:rPr>
                <w:color w:val="000000"/>
                <w:sz w:val="20"/>
                <w:lang w:val="fr-CA"/>
              </w:rPr>
              <w:noBreakHyphen/>
              <w:t>t</w:t>
            </w:r>
            <w:r w:rsidRPr="00B10752">
              <w:rPr>
                <w:color w:val="000000"/>
                <w:sz w:val="20"/>
                <w:lang w:val="fr-CA"/>
              </w:rPr>
              <w:noBreakHyphen/>
              <w:t>elle commis une erreur en tenant compte de l’identité des assureurs lorsqu’elle a interprété les clauses 7.1.2 et 6.5 de la police intitulée « Benchmark Policy » dans le contexte de renouvellements successifs des tours multiples</w:t>
            </w:r>
            <w:r w:rsidRPr="00B10752">
              <w:rPr>
                <w:sz w:val="20"/>
                <w:lang w:val="fr-CA"/>
              </w:rPr>
              <w:t xml:space="preserve"> d’assurance responsabilité</w:t>
            </w:r>
            <w:r w:rsidRPr="00B10752">
              <w:rPr>
                <w:color w:val="000000"/>
                <w:sz w:val="20"/>
                <w:lang w:val="fr-CA"/>
              </w:rPr>
              <w:t xml:space="preserve"> professionnelle, acceptant de ce fait la multiplication de la garantie relative aux tours 2009</w:t>
            </w:r>
            <w:r w:rsidRPr="00B10752">
              <w:rPr>
                <w:color w:val="000000"/>
                <w:sz w:val="20"/>
                <w:lang w:val="fr-CA"/>
              </w:rPr>
              <w:noBreakHyphen/>
              <w:t>2010, 2010</w:t>
            </w:r>
            <w:r w:rsidRPr="00B10752">
              <w:rPr>
                <w:color w:val="000000"/>
                <w:sz w:val="20"/>
                <w:lang w:val="fr-CA"/>
              </w:rPr>
              <w:noBreakHyphen/>
              <w:t>2011 et 2011</w:t>
            </w:r>
            <w:r w:rsidRPr="00B10752">
              <w:rPr>
                <w:color w:val="000000"/>
                <w:sz w:val="20"/>
                <w:lang w:val="fr-CA"/>
              </w:rPr>
              <w:noBreakHyphen/>
              <w:t xml:space="preserve">2012? </w:t>
            </w:r>
            <w:r w:rsidRPr="00B10752">
              <w:rPr>
                <w:sz w:val="20"/>
                <w:lang w:val="fr-CA"/>
              </w:rPr>
              <w:t>— Les</w:t>
            </w:r>
            <w:r w:rsidRPr="00B10752">
              <w:rPr>
                <w:color w:val="000000"/>
                <w:sz w:val="20"/>
                <w:lang w:val="fr-CA"/>
              </w:rPr>
              <w:t xml:space="preserve"> art. 2500 et 2503 du CCQ s’appliquent</w:t>
            </w:r>
            <w:r w:rsidRPr="00B10752">
              <w:rPr>
                <w:color w:val="000000"/>
                <w:sz w:val="20"/>
                <w:lang w:val="fr-CA"/>
              </w:rPr>
              <w:noBreakHyphen/>
              <w:t>ils à toutes les réclamations reçues et traitées en vertu des polices des tours 2009</w:t>
            </w:r>
            <w:r w:rsidRPr="00B10752">
              <w:rPr>
                <w:color w:val="000000"/>
                <w:sz w:val="20"/>
                <w:lang w:val="fr-CA"/>
              </w:rPr>
              <w:noBreakHyphen/>
              <w:t xml:space="preserve">2010 sans égard au ressort, de telle sorte que les frais de réclamation engagés pour défendre l’action Keystone ne peuvent contribuer à l’érosion du montant de la couverture disponible pour les tiers lésés au Québec? </w:t>
            </w:r>
            <w:r w:rsidRPr="00B10752">
              <w:rPr>
                <w:sz w:val="20"/>
                <w:lang w:val="fr-CA"/>
              </w:rPr>
              <w:t>— Quel cadre analytique contextuel convient</w:t>
            </w:r>
            <w:r w:rsidRPr="00B10752">
              <w:rPr>
                <w:sz w:val="20"/>
                <w:lang w:val="fr-CA"/>
              </w:rPr>
              <w:noBreakHyphen/>
              <w:t>il d’ap</w:t>
            </w:r>
            <w:r w:rsidRPr="00B10752">
              <w:rPr>
                <w:color w:val="000000"/>
                <w:sz w:val="20"/>
                <w:lang w:val="fr-CA"/>
              </w:rPr>
              <w:t>pliquer à la caractérisation, l’interprétation et l’application des polices d’assurance responsabilité hybride sur la base de réclamations, et aux composantes principales de celles</w:t>
            </w:r>
            <w:r w:rsidRPr="00B10752">
              <w:rPr>
                <w:color w:val="000000"/>
                <w:sz w:val="20"/>
                <w:lang w:val="fr-CA"/>
              </w:rPr>
              <w:noBreakHyphen/>
              <w:t>ci, étant donné la structure et l’objet d’une telle couverture?</w:t>
            </w:r>
            <w:r w:rsidRPr="00B10752">
              <w:rPr>
                <w:sz w:val="20"/>
                <w:lang w:val="fr-CA"/>
              </w:rPr>
              <w:t xml:space="preserve"> — </w:t>
            </w:r>
            <w:r w:rsidRPr="00B10752">
              <w:rPr>
                <w:color w:val="000000"/>
                <w:sz w:val="20"/>
                <w:lang w:val="fr-CA"/>
              </w:rPr>
              <w:t>Dans quelles circonstances l’intention manifeste des parties aux contrats d’assurance, telle qu’elle a été établie tant par écrit que par témoignage oral, peut-elle être écartée?</w:t>
            </w:r>
            <w:r w:rsidRPr="00B10752">
              <w:rPr>
                <w:sz w:val="20"/>
                <w:lang w:val="fr-CA"/>
              </w:rPr>
              <w:t xml:space="preserve"> — Comment faut</w:t>
            </w:r>
            <w:r w:rsidRPr="00B10752">
              <w:rPr>
                <w:sz w:val="20"/>
                <w:lang w:val="fr-CA"/>
              </w:rPr>
              <w:noBreakHyphen/>
              <w:t xml:space="preserve">il interpréter </w:t>
            </w:r>
            <w:r w:rsidRPr="00B10752">
              <w:rPr>
                <w:color w:val="000000"/>
                <w:sz w:val="20"/>
                <w:lang w:val="fr-CA"/>
              </w:rPr>
              <w:t>la clause « Prior Insurance and Non</w:t>
            </w:r>
            <w:r w:rsidRPr="00B10752">
              <w:rPr>
                <w:color w:val="000000"/>
                <w:sz w:val="20"/>
                <w:lang w:val="fr-CA"/>
              </w:rPr>
              <w:noBreakHyphen/>
              <w:t>Cumulation of Liability » dans un contrat d’assurance?</w:t>
            </w:r>
            <w:r w:rsidRPr="00B10752">
              <w:rPr>
                <w:sz w:val="20"/>
                <w:lang w:val="fr-CA"/>
              </w:rPr>
              <w:t xml:space="preserve"> — Quel est le sens du mot</w:t>
            </w:r>
            <w:r w:rsidRPr="00B10752">
              <w:rPr>
                <w:color w:val="000000"/>
                <w:sz w:val="20"/>
                <w:lang w:val="fr-CA"/>
              </w:rPr>
              <w:t xml:space="preserve"> « occurrence » dans les</w:t>
            </w:r>
            <w:r w:rsidRPr="00B10752">
              <w:rPr>
                <w:sz w:val="20"/>
                <w:lang w:val="fr-CA"/>
              </w:rPr>
              <w:t xml:space="preserve"> </w:t>
            </w:r>
            <w:r w:rsidRPr="00B10752">
              <w:rPr>
                <w:color w:val="000000"/>
                <w:sz w:val="20"/>
                <w:lang w:val="fr-CA"/>
              </w:rPr>
              <w:t>polices d’assurance de responsabilité civile des entreprises?</w:t>
            </w:r>
            <w:r w:rsidRPr="00B10752">
              <w:rPr>
                <w:color w:val="000000"/>
                <w:spacing w:val="-2"/>
                <w:sz w:val="20"/>
                <w:lang w:val="fr-CA"/>
              </w:rPr>
              <w:t xml:space="preserve"> </w:t>
            </w:r>
            <w:r w:rsidRPr="00B10752">
              <w:rPr>
                <w:sz w:val="20"/>
                <w:lang w:val="fr-CA"/>
              </w:rPr>
              <w:t xml:space="preserve">— </w:t>
            </w:r>
            <w:r w:rsidRPr="00B10752">
              <w:rPr>
                <w:i/>
                <w:sz w:val="20"/>
                <w:lang w:val="fr-CA"/>
              </w:rPr>
              <w:t xml:space="preserve">Code civil du Québec, </w:t>
            </w:r>
            <w:r w:rsidRPr="00B10752">
              <w:rPr>
                <w:sz w:val="20"/>
                <w:lang w:val="fr-CA"/>
              </w:rPr>
              <w:t>R.L.R.Q. c. CCQ</w:t>
            </w:r>
            <w:r w:rsidRPr="00B10752">
              <w:rPr>
                <w:sz w:val="20"/>
                <w:lang w:val="fr-CA"/>
              </w:rPr>
              <w:noBreakHyphen/>
              <w:t>1991, art. 1457, 2500, 2503 et 3119.</w:t>
            </w:r>
          </w:p>
          <w:p w:rsidR="00E70281" w:rsidRPr="00B10752" w:rsidRDefault="00E70281" w:rsidP="0074582E">
            <w:pPr>
              <w:jc w:val="both"/>
              <w:rPr>
                <w:sz w:val="20"/>
                <w:lang w:val="fr-CA"/>
              </w:rPr>
            </w:pPr>
          </w:p>
        </w:tc>
      </w:tr>
      <w:tr w:rsidR="00E70281" w:rsidRPr="00B10752" w:rsidTr="0074582E">
        <w:tc>
          <w:tcPr>
            <w:tcW w:w="5000" w:type="pct"/>
          </w:tcPr>
          <w:p w:rsidR="00E70281" w:rsidRPr="00B10752" w:rsidRDefault="00E70281" w:rsidP="0074582E">
            <w:pPr>
              <w:jc w:val="both"/>
              <w:rPr>
                <w:sz w:val="20"/>
                <w:lang w:val="fr-CA"/>
              </w:rPr>
            </w:pPr>
            <w:r w:rsidRPr="00B10752">
              <w:rPr>
                <w:sz w:val="20"/>
                <w:lang w:val="fr-CA"/>
              </w:rPr>
              <w:t>Cette affaire, désignée</w:t>
            </w:r>
            <w:r w:rsidRPr="00B10752">
              <w:rPr>
                <w:sz w:val="20"/>
                <w:lang w:val="fr-FR"/>
              </w:rPr>
              <w:t xml:space="preserve"> « l’affaire de la pyrrhotite » au fil des années et qui </w:t>
            </w:r>
            <w:r w:rsidRPr="00B10752">
              <w:rPr>
                <w:sz w:val="20"/>
                <w:lang w:val="fr-CA"/>
              </w:rPr>
              <w:t>fait la manchette depuis plus de 10 ans, a fait couler beaucoup d’encre et a alimenté les débats dans le secteur de la construction au Canada. L</w:t>
            </w:r>
            <w:r w:rsidRPr="00B10752">
              <w:rPr>
                <w:sz w:val="20"/>
                <w:lang w:val="fr-FR"/>
              </w:rPr>
              <w:t>a pyrrhotite est un sulfure de fer que l’on retrouve parfois dans les gisements exploités aux fins d’extraction de granulats de pierre à béton</w:t>
            </w:r>
            <w:r w:rsidRPr="00B10752">
              <w:rPr>
                <w:sz w:val="20"/>
                <w:lang w:val="fr-CA"/>
              </w:rPr>
              <w:t xml:space="preserve">. </w:t>
            </w:r>
            <w:r w:rsidRPr="00B10752">
              <w:rPr>
                <w:sz w:val="20"/>
                <w:lang w:val="fr-FR"/>
              </w:rPr>
              <w:t>Sa présence dans de tels granulats se révèle délétère en ce qu’elle est susceptible de causer des réactions chimiques hautement indésirables</w:t>
            </w:r>
            <w:r w:rsidRPr="00B10752">
              <w:rPr>
                <w:sz w:val="20"/>
                <w:lang w:val="fr-CA"/>
              </w:rPr>
              <w:t xml:space="preserve">. L’oxydation de la pyrrhotite peut </w:t>
            </w:r>
            <w:r w:rsidRPr="00B10752">
              <w:rPr>
                <w:sz w:val="20"/>
                <w:lang w:val="fr-FR"/>
              </w:rPr>
              <w:t>provoquer le gonflement interne du béton</w:t>
            </w:r>
            <w:r w:rsidRPr="00B10752">
              <w:rPr>
                <w:sz w:val="20"/>
                <w:lang w:val="fr-CA"/>
              </w:rPr>
              <w:t xml:space="preserve">. Le béton étant utilisé comme matériau de construction dans </w:t>
            </w:r>
            <w:r w:rsidRPr="00B10752">
              <w:rPr>
                <w:sz w:val="20"/>
                <w:lang w:val="fr-FR"/>
              </w:rPr>
              <w:t>l’érection de la plupart des fondations,</w:t>
            </w:r>
            <w:r w:rsidRPr="00B10752">
              <w:rPr>
                <w:sz w:val="20"/>
                <w:lang w:val="fr-CA"/>
              </w:rPr>
              <w:t xml:space="preserve"> il s’en suit que la présence de pyrrhotite peut entraîner la dégradation et la précarisation de la structure de bâtiments.</w:t>
            </w:r>
          </w:p>
          <w:p w:rsidR="00E70281" w:rsidRPr="00B10752" w:rsidRDefault="00E70281" w:rsidP="0074582E">
            <w:pPr>
              <w:jc w:val="both"/>
              <w:rPr>
                <w:sz w:val="20"/>
                <w:lang w:val="fr-CA"/>
              </w:rPr>
            </w:pPr>
          </w:p>
          <w:p w:rsidR="00E70281" w:rsidRPr="00B10752" w:rsidRDefault="00E70281" w:rsidP="0074582E">
            <w:pPr>
              <w:jc w:val="both"/>
              <w:rPr>
                <w:sz w:val="20"/>
                <w:lang w:val="fr-CA"/>
              </w:rPr>
            </w:pPr>
            <w:r w:rsidRPr="00B10752">
              <w:rPr>
                <w:sz w:val="20"/>
                <w:lang w:val="fr-CA"/>
              </w:rPr>
              <w:t xml:space="preserve">Le litige mettant en cause la pyrrhotite dont les juridictions inférieures ont d’abord été saisies a été regroupé en trois ensembles de « vagues », la première concernant 832 immeubles — soit, 446 </w:t>
            </w:r>
            <w:r w:rsidRPr="00B10752">
              <w:rPr>
                <w:sz w:val="20"/>
                <w:lang w:val="fr-FR"/>
              </w:rPr>
              <w:t>résidences unifamiliales, 312 jumelés, 56 multilogements et 18 immeubles commerciaux</w:t>
            </w:r>
            <w:bookmarkStart w:id="4" w:name="_ftnref3"/>
            <w:bookmarkEnd w:id="4"/>
            <w:r w:rsidRPr="00B10752">
              <w:rPr>
                <w:sz w:val="20"/>
                <w:lang w:val="fr-CA"/>
              </w:rPr>
              <w:t>. Les fondations de ces immeubles ont été endommagées par la présence de pyrrhotite dans les granulats à béton utilisés dans leur construction. Le litige regroupe plus de 880 actions qui ont été regroupées, en première instance, parmi 69 dossiers du greffe. Plus de 800 appels ont été déposés auprès de la Cour d’appel du Québec, par les parties demanderesses, ainsi que les parties défenderesses et leurs assureurs.</w:t>
            </w:r>
          </w:p>
          <w:p w:rsidR="00E70281" w:rsidRPr="00B10752" w:rsidRDefault="00E70281" w:rsidP="00D90258">
            <w:pPr>
              <w:jc w:val="both"/>
              <w:rPr>
                <w:sz w:val="20"/>
                <w:lang w:val="fr-CA"/>
              </w:rPr>
            </w:pPr>
          </w:p>
        </w:tc>
      </w:tr>
    </w:tbl>
    <w:p w:rsidR="00D90258" w:rsidRPr="00B10752" w:rsidRDefault="00D90258">
      <w:pPr>
        <w:rPr>
          <w:lang w:val="fr-CA"/>
        </w:rPr>
      </w:pPr>
      <w:r w:rsidRPr="00B1075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90258" w:rsidRPr="00B10752" w:rsidTr="0074582E">
        <w:tc>
          <w:tcPr>
            <w:tcW w:w="5000" w:type="pct"/>
            <w:gridSpan w:val="3"/>
          </w:tcPr>
          <w:p w:rsidR="00D90258" w:rsidRPr="00B10752" w:rsidRDefault="00D90258" w:rsidP="00D90258">
            <w:pPr>
              <w:jc w:val="both"/>
              <w:rPr>
                <w:sz w:val="20"/>
                <w:lang w:val="fr-CA"/>
              </w:rPr>
            </w:pPr>
            <w:r w:rsidRPr="00B10752">
              <w:rPr>
                <w:sz w:val="20"/>
                <w:lang w:val="fr-CA"/>
              </w:rPr>
              <w:lastRenderedPageBreak/>
              <w:t xml:space="preserve">Les différentes actions ont été intentées contre </w:t>
            </w:r>
            <w:r w:rsidRPr="00B10752">
              <w:rPr>
                <w:sz w:val="20"/>
                <w:lang w:val="fr-FR"/>
              </w:rPr>
              <w:t>les entrepreneurs généraux ou les coffreurs impliqués dans la construction des fondations</w:t>
            </w:r>
            <w:r w:rsidRPr="00B10752">
              <w:rPr>
                <w:sz w:val="20"/>
                <w:lang w:val="fr-CA"/>
              </w:rPr>
              <w:t xml:space="preserve">; </w:t>
            </w:r>
            <w:r w:rsidRPr="00B10752">
              <w:rPr>
                <w:sz w:val="20"/>
                <w:lang w:val="fr-FR"/>
              </w:rPr>
              <w:t>« les bétonnières » ayant fourni le béton problématique</w:t>
            </w:r>
            <w:r w:rsidRPr="00B10752">
              <w:rPr>
                <w:sz w:val="20"/>
                <w:lang w:val="fr-CA"/>
              </w:rPr>
              <w:t xml:space="preserve">; la </w:t>
            </w:r>
            <w:r w:rsidRPr="00B10752">
              <w:rPr>
                <w:sz w:val="20"/>
                <w:lang w:val="fr-FR"/>
              </w:rPr>
              <w:t>société exploitant la carrière d’où provient le granulat délétère;</w:t>
            </w:r>
            <w:r w:rsidRPr="00B10752">
              <w:rPr>
                <w:sz w:val="20"/>
                <w:lang w:val="fr-CA"/>
              </w:rPr>
              <w:t xml:space="preserve"> Alain Blanchette, </w:t>
            </w:r>
            <w:r w:rsidRPr="00B10752">
              <w:rPr>
                <w:sz w:val="20"/>
                <w:lang w:val="fr-FR"/>
              </w:rPr>
              <w:t>le géologue ayant cautionné l’usage des granulats extraits de la carrière</w:t>
            </w:r>
            <w:r w:rsidRPr="00B10752">
              <w:rPr>
                <w:sz w:val="20"/>
                <w:lang w:val="fr-CA"/>
              </w:rPr>
              <w:t xml:space="preserve">, </w:t>
            </w:r>
            <w:r w:rsidRPr="00B10752">
              <w:rPr>
                <w:sz w:val="20"/>
                <w:lang w:val="fr-FR"/>
              </w:rPr>
              <w:t>et l’ayant cause de son employeur</w:t>
            </w:r>
            <w:r w:rsidRPr="00B10752">
              <w:rPr>
                <w:sz w:val="20"/>
                <w:lang w:val="fr-CA"/>
              </w:rPr>
              <w:t>, SNC</w:t>
            </w:r>
            <w:r w:rsidRPr="00B10752">
              <w:rPr>
                <w:sz w:val="20"/>
                <w:lang w:val="fr-CA"/>
              </w:rPr>
              <w:noBreakHyphen/>
              <w:t xml:space="preserve">Lavalin Inc.; et les </w:t>
            </w:r>
            <w:r w:rsidRPr="00B10752">
              <w:rPr>
                <w:sz w:val="20"/>
                <w:lang w:val="fr-FR"/>
              </w:rPr>
              <w:t>sociétés d’assurance ayant conclu des contrats avec l’une ou l’autre des parties dont la responsabilité est recherchée</w:t>
            </w:r>
            <w:r w:rsidRPr="00B10752">
              <w:rPr>
                <w:sz w:val="20"/>
                <w:lang w:val="fr-CA"/>
              </w:rPr>
              <w:t xml:space="preserve">. </w:t>
            </w:r>
            <w:r w:rsidRPr="00B10752">
              <w:rPr>
                <w:sz w:val="20"/>
                <w:lang w:val="fr-FR"/>
              </w:rPr>
              <w:t xml:space="preserve">En dernière analyse, et sous réserve de quelques exceptions, le juge </w:t>
            </w:r>
            <w:r w:rsidRPr="00B10752">
              <w:rPr>
                <w:sz w:val="20"/>
                <w:lang w:val="fr-CA"/>
              </w:rPr>
              <w:t xml:space="preserve">de première instance </w:t>
            </w:r>
            <w:r w:rsidRPr="00B10752">
              <w:rPr>
                <w:sz w:val="20"/>
                <w:lang w:val="fr-FR"/>
              </w:rPr>
              <w:t xml:space="preserve">a retenu la responsabilité </w:t>
            </w:r>
            <w:r w:rsidRPr="00B10752">
              <w:rPr>
                <w:i/>
                <w:sz w:val="20"/>
                <w:lang w:val="fr-FR"/>
              </w:rPr>
              <w:t>in solidum</w:t>
            </w:r>
            <w:r w:rsidRPr="00B10752">
              <w:rPr>
                <w:sz w:val="20"/>
                <w:lang w:val="fr-FR"/>
              </w:rPr>
              <w:t xml:space="preserve"> des entrepreneurs, de </w:t>
            </w:r>
            <w:r w:rsidRPr="00B10752">
              <w:rPr>
                <w:sz w:val="20"/>
                <w:lang w:val="fr-CA"/>
              </w:rPr>
              <w:t xml:space="preserve">la </w:t>
            </w:r>
            <w:r w:rsidRPr="00B10752">
              <w:rPr>
                <w:sz w:val="20"/>
                <w:lang w:val="fr-FR"/>
              </w:rPr>
              <w:t>société exploitant la carrière, de</w:t>
            </w:r>
            <w:r w:rsidRPr="00B10752">
              <w:rPr>
                <w:sz w:val="20"/>
                <w:lang w:val="fr-CA"/>
              </w:rPr>
              <w:t xml:space="preserve"> SNC</w:t>
            </w:r>
            <w:r w:rsidRPr="00B10752">
              <w:rPr>
                <w:sz w:val="20"/>
                <w:lang w:val="fr-CA"/>
              </w:rPr>
              <w:noBreakHyphen/>
              <w:t>Lavalin et d’Alain Blanchette</w:t>
            </w:r>
            <w:r w:rsidRPr="00B10752">
              <w:rPr>
                <w:sz w:val="20"/>
                <w:lang w:val="fr-FR"/>
              </w:rPr>
              <w:t xml:space="preserve"> et de leurs assureurs.</w:t>
            </w:r>
            <w:r w:rsidRPr="00B10752">
              <w:rPr>
                <w:sz w:val="20"/>
                <w:lang w:val="fr-CA"/>
              </w:rPr>
              <w:t xml:space="preserve"> Il a procédé à un partage de la nature de celui envisagé par l’article 469 de l’ancien </w:t>
            </w:r>
            <w:r w:rsidRPr="00B10752">
              <w:rPr>
                <w:i/>
                <w:sz w:val="20"/>
                <w:lang w:val="fr-CA"/>
              </w:rPr>
              <w:t>Code de procédure civile</w:t>
            </w:r>
            <w:r w:rsidRPr="00B10752">
              <w:rPr>
                <w:sz w:val="20"/>
                <w:lang w:val="fr-CA"/>
              </w:rPr>
              <w:t xml:space="preserve">. </w:t>
            </w:r>
            <w:r w:rsidRPr="00B10752">
              <w:rPr>
                <w:sz w:val="20"/>
                <w:lang w:val="fr-FR"/>
              </w:rPr>
              <w:t>Le partage de la responsabilité entre les parties défenderesses pour les dommages causés aux parties demanderesses a été établi comme suit pour la majorité des dossiers résidentiels </w:t>
            </w:r>
            <w:r w:rsidRPr="00B10752">
              <w:rPr>
                <w:sz w:val="20"/>
                <w:lang w:val="fr-CA"/>
              </w:rPr>
              <w:t>: SNC</w:t>
            </w:r>
            <w:r w:rsidRPr="00B10752">
              <w:rPr>
                <w:sz w:val="20"/>
                <w:lang w:val="fr-CA"/>
              </w:rPr>
              <w:noBreakHyphen/>
              <w:t xml:space="preserve">Lavalin Inc. et Alain Blanchette sont responsables </w:t>
            </w:r>
            <w:r w:rsidRPr="00B10752">
              <w:rPr>
                <w:i/>
                <w:sz w:val="20"/>
                <w:lang w:val="fr-CA"/>
              </w:rPr>
              <w:t>in solidum</w:t>
            </w:r>
            <w:r w:rsidRPr="00B10752">
              <w:rPr>
                <w:sz w:val="20"/>
                <w:lang w:val="fr-CA"/>
              </w:rPr>
              <w:t xml:space="preserve"> </w:t>
            </w:r>
            <w:r w:rsidRPr="00B10752">
              <w:rPr>
                <w:sz w:val="20"/>
                <w:lang w:val="fr-FR"/>
              </w:rPr>
              <w:t>pour la période comprise entre mai 2003 et le 28 novembre 2007</w:t>
            </w:r>
            <w:r w:rsidRPr="00B10752">
              <w:rPr>
                <w:sz w:val="20"/>
                <w:lang w:val="fr-CA"/>
              </w:rPr>
              <w:t xml:space="preserve"> (70 %); la </w:t>
            </w:r>
            <w:r w:rsidRPr="00B10752">
              <w:rPr>
                <w:sz w:val="20"/>
                <w:lang w:val="fr-FR"/>
              </w:rPr>
              <w:t>société exploitant la carrière</w:t>
            </w:r>
            <w:r w:rsidRPr="00B10752">
              <w:rPr>
                <w:sz w:val="20"/>
                <w:lang w:val="fr-CA"/>
              </w:rPr>
              <w:t xml:space="preserve"> et les bétonnières sont responsables </w:t>
            </w:r>
            <w:r w:rsidRPr="00B10752">
              <w:rPr>
                <w:i/>
                <w:sz w:val="20"/>
                <w:lang w:val="fr-CA"/>
              </w:rPr>
              <w:t>in solidum</w:t>
            </w:r>
            <w:r w:rsidRPr="00B10752">
              <w:rPr>
                <w:sz w:val="20"/>
                <w:lang w:val="fr-CA"/>
              </w:rPr>
              <w:t xml:space="preserve"> (25 %, réparti en deux, soit 12,5 % pour la bétonnière en cause et 12,5 % pour la carrière); et </w:t>
            </w:r>
            <w:r w:rsidRPr="00B10752">
              <w:rPr>
                <w:sz w:val="20"/>
                <w:lang w:val="fr-FR"/>
              </w:rPr>
              <w:t>les entrepreneurs généraux et les coffreurs</w:t>
            </w:r>
            <w:r w:rsidRPr="00B10752">
              <w:rPr>
                <w:sz w:val="20"/>
                <w:lang w:val="fr-CA"/>
              </w:rPr>
              <w:t xml:space="preserve"> sont responsables </w:t>
            </w:r>
            <w:r w:rsidRPr="00B10752">
              <w:rPr>
                <w:i/>
                <w:sz w:val="20"/>
                <w:lang w:val="fr-CA"/>
              </w:rPr>
              <w:t>in solidum</w:t>
            </w:r>
            <w:r w:rsidRPr="00B10752">
              <w:rPr>
                <w:sz w:val="20"/>
                <w:lang w:val="fr-CA"/>
              </w:rPr>
              <w:t xml:space="preserve"> (5 %). La Cour d’appel du Québec a accueilli les appels en partie, en ce qui a trait au </w:t>
            </w:r>
            <w:r w:rsidRPr="00B10752">
              <w:rPr>
                <w:sz w:val="20"/>
                <w:lang w:val="fr-FR"/>
              </w:rPr>
              <w:t>partage de la responsabilité entre les parties défenderesses et aux demandes en</w:t>
            </w:r>
            <w:r w:rsidRPr="00B10752">
              <w:rPr>
                <w:sz w:val="20"/>
                <w:lang w:val="fr-CA"/>
              </w:rPr>
              <w:t xml:space="preserve"> intervention forcée. La Cour d’appel a réduit la responsabilité des entrepreneurs à 0 %. Elle a également conclu que la tour d’assurance couvrant SNC-Lavalin pour la période d’assurance 2009</w:t>
            </w:r>
            <w:r w:rsidRPr="00B10752">
              <w:rPr>
                <w:sz w:val="20"/>
                <w:lang w:val="fr-CA"/>
              </w:rPr>
              <w:noBreakHyphen/>
              <w:t>2010 n’était pas érodée par le paiement des frais et dépens dans le cadre du règlement du litige Keystone en Alberta.</w:t>
            </w:r>
          </w:p>
          <w:p w:rsidR="00D90258" w:rsidRPr="00B10752" w:rsidRDefault="00D90258"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 xml:space="preserve">12 juin 2014, rectifié le 31 juillet 2014 et le </w:t>
            </w:r>
          </w:p>
          <w:p w:rsidR="00E70281" w:rsidRPr="00B10752" w:rsidRDefault="00E70281" w:rsidP="0074582E">
            <w:pPr>
              <w:jc w:val="both"/>
              <w:rPr>
                <w:sz w:val="20"/>
                <w:lang w:val="fr-CA"/>
              </w:rPr>
            </w:pPr>
            <w:r w:rsidRPr="00B10752">
              <w:rPr>
                <w:sz w:val="20"/>
                <w:lang w:val="fr-CA"/>
              </w:rPr>
              <w:t>6 novembre 2014</w:t>
            </w:r>
          </w:p>
          <w:p w:rsidR="00E70281" w:rsidRPr="00B10752" w:rsidRDefault="00E70281" w:rsidP="0074582E">
            <w:pPr>
              <w:jc w:val="both"/>
              <w:rPr>
                <w:sz w:val="20"/>
                <w:lang w:val="fr-CA"/>
              </w:rPr>
            </w:pPr>
            <w:r w:rsidRPr="00B10752">
              <w:rPr>
                <w:sz w:val="20"/>
                <w:lang w:val="fr-CA"/>
              </w:rPr>
              <w:t>Cour supérieure du Québec</w:t>
            </w:r>
          </w:p>
          <w:p w:rsidR="00E70281" w:rsidRPr="00B10752" w:rsidRDefault="00E70281" w:rsidP="0074582E">
            <w:pPr>
              <w:jc w:val="both"/>
              <w:rPr>
                <w:sz w:val="20"/>
                <w:lang w:val="fr-CA"/>
              </w:rPr>
            </w:pPr>
            <w:r w:rsidRPr="00B10752">
              <w:rPr>
                <w:sz w:val="20"/>
                <w:lang w:val="fr-CA"/>
              </w:rPr>
              <w:t>(Juge Richard)</w:t>
            </w:r>
          </w:p>
          <w:p w:rsidR="00E70281" w:rsidRPr="00B10752" w:rsidRDefault="00B10752" w:rsidP="0074582E">
            <w:pPr>
              <w:jc w:val="both"/>
              <w:rPr>
                <w:rStyle w:val="Hyperlink"/>
                <w:sz w:val="20"/>
                <w:lang w:val="fr-CA"/>
              </w:rPr>
            </w:pPr>
            <w:hyperlink r:id="rId23" w:history="1">
              <w:r w:rsidR="00E70281" w:rsidRPr="00B10752">
                <w:rPr>
                  <w:rStyle w:val="Hyperlink"/>
                  <w:sz w:val="20"/>
                  <w:lang w:val="fr-CA"/>
                </w:rPr>
                <w:t>2014 QCCS 2672</w:t>
              </w:r>
            </w:hyperlink>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Défendeurs Construction Yvan Boisvert inc., Carrière B &amp; B inc. ainsi que SNC</w:t>
            </w:r>
            <w:r w:rsidRPr="00B10752">
              <w:rPr>
                <w:sz w:val="20"/>
                <w:lang w:val="fr-CA"/>
              </w:rPr>
              <w:noBreakHyphen/>
              <w:t xml:space="preserve">Lavalin et M. Blanchette condamnés à payer aux demandeurs la somme de 304 691, 42 $, le tout solidairement et </w:t>
            </w:r>
            <w:r w:rsidRPr="00B10752">
              <w:rPr>
                <w:i/>
                <w:sz w:val="20"/>
                <w:lang w:val="fr-CA"/>
              </w:rPr>
              <w:t>in solidum</w:t>
            </w:r>
            <w:r w:rsidRPr="00B10752">
              <w:rPr>
                <w:sz w:val="20"/>
                <w:lang w:val="fr-CA"/>
              </w:rPr>
              <w:t>; part de Construction Yvan Boisvert inc. et de Carrière B. &amp; B inc. déclarée à 25 % alors que celle de SNC</w:t>
            </w:r>
            <w:r w:rsidRPr="00B10752">
              <w:rPr>
                <w:sz w:val="20"/>
                <w:lang w:val="fr-CA"/>
              </w:rPr>
              <w:noBreakHyphen/>
              <w:t>Lavalin et M. Blanchette est de 70 %; assureurs des parties défenderesses Construction Yvan Boisvert et Carrière B &amp; B inc. ordonnés de payer au prorata entre eux les dommages octroyés en fonction des dates de leurs couvertures respectives comprises entre le moment de la coulée et la date de cristallisation; assureurs en responsabilité professionnelle de SNC</w:t>
            </w:r>
            <w:r w:rsidRPr="00B10752">
              <w:rPr>
                <w:sz w:val="20"/>
                <w:lang w:val="fr-CA"/>
              </w:rPr>
              <w:noBreakHyphen/>
              <w:t>Lavalin ordonnés de se répartir entre eux les dommages en lien avec la responsabilité de leur assuré SNC</w:t>
            </w:r>
            <w:r w:rsidRPr="00B10752">
              <w:rPr>
                <w:sz w:val="20"/>
                <w:lang w:val="fr-CA"/>
              </w:rPr>
              <w:noBreakHyphen/>
              <w:t>Lavalin et ce pour chaque tour applicable en raison des réclamations soumises et présentées par les parties demanderesses en respectant l’ordre des assureurs dans chacune des tours et le tout en tenant compte des érosions applicables s’il en est, et ce jusqu’à concurrence des montants de couvertures disponibles.</w:t>
            </w:r>
          </w:p>
          <w:p w:rsidR="00E70281" w:rsidRPr="00B10752" w:rsidRDefault="00E70281" w:rsidP="0074582E">
            <w:pPr>
              <w:jc w:val="both"/>
              <w:rPr>
                <w:sz w:val="20"/>
                <w:lang w:val="fr-CA"/>
              </w:rPr>
            </w:pPr>
          </w:p>
        </w:tc>
      </w:tr>
    </w:tbl>
    <w:p w:rsidR="00D90258" w:rsidRPr="00B10752" w:rsidRDefault="00D90258">
      <w:pPr>
        <w:rPr>
          <w:lang w:val="fr-CA"/>
        </w:rPr>
      </w:pPr>
      <w:r w:rsidRPr="00B1075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2427" w:type="pct"/>
          </w:tcPr>
          <w:p w:rsidR="00E70281" w:rsidRPr="00B10752" w:rsidRDefault="00E70281" w:rsidP="0074582E">
            <w:pPr>
              <w:jc w:val="both"/>
              <w:rPr>
                <w:sz w:val="20"/>
                <w:lang w:val="fr-CA"/>
              </w:rPr>
            </w:pPr>
            <w:r w:rsidRPr="00B10752">
              <w:rPr>
                <w:sz w:val="20"/>
                <w:lang w:val="fr-CA"/>
              </w:rPr>
              <w:lastRenderedPageBreak/>
              <w:t>6 avril 2020 (jugement principal)</w:t>
            </w:r>
          </w:p>
          <w:p w:rsidR="00E70281" w:rsidRPr="00B10752" w:rsidRDefault="00E70281" w:rsidP="0074582E">
            <w:pPr>
              <w:jc w:val="both"/>
              <w:rPr>
                <w:sz w:val="20"/>
                <w:lang w:val="fr-CA"/>
              </w:rPr>
            </w:pPr>
            <w:r w:rsidRPr="00B10752">
              <w:rPr>
                <w:sz w:val="20"/>
                <w:lang w:val="fr-CA"/>
              </w:rPr>
              <w:t>Cour d’appel du Québec (Québec)</w:t>
            </w:r>
          </w:p>
          <w:p w:rsidR="00E70281" w:rsidRPr="00B10752" w:rsidRDefault="00E70281" w:rsidP="0074582E">
            <w:pPr>
              <w:jc w:val="both"/>
              <w:rPr>
                <w:sz w:val="20"/>
                <w:lang w:val="fr-CA"/>
              </w:rPr>
            </w:pPr>
            <w:r w:rsidRPr="00B10752">
              <w:rPr>
                <w:sz w:val="20"/>
                <w:lang w:val="fr-CA"/>
              </w:rPr>
              <w:t>(Juges Pelletier, Giroux et Gagnon)</w:t>
            </w:r>
          </w:p>
          <w:p w:rsidR="00E70281" w:rsidRPr="00B10752" w:rsidRDefault="00B10752" w:rsidP="0074582E">
            <w:pPr>
              <w:jc w:val="both"/>
              <w:rPr>
                <w:rStyle w:val="Hyperlink"/>
                <w:sz w:val="20"/>
                <w:lang w:val="fr-CA"/>
              </w:rPr>
            </w:pPr>
            <w:hyperlink r:id="rId24" w:history="1">
              <w:r w:rsidR="00E70281" w:rsidRPr="00B10752">
                <w:rPr>
                  <w:rStyle w:val="Hyperlink"/>
                  <w:sz w:val="20"/>
                  <w:lang w:val="fr-CA"/>
                </w:rPr>
                <w:t>2020 QCCA 495</w:t>
              </w:r>
            </w:hyperlink>
          </w:p>
          <w:p w:rsidR="00E70281" w:rsidRPr="00B10752" w:rsidRDefault="00E70281" w:rsidP="0074582E">
            <w:pPr>
              <w:jc w:val="both"/>
              <w:rPr>
                <w:rStyle w:val="Hyperlink"/>
                <w:sz w:val="20"/>
                <w:u w:val="none"/>
                <w:lang w:val="fr-CA"/>
              </w:rPr>
            </w:pPr>
            <w:r w:rsidRPr="00B10752">
              <w:rPr>
                <w:rStyle w:val="Hyperlink"/>
                <w:sz w:val="20"/>
                <w:lang w:val="fr-CA"/>
              </w:rPr>
              <w:t>200-09-008788-140; 200</w:t>
            </w:r>
            <w:r w:rsidRPr="00B10752">
              <w:rPr>
                <w:rStyle w:val="Hyperlink"/>
                <w:sz w:val="20"/>
                <w:lang w:val="fr-CA"/>
              </w:rPr>
              <w:noBreakHyphen/>
              <w:t>09</w:t>
            </w:r>
            <w:r w:rsidRPr="00B10752">
              <w:rPr>
                <w:rStyle w:val="Hyperlink"/>
                <w:sz w:val="20"/>
                <w:lang w:val="fr-CA"/>
              </w:rPr>
              <w:noBreakHyphen/>
              <w:t>028788</w:t>
            </w:r>
            <w:r w:rsidRPr="00B10752">
              <w:rPr>
                <w:rStyle w:val="Hyperlink"/>
                <w:sz w:val="20"/>
                <w:lang w:val="fr-CA"/>
              </w:rPr>
              <w:noBreakHyphen/>
              <w:t>153</w:t>
            </w:r>
            <w:r w:rsidRPr="00B10752">
              <w:rPr>
                <w:rStyle w:val="Hyperlink"/>
                <w:sz w:val="20"/>
                <w:u w:val="none"/>
                <w:lang w:val="fr-CA"/>
              </w:rPr>
              <w:t xml:space="preserve">; </w:t>
            </w:r>
          </w:p>
          <w:p w:rsidR="00E70281" w:rsidRPr="00B10752" w:rsidRDefault="00E70281" w:rsidP="0074582E">
            <w:pPr>
              <w:jc w:val="both"/>
              <w:rPr>
                <w:rStyle w:val="Hyperlink"/>
                <w:sz w:val="20"/>
                <w:lang w:val="fr-CA"/>
              </w:rPr>
            </w:pPr>
            <w:r w:rsidRPr="00B10752">
              <w:rPr>
                <w:rStyle w:val="Hyperlink"/>
                <w:sz w:val="20"/>
                <w:lang w:val="fr-CA"/>
              </w:rPr>
              <w:t>200</w:t>
            </w:r>
            <w:r w:rsidRPr="00B10752">
              <w:rPr>
                <w:rStyle w:val="Hyperlink"/>
                <w:sz w:val="20"/>
                <w:lang w:val="fr-CA"/>
              </w:rPr>
              <w:noBreakHyphen/>
              <w:t>09</w:t>
            </w:r>
            <w:r w:rsidRPr="00B10752">
              <w:rPr>
                <w:rStyle w:val="Hyperlink"/>
                <w:sz w:val="20"/>
                <w:lang w:val="fr-CA"/>
              </w:rPr>
              <w:noBreakHyphen/>
              <w:t>038788</w:t>
            </w:r>
            <w:r w:rsidRPr="00B10752">
              <w:rPr>
                <w:rStyle w:val="Hyperlink"/>
                <w:sz w:val="20"/>
                <w:lang w:val="fr-CA"/>
              </w:rPr>
              <w:noBreakHyphen/>
              <w:t>151; 200</w:t>
            </w:r>
            <w:r w:rsidRPr="00B10752">
              <w:rPr>
                <w:rStyle w:val="Hyperlink"/>
                <w:sz w:val="20"/>
                <w:lang w:val="fr-CA"/>
              </w:rPr>
              <w:noBreakHyphen/>
              <w:t>09</w:t>
            </w:r>
            <w:r w:rsidRPr="00B10752">
              <w:rPr>
                <w:rStyle w:val="Hyperlink"/>
                <w:sz w:val="20"/>
                <w:lang w:val="fr-CA"/>
              </w:rPr>
              <w:noBreakHyphen/>
              <w:t>048788</w:t>
            </w:r>
            <w:r w:rsidRPr="00B10752">
              <w:rPr>
                <w:rStyle w:val="Hyperlink"/>
                <w:sz w:val="20"/>
                <w:lang w:val="fr-CA"/>
              </w:rPr>
              <w:noBreakHyphen/>
              <w:t>159</w:t>
            </w:r>
            <w:r w:rsidRPr="00B10752">
              <w:rPr>
                <w:rStyle w:val="Hyperlink"/>
                <w:sz w:val="20"/>
                <w:u w:val="none"/>
                <w:lang w:val="fr-CA"/>
              </w:rPr>
              <w:t xml:space="preserve">; </w:t>
            </w:r>
          </w:p>
          <w:p w:rsidR="00E70281" w:rsidRPr="00B10752" w:rsidRDefault="00E70281" w:rsidP="0074582E">
            <w:pPr>
              <w:jc w:val="both"/>
              <w:rPr>
                <w:sz w:val="20"/>
                <w:lang w:val="fr-CA"/>
              </w:rPr>
            </w:pPr>
            <w:r w:rsidRPr="00B10752">
              <w:rPr>
                <w:sz w:val="20"/>
                <w:lang w:val="fr-CA"/>
              </w:rPr>
              <w:t>200</w:t>
            </w:r>
            <w:r w:rsidRPr="00B10752">
              <w:rPr>
                <w:sz w:val="20"/>
                <w:lang w:val="fr-CA"/>
              </w:rPr>
              <w:noBreakHyphen/>
              <w:t>09</w:t>
            </w:r>
            <w:r w:rsidRPr="00B10752">
              <w:rPr>
                <w:sz w:val="20"/>
                <w:lang w:val="fr-CA"/>
              </w:rPr>
              <w:noBreakHyphen/>
              <w:t>058788</w:t>
            </w:r>
            <w:r w:rsidRPr="00B10752">
              <w:rPr>
                <w:sz w:val="20"/>
                <w:lang w:val="fr-CA"/>
              </w:rPr>
              <w:noBreakHyphen/>
              <w:t>156; 200</w:t>
            </w:r>
            <w:r w:rsidRPr="00B10752">
              <w:rPr>
                <w:sz w:val="20"/>
                <w:lang w:val="fr-CA"/>
              </w:rPr>
              <w:noBreakHyphen/>
              <w:t>09</w:t>
            </w:r>
            <w:r w:rsidRPr="00B10752">
              <w:rPr>
                <w:sz w:val="20"/>
                <w:lang w:val="fr-CA"/>
              </w:rPr>
              <w:noBreakHyphen/>
              <w:t>068788</w:t>
            </w:r>
            <w:r w:rsidRPr="00B10752">
              <w:rPr>
                <w:sz w:val="20"/>
                <w:lang w:val="fr-CA"/>
              </w:rPr>
              <w:noBreakHyphen/>
              <w:t>154;</w:t>
            </w:r>
          </w:p>
          <w:p w:rsidR="00E70281" w:rsidRPr="00B10752" w:rsidRDefault="00E70281" w:rsidP="0074582E">
            <w:pPr>
              <w:jc w:val="both"/>
              <w:rPr>
                <w:sz w:val="20"/>
                <w:lang w:val="fr-CA"/>
              </w:rPr>
            </w:pPr>
            <w:r w:rsidRPr="00B10752">
              <w:rPr>
                <w:sz w:val="20"/>
                <w:lang w:val="fr-CA"/>
              </w:rPr>
              <w:t>200</w:t>
            </w:r>
            <w:r w:rsidRPr="00B10752">
              <w:rPr>
                <w:sz w:val="20"/>
                <w:lang w:val="fr-CA"/>
              </w:rPr>
              <w:noBreakHyphen/>
              <w:t>09</w:t>
            </w:r>
            <w:r w:rsidRPr="00B10752">
              <w:rPr>
                <w:sz w:val="20"/>
                <w:lang w:val="fr-CA"/>
              </w:rPr>
              <w:noBreakHyphen/>
              <w:t>108788</w:t>
            </w:r>
            <w:r w:rsidRPr="00B10752">
              <w:rPr>
                <w:sz w:val="20"/>
                <w:lang w:val="fr-CA"/>
              </w:rPr>
              <w:noBreakHyphen/>
              <w:t>156;200</w:t>
            </w:r>
            <w:r w:rsidRPr="00B10752">
              <w:rPr>
                <w:sz w:val="20"/>
                <w:lang w:val="fr-CA"/>
              </w:rPr>
              <w:noBreakHyphen/>
              <w:t>09</w:t>
            </w:r>
            <w:r w:rsidRPr="00B10752">
              <w:rPr>
                <w:sz w:val="20"/>
                <w:lang w:val="fr-CA"/>
              </w:rPr>
              <w:noBreakHyphen/>
              <w:t>118788</w:t>
            </w:r>
            <w:r w:rsidRPr="00B10752">
              <w:rPr>
                <w:sz w:val="20"/>
                <w:lang w:val="fr-CA"/>
              </w:rPr>
              <w:noBreakHyphen/>
              <w:t>154; 200</w:t>
            </w:r>
            <w:r w:rsidRPr="00B10752">
              <w:rPr>
                <w:sz w:val="20"/>
                <w:lang w:val="fr-CA"/>
              </w:rPr>
              <w:noBreakHyphen/>
              <w:t>09</w:t>
            </w:r>
            <w:r w:rsidRPr="00B10752">
              <w:rPr>
                <w:sz w:val="20"/>
                <w:lang w:val="fr-CA"/>
              </w:rPr>
              <w:noBreakHyphen/>
              <w:t>128788</w:t>
            </w:r>
            <w:r w:rsidRPr="00B10752">
              <w:rPr>
                <w:sz w:val="20"/>
                <w:lang w:val="fr-CA"/>
              </w:rPr>
              <w:noBreakHyphen/>
              <w:t>152; 200</w:t>
            </w:r>
            <w:r w:rsidRPr="00B10752">
              <w:rPr>
                <w:sz w:val="20"/>
                <w:lang w:val="fr-CA"/>
              </w:rPr>
              <w:noBreakHyphen/>
              <w:t>09</w:t>
            </w:r>
            <w:r w:rsidRPr="00B10752">
              <w:rPr>
                <w:sz w:val="20"/>
                <w:lang w:val="fr-CA"/>
              </w:rPr>
              <w:noBreakHyphen/>
              <w:t>158788</w:t>
            </w:r>
            <w:r w:rsidRPr="00B10752">
              <w:rPr>
                <w:sz w:val="20"/>
                <w:lang w:val="fr-CA"/>
              </w:rPr>
              <w:noBreakHyphen/>
              <w:t>155</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 xml:space="preserve">Les appels dans tous les dossiers font l’objet de certaines corrections quant à la désignation des parties, d’ordonnances quant à la scission des instances aux fins de calcul de l’indemnisation, de réserves; </w:t>
            </w:r>
          </w:p>
          <w:p w:rsidR="00E70281" w:rsidRPr="00B10752" w:rsidRDefault="00E70281" w:rsidP="0074582E">
            <w:pPr>
              <w:jc w:val="both"/>
              <w:rPr>
                <w:sz w:val="20"/>
                <w:lang w:val="fr-CA"/>
              </w:rPr>
            </w:pPr>
            <w:r w:rsidRPr="00B10752">
              <w:rPr>
                <w:sz w:val="20"/>
                <w:lang w:val="fr-CA"/>
              </w:rPr>
              <w:t>Les appels sont rejetés dans les dossiers suivants : 200</w:t>
            </w:r>
            <w:r w:rsidRPr="00B10752">
              <w:rPr>
                <w:sz w:val="20"/>
                <w:lang w:val="fr-CA"/>
              </w:rPr>
              <w:noBreakHyphen/>
              <w:t>09</w:t>
            </w:r>
            <w:r w:rsidRPr="00B10752">
              <w:rPr>
                <w:sz w:val="20"/>
                <w:lang w:val="fr-CA"/>
              </w:rPr>
              <w:noBreakHyphen/>
              <w:t>008788</w:t>
            </w:r>
            <w:r w:rsidRPr="00B10752">
              <w:rPr>
                <w:sz w:val="20"/>
                <w:lang w:val="fr-CA"/>
              </w:rPr>
              <w:noBreakHyphen/>
              <w:t>140; 200</w:t>
            </w:r>
            <w:r w:rsidRPr="00B10752">
              <w:rPr>
                <w:sz w:val="20"/>
                <w:lang w:val="fr-CA"/>
              </w:rPr>
              <w:noBreakHyphen/>
              <w:t>09</w:t>
            </w:r>
            <w:r w:rsidRPr="00B10752">
              <w:rPr>
                <w:sz w:val="20"/>
                <w:lang w:val="fr-CA"/>
              </w:rPr>
              <w:noBreakHyphen/>
              <w:t>048788</w:t>
            </w:r>
            <w:r w:rsidRPr="00B10752">
              <w:rPr>
                <w:sz w:val="20"/>
                <w:lang w:val="fr-CA"/>
              </w:rPr>
              <w:noBreakHyphen/>
              <w:t>159; 200</w:t>
            </w:r>
            <w:r w:rsidRPr="00B10752">
              <w:rPr>
                <w:sz w:val="20"/>
                <w:lang w:val="fr-CA"/>
              </w:rPr>
              <w:noBreakHyphen/>
              <w:t>09</w:t>
            </w:r>
            <w:r w:rsidRPr="00B10752">
              <w:rPr>
                <w:sz w:val="20"/>
                <w:lang w:val="fr-CA"/>
              </w:rPr>
              <w:noBreakHyphen/>
              <w:t>068788</w:t>
            </w:r>
            <w:r w:rsidRPr="00B10752">
              <w:rPr>
                <w:sz w:val="20"/>
                <w:lang w:val="fr-CA"/>
              </w:rPr>
              <w:noBreakHyphen/>
              <w:t>154; 200</w:t>
            </w:r>
            <w:r w:rsidRPr="00B10752">
              <w:rPr>
                <w:sz w:val="20"/>
                <w:lang w:val="fr-CA"/>
              </w:rPr>
              <w:noBreakHyphen/>
              <w:t>09</w:t>
            </w:r>
            <w:r w:rsidRPr="00B10752">
              <w:rPr>
                <w:sz w:val="20"/>
                <w:lang w:val="fr-CA"/>
              </w:rPr>
              <w:noBreakHyphen/>
              <w:t>118788</w:t>
            </w:r>
            <w:r w:rsidRPr="00B10752">
              <w:rPr>
                <w:sz w:val="20"/>
                <w:lang w:val="fr-CA"/>
              </w:rPr>
              <w:noBreakHyphen/>
              <w:t>154; 200</w:t>
            </w:r>
            <w:r w:rsidRPr="00B10752">
              <w:rPr>
                <w:sz w:val="20"/>
                <w:lang w:val="fr-CA"/>
              </w:rPr>
              <w:noBreakHyphen/>
              <w:t>09</w:t>
            </w:r>
            <w:r w:rsidRPr="00B10752">
              <w:rPr>
                <w:sz w:val="20"/>
                <w:lang w:val="fr-CA"/>
              </w:rPr>
              <w:noBreakHyphen/>
              <w:t>128788</w:t>
            </w:r>
            <w:r w:rsidRPr="00B10752">
              <w:rPr>
                <w:sz w:val="20"/>
                <w:lang w:val="fr-CA"/>
              </w:rPr>
              <w:noBreakHyphen/>
              <w:t>152 et 200</w:t>
            </w:r>
            <w:r w:rsidRPr="00B10752">
              <w:rPr>
                <w:sz w:val="20"/>
                <w:lang w:val="fr-CA"/>
              </w:rPr>
              <w:noBreakHyphen/>
              <w:t>09</w:t>
            </w:r>
            <w:r w:rsidRPr="00B10752">
              <w:rPr>
                <w:sz w:val="20"/>
                <w:lang w:val="fr-CA"/>
              </w:rPr>
              <w:noBreakHyphen/>
              <w:t>158788</w:t>
            </w:r>
            <w:r w:rsidRPr="00B10752">
              <w:rPr>
                <w:sz w:val="20"/>
                <w:lang w:val="fr-CA"/>
              </w:rPr>
              <w:noBreakHyphen/>
              <w:t>155;</w:t>
            </w:r>
          </w:p>
          <w:p w:rsidR="00E70281" w:rsidRPr="00B10752" w:rsidRDefault="00E70281" w:rsidP="0074582E">
            <w:pPr>
              <w:jc w:val="both"/>
              <w:rPr>
                <w:sz w:val="20"/>
                <w:u w:val="single"/>
                <w:lang w:val="fr-CA"/>
              </w:rPr>
            </w:pPr>
            <w:r w:rsidRPr="00B10752">
              <w:rPr>
                <w:sz w:val="20"/>
                <w:lang w:val="fr-CA"/>
              </w:rPr>
              <w:t>Les appels sont accueillis en partie dans les dossiers 00</w:t>
            </w:r>
            <w:r w:rsidRPr="00B10752">
              <w:rPr>
                <w:sz w:val="20"/>
                <w:lang w:val="fr-CA"/>
              </w:rPr>
              <w:noBreakHyphen/>
              <w:t>09</w:t>
            </w:r>
            <w:r w:rsidRPr="00B10752">
              <w:rPr>
                <w:sz w:val="20"/>
                <w:lang w:val="fr-CA"/>
              </w:rPr>
              <w:noBreakHyphen/>
              <w:t>028788</w:t>
            </w:r>
            <w:r w:rsidRPr="00B10752">
              <w:rPr>
                <w:sz w:val="20"/>
                <w:lang w:val="fr-CA"/>
              </w:rPr>
              <w:noBreakHyphen/>
              <w:t>153;200</w:t>
            </w:r>
            <w:r w:rsidRPr="00B10752">
              <w:rPr>
                <w:sz w:val="20"/>
                <w:lang w:val="fr-CA"/>
              </w:rPr>
              <w:noBreakHyphen/>
              <w:t>09</w:t>
            </w:r>
            <w:r w:rsidRPr="00B10752">
              <w:rPr>
                <w:sz w:val="20"/>
                <w:lang w:val="fr-CA"/>
              </w:rPr>
              <w:noBreakHyphen/>
              <w:t>038788</w:t>
            </w:r>
            <w:r w:rsidRPr="00B10752">
              <w:rPr>
                <w:sz w:val="20"/>
                <w:lang w:val="fr-CA"/>
              </w:rPr>
              <w:noBreakHyphen/>
              <w:t>151 et 200</w:t>
            </w:r>
            <w:r w:rsidRPr="00B10752">
              <w:rPr>
                <w:sz w:val="20"/>
                <w:lang w:val="fr-CA"/>
              </w:rPr>
              <w:noBreakHyphen/>
              <w:t>09</w:t>
            </w:r>
            <w:r w:rsidRPr="00B10752">
              <w:rPr>
                <w:sz w:val="20"/>
                <w:lang w:val="fr-CA"/>
              </w:rPr>
              <w:noBreakHyphen/>
              <w:t>058788</w:t>
            </w:r>
            <w:r w:rsidRPr="00B10752">
              <w:rPr>
                <w:sz w:val="20"/>
                <w:lang w:val="fr-CA"/>
              </w:rPr>
              <w:noBreakHyphen/>
              <w:t>156 et des jugements sont rendus à l’égard des instances en intervention forcée</w:t>
            </w:r>
            <w:r w:rsidRPr="00B10752">
              <w:rPr>
                <w:rStyle w:val="FootnoteReference"/>
              </w:rPr>
              <w:footnoteReference w:id="2"/>
            </w:r>
            <w:r w:rsidRPr="00B10752">
              <w:rPr>
                <w:sz w:val="20"/>
                <w:lang w:val="fr-CA"/>
              </w:rPr>
              <w:t>, faisant en sorte que SCN-Lavalin inc. soit condamnée à rembourser certaines sommes;</w:t>
            </w:r>
          </w:p>
          <w:p w:rsidR="00E70281" w:rsidRPr="00B10752" w:rsidRDefault="00E70281" w:rsidP="0074582E">
            <w:pPr>
              <w:jc w:val="both"/>
              <w:rPr>
                <w:sz w:val="20"/>
                <w:lang w:val="fr-CA"/>
              </w:rPr>
            </w:pPr>
            <w:r w:rsidRPr="00B10752">
              <w:rPr>
                <w:sz w:val="20"/>
                <w:lang w:val="fr-CA"/>
              </w:rPr>
              <w:t>L’appel est accueilli en partie dans le dossier 200</w:t>
            </w:r>
            <w:r w:rsidRPr="00B10752">
              <w:rPr>
                <w:sz w:val="20"/>
                <w:lang w:val="fr-CA"/>
              </w:rPr>
              <w:noBreakHyphen/>
              <w:t>09</w:t>
            </w:r>
            <w:r w:rsidRPr="00B10752">
              <w:rPr>
                <w:sz w:val="20"/>
                <w:lang w:val="fr-CA"/>
              </w:rPr>
              <w:noBreakHyphen/>
              <w:t>108788</w:t>
            </w:r>
            <w:r w:rsidRPr="00B10752">
              <w:rPr>
                <w:sz w:val="20"/>
                <w:lang w:val="fr-CA"/>
              </w:rPr>
              <w:noBreakHyphen/>
              <w:t>156; déclaration « que la tour 2009</w:t>
            </w:r>
            <w:r w:rsidRPr="00B10752">
              <w:rPr>
                <w:sz w:val="20"/>
                <w:lang w:val="fr-CA"/>
              </w:rPr>
              <w:noBreakHyphen/>
              <w:t>2010 n’est érodée que par les paiements en capital effectués au bénéfice des tiers lésés dans le règlement du litige Keystone, à l’exclusion des frais et dépens comprenant les frais de réclamation »;</w:t>
            </w:r>
          </w:p>
          <w:p w:rsidR="00E70281" w:rsidRPr="00B10752" w:rsidRDefault="00E70281" w:rsidP="0074582E">
            <w:pPr>
              <w:jc w:val="both"/>
              <w:rPr>
                <w:sz w:val="20"/>
                <w:lang w:val="fr-CA"/>
              </w:rPr>
            </w:pPr>
            <w:r w:rsidRPr="00B10752">
              <w:rPr>
                <w:sz w:val="20"/>
                <w:lang w:val="fr-CA"/>
              </w:rPr>
              <w:t>Le par. 2291 du jugement de la Cour supérieure du Québec est biffé et remplacé par ce qui suit : « </w:t>
            </w:r>
            <w:r w:rsidRPr="00B10752">
              <w:rPr>
                <w:bCs/>
                <w:sz w:val="20"/>
                <w:lang w:val="fr-CA"/>
              </w:rPr>
              <w:t>CONDAMNE</w:t>
            </w:r>
            <w:r w:rsidRPr="00B10752">
              <w:rPr>
                <w:b/>
                <w:bCs/>
                <w:sz w:val="20"/>
                <w:lang w:val="fr-CA"/>
              </w:rPr>
              <w:t xml:space="preserve"> </w:t>
            </w:r>
            <w:r w:rsidRPr="00B10752">
              <w:rPr>
                <w:sz w:val="20"/>
                <w:lang w:val="fr-CA"/>
              </w:rPr>
              <w:t>solidairement 9312</w:t>
            </w:r>
            <w:r w:rsidRPr="00B10752">
              <w:rPr>
                <w:sz w:val="20"/>
                <w:lang w:val="fr-CA"/>
              </w:rPr>
              <w:noBreakHyphen/>
              <w:t xml:space="preserve">1994 Québec inc. et Carrière B&amp;B inc. et avec elles </w:t>
            </w:r>
            <w:r w:rsidRPr="00B10752">
              <w:rPr>
                <w:i/>
                <w:iCs/>
                <w:sz w:val="20"/>
                <w:lang w:val="fr-CA"/>
              </w:rPr>
              <w:t>in solidum</w:t>
            </w:r>
            <w:r w:rsidRPr="00B10752">
              <w:rPr>
                <w:sz w:val="20"/>
                <w:lang w:val="fr-CA"/>
              </w:rPr>
              <w:t xml:space="preserve"> SNC</w:t>
            </w:r>
            <w:r w:rsidRPr="00B10752">
              <w:rPr>
                <w:sz w:val="20"/>
                <w:lang w:val="fr-CA"/>
              </w:rPr>
              <w:noBreakHyphen/>
              <w:t>Lavalin inc. et Alain Blanchette à payer aux parties demanderesses la somme de 289 456,85 $ ».</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rStyle w:val="Hyperlink"/>
                <w:color w:val="auto"/>
                <w:sz w:val="20"/>
                <w:u w:val="none"/>
                <w:lang w:val="fr-CA"/>
              </w:rPr>
            </w:pPr>
            <w:r w:rsidRPr="00B10752">
              <w:rPr>
                <w:sz w:val="20"/>
                <w:lang w:val="fr-CA"/>
              </w:rPr>
              <w:t>12 juin 2020</w:t>
            </w:r>
          </w:p>
          <w:p w:rsidR="00E70281" w:rsidRPr="00B10752" w:rsidRDefault="00E70281" w:rsidP="0074582E">
            <w:pPr>
              <w:jc w:val="both"/>
              <w:rPr>
                <w:sz w:val="20"/>
                <w:lang w:val="fr-CA"/>
              </w:rPr>
            </w:pPr>
            <w:r w:rsidRPr="00B10752">
              <w:rPr>
                <w:sz w:val="20"/>
                <w:lang w:val="fr-CA"/>
              </w:rPr>
              <w:t>Cour d’appel du Québec (Québec)</w:t>
            </w:r>
          </w:p>
          <w:p w:rsidR="00E70281" w:rsidRPr="00B10752" w:rsidRDefault="00E70281" w:rsidP="0074582E">
            <w:pPr>
              <w:jc w:val="both"/>
              <w:rPr>
                <w:sz w:val="20"/>
                <w:lang w:val="fr-CA"/>
              </w:rPr>
            </w:pPr>
            <w:r w:rsidRPr="00B10752">
              <w:rPr>
                <w:sz w:val="20"/>
                <w:lang w:val="fr-CA"/>
              </w:rPr>
              <w:t>(Juges Pelletier, Giroux et Gagnon)</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Jugement portant sur la scission des instances, l’approbation de l’entente sur le partage de la responsabilité, et déclarant la fermeture des dossiers énumérés.</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5 juin 2020</w:t>
            </w:r>
          </w:p>
          <w:p w:rsidR="00E70281" w:rsidRPr="00B10752" w:rsidRDefault="00E70281" w:rsidP="0074582E">
            <w:pPr>
              <w:jc w:val="both"/>
              <w:rPr>
                <w:sz w:val="20"/>
                <w:lang w:val="fr-CA"/>
              </w:rPr>
            </w:pPr>
            <w:r w:rsidRPr="00B10752">
              <w:rPr>
                <w:sz w:val="20"/>
                <w:lang w:val="fr-CA"/>
              </w:rPr>
              <w:t>Cour suprême du Canada</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 xml:space="preserve">Première demande d’autorisation d’appel présentée par Lloyd. </w:t>
            </w: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3 juillet 2020</w:t>
            </w:r>
          </w:p>
          <w:p w:rsidR="00E70281" w:rsidRPr="00B10752" w:rsidRDefault="00E70281" w:rsidP="0074582E">
            <w:pPr>
              <w:jc w:val="both"/>
              <w:rPr>
                <w:sz w:val="20"/>
                <w:lang w:val="fr-CA"/>
              </w:rPr>
            </w:pPr>
            <w:r w:rsidRPr="00B10752">
              <w:rPr>
                <w:sz w:val="20"/>
                <w:lang w:val="fr-CA"/>
              </w:rPr>
              <w:t>Cour suprême du Canada</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 xml:space="preserve">Deuxième demande d’autorisation d’appel présentée par Compagnie d’assurance AIG. </w:t>
            </w: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16 juillet 2020</w:t>
            </w:r>
          </w:p>
          <w:p w:rsidR="00E70281" w:rsidRPr="00B10752" w:rsidRDefault="00E70281" w:rsidP="0074582E">
            <w:pPr>
              <w:jc w:val="both"/>
              <w:rPr>
                <w:sz w:val="20"/>
                <w:lang w:val="fr-CA"/>
              </w:rPr>
            </w:pPr>
            <w:r w:rsidRPr="00B10752">
              <w:rPr>
                <w:sz w:val="20"/>
                <w:lang w:val="fr-CA"/>
              </w:rPr>
              <w:t>Cour suprême du Canada</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 xml:space="preserve">Troisième demande d’autorisation d’appel présentée par Zurich. </w:t>
            </w: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17 juillet 2020</w:t>
            </w:r>
          </w:p>
          <w:p w:rsidR="00E70281" w:rsidRPr="00B10752" w:rsidRDefault="00E70281" w:rsidP="0074582E">
            <w:pPr>
              <w:jc w:val="both"/>
              <w:rPr>
                <w:sz w:val="20"/>
                <w:lang w:val="fr-CA"/>
              </w:rPr>
            </w:pPr>
            <w:r w:rsidRPr="00B10752">
              <w:rPr>
                <w:sz w:val="20"/>
                <w:lang w:val="fr-CA"/>
              </w:rPr>
              <w:t>Cour suprême du Canada</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 xml:space="preserve">Quatrième demande d’autorisation d’appel présentée par Chubb. </w:t>
            </w: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lastRenderedPageBreak/>
              <w:t>17 juillet 2020</w:t>
            </w:r>
          </w:p>
          <w:p w:rsidR="00E70281" w:rsidRPr="00B10752" w:rsidRDefault="00E70281" w:rsidP="0074582E">
            <w:pPr>
              <w:jc w:val="both"/>
              <w:rPr>
                <w:sz w:val="20"/>
                <w:lang w:val="fr-CA"/>
              </w:rPr>
            </w:pPr>
            <w:r w:rsidRPr="00B10752">
              <w:rPr>
                <w:sz w:val="20"/>
                <w:lang w:val="fr-CA"/>
              </w:rPr>
              <w:t>Cour suprême du Canada</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 xml:space="preserve">Cinquième demande d’autorisation d’appel présentée par SNC-Lavalin. </w:t>
            </w: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17 juillet 2020</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Sixième demande d’autorisation d’appel présentée par Compagnie d’assurance AIG.</w:t>
            </w: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40"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39434</w:t>
            </w:r>
          </w:p>
        </w:tc>
        <w:tc>
          <w:tcPr>
            <w:tcW w:w="4457" w:type="pct"/>
            <w:gridSpan w:val="3"/>
          </w:tcPr>
          <w:p w:rsidR="00E70281" w:rsidRPr="00B10752" w:rsidRDefault="00E70281" w:rsidP="0074582E">
            <w:pPr>
              <w:pStyle w:val="SCCLsocParty"/>
              <w:jc w:val="both"/>
              <w:rPr>
                <w:b/>
                <w:sz w:val="20"/>
                <w:szCs w:val="20"/>
                <w:lang w:val="en-CA"/>
              </w:rPr>
            </w:pPr>
            <w:r w:rsidRPr="00B10752">
              <w:rPr>
                <w:b/>
                <w:sz w:val="20"/>
                <w:szCs w:val="20"/>
                <w:lang w:val="en-CA"/>
              </w:rPr>
              <w:t>Restaurant Le Relais de Saint-Jean inc., Argyris Chionis v. Agence du revenu du Québec</w:t>
            </w:r>
            <w:r w:rsidR="00A22E9E" w:rsidRPr="00B10752">
              <w:rPr>
                <w:b/>
                <w:sz w:val="20"/>
                <w:szCs w:val="20"/>
                <w:lang w:val="en-CA"/>
              </w:rPr>
              <w:t xml:space="preserve"> and</w:t>
            </w:r>
            <w:r w:rsidRPr="00B10752">
              <w:rPr>
                <w:b/>
                <w:sz w:val="20"/>
                <w:szCs w:val="20"/>
                <w:lang w:val="en-CA"/>
              </w:rPr>
              <w:t xml:space="preserve"> Attorney General of Canada (Canada Revenue Agency)</w:t>
            </w:r>
          </w:p>
          <w:p w:rsidR="00E70281" w:rsidRPr="00B10752" w:rsidRDefault="00E70281" w:rsidP="0074582E">
            <w:pPr>
              <w:jc w:val="both"/>
              <w:rPr>
                <w:sz w:val="20"/>
              </w:rPr>
            </w:pPr>
            <w:r w:rsidRPr="00B10752">
              <w:rPr>
                <w:sz w:val="20"/>
              </w:rPr>
              <w:t>(Que.) (Civil) (By Leave)</w:t>
            </w:r>
          </w:p>
        </w:tc>
      </w:tr>
      <w:tr w:rsidR="00E70281" w:rsidRPr="00B10752" w:rsidTr="0074582E">
        <w:tc>
          <w:tcPr>
            <w:tcW w:w="5000" w:type="pct"/>
            <w:gridSpan w:val="4"/>
          </w:tcPr>
          <w:p w:rsidR="00A22E9E" w:rsidRPr="00B10752" w:rsidRDefault="00A22E9E" w:rsidP="00A22E9E">
            <w:pPr>
              <w:jc w:val="both"/>
              <w:rPr>
                <w:sz w:val="20"/>
                <w:szCs w:val="20"/>
              </w:rPr>
            </w:pPr>
            <w:r w:rsidRPr="00B10752">
              <w:rPr>
                <w:sz w:val="20"/>
                <w:szCs w:val="20"/>
                <w:lang w:val="en-US"/>
              </w:rPr>
              <w:t xml:space="preserve">The motion for an extension of time to serve and file the application for leave to appeal is granted. </w:t>
            </w:r>
            <w:r w:rsidRPr="00B10752">
              <w:rPr>
                <w:sz w:val="20"/>
                <w:szCs w:val="20"/>
              </w:rPr>
              <w:t xml:space="preserve">The application for leave to appeal from the judgment of the </w:t>
            </w:r>
            <w:r w:rsidRPr="00B10752">
              <w:rPr>
                <w:sz w:val="20"/>
                <w:szCs w:val="20"/>
                <w:lang w:val="en-US"/>
              </w:rPr>
              <w:t>Court of Appeal of Quebec (Montréal)</w:t>
            </w:r>
            <w:r w:rsidRPr="00B10752">
              <w:rPr>
                <w:sz w:val="20"/>
                <w:szCs w:val="20"/>
              </w:rPr>
              <w:t xml:space="preserve">, Number </w:t>
            </w:r>
            <w:r w:rsidRPr="00B10752">
              <w:rPr>
                <w:sz w:val="20"/>
                <w:szCs w:val="20"/>
                <w:lang w:val="en-US"/>
              </w:rPr>
              <w:t xml:space="preserve">500-09-027244-177, 2020 QCCA 823, </w:t>
            </w:r>
            <w:r w:rsidRPr="00B10752">
              <w:rPr>
                <w:sz w:val="20"/>
                <w:szCs w:val="20"/>
              </w:rPr>
              <w:t xml:space="preserve">dated </w:t>
            </w:r>
            <w:r w:rsidRPr="00B10752">
              <w:rPr>
                <w:sz w:val="20"/>
                <w:szCs w:val="20"/>
                <w:lang w:val="en-US"/>
              </w:rPr>
              <w:t>June 18, 2020,</w:t>
            </w:r>
            <w:r w:rsidRPr="00B10752">
              <w:rPr>
                <w:sz w:val="20"/>
                <w:szCs w:val="20"/>
              </w:rPr>
              <w:t xml:space="preserve"> is dismissed with costs.</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Civil liability — Conduct of tax authorities during tax audit — Tax Court of Canada finding indirect audit method arbitrary and unjustified and vacating notices of tax assessment — Important juridical fact to be considered in civil liability action — Extinctive prescription — Whether [</w:t>
            </w:r>
            <w:r w:rsidRPr="00B10752">
              <w:rPr>
                <w:smallCaps/>
                <w:sz w:val="20"/>
              </w:rPr>
              <w:t>translation</w:t>
            </w:r>
            <w:r w:rsidRPr="00B10752">
              <w:rPr>
                <w:rFonts w:asciiTheme="minorBidi" w:hAnsiTheme="minorBidi"/>
                <w:sz w:val="20"/>
              </w:rPr>
              <w:t>]</w:t>
            </w:r>
            <w:r w:rsidRPr="00B10752">
              <w:rPr>
                <w:sz w:val="20"/>
              </w:rPr>
              <w:t xml:space="preserve"> “negligent conduct” of tax authorities entitles taxpayers to compensation and, if so, on what conditions — Consideration that courts hearing actions in delictual liability against tax authorities must give to determinations made by specialized tax courts where latter have already addressed validity of audit methods and assessments.</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lang w:val="fr-CA"/>
              </w:rPr>
              <w:t>In 2003, the Agence du revenu du Québec (“ARQ”) conducted a tax audit of Restaurant Le Relais de Saint</w:t>
            </w:r>
            <w:r w:rsidRPr="00B10752">
              <w:rPr>
                <w:sz w:val="20"/>
                <w:lang w:val="fr-CA"/>
              </w:rPr>
              <w:noBreakHyphen/>
              <w:t xml:space="preserve">Jean inc. </w:t>
            </w:r>
            <w:r w:rsidRPr="00B10752">
              <w:rPr>
                <w:sz w:val="20"/>
              </w:rPr>
              <w:t>(“Restaurant”). On the basis of the audit, the ARQ issued a notice of assessment for the difference between the reported and the estimated income. It also claimed related taxes, interest and penalties. The Canada Revenue Agency (“CRA”) later issued a notice of assessment against the Restaurant as well. The Restaurant sent notices of objection to the tax authorities. In 2009, the Tax Court of Canada (“TCC”) allowed the Restaurant’s appeal from the notices of assessment and cancelled the additional tax, finding that the ARQ had used an arbitrary audit method that was not justified in the circumstances. In 2012, the Restaurant and Argyris Chionis, who was in charge of managing its operations and who was its non</w:t>
            </w:r>
            <w:r w:rsidRPr="00B10752">
              <w:rPr>
                <w:sz w:val="20"/>
              </w:rPr>
              <w:noBreakHyphen/>
              <w:t>apparent owner, filed a civil liability action against the ARQ and the CRA, alleging that they had committed a fault and acted wrongfully in processing the Restaurant’s tax files. The Superior Court dismissed the applicants’ action, finding that most of the claims were prescribed and that the respondents were not at fault. The Court of Appeal held that the applicants’ action was not prescribed and that the starting point for prescription was the date of the TCC’s judgment. Nevertheless, it upheld the trial judge’s conclusions about the absence of fault and dismissed the appeal.</w:t>
            </w:r>
          </w:p>
        </w:tc>
      </w:tr>
      <w:tr w:rsidR="00E70281" w:rsidRPr="00B10752" w:rsidTr="0074582E">
        <w:tc>
          <w:tcPr>
            <w:tcW w:w="5000" w:type="pct"/>
            <w:gridSpan w:val="4"/>
          </w:tcPr>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November 24, 2017</w:t>
            </w:r>
          </w:p>
          <w:p w:rsidR="00E70281" w:rsidRPr="00B10752" w:rsidRDefault="00E70281" w:rsidP="0074582E">
            <w:pPr>
              <w:jc w:val="both"/>
              <w:rPr>
                <w:sz w:val="20"/>
              </w:rPr>
            </w:pPr>
            <w:r w:rsidRPr="00B10752">
              <w:rPr>
                <w:sz w:val="20"/>
              </w:rPr>
              <w:t>Quebec Superior Court (Iberville)</w:t>
            </w:r>
          </w:p>
          <w:p w:rsidR="00E70281" w:rsidRPr="00B10752" w:rsidRDefault="00E70281" w:rsidP="0074582E">
            <w:pPr>
              <w:jc w:val="both"/>
              <w:rPr>
                <w:sz w:val="20"/>
              </w:rPr>
            </w:pPr>
            <w:r w:rsidRPr="00B10752">
              <w:rPr>
                <w:sz w:val="20"/>
              </w:rPr>
              <w:t>(Lucas J.)</w:t>
            </w:r>
          </w:p>
          <w:p w:rsidR="00E70281" w:rsidRPr="00B10752" w:rsidRDefault="00E70281" w:rsidP="0074582E">
            <w:pPr>
              <w:jc w:val="both"/>
              <w:rPr>
                <w:sz w:val="20"/>
              </w:rPr>
            </w:pPr>
            <w:r w:rsidRPr="00B10752">
              <w:rPr>
                <w:sz w:val="20"/>
              </w:rPr>
              <w:t>755</w:t>
            </w:r>
            <w:r w:rsidRPr="00B10752">
              <w:rPr>
                <w:sz w:val="20"/>
              </w:rPr>
              <w:noBreakHyphen/>
              <w:t>17</w:t>
            </w:r>
            <w:r w:rsidRPr="00B10752">
              <w:rPr>
                <w:sz w:val="20"/>
              </w:rPr>
              <w:noBreakHyphen/>
              <w:t>001656</w:t>
            </w:r>
            <w:r w:rsidRPr="00B10752">
              <w:rPr>
                <w:sz w:val="20"/>
              </w:rPr>
              <w:noBreakHyphen/>
              <w:t>126</w:t>
            </w:r>
          </w:p>
          <w:p w:rsidR="00E70281" w:rsidRPr="00B10752" w:rsidRDefault="00B10752" w:rsidP="0074582E">
            <w:pPr>
              <w:jc w:val="both"/>
              <w:rPr>
                <w:sz w:val="20"/>
              </w:rPr>
            </w:pPr>
            <w:hyperlink r:id="rId25" w:history="1">
              <w:r w:rsidR="00E70281" w:rsidRPr="00B10752">
                <w:rPr>
                  <w:rStyle w:val="Hyperlink"/>
                  <w:sz w:val="20"/>
                </w:rPr>
                <w:t>2017 QCCS 5397</w:t>
              </w:r>
            </w:hyperlink>
            <w:r w:rsidR="00E70281" w:rsidRPr="00B10752">
              <w:rPr>
                <w:sz w:val="20"/>
              </w:rPr>
              <w:t xml:space="preserve"> </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Civil liability action dismissed</w:t>
            </w:r>
          </w:p>
        </w:tc>
      </w:tr>
      <w:tr w:rsidR="00E70281" w:rsidRPr="00B10752" w:rsidTr="0074582E">
        <w:tc>
          <w:tcPr>
            <w:tcW w:w="2427" w:type="pct"/>
            <w:gridSpan w:val="2"/>
          </w:tcPr>
          <w:p w:rsidR="00E70281" w:rsidRPr="00B10752" w:rsidRDefault="00E70281" w:rsidP="0074582E">
            <w:pPr>
              <w:jc w:val="both"/>
              <w:rPr>
                <w:sz w:val="20"/>
              </w:rPr>
            </w:pPr>
            <w:r w:rsidRPr="00B10752">
              <w:rPr>
                <w:sz w:val="20"/>
              </w:rPr>
              <w:t>June 18, 2020</w:t>
            </w:r>
          </w:p>
          <w:p w:rsidR="00E70281" w:rsidRPr="00B10752" w:rsidRDefault="00E70281" w:rsidP="0074582E">
            <w:pPr>
              <w:jc w:val="both"/>
              <w:rPr>
                <w:sz w:val="20"/>
              </w:rPr>
            </w:pPr>
            <w:r w:rsidRPr="00B10752">
              <w:rPr>
                <w:sz w:val="20"/>
              </w:rPr>
              <w:t>Quebec Court of Appeal (Montréal)</w:t>
            </w:r>
          </w:p>
          <w:p w:rsidR="00E70281" w:rsidRPr="00B10752" w:rsidRDefault="00E70281" w:rsidP="0074582E">
            <w:pPr>
              <w:jc w:val="both"/>
              <w:rPr>
                <w:sz w:val="20"/>
              </w:rPr>
            </w:pPr>
            <w:r w:rsidRPr="00B10752">
              <w:rPr>
                <w:sz w:val="20"/>
              </w:rPr>
              <w:t>(Morissette, Bélanger and Fournier JJ.A.)</w:t>
            </w:r>
          </w:p>
          <w:p w:rsidR="00E70281" w:rsidRPr="00B10752" w:rsidRDefault="00E70281" w:rsidP="0074582E">
            <w:pPr>
              <w:jc w:val="both"/>
              <w:rPr>
                <w:sz w:val="20"/>
              </w:rPr>
            </w:pPr>
            <w:r w:rsidRPr="00B10752">
              <w:rPr>
                <w:sz w:val="20"/>
              </w:rPr>
              <w:t>500</w:t>
            </w:r>
            <w:r w:rsidRPr="00B10752">
              <w:rPr>
                <w:sz w:val="20"/>
              </w:rPr>
              <w:noBreakHyphen/>
              <w:t>09</w:t>
            </w:r>
            <w:r w:rsidRPr="00B10752">
              <w:rPr>
                <w:sz w:val="20"/>
              </w:rPr>
              <w:noBreakHyphen/>
              <w:t>027244</w:t>
            </w:r>
            <w:r w:rsidRPr="00B10752">
              <w:rPr>
                <w:sz w:val="20"/>
              </w:rPr>
              <w:noBreakHyphen/>
              <w:t>177</w:t>
            </w:r>
          </w:p>
          <w:p w:rsidR="00E70281" w:rsidRPr="00B10752" w:rsidRDefault="00B10752" w:rsidP="0074582E">
            <w:pPr>
              <w:jc w:val="both"/>
              <w:rPr>
                <w:sz w:val="20"/>
              </w:rPr>
            </w:pPr>
            <w:hyperlink r:id="rId26" w:history="1">
              <w:r w:rsidR="00E70281" w:rsidRPr="00B10752">
                <w:rPr>
                  <w:rStyle w:val="Hyperlink"/>
                  <w:sz w:val="20"/>
                </w:rPr>
                <w:t>2020 QCCA 823</w:t>
              </w:r>
            </w:hyperlink>
            <w:r w:rsidR="00E70281" w:rsidRPr="00B10752">
              <w:rPr>
                <w:sz w:val="20"/>
              </w:rPr>
              <w:t xml:space="preserve"> </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Appeal dismissed with legal costs</w:t>
            </w:r>
          </w:p>
        </w:tc>
      </w:tr>
      <w:tr w:rsidR="00E70281" w:rsidRPr="00B10752" w:rsidTr="0074582E">
        <w:tc>
          <w:tcPr>
            <w:tcW w:w="2427" w:type="pct"/>
            <w:gridSpan w:val="2"/>
          </w:tcPr>
          <w:p w:rsidR="00E70281" w:rsidRPr="00B10752" w:rsidRDefault="00E70281" w:rsidP="0074582E">
            <w:pPr>
              <w:jc w:val="both"/>
              <w:rPr>
                <w:sz w:val="20"/>
              </w:rPr>
            </w:pPr>
            <w:r w:rsidRPr="00B10752">
              <w:rPr>
                <w:sz w:val="20"/>
              </w:rPr>
              <w:t>November 13, 2020</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41"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39434</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Restaurant Le Relais de Saint-Jean inc., Argyris Chionis c. Agence du revenu du Québec</w:t>
            </w:r>
            <w:r w:rsidR="00A22E9E" w:rsidRPr="00B10752">
              <w:rPr>
                <w:b/>
                <w:sz w:val="20"/>
                <w:szCs w:val="20"/>
              </w:rPr>
              <w:t xml:space="preserve"> et</w:t>
            </w:r>
            <w:r w:rsidRPr="00B10752">
              <w:rPr>
                <w:b/>
                <w:sz w:val="20"/>
                <w:szCs w:val="20"/>
              </w:rPr>
              <w:t xml:space="preserve"> Procureur général du Canada (Agence du revenu du Canada)</w:t>
            </w:r>
          </w:p>
          <w:p w:rsidR="00E70281" w:rsidRPr="00B10752" w:rsidRDefault="00E70281" w:rsidP="0074582E">
            <w:pPr>
              <w:jc w:val="both"/>
              <w:rPr>
                <w:sz w:val="20"/>
              </w:rPr>
            </w:pPr>
            <w:r w:rsidRPr="00B10752">
              <w:rPr>
                <w:sz w:val="20"/>
              </w:rPr>
              <w:t>(Qc) (Civile) (Autorisation)</w:t>
            </w:r>
          </w:p>
        </w:tc>
      </w:tr>
      <w:tr w:rsidR="00E70281" w:rsidRPr="00B10752" w:rsidTr="0074582E">
        <w:tc>
          <w:tcPr>
            <w:tcW w:w="5000" w:type="pct"/>
            <w:gridSpan w:val="4"/>
          </w:tcPr>
          <w:p w:rsidR="00A22E9E" w:rsidRPr="00B10752" w:rsidRDefault="00A22E9E" w:rsidP="00A22E9E">
            <w:pPr>
              <w:jc w:val="both"/>
              <w:rPr>
                <w:sz w:val="20"/>
                <w:szCs w:val="20"/>
                <w:lang w:val="fr-CA"/>
              </w:rPr>
            </w:pPr>
            <w:r w:rsidRPr="00B10752">
              <w:rPr>
                <w:sz w:val="20"/>
                <w:szCs w:val="20"/>
                <w:lang w:val="fr-CA"/>
              </w:rPr>
              <w:t>La requ</w:t>
            </w:r>
            <w:r w:rsidRPr="00B10752">
              <w:rPr>
                <w:rFonts w:cs="Times New Roman"/>
                <w:sz w:val="20"/>
                <w:szCs w:val="20"/>
                <w:lang w:val="fr-CA"/>
              </w:rPr>
              <w:t>ê</w:t>
            </w:r>
            <w:r w:rsidRPr="00B10752">
              <w:rPr>
                <w:sz w:val="20"/>
                <w:szCs w:val="20"/>
                <w:lang w:val="fr-CA"/>
              </w:rPr>
              <w:t>te en prorogation du d</w:t>
            </w:r>
            <w:r w:rsidRPr="00B10752">
              <w:rPr>
                <w:rFonts w:cs="Times New Roman"/>
                <w:sz w:val="20"/>
                <w:szCs w:val="20"/>
                <w:lang w:val="fr-CA"/>
              </w:rPr>
              <w:t>é</w:t>
            </w:r>
            <w:r w:rsidRPr="00B10752">
              <w:rPr>
                <w:sz w:val="20"/>
                <w:szCs w:val="20"/>
                <w:lang w:val="fr-CA"/>
              </w:rPr>
              <w:t>lai de signification et de d</w:t>
            </w:r>
            <w:r w:rsidRPr="00B10752">
              <w:rPr>
                <w:rFonts w:cs="Times New Roman"/>
                <w:sz w:val="20"/>
                <w:szCs w:val="20"/>
                <w:lang w:val="fr-CA"/>
              </w:rPr>
              <w:t>é</w:t>
            </w:r>
            <w:r w:rsidRPr="00B10752">
              <w:rPr>
                <w:sz w:val="20"/>
                <w:szCs w:val="20"/>
                <w:lang w:val="fr-CA"/>
              </w:rPr>
              <w:t>p</w:t>
            </w:r>
            <w:r w:rsidRPr="00B10752">
              <w:rPr>
                <w:rFonts w:cs="Times New Roman"/>
                <w:sz w:val="20"/>
                <w:szCs w:val="20"/>
                <w:lang w:val="fr-CA"/>
              </w:rPr>
              <w:t>ô</w:t>
            </w:r>
            <w:r w:rsidRPr="00B10752">
              <w:rPr>
                <w:sz w:val="20"/>
                <w:szCs w:val="20"/>
                <w:lang w:val="fr-CA"/>
              </w:rPr>
              <w:t>t de la demande d’autorisation d’appel est accueillie. La demande d’autorisation d’appel de l’arrêt de la Cour d’appel du Québec (Montréal), numéro 500-09-027244-177, 2020 QCCA 823, daté du 18 juin 2020, est rejetée avec dépens.</w:t>
            </w:r>
          </w:p>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Responsabilité civile — Conduite des autorités fiscales lors d’une vérification fiscale — Méthode de vérification indirecte jugée arbitraire et injustifiée par la Cour canadienne de l’impôt et avis de cotisation de taxes annulés — Fait juridique important à considérer dans le recours en responsabilité civile — Prescription extinctive — Les « comportements négligents » des autorités fiscales ouvrent</w:t>
            </w:r>
            <w:r w:rsidRPr="00B10752">
              <w:rPr>
                <w:sz w:val="20"/>
                <w:lang w:val="fr-CA"/>
              </w:rPr>
              <w:noBreakHyphen/>
              <w:t>ils droit à l’indemnisation pour les contribuables et, dans l’affirmative, quelles en sont les conditions d’application ? — Quelle considération les tribunaux saisis des recours en responsabilité délictuelle contre les autorités fiscales doivent</w:t>
            </w:r>
            <w:r w:rsidRPr="00B10752">
              <w:rPr>
                <w:sz w:val="20"/>
                <w:lang w:val="fr-CA"/>
              </w:rPr>
              <w:noBreakHyphen/>
              <w:t>ils donner aux déterminations faites par les tribunaux spécialisés de l’impôt, lorsque ces derniers se sont prononcés avant eux sur la validité des méthodes de vérification et des cotisations ?</w:t>
            </w:r>
          </w:p>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En 2003, le Restaurant Le Relais de Saint</w:t>
            </w:r>
            <w:r w:rsidRPr="00B10752">
              <w:rPr>
                <w:sz w:val="20"/>
                <w:lang w:val="fr-CA"/>
              </w:rPr>
              <w:noBreakHyphen/>
              <w:t>Jean inc. (« Relais ») fait l’objet d’une vérification fiscale en matière de taxes par l’Agence du revenu du Québec (« ARQ ») laquelle mène à l’émission par l’ARQ d’avis de cotisation pour l’écart des revenus déclarés et estimés, ainsi qu’à réclamation de taxes afférentes, d’intérêts et de pénalités. Par la suite, l’Agence du revenu du Canada (« ARC ») émet également un avis de cotisation au Relais. Le Relais transmet des avis d’opposition aux autorités fiscales. En 2009, la Cour canadienne de l’impôt (« CCI ») accueille l’appel des avis de cotisation du Relais et annule la taxe supplémentaire, concluant que l’ARQ a eu recours à une méthode de vérification arbitraire et injustifiée dans les circonstances. En 2012, le Relais et  monsieur Argyris Chionis, en charge de la gestion des opérations et propriétaire non apparent de l’établissement, déposent une action en responsabilité civile contre l’ARQ et l’ARC, leur reprochant une conduite fautive et abusive dans le traitement des dossiers fiscaux du Relais. La Cour supérieure rejette l’action des demandeurs, concluant à la prescription de la majorité des réclamations ainsi qu’à l’absence de faute de la part des intimés. La Cour d’appel estime que le recours des demandeurs n’était pas prescrit et que le point de départ de la prescription correspondait à la date du jugement de la CCI. Néanmoins, elle maintient les conclusions de la juge de première instance quant à l’absence de faute et rejette l’appel.</w:t>
            </w:r>
          </w:p>
        </w:tc>
      </w:tr>
      <w:tr w:rsidR="00E70281" w:rsidRPr="00B10752" w:rsidTr="0074582E">
        <w:tc>
          <w:tcPr>
            <w:tcW w:w="5000" w:type="pct"/>
            <w:gridSpan w:val="4"/>
          </w:tcPr>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Le 24 novembre 2017</w:t>
            </w:r>
          </w:p>
          <w:p w:rsidR="00E70281" w:rsidRPr="00B10752" w:rsidRDefault="00E70281" w:rsidP="0074582E">
            <w:pPr>
              <w:jc w:val="both"/>
              <w:rPr>
                <w:sz w:val="20"/>
                <w:lang w:val="fr-CA"/>
              </w:rPr>
            </w:pPr>
            <w:r w:rsidRPr="00B10752">
              <w:rPr>
                <w:sz w:val="20"/>
                <w:lang w:val="fr-CA"/>
              </w:rPr>
              <w:t>Cour supérieure du Québec (Iberville)</w:t>
            </w:r>
          </w:p>
          <w:p w:rsidR="00E70281" w:rsidRPr="00B10752" w:rsidRDefault="00E70281" w:rsidP="0074582E">
            <w:pPr>
              <w:jc w:val="both"/>
              <w:rPr>
                <w:sz w:val="20"/>
              </w:rPr>
            </w:pPr>
            <w:r w:rsidRPr="00B10752">
              <w:rPr>
                <w:sz w:val="20"/>
              </w:rPr>
              <w:t>(La juge Lucas)</w:t>
            </w:r>
          </w:p>
          <w:p w:rsidR="00E70281" w:rsidRPr="00B10752" w:rsidRDefault="00E70281" w:rsidP="0074582E">
            <w:pPr>
              <w:jc w:val="both"/>
              <w:rPr>
                <w:sz w:val="20"/>
              </w:rPr>
            </w:pPr>
            <w:r w:rsidRPr="00B10752">
              <w:rPr>
                <w:sz w:val="20"/>
              </w:rPr>
              <w:t>755</w:t>
            </w:r>
            <w:r w:rsidRPr="00B10752">
              <w:rPr>
                <w:sz w:val="20"/>
              </w:rPr>
              <w:noBreakHyphen/>
              <w:t>17</w:t>
            </w:r>
            <w:r w:rsidRPr="00B10752">
              <w:rPr>
                <w:sz w:val="20"/>
              </w:rPr>
              <w:noBreakHyphen/>
              <w:t>001656</w:t>
            </w:r>
            <w:r w:rsidRPr="00B10752">
              <w:rPr>
                <w:sz w:val="20"/>
              </w:rPr>
              <w:noBreakHyphen/>
              <w:t>126</w:t>
            </w:r>
          </w:p>
          <w:p w:rsidR="00E70281" w:rsidRPr="00B10752" w:rsidRDefault="00B10752" w:rsidP="0074582E">
            <w:pPr>
              <w:jc w:val="both"/>
              <w:rPr>
                <w:sz w:val="20"/>
              </w:rPr>
            </w:pPr>
            <w:hyperlink r:id="rId27" w:history="1">
              <w:r w:rsidR="00E70281" w:rsidRPr="00B10752">
                <w:rPr>
                  <w:rStyle w:val="Hyperlink"/>
                  <w:sz w:val="20"/>
                </w:rPr>
                <w:t>2017 QCCS 5397</w:t>
              </w:r>
            </w:hyperlink>
            <w:r w:rsidR="00E70281" w:rsidRPr="00B10752">
              <w:rPr>
                <w:sz w:val="20"/>
              </w:rPr>
              <w:t xml:space="preserve"> </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fr-CA"/>
              </w:rPr>
            </w:pPr>
            <w:r w:rsidRPr="00B10752">
              <w:rPr>
                <w:sz w:val="20"/>
                <w:lang w:val="fr-CA"/>
              </w:rPr>
              <w:t>Recours en responsabilité civile rejeté</w:t>
            </w: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Le 18 juin 2020</w:t>
            </w:r>
          </w:p>
          <w:p w:rsidR="00E70281" w:rsidRPr="00B10752" w:rsidRDefault="00E70281" w:rsidP="0074582E">
            <w:pPr>
              <w:jc w:val="both"/>
              <w:rPr>
                <w:sz w:val="20"/>
                <w:lang w:val="fr-CA"/>
              </w:rPr>
            </w:pPr>
            <w:r w:rsidRPr="00B10752">
              <w:rPr>
                <w:sz w:val="20"/>
                <w:lang w:val="fr-CA"/>
              </w:rPr>
              <w:t>Cour d’appel du Québec (Montréal)</w:t>
            </w:r>
          </w:p>
          <w:p w:rsidR="00E70281" w:rsidRPr="00B10752" w:rsidRDefault="00E70281" w:rsidP="0074582E">
            <w:pPr>
              <w:jc w:val="both"/>
              <w:rPr>
                <w:sz w:val="20"/>
                <w:lang w:val="fr-CA"/>
              </w:rPr>
            </w:pPr>
            <w:r w:rsidRPr="00B10752">
              <w:rPr>
                <w:sz w:val="20"/>
                <w:lang w:val="fr-CA"/>
              </w:rPr>
              <w:t>(Les juges Morissette, Bélanger et Fournier)</w:t>
            </w:r>
          </w:p>
          <w:p w:rsidR="00E70281" w:rsidRPr="00B10752" w:rsidRDefault="00E70281" w:rsidP="0074582E">
            <w:pPr>
              <w:jc w:val="both"/>
              <w:rPr>
                <w:sz w:val="20"/>
              </w:rPr>
            </w:pPr>
            <w:r w:rsidRPr="00B10752">
              <w:rPr>
                <w:sz w:val="20"/>
              </w:rPr>
              <w:t>500</w:t>
            </w:r>
            <w:r w:rsidRPr="00B10752">
              <w:rPr>
                <w:sz w:val="20"/>
              </w:rPr>
              <w:noBreakHyphen/>
              <w:t>09</w:t>
            </w:r>
            <w:r w:rsidRPr="00B10752">
              <w:rPr>
                <w:sz w:val="20"/>
              </w:rPr>
              <w:noBreakHyphen/>
              <w:t>027244</w:t>
            </w:r>
            <w:r w:rsidRPr="00B10752">
              <w:rPr>
                <w:sz w:val="20"/>
              </w:rPr>
              <w:noBreakHyphen/>
              <w:t>177</w:t>
            </w:r>
          </w:p>
          <w:p w:rsidR="00E70281" w:rsidRPr="00B10752" w:rsidRDefault="00B10752" w:rsidP="0074582E">
            <w:pPr>
              <w:jc w:val="both"/>
              <w:rPr>
                <w:sz w:val="20"/>
              </w:rPr>
            </w:pPr>
            <w:hyperlink r:id="rId28" w:history="1">
              <w:r w:rsidR="00E70281" w:rsidRPr="00B10752">
                <w:rPr>
                  <w:rStyle w:val="Hyperlink"/>
                  <w:sz w:val="20"/>
                </w:rPr>
                <w:t>2020 QCCA 823</w:t>
              </w:r>
            </w:hyperlink>
            <w:r w:rsidR="00E70281" w:rsidRPr="00B10752">
              <w:rPr>
                <w:sz w:val="20"/>
              </w:rPr>
              <w:t xml:space="preserve"> </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fr-CA"/>
              </w:rPr>
            </w:pPr>
            <w:r w:rsidRPr="00B10752">
              <w:rPr>
                <w:sz w:val="20"/>
                <w:lang w:val="fr-CA"/>
              </w:rPr>
              <w:t>Appel rejeté avec frais de justice</w:t>
            </w: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Le 13 novembre 2020</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rPr>
            </w:pPr>
            <w:r w:rsidRPr="00B10752">
              <w:rPr>
                <w:sz w:val="20"/>
              </w:rPr>
              <w:t>Demande d’autorisation d’appel déposée</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widowControl w:val="0"/>
        <w:jc w:val="both"/>
        <w:rPr>
          <w:sz w:val="20"/>
          <w:lang w:val="fr-CA"/>
        </w:rPr>
      </w:pPr>
      <w:r w:rsidRPr="00B10752">
        <w:rPr>
          <w:sz w:val="20"/>
        </w:rPr>
        <w:pict>
          <v:rect id="_x0000_i1042" style="width:2in;height:1pt" o:hrpct="0" o:hralign="center" o:hrstd="t" o:hrnoshade="t" o:hr="t" fillcolor="black [3213]" stroked="f"/>
        </w:pict>
      </w:r>
    </w:p>
    <w:p w:rsidR="00E70281" w:rsidRPr="00B10752" w:rsidRDefault="00E70281" w:rsidP="00E70281">
      <w:pPr>
        <w:widowControl w:val="0"/>
        <w:jc w:val="both"/>
        <w:rPr>
          <w:sz w:val="20"/>
          <w:lang w:val="fr-CA"/>
        </w:rPr>
      </w:pPr>
    </w:p>
    <w:p w:rsidR="00D90258" w:rsidRPr="00B10752" w:rsidRDefault="00D90258">
      <w:r w:rsidRPr="00B1075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lastRenderedPageBreak/>
              <w:t>39519</w:t>
            </w:r>
          </w:p>
        </w:tc>
        <w:tc>
          <w:tcPr>
            <w:tcW w:w="4457" w:type="pct"/>
            <w:gridSpan w:val="3"/>
          </w:tcPr>
          <w:p w:rsidR="00E70281" w:rsidRPr="00B10752" w:rsidRDefault="00E70281" w:rsidP="0074582E">
            <w:pPr>
              <w:pStyle w:val="SCCLsocParty"/>
              <w:jc w:val="both"/>
              <w:rPr>
                <w:b/>
                <w:sz w:val="20"/>
                <w:szCs w:val="20"/>
                <w:lang w:val="en-US"/>
              </w:rPr>
            </w:pPr>
            <w:r w:rsidRPr="00B10752">
              <w:rPr>
                <w:b/>
                <w:sz w:val="20"/>
                <w:szCs w:val="20"/>
                <w:lang w:val="en-US"/>
              </w:rPr>
              <w:t>Harinderdeep Singh Brar v. Her Majesty the Queen</w:t>
            </w:r>
          </w:p>
          <w:p w:rsidR="00E70281" w:rsidRPr="00B10752" w:rsidRDefault="00E70281" w:rsidP="0074582E">
            <w:pPr>
              <w:jc w:val="both"/>
              <w:rPr>
                <w:sz w:val="20"/>
              </w:rPr>
            </w:pPr>
            <w:r w:rsidRPr="00B10752">
              <w:rPr>
                <w:sz w:val="20"/>
              </w:rPr>
              <w:t>(Alta.) (Criminal) (By Leave)</w:t>
            </w:r>
          </w:p>
        </w:tc>
      </w:tr>
      <w:tr w:rsidR="00E70281" w:rsidRPr="00B10752" w:rsidTr="0074582E">
        <w:tc>
          <w:tcPr>
            <w:tcW w:w="5000" w:type="pct"/>
            <w:gridSpan w:val="4"/>
          </w:tcPr>
          <w:p w:rsidR="00A22E9E" w:rsidRPr="00B10752" w:rsidRDefault="00A22E9E" w:rsidP="00A22E9E">
            <w:pPr>
              <w:jc w:val="both"/>
              <w:rPr>
                <w:sz w:val="20"/>
                <w:szCs w:val="20"/>
              </w:rPr>
            </w:pPr>
            <w:r w:rsidRPr="00B10752">
              <w:rPr>
                <w:sz w:val="20"/>
                <w:szCs w:val="20"/>
              </w:rPr>
              <w:t>The application for leave to appeal from the judgment of the Court of Appeal of Alberta (Edmonton), Number 1803-0273-A, 2020 ABCA 398, dated November 10, 2020, is dismissed.</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 xml:space="preserve">Criminal law — Evidence — Admissibility — </w:t>
            </w:r>
            <w:r w:rsidRPr="00B10752">
              <w:rPr>
                <w:sz w:val="20"/>
                <w:lang w:val="en"/>
              </w:rPr>
              <w:t xml:space="preserve">Whether bank’s DVD surveillance videos and video stills were admissible under s. 29 of the </w:t>
            </w:r>
            <w:r w:rsidRPr="00B10752">
              <w:rPr>
                <w:i/>
                <w:sz w:val="20"/>
                <w:lang w:val="en"/>
              </w:rPr>
              <w:t xml:space="preserve">Canada Evidence Act, </w:t>
            </w:r>
            <w:r w:rsidRPr="00B10752">
              <w:rPr>
                <w:color w:val="000000"/>
                <w:sz w:val="20"/>
              </w:rPr>
              <w:t>R.S.C. 1985, c C</w:t>
            </w:r>
            <w:r w:rsidRPr="00B10752">
              <w:rPr>
                <w:color w:val="000000"/>
                <w:sz w:val="20"/>
              </w:rPr>
              <w:noBreakHyphen/>
              <w:t xml:space="preserve">5 </w:t>
            </w:r>
            <w:r w:rsidRPr="00B10752">
              <w:rPr>
                <w:sz w:val="20"/>
              </w:rPr>
              <w:t xml:space="preserve">– Does s. 29 of the </w:t>
            </w:r>
            <w:r w:rsidRPr="00B10752">
              <w:rPr>
                <w:i/>
                <w:sz w:val="20"/>
              </w:rPr>
              <w:t>Canada Evidence Act</w:t>
            </w:r>
            <w:r w:rsidRPr="00B10752">
              <w:rPr>
                <w:sz w:val="20"/>
              </w:rPr>
              <w:t xml:space="preserve"> remove the need for evidence of the operation, retention and retrieval process of bank videos — Whether the common law authentication requirements for photos and videos continue to apply or inform the admissibility of the bank’s still images and videos.</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color w:val="000000"/>
                <w:spacing w:val="-1"/>
                <w:sz w:val="20"/>
              </w:rPr>
              <w:t>The applicant was charged with a single count of fraud over $5,000 against TD Canada Trust. The prosecution’s theory of the case was that the applicant had deposited a series of cheques into a TD Canada Trust account held by Anet Systems Ltd. (a corporation of which he was the sole shareholder and director), knowing that there were not sufficient funds in the payor accounts to cover the cheques, and that he withdrew significant amounts from the TD account before the cheques were returned NSF.</w:t>
            </w:r>
            <w:r w:rsidRPr="00B10752">
              <w:rPr>
                <w:sz w:val="20"/>
                <w:lang w:val="en"/>
              </w:rPr>
              <w:t xml:space="preserve"> The Crown sought to admit the exhibits through s. 29 of the</w:t>
            </w:r>
            <w:r w:rsidRPr="00B10752">
              <w:rPr>
                <w:i/>
                <w:color w:val="000000"/>
                <w:sz w:val="20"/>
              </w:rPr>
              <w:t xml:space="preserve"> Canada Evidence Act</w:t>
            </w:r>
            <w:r w:rsidRPr="00B10752">
              <w:rPr>
                <w:color w:val="000000"/>
                <w:sz w:val="20"/>
              </w:rPr>
              <w:t>, R.S.C. 1985, c C</w:t>
            </w:r>
            <w:r w:rsidRPr="00B10752">
              <w:rPr>
                <w:color w:val="000000"/>
                <w:sz w:val="20"/>
              </w:rPr>
              <w:noBreakHyphen/>
              <w:t>5.</w:t>
            </w:r>
            <w:r w:rsidRPr="00B10752">
              <w:rPr>
                <w:sz w:val="20"/>
              </w:rPr>
              <w:t xml:space="preserve"> </w:t>
            </w:r>
            <w:r w:rsidRPr="00B10752">
              <w:rPr>
                <w:color w:val="000000"/>
                <w:sz w:val="20"/>
              </w:rPr>
              <w:t xml:space="preserve">The trial judge concluded on the basis of uncontradicted affidavit evidence that certain TD Canada Trust records — including stills from ATM and branch surveillance cameras—were admissible pursuant to s. 29 of the </w:t>
            </w:r>
            <w:r w:rsidRPr="00B10752">
              <w:rPr>
                <w:i/>
                <w:color w:val="000000"/>
                <w:sz w:val="20"/>
              </w:rPr>
              <w:t>Canada Evidence Act</w:t>
            </w:r>
            <w:r w:rsidRPr="00B10752">
              <w:rPr>
                <w:color w:val="000000"/>
                <w:sz w:val="20"/>
              </w:rPr>
              <w:t xml:space="preserve">. </w:t>
            </w:r>
            <w:r w:rsidRPr="00B10752">
              <w:rPr>
                <w:sz w:val="20"/>
              </w:rPr>
              <w:t xml:space="preserve">The applicant was convicted of fraud over $5000.00. </w:t>
            </w:r>
            <w:r w:rsidRPr="00B10752">
              <w:rPr>
                <w:color w:val="000000"/>
                <w:sz w:val="20"/>
              </w:rPr>
              <w:t>The Court of Appeal upheld the trial judge’s decision, and dismissed the conviction appeal.</w:t>
            </w:r>
          </w:p>
        </w:tc>
      </w:tr>
      <w:tr w:rsidR="00E70281" w:rsidRPr="00B10752" w:rsidTr="0074582E">
        <w:tc>
          <w:tcPr>
            <w:tcW w:w="5000" w:type="pct"/>
            <w:gridSpan w:val="4"/>
          </w:tcPr>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July 4, 2018</w:t>
            </w:r>
          </w:p>
          <w:p w:rsidR="00E70281" w:rsidRPr="00B10752" w:rsidRDefault="00E70281" w:rsidP="0074582E">
            <w:pPr>
              <w:jc w:val="both"/>
              <w:rPr>
                <w:sz w:val="20"/>
              </w:rPr>
            </w:pPr>
            <w:r w:rsidRPr="00B10752">
              <w:rPr>
                <w:sz w:val="20"/>
              </w:rPr>
              <w:t>Provincial Court of Alberta</w:t>
            </w:r>
          </w:p>
          <w:p w:rsidR="00E70281" w:rsidRPr="00B10752" w:rsidRDefault="00E70281" w:rsidP="0074582E">
            <w:pPr>
              <w:jc w:val="both"/>
              <w:rPr>
                <w:sz w:val="20"/>
              </w:rPr>
            </w:pPr>
            <w:r w:rsidRPr="00B10752">
              <w:rPr>
                <w:sz w:val="20"/>
              </w:rPr>
              <w:t>(Sharpe P.C.J.)</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Conviction entered: fraud over $5000</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November 10, 2020</w:t>
            </w:r>
          </w:p>
          <w:p w:rsidR="00E70281" w:rsidRPr="00B10752" w:rsidRDefault="00E70281" w:rsidP="0074582E">
            <w:pPr>
              <w:jc w:val="both"/>
              <w:rPr>
                <w:sz w:val="20"/>
              </w:rPr>
            </w:pPr>
            <w:r w:rsidRPr="00B10752">
              <w:rPr>
                <w:sz w:val="20"/>
              </w:rPr>
              <w:t>Court of Appeal of Alberta (Edmonton)</w:t>
            </w:r>
          </w:p>
          <w:p w:rsidR="00E70281" w:rsidRPr="00B10752" w:rsidRDefault="00E70281" w:rsidP="0074582E">
            <w:pPr>
              <w:jc w:val="both"/>
              <w:rPr>
                <w:sz w:val="20"/>
              </w:rPr>
            </w:pPr>
            <w:r w:rsidRPr="00B10752">
              <w:rPr>
                <w:sz w:val="20"/>
              </w:rPr>
              <w:t>(O’Ferrall, Schutz and Strekaf JJ.A.)</w:t>
            </w:r>
          </w:p>
          <w:p w:rsidR="00E70281" w:rsidRPr="00B10752" w:rsidRDefault="00B10752" w:rsidP="0074582E">
            <w:pPr>
              <w:jc w:val="both"/>
              <w:rPr>
                <w:sz w:val="20"/>
              </w:rPr>
            </w:pPr>
            <w:hyperlink r:id="rId29" w:history="1">
              <w:r w:rsidR="00E70281" w:rsidRPr="00B10752">
                <w:rPr>
                  <w:rStyle w:val="Hyperlink"/>
                  <w:sz w:val="20"/>
                </w:rPr>
                <w:t>2020 ABCA 398</w:t>
              </w:r>
            </w:hyperlink>
            <w:r w:rsidR="00E70281" w:rsidRPr="00B10752">
              <w:rPr>
                <w:sz w:val="20"/>
              </w:rPr>
              <w:t>; 1803</w:t>
            </w:r>
            <w:r w:rsidR="00E70281" w:rsidRPr="00B10752">
              <w:rPr>
                <w:sz w:val="20"/>
              </w:rPr>
              <w:noBreakHyphen/>
              <w:t>0273</w:t>
            </w:r>
            <w:r w:rsidR="00E70281" w:rsidRPr="00B10752">
              <w:rPr>
                <w:sz w:val="20"/>
              </w:rPr>
              <w:noBreakHyphen/>
              <w:t>A</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Appeal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January 4, 2021</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43"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39519</w:t>
            </w:r>
          </w:p>
        </w:tc>
        <w:tc>
          <w:tcPr>
            <w:tcW w:w="4457" w:type="pct"/>
          </w:tcPr>
          <w:p w:rsidR="00E70281" w:rsidRPr="00B10752" w:rsidRDefault="00E70281" w:rsidP="0074582E">
            <w:pPr>
              <w:pStyle w:val="SCCLsocParty"/>
              <w:jc w:val="both"/>
              <w:rPr>
                <w:b/>
                <w:sz w:val="20"/>
                <w:szCs w:val="20"/>
              </w:rPr>
            </w:pPr>
            <w:r w:rsidRPr="00B10752">
              <w:rPr>
                <w:b/>
                <w:sz w:val="20"/>
                <w:szCs w:val="20"/>
              </w:rPr>
              <w:t>Harinderdeep Singh Brar c. Sa Majesté la Reine</w:t>
            </w:r>
          </w:p>
          <w:p w:rsidR="00E70281" w:rsidRPr="00B10752" w:rsidRDefault="00E70281" w:rsidP="0074582E">
            <w:pPr>
              <w:jc w:val="both"/>
              <w:rPr>
                <w:sz w:val="20"/>
                <w:lang w:val="fr-CA"/>
              </w:rPr>
            </w:pPr>
            <w:r w:rsidRPr="00B10752">
              <w:rPr>
                <w:sz w:val="20"/>
                <w:lang w:val="fr-CA"/>
              </w:rPr>
              <w:t>(Alb.) (Criminelle) (Sur autorisation)</w:t>
            </w:r>
          </w:p>
        </w:tc>
      </w:tr>
      <w:tr w:rsidR="00E70281" w:rsidRPr="00B10752" w:rsidTr="0074582E">
        <w:tc>
          <w:tcPr>
            <w:tcW w:w="5000" w:type="pct"/>
            <w:gridSpan w:val="2"/>
          </w:tcPr>
          <w:p w:rsidR="00E70281" w:rsidRPr="00B10752" w:rsidRDefault="00A22E9E" w:rsidP="0074582E">
            <w:pPr>
              <w:jc w:val="both"/>
              <w:rPr>
                <w:sz w:val="20"/>
                <w:szCs w:val="20"/>
                <w:lang w:val="fr-CA"/>
              </w:rPr>
            </w:pPr>
            <w:r w:rsidRPr="00B10752">
              <w:rPr>
                <w:sz w:val="20"/>
                <w:szCs w:val="20"/>
                <w:lang w:val="fr-CA"/>
              </w:rPr>
              <w:t>La demande d’autorisation d’appel de l’arrêt de la Cour d’appel de l’Alberta (Edmonton), numéro 1803-0273-A, 2020 ABCA 398, daté du 10 novembre 2020, est rejet</w:t>
            </w:r>
            <w:r w:rsidRPr="00B10752">
              <w:rPr>
                <w:rFonts w:cs="Times New Roman"/>
                <w:sz w:val="20"/>
                <w:szCs w:val="20"/>
                <w:lang w:val="fr-CA"/>
              </w:rPr>
              <w:t>é</w:t>
            </w:r>
            <w:r w:rsidRPr="00B10752">
              <w:rPr>
                <w:sz w:val="20"/>
                <w:szCs w:val="20"/>
                <w:lang w:val="fr-CA"/>
              </w:rPr>
              <w:t>e.</w:t>
            </w:r>
          </w:p>
          <w:p w:rsidR="00A22E9E" w:rsidRPr="00B10752" w:rsidRDefault="00A22E9E" w:rsidP="0074582E">
            <w:pPr>
              <w:jc w:val="both"/>
              <w:rPr>
                <w:sz w:val="20"/>
                <w:lang w:val="fr-CA"/>
              </w:rPr>
            </w:pPr>
          </w:p>
        </w:tc>
      </w:tr>
      <w:tr w:rsidR="00E70281" w:rsidRPr="00B10752" w:rsidTr="0074582E">
        <w:tc>
          <w:tcPr>
            <w:tcW w:w="5000" w:type="pct"/>
            <w:gridSpan w:val="2"/>
          </w:tcPr>
          <w:p w:rsidR="00E70281" w:rsidRPr="00B10752" w:rsidRDefault="00E70281" w:rsidP="0074582E">
            <w:pPr>
              <w:jc w:val="both"/>
              <w:rPr>
                <w:sz w:val="20"/>
                <w:lang w:val="fr-CA"/>
              </w:rPr>
            </w:pPr>
            <w:r w:rsidRPr="00B10752">
              <w:rPr>
                <w:sz w:val="20"/>
                <w:lang w:val="fr-CA"/>
              </w:rPr>
              <w:t xml:space="preserve">Droit criminel — Preuve — Admissibilité — Les vidéos de surveillance enregistrées sur DVD et plans fixes de la banque étaient-ils admissibles en vertu de l’art. 29 de la </w:t>
            </w:r>
            <w:r w:rsidRPr="00B10752">
              <w:rPr>
                <w:i/>
                <w:sz w:val="20"/>
                <w:lang w:val="fr-CA"/>
              </w:rPr>
              <w:t xml:space="preserve">Loi sur la preuve au Canada, </w:t>
            </w:r>
            <w:r w:rsidRPr="00B10752">
              <w:rPr>
                <w:color w:val="000000"/>
                <w:sz w:val="20"/>
                <w:lang w:val="fr-CA"/>
              </w:rPr>
              <w:t>L.R.C. 1985, ch. C</w:t>
            </w:r>
            <w:r w:rsidRPr="00B10752">
              <w:rPr>
                <w:color w:val="000000"/>
                <w:sz w:val="20"/>
                <w:lang w:val="fr-CA"/>
              </w:rPr>
              <w:noBreakHyphen/>
              <w:t xml:space="preserve">5? </w:t>
            </w:r>
            <w:r w:rsidRPr="00B10752">
              <w:rPr>
                <w:sz w:val="20"/>
                <w:lang w:val="fr-CA"/>
              </w:rPr>
              <w:t xml:space="preserve">— L’art. 29 de la </w:t>
            </w:r>
            <w:r w:rsidRPr="00B10752">
              <w:rPr>
                <w:i/>
                <w:sz w:val="20"/>
                <w:lang w:val="fr-CA"/>
              </w:rPr>
              <w:t xml:space="preserve">Loi sur la preuve au Canada </w:t>
            </w:r>
            <w:r w:rsidRPr="00B10752">
              <w:rPr>
                <w:sz w:val="20"/>
                <w:lang w:val="fr-CA"/>
              </w:rPr>
              <w:t>élimine</w:t>
            </w:r>
            <w:r w:rsidRPr="00B10752">
              <w:rPr>
                <w:sz w:val="20"/>
                <w:lang w:val="fr-CA"/>
              </w:rPr>
              <w:noBreakHyphen/>
              <w:t>t</w:t>
            </w:r>
            <w:r w:rsidRPr="00B10752">
              <w:rPr>
                <w:sz w:val="20"/>
                <w:lang w:val="fr-CA"/>
              </w:rPr>
              <w:noBreakHyphen/>
              <w:t>il le besoin de preuve relative au processus d’opération, de rétention et de récupération des vidéos d’une banque? — Les exigences de common law relatives à l’authentification de photos et de vidéos continuent</w:t>
            </w:r>
            <w:r w:rsidRPr="00B10752">
              <w:rPr>
                <w:sz w:val="20"/>
                <w:lang w:val="fr-CA"/>
              </w:rPr>
              <w:noBreakHyphen/>
              <w:t>elles à s’appliquer ou à servir de guide quant à l’admissibilité des vidéos et images fixes de la banque?</w:t>
            </w:r>
          </w:p>
          <w:p w:rsidR="00E70281" w:rsidRPr="00B10752" w:rsidRDefault="00E70281" w:rsidP="0074582E">
            <w:pPr>
              <w:jc w:val="both"/>
              <w:rPr>
                <w:sz w:val="20"/>
                <w:lang w:val="fr-CA"/>
              </w:rPr>
            </w:pPr>
          </w:p>
        </w:tc>
      </w:tr>
    </w:tbl>
    <w:p w:rsidR="00D90258" w:rsidRPr="00B10752" w:rsidRDefault="00D90258">
      <w:pPr>
        <w:rPr>
          <w:lang w:val="fr-CA"/>
        </w:rPr>
      </w:pPr>
      <w:r w:rsidRPr="00B1075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5000" w:type="pct"/>
            <w:gridSpan w:val="3"/>
          </w:tcPr>
          <w:p w:rsidR="00E70281" w:rsidRPr="00B10752" w:rsidRDefault="00E70281" w:rsidP="0074582E">
            <w:pPr>
              <w:jc w:val="both"/>
              <w:rPr>
                <w:sz w:val="20"/>
                <w:lang w:val="fr-CA"/>
              </w:rPr>
            </w:pPr>
            <w:r w:rsidRPr="00B10752">
              <w:rPr>
                <w:color w:val="000000"/>
                <w:spacing w:val="-1"/>
                <w:sz w:val="20"/>
                <w:lang w:val="fr-CA"/>
              </w:rPr>
              <w:lastRenderedPageBreak/>
              <w:t>Le demandeur a été accusé d’un seul chef d’accusation de fraude de plus de 5 000 $ perpétrée contre TD Canada Trust. Selon la thèse présentée par la poursuite, le demandeur aurait déposé une série de chèques dans un compte de TD Canada Trust détenu par Anet Systems Ltd. (une personne morale dont il était le seul actionnaire et administrateur), sachant que les fonds dans le compte du payeur étaient insuffisants pour couvrir les chèques, et aurait retiré des sommes importantes du compte TD avant que la banque retourne les chèques sans provision.</w:t>
            </w:r>
            <w:r w:rsidRPr="00B10752">
              <w:rPr>
                <w:sz w:val="20"/>
                <w:lang w:val="fr-CA"/>
              </w:rPr>
              <w:t xml:space="preserve"> Le ministère public a cherché à admettre les pièces suivant l’art. 29 de la </w:t>
            </w:r>
            <w:r w:rsidRPr="00B10752">
              <w:rPr>
                <w:i/>
                <w:sz w:val="20"/>
                <w:lang w:val="fr-CA"/>
              </w:rPr>
              <w:t xml:space="preserve">Loi sur la preuve au Canada, </w:t>
            </w:r>
            <w:r w:rsidRPr="00B10752">
              <w:rPr>
                <w:color w:val="000000"/>
                <w:sz w:val="20"/>
                <w:lang w:val="fr-CA"/>
              </w:rPr>
              <w:t>L.R.C. 1985, ch. C</w:t>
            </w:r>
            <w:r w:rsidRPr="00B10752">
              <w:rPr>
                <w:color w:val="000000"/>
                <w:sz w:val="20"/>
                <w:lang w:val="fr-CA"/>
              </w:rPr>
              <w:noBreakHyphen/>
              <w:t>5.</w:t>
            </w:r>
            <w:r w:rsidRPr="00B10752">
              <w:rPr>
                <w:sz w:val="20"/>
                <w:lang w:val="fr-CA"/>
              </w:rPr>
              <w:t xml:space="preserve"> La juge du procès a </w:t>
            </w:r>
            <w:r w:rsidRPr="00B10752">
              <w:rPr>
                <w:color w:val="000000"/>
                <w:sz w:val="20"/>
                <w:lang w:val="fr-CA"/>
              </w:rPr>
              <w:t xml:space="preserve">conclu sur la base de preuve par affidavit non contredite que certains registres de TD Canada Trust — notamment des plans fixes tirés de caméras de surveillance aux guichets automatiques et dans une succursale de la banque — étaient admissibles en vertu de l’art. 29 de la </w:t>
            </w:r>
            <w:r w:rsidRPr="00B10752">
              <w:rPr>
                <w:i/>
                <w:color w:val="000000"/>
                <w:sz w:val="20"/>
                <w:lang w:val="fr-CA"/>
              </w:rPr>
              <w:t>Loi sur la preuve au Canada</w:t>
            </w:r>
            <w:r w:rsidRPr="00B10752">
              <w:rPr>
                <w:color w:val="000000"/>
                <w:sz w:val="20"/>
                <w:lang w:val="fr-CA"/>
              </w:rPr>
              <w:t xml:space="preserve">. Le demandeur a été déclaré coupable de </w:t>
            </w:r>
            <w:r w:rsidRPr="00B10752">
              <w:rPr>
                <w:sz w:val="20"/>
                <w:lang w:val="fr-CA"/>
              </w:rPr>
              <w:t xml:space="preserve">fraude de plus de 5000 $. La </w:t>
            </w:r>
            <w:r w:rsidRPr="00B10752">
              <w:rPr>
                <w:color w:val="000000"/>
                <w:sz w:val="20"/>
                <w:lang w:val="fr-CA"/>
              </w:rPr>
              <w:t>Cour d’appel a confirmé la décision de la juge du procès et a rejeté l’appel de la déclaration de culpabilité.</w:t>
            </w:r>
          </w:p>
        </w:tc>
      </w:tr>
      <w:tr w:rsidR="00E70281" w:rsidRPr="00B10752" w:rsidTr="0074582E">
        <w:tc>
          <w:tcPr>
            <w:tcW w:w="5000" w:type="pct"/>
            <w:gridSpan w:val="3"/>
          </w:tcPr>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4 juillet 2018</w:t>
            </w:r>
          </w:p>
          <w:p w:rsidR="00E70281" w:rsidRPr="00B10752" w:rsidRDefault="00E70281" w:rsidP="0074582E">
            <w:pPr>
              <w:jc w:val="both"/>
              <w:rPr>
                <w:sz w:val="20"/>
                <w:lang w:val="fr-CA"/>
              </w:rPr>
            </w:pPr>
            <w:r w:rsidRPr="00B10752">
              <w:rPr>
                <w:sz w:val="20"/>
                <w:lang w:val="fr-CA"/>
              </w:rPr>
              <w:t>Cour provinciale de l’Alberta</w:t>
            </w:r>
          </w:p>
          <w:p w:rsidR="00E70281" w:rsidRPr="00B10752" w:rsidRDefault="00E70281" w:rsidP="0074582E">
            <w:pPr>
              <w:jc w:val="both"/>
              <w:rPr>
                <w:sz w:val="20"/>
                <w:lang w:val="fr-CA"/>
              </w:rPr>
            </w:pPr>
            <w:r w:rsidRPr="00B10752">
              <w:rPr>
                <w:sz w:val="20"/>
                <w:lang w:val="fr-CA"/>
              </w:rPr>
              <w:t>(juge Sharpe)</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déclaration de culpabilité de fraude de plus de 5000 $ est prononcée.</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10 novembre 2020</w:t>
            </w:r>
          </w:p>
          <w:p w:rsidR="00E70281" w:rsidRPr="00B10752" w:rsidRDefault="00E70281" w:rsidP="0074582E">
            <w:pPr>
              <w:jc w:val="both"/>
              <w:rPr>
                <w:sz w:val="20"/>
                <w:lang w:val="fr-CA"/>
              </w:rPr>
            </w:pPr>
            <w:r w:rsidRPr="00B10752">
              <w:rPr>
                <w:sz w:val="20"/>
                <w:lang w:val="fr-CA"/>
              </w:rPr>
              <w:t>Cour d’appel de l’Alberta (Edmonton)</w:t>
            </w:r>
          </w:p>
          <w:p w:rsidR="00E70281" w:rsidRPr="00B10752" w:rsidRDefault="00E70281" w:rsidP="0074582E">
            <w:pPr>
              <w:jc w:val="both"/>
              <w:rPr>
                <w:sz w:val="20"/>
                <w:lang w:val="fr-CA"/>
              </w:rPr>
            </w:pPr>
            <w:r w:rsidRPr="00B10752">
              <w:rPr>
                <w:sz w:val="20"/>
                <w:lang w:val="fr-CA"/>
              </w:rPr>
              <w:t>(juges O’Ferrall, Schutz et Strekaf)</w:t>
            </w:r>
          </w:p>
          <w:p w:rsidR="00E70281" w:rsidRPr="00B10752" w:rsidRDefault="00B10752" w:rsidP="0074582E">
            <w:pPr>
              <w:jc w:val="both"/>
              <w:rPr>
                <w:sz w:val="20"/>
                <w:lang w:val="fr-CA"/>
              </w:rPr>
            </w:pPr>
            <w:hyperlink r:id="rId30" w:history="1">
              <w:r w:rsidR="00E70281" w:rsidRPr="00B10752">
                <w:rPr>
                  <w:rStyle w:val="Hyperlink"/>
                  <w:sz w:val="20"/>
                  <w:lang w:val="fr-CA"/>
                </w:rPr>
                <w:t>2020 ABCA 398</w:t>
              </w:r>
            </w:hyperlink>
            <w:r w:rsidR="00E70281" w:rsidRPr="00B10752">
              <w:rPr>
                <w:sz w:val="20"/>
                <w:lang w:val="fr-CA"/>
              </w:rPr>
              <w:t>; 1803</w:t>
            </w:r>
            <w:r w:rsidR="00E70281" w:rsidRPr="00B10752">
              <w:rPr>
                <w:sz w:val="20"/>
                <w:lang w:val="fr-CA"/>
              </w:rPr>
              <w:noBreakHyphen/>
              <w:t>0273</w:t>
            </w:r>
            <w:r w:rsidR="00E70281" w:rsidRPr="00B10752">
              <w:rPr>
                <w:sz w:val="20"/>
                <w:lang w:val="fr-CA"/>
              </w:rPr>
              <w:noBreakHyphen/>
              <w:t>A</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L’appel est rejeté.</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4 janvier 2021</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d’appel est présentée.</w:t>
            </w:r>
          </w:p>
          <w:p w:rsidR="00E70281" w:rsidRPr="00B10752" w:rsidRDefault="00E70281" w:rsidP="0074582E">
            <w:pPr>
              <w:jc w:val="both"/>
              <w:rPr>
                <w:sz w:val="20"/>
                <w:lang w:val="fr-CA"/>
              </w:rPr>
            </w:pP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44"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39555</w:t>
            </w:r>
          </w:p>
        </w:tc>
        <w:tc>
          <w:tcPr>
            <w:tcW w:w="4457" w:type="pct"/>
            <w:gridSpan w:val="3"/>
          </w:tcPr>
          <w:p w:rsidR="00E70281" w:rsidRPr="00B10752" w:rsidRDefault="00E70281" w:rsidP="0074582E">
            <w:pPr>
              <w:pStyle w:val="SCCLsocParty"/>
              <w:jc w:val="both"/>
              <w:rPr>
                <w:b/>
                <w:sz w:val="20"/>
                <w:szCs w:val="20"/>
                <w:lang w:val="en-US"/>
              </w:rPr>
            </w:pPr>
            <w:r w:rsidRPr="00B10752">
              <w:rPr>
                <w:b/>
                <w:sz w:val="20"/>
                <w:szCs w:val="20"/>
                <w:lang w:val="en-US"/>
              </w:rPr>
              <w:t>Daniel Theodore</w:t>
            </w:r>
            <w:r w:rsidR="00A22E9E" w:rsidRPr="00B10752">
              <w:rPr>
                <w:b/>
                <w:sz w:val="20"/>
                <w:szCs w:val="20"/>
                <w:lang w:val="en-US"/>
              </w:rPr>
              <w:t xml:space="preserve"> and</w:t>
            </w:r>
            <w:r w:rsidRPr="00B10752">
              <w:rPr>
                <w:b/>
                <w:sz w:val="20"/>
                <w:szCs w:val="20"/>
                <w:lang w:val="en-US"/>
              </w:rPr>
              <w:t xml:space="preserve"> Andrew Bellegarde v. Her Majesty the Queen</w:t>
            </w:r>
          </w:p>
          <w:p w:rsidR="00E70281" w:rsidRPr="00B10752" w:rsidRDefault="00E70281" w:rsidP="0074582E">
            <w:pPr>
              <w:jc w:val="both"/>
              <w:rPr>
                <w:sz w:val="20"/>
              </w:rPr>
            </w:pPr>
            <w:r w:rsidRPr="00B10752">
              <w:rPr>
                <w:sz w:val="20"/>
              </w:rPr>
              <w:t>(Sask.) (Criminal) (By Leave)</w:t>
            </w:r>
          </w:p>
        </w:tc>
      </w:tr>
      <w:tr w:rsidR="00E70281" w:rsidRPr="00B10752" w:rsidTr="0074582E">
        <w:tc>
          <w:tcPr>
            <w:tcW w:w="5000" w:type="pct"/>
            <w:gridSpan w:val="4"/>
          </w:tcPr>
          <w:p w:rsidR="00A22E9E" w:rsidRPr="00B10752" w:rsidRDefault="00A22E9E" w:rsidP="00A22E9E">
            <w:pPr>
              <w:jc w:val="both"/>
              <w:rPr>
                <w:sz w:val="20"/>
                <w:szCs w:val="20"/>
              </w:rPr>
            </w:pPr>
            <w:r w:rsidRPr="00B10752">
              <w:rPr>
                <w:sz w:val="20"/>
                <w:szCs w:val="20"/>
              </w:rPr>
              <w:t>The motion to file a single application for leave to appeal is granted. The application for leave to appeal from the judgment of the Court of Appeal for Saskatchewan, Numbers CACR3084 and CACR3086, 2020 SKCA 131, dated November 24, 2020, is dismissed.</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 xml:space="preserve">Criminal law — Jurors — Selection — Charge to jury — Bias — Powers of trial judge to screen potential jurors for reasonable apprehension of bias — Whether power to excuse jurors in ss. 632(c) and s. 633 of the </w:t>
            </w:r>
            <w:r w:rsidRPr="00B10752">
              <w:rPr>
                <w:i/>
                <w:sz w:val="20"/>
              </w:rPr>
              <w:t>Criminal Code</w:t>
            </w:r>
            <w:r w:rsidRPr="00B10752">
              <w:rPr>
                <w:sz w:val="20"/>
              </w:rPr>
              <w:t xml:space="preserve"> permits or prohibits trial judges to screen potential jurors for racial prejudice or bias in the absence of a specific request by counsel — Whether trial judges have a duty to proactively raise the issue of juror partiality or to provide instructions to a jury about racial bias?</w:t>
            </w:r>
          </w:p>
        </w:tc>
      </w:tr>
      <w:tr w:rsidR="00E70281" w:rsidRPr="00B10752" w:rsidTr="0074582E">
        <w:tc>
          <w:tcPr>
            <w:tcW w:w="5000" w:type="pct"/>
            <w:gridSpan w:val="4"/>
          </w:tcPr>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A drug dealer was fatally shot. His body was dismembered and decapitated before disposal. Mr. Theodore, Mr. Bellegarde and Mr. Gordon tried jointly before a jury. Mr. Gordon and Mr. Bellegarde are Indigenous. Mr. Theodore is Caucasian. Mr. Bellegarde is a member of an Indigenous street gang. Mr. Theodore and Mr. Gordon were partners in drug dealing and Mr. Gordon supplied the Indigenous street gang. Potential jurors were not challenged for cause or otherwise pre-screened for racial bias. The jury charge did not include a specific instruction on the need to set aside racial biases about Indigenous persons. A jury found Mr. Theodore, Mr. Bellegarde and Mr. Gordon guilty of first degree murder and Mr. Theodore and Mr. Bellegarde guilty of offering an indignity to the drug dealer’s remains. The Court of Appeal dismissed appeals.</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March 2, 2018</w:t>
            </w:r>
          </w:p>
          <w:p w:rsidR="00E70281" w:rsidRPr="00B10752" w:rsidRDefault="00E70281" w:rsidP="0074582E">
            <w:pPr>
              <w:jc w:val="both"/>
              <w:rPr>
                <w:sz w:val="20"/>
              </w:rPr>
            </w:pPr>
            <w:r w:rsidRPr="00B10752">
              <w:rPr>
                <w:sz w:val="20"/>
              </w:rPr>
              <w:t xml:space="preserve">Court of Queen’s Bench for Saskatchewan </w:t>
            </w:r>
          </w:p>
          <w:p w:rsidR="00E70281" w:rsidRPr="00B10752" w:rsidRDefault="00E70281" w:rsidP="0074582E">
            <w:pPr>
              <w:jc w:val="both"/>
              <w:rPr>
                <w:sz w:val="20"/>
              </w:rPr>
            </w:pPr>
            <w:r w:rsidRPr="00B10752">
              <w:rPr>
                <w:sz w:val="20"/>
              </w:rPr>
              <w:t>(Dawson J.) (unreported)</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en"/>
              </w:rPr>
            </w:pPr>
            <w:r w:rsidRPr="00B10752">
              <w:rPr>
                <w:sz w:val="20"/>
                <w:lang w:val="en"/>
              </w:rPr>
              <w:t>Convictions by jury for first degree murder and for offering indignity to human remains</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lastRenderedPageBreak/>
              <w:t>November 24, 2020</w:t>
            </w:r>
          </w:p>
          <w:p w:rsidR="00E70281" w:rsidRPr="00B10752" w:rsidRDefault="00E70281" w:rsidP="0074582E">
            <w:pPr>
              <w:jc w:val="both"/>
              <w:rPr>
                <w:sz w:val="20"/>
              </w:rPr>
            </w:pPr>
            <w:r w:rsidRPr="00B10752">
              <w:rPr>
                <w:sz w:val="20"/>
              </w:rPr>
              <w:t>Court of Appeal for Saskatchewan</w:t>
            </w:r>
          </w:p>
          <w:p w:rsidR="00E70281" w:rsidRPr="00B10752" w:rsidRDefault="00E70281" w:rsidP="0074582E">
            <w:pPr>
              <w:jc w:val="both"/>
              <w:rPr>
                <w:sz w:val="20"/>
              </w:rPr>
            </w:pPr>
            <w:r w:rsidRPr="00B10752">
              <w:rPr>
                <w:sz w:val="20"/>
              </w:rPr>
              <w:t>(Kalmakoff, Leurer, Tholl)</w:t>
            </w:r>
          </w:p>
          <w:p w:rsidR="00E70281" w:rsidRPr="00B10752" w:rsidRDefault="00B10752" w:rsidP="0074582E">
            <w:pPr>
              <w:jc w:val="both"/>
              <w:rPr>
                <w:sz w:val="20"/>
              </w:rPr>
            </w:pPr>
            <w:hyperlink r:id="rId31" w:history="1">
              <w:r w:rsidR="00E70281" w:rsidRPr="00B10752">
                <w:rPr>
                  <w:rStyle w:val="Hyperlink"/>
                  <w:sz w:val="20"/>
                </w:rPr>
                <w:t>2020 SKCA 131</w:t>
              </w:r>
            </w:hyperlink>
            <w:r w:rsidR="00E70281" w:rsidRPr="00B10752">
              <w:rPr>
                <w:sz w:val="20"/>
              </w:rPr>
              <w:t>; CACR3084, CACR3086</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Appeals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January 25, 2021</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file a single application for leave to appeal and for leave to appeal filed</w:t>
            </w: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45"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39555</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Daniel Theodore</w:t>
            </w:r>
            <w:r w:rsidR="00A22E9E" w:rsidRPr="00B10752">
              <w:rPr>
                <w:b/>
                <w:sz w:val="20"/>
                <w:szCs w:val="20"/>
              </w:rPr>
              <w:t xml:space="preserve"> et</w:t>
            </w:r>
            <w:r w:rsidRPr="00B10752">
              <w:rPr>
                <w:b/>
                <w:sz w:val="20"/>
                <w:szCs w:val="20"/>
              </w:rPr>
              <w:t xml:space="preserve"> Andrew Bellegarde c. Sa Majesté la Reine</w:t>
            </w:r>
          </w:p>
          <w:p w:rsidR="00E70281" w:rsidRPr="00B10752" w:rsidRDefault="00E70281" w:rsidP="0074582E">
            <w:pPr>
              <w:jc w:val="both"/>
              <w:rPr>
                <w:sz w:val="20"/>
                <w:lang w:val="fr-CA"/>
              </w:rPr>
            </w:pPr>
            <w:r w:rsidRPr="00B10752">
              <w:rPr>
                <w:sz w:val="20"/>
                <w:lang w:val="fr-CA"/>
              </w:rPr>
              <w:t>(Sask.) (Criminelle) (Sur autorisation)</w:t>
            </w:r>
          </w:p>
        </w:tc>
      </w:tr>
      <w:tr w:rsidR="00E70281" w:rsidRPr="00B10752" w:rsidTr="0074582E">
        <w:tc>
          <w:tcPr>
            <w:tcW w:w="5000" w:type="pct"/>
            <w:gridSpan w:val="4"/>
          </w:tcPr>
          <w:p w:rsidR="00E70281" w:rsidRPr="00B10752" w:rsidRDefault="00A22E9E" w:rsidP="0074582E">
            <w:pPr>
              <w:jc w:val="both"/>
              <w:rPr>
                <w:sz w:val="20"/>
                <w:szCs w:val="20"/>
                <w:lang w:val="fr-CA"/>
              </w:rPr>
            </w:pPr>
            <w:r w:rsidRPr="00B10752">
              <w:rPr>
                <w:sz w:val="20"/>
                <w:szCs w:val="20"/>
                <w:lang w:val="fr-FR"/>
              </w:rPr>
              <w:t>La requête pour déposer une demande d’autorisation d’appel unique est accueillie.</w:t>
            </w:r>
            <w:r w:rsidRPr="00B10752" w:rsidDel="00630617">
              <w:rPr>
                <w:sz w:val="20"/>
                <w:szCs w:val="20"/>
                <w:lang w:val="fr-FR"/>
              </w:rPr>
              <w:t xml:space="preserve"> </w:t>
            </w:r>
            <w:r w:rsidRPr="00B10752">
              <w:rPr>
                <w:sz w:val="20"/>
                <w:szCs w:val="20"/>
                <w:lang w:val="fr-FR"/>
              </w:rPr>
              <w:t xml:space="preserve"> </w:t>
            </w:r>
            <w:r w:rsidRPr="00B10752">
              <w:rPr>
                <w:sz w:val="20"/>
                <w:szCs w:val="20"/>
                <w:lang w:val="fr-CA"/>
              </w:rPr>
              <w:t>La demande d’autorisation d’appel de l’arrêt de la Cour d’appel de la Saskatchewan, numéros CACR3084 et CACR3086, 2020 SKCA 131, daté du 24 novembre 2020, est rejet</w:t>
            </w:r>
            <w:r w:rsidRPr="00B10752">
              <w:rPr>
                <w:rFonts w:cs="Times New Roman"/>
                <w:sz w:val="20"/>
                <w:szCs w:val="20"/>
                <w:lang w:val="fr-CA"/>
              </w:rPr>
              <w:t>é</w:t>
            </w:r>
            <w:r w:rsidRPr="00B10752">
              <w:rPr>
                <w:sz w:val="20"/>
                <w:szCs w:val="20"/>
                <w:lang w:val="fr-CA"/>
              </w:rPr>
              <w:t>e.</w:t>
            </w:r>
          </w:p>
          <w:p w:rsidR="00A22E9E" w:rsidRPr="00B10752" w:rsidRDefault="00A22E9E"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 xml:space="preserve">Droit criminel — Jurés — Sélection — Exposé au jury — Partialité — Pouvoirs du juge du procès de procéder à l’examen préalable des candidats jurés pour déterminer s’il existe une crainte raisonnable de partialité — Le pouvoir de dispenser les jurés, aux termes de l’al. 632(c) et de l’art. 633 du </w:t>
            </w:r>
            <w:r w:rsidRPr="00B10752">
              <w:rPr>
                <w:i/>
                <w:sz w:val="20"/>
                <w:lang w:val="fr-CA"/>
              </w:rPr>
              <w:t>Code criminel,</w:t>
            </w:r>
            <w:r w:rsidRPr="00B10752">
              <w:rPr>
                <w:sz w:val="20"/>
                <w:lang w:val="fr-CA"/>
              </w:rPr>
              <w:t xml:space="preserve"> permet</w:t>
            </w:r>
            <w:r w:rsidRPr="00B10752">
              <w:rPr>
                <w:sz w:val="20"/>
                <w:lang w:val="fr-CA"/>
              </w:rPr>
              <w:noBreakHyphen/>
              <w:t>il ou interdit</w:t>
            </w:r>
            <w:r w:rsidRPr="00B10752">
              <w:rPr>
                <w:sz w:val="20"/>
                <w:lang w:val="fr-CA"/>
              </w:rPr>
              <w:noBreakHyphen/>
              <w:t>il aux juges du procès de procéder à l’examen préalable des candidats jurés pour déterminer s’ils ont des préjugés raciaux ou font preuve de partialité en l’absence d’une demande explicite des procureurs à cet égard? — Les juges du procès ont</w:t>
            </w:r>
            <w:r w:rsidRPr="00B10752">
              <w:rPr>
                <w:sz w:val="20"/>
                <w:lang w:val="fr-CA"/>
              </w:rPr>
              <w:noBreakHyphen/>
              <w:t>ils un devoir de soulever, de façon proactive, la question de partialité des jurés ou de donner des directives au jury sur les préjugés raciaux?</w:t>
            </w:r>
          </w:p>
        </w:tc>
      </w:tr>
      <w:tr w:rsidR="00E70281" w:rsidRPr="00B10752" w:rsidTr="0074582E">
        <w:tc>
          <w:tcPr>
            <w:tcW w:w="5000" w:type="pct"/>
            <w:gridSpan w:val="4"/>
          </w:tcPr>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Un trafiquant de drogue a été mortellement atteint par des coups de feu. Le cadavre a été démembré et décapité avant qu’on le fasse disparaître. M. Theodore, M. Bellegarde et M. Gordon ont subi leur procès conjointement devant jury. M. Gordon et M. Bellegarde sont des Autochtones, tandis que M. Theodore est de race blanche. M. Bellegarde est membre d’une gang de rue autochtone. M. Theodore et M. Gordon étaient des partenaires dans le cadre du trafic de drogue et M. Gordon fournissait de la drogue à la gang de rue autochtone. Les candidats jurés n’ont pas fait l’objet de récusations motivées ou d’autres examens préalables pour cause de préjugés raciaux. Lors de l’exposé au jury, aucune directive précise n’a été donnée concernant le besoin de mettre de côté les préjugés raciaux à l’égard des personnes autochtones. Le jury a déclaré que M. Theodore, M. Bellegarde et M. Gordon étaient coupables de meurtre au premier degré, et que M. Theodore et M. Bellegarde étaient coupables d’indignité envers les restes humains du trafiquant de drogue. La Cour d’appel a rejeté leurs appels.</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2 mars 2018</w:t>
            </w:r>
          </w:p>
          <w:p w:rsidR="00E70281" w:rsidRPr="00B10752" w:rsidRDefault="00E70281" w:rsidP="0074582E">
            <w:pPr>
              <w:jc w:val="both"/>
              <w:rPr>
                <w:sz w:val="20"/>
                <w:lang w:val="fr-CA"/>
              </w:rPr>
            </w:pPr>
            <w:r w:rsidRPr="00B10752">
              <w:rPr>
                <w:sz w:val="20"/>
                <w:lang w:val="fr-CA"/>
              </w:rPr>
              <w:t xml:space="preserve">Cour du Banc de la Reine de la Saskatchewan </w:t>
            </w:r>
          </w:p>
          <w:p w:rsidR="00E70281" w:rsidRPr="00B10752" w:rsidRDefault="00E70281" w:rsidP="0074582E">
            <w:pPr>
              <w:jc w:val="both"/>
              <w:rPr>
                <w:sz w:val="20"/>
                <w:lang w:val="fr-CA"/>
              </w:rPr>
            </w:pPr>
            <w:r w:rsidRPr="00B10752">
              <w:rPr>
                <w:sz w:val="20"/>
                <w:lang w:val="fr-CA"/>
              </w:rPr>
              <w:t>(juge Dawson) (non publié)</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Les déclarations de culpabilité de meurtre au premier degré et d’indignité envers des restes humains sont prononcées par le jury.</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24 novembre 2020</w:t>
            </w:r>
          </w:p>
          <w:p w:rsidR="00E70281" w:rsidRPr="00B10752" w:rsidRDefault="00E70281" w:rsidP="0074582E">
            <w:pPr>
              <w:jc w:val="both"/>
              <w:rPr>
                <w:sz w:val="20"/>
                <w:lang w:val="fr-CA"/>
              </w:rPr>
            </w:pPr>
            <w:r w:rsidRPr="00B10752">
              <w:rPr>
                <w:sz w:val="20"/>
                <w:lang w:val="fr-CA"/>
              </w:rPr>
              <w:t>Cour d’appel de la Saskatchewan</w:t>
            </w:r>
          </w:p>
          <w:p w:rsidR="00E70281" w:rsidRPr="00B10752" w:rsidRDefault="00E70281" w:rsidP="0074582E">
            <w:pPr>
              <w:jc w:val="both"/>
              <w:rPr>
                <w:sz w:val="20"/>
                <w:lang w:val="fr-CA"/>
              </w:rPr>
            </w:pPr>
            <w:r w:rsidRPr="00B10752">
              <w:rPr>
                <w:sz w:val="20"/>
                <w:lang w:val="fr-CA"/>
              </w:rPr>
              <w:t>(juges Kalmakoff, Leurer, Tholl)</w:t>
            </w:r>
          </w:p>
          <w:p w:rsidR="00E70281" w:rsidRPr="00B10752" w:rsidRDefault="00B10752" w:rsidP="0074582E">
            <w:pPr>
              <w:jc w:val="both"/>
              <w:rPr>
                <w:sz w:val="20"/>
                <w:lang w:val="fr-CA"/>
              </w:rPr>
            </w:pPr>
            <w:hyperlink r:id="rId32" w:history="1">
              <w:r w:rsidR="00E70281" w:rsidRPr="00B10752">
                <w:rPr>
                  <w:rStyle w:val="Hyperlink"/>
                  <w:sz w:val="20"/>
                  <w:lang w:val="fr-CA"/>
                </w:rPr>
                <w:t>2020 SKCA 131</w:t>
              </w:r>
            </w:hyperlink>
            <w:r w:rsidR="00E70281" w:rsidRPr="00B10752">
              <w:rPr>
                <w:sz w:val="20"/>
                <w:lang w:val="fr-CA"/>
              </w:rPr>
              <w:t>; CACR3084, CACR3086</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Les appels sont rejetés.</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25 janvier 2021</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visant à déposer une seule demande d’autorisation d’appel et la demande d’autorisation d’appel sont déposées.</w:t>
            </w: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46"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lastRenderedPageBreak/>
              <w:t>39550</w:t>
            </w:r>
          </w:p>
        </w:tc>
        <w:tc>
          <w:tcPr>
            <w:tcW w:w="4457" w:type="pct"/>
            <w:gridSpan w:val="3"/>
          </w:tcPr>
          <w:p w:rsidR="00E70281" w:rsidRPr="00B10752" w:rsidRDefault="00EA38C0" w:rsidP="0074582E">
            <w:pPr>
              <w:pStyle w:val="SCCLsocParty"/>
              <w:jc w:val="both"/>
              <w:rPr>
                <w:b/>
                <w:sz w:val="20"/>
                <w:szCs w:val="20"/>
                <w:lang w:val="en-US"/>
              </w:rPr>
            </w:pPr>
            <w:r w:rsidRPr="00B10752">
              <w:rPr>
                <w:b/>
                <w:sz w:val="20"/>
                <w:szCs w:val="20"/>
                <w:lang w:val="en-US"/>
              </w:rPr>
              <w:t>Vinh Phat Steven Dong (a.k.a Steven Dong), Maijan Holdings Inc. and Bliip Box Inc.</w:t>
            </w:r>
            <w:r w:rsidR="00E70281" w:rsidRPr="00B10752">
              <w:rPr>
                <w:b/>
                <w:sz w:val="20"/>
                <w:szCs w:val="20"/>
                <w:lang w:val="en-US"/>
              </w:rPr>
              <w:t xml:space="preserve"> v. </w:t>
            </w:r>
            <w:r w:rsidRPr="00B10752">
              <w:rPr>
                <w:b/>
                <w:sz w:val="20"/>
                <w:szCs w:val="20"/>
                <w:lang w:val="en-US"/>
              </w:rPr>
              <w:t>Royal Pacific Real Estate Group Ltd. and Royal Pacific Realty (Kingsway) Ltd.</w:t>
            </w:r>
          </w:p>
          <w:p w:rsidR="00E70281" w:rsidRPr="00B10752" w:rsidRDefault="00E70281" w:rsidP="0074582E">
            <w:pPr>
              <w:jc w:val="both"/>
              <w:rPr>
                <w:sz w:val="20"/>
              </w:rPr>
            </w:pPr>
            <w:r w:rsidRPr="00B10752">
              <w:rPr>
                <w:sz w:val="20"/>
              </w:rPr>
              <w:t>(B.C.) (Civil) (By Leave)</w:t>
            </w:r>
          </w:p>
        </w:tc>
      </w:tr>
      <w:tr w:rsidR="00E70281" w:rsidRPr="00B10752" w:rsidTr="0074582E">
        <w:tc>
          <w:tcPr>
            <w:tcW w:w="5000" w:type="pct"/>
            <w:gridSpan w:val="4"/>
          </w:tcPr>
          <w:p w:rsidR="00EA38C0" w:rsidRPr="00B10752" w:rsidRDefault="00EA38C0" w:rsidP="00EA38C0">
            <w:pPr>
              <w:jc w:val="both"/>
              <w:rPr>
                <w:sz w:val="20"/>
                <w:szCs w:val="20"/>
              </w:rPr>
            </w:pPr>
            <w:r w:rsidRPr="00B10752">
              <w:rPr>
                <w:sz w:val="20"/>
                <w:szCs w:val="20"/>
              </w:rPr>
              <w:t>The application for leave to appeal from the judgment of the Court of Appeal for British Columbia (Vancouver), Number CA45538, 2020 BCCA 323, dated November 20, 2020 is dismissed with costs.</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Intellectual property — Trademarks — Torts — Passing off — What is the proper approach to determining the misrepresentation component of the tort of passing off and should damages be presumed — Where a contractual relationship authorizes use of a trademark, should the contract be construed in favour of the trademark holder or the authorized user — Should online social media platforms be held liable for the publications of their users — When a litigant is self</w:t>
            </w:r>
            <w:r w:rsidRPr="00B10752">
              <w:rPr>
                <w:sz w:val="20"/>
              </w:rPr>
              <w:noBreakHyphen/>
              <w:t>represented, are there additional protections necessary to prevent procedural injustices?</w:t>
            </w:r>
          </w:p>
        </w:tc>
      </w:tr>
      <w:tr w:rsidR="00E70281" w:rsidRPr="00B10752" w:rsidTr="0074582E">
        <w:tc>
          <w:tcPr>
            <w:tcW w:w="5000" w:type="pct"/>
            <w:gridSpan w:val="4"/>
          </w:tcPr>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pStyle w:val="scjnumber"/>
              <w:shd w:val="clear" w:color="auto" w:fill="FFFFFF"/>
              <w:spacing w:before="0" w:beforeAutospacing="0" w:after="0" w:afterAutospacing="0"/>
              <w:jc w:val="both"/>
              <w:rPr>
                <w:color w:val="000000"/>
                <w:sz w:val="20"/>
                <w:szCs w:val="20"/>
              </w:rPr>
            </w:pPr>
            <w:r w:rsidRPr="00B10752">
              <w:rPr>
                <w:color w:val="000000"/>
                <w:sz w:val="20"/>
                <w:szCs w:val="20"/>
              </w:rPr>
              <w:t>Royal Pacific Real Estate Group Ltd. is the proprietor of a registered trade</w:t>
            </w:r>
            <w:r w:rsidRPr="00B10752">
              <w:rPr>
                <w:color w:val="000000"/>
                <w:sz w:val="20"/>
                <w:szCs w:val="20"/>
              </w:rPr>
              <w:noBreakHyphen/>
              <w:t xml:space="preserve">mark in Canada. Together with Royal Pacific Realty (Kingsway) Ltd., the entities are part of a group of companies in the business of real estate sales. </w:t>
            </w:r>
            <w:r w:rsidRPr="00B10752">
              <w:rPr>
                <w:color w:val="000000"/>
                <w:sz w:val="20"/>
                <w:szCs w:val="20"/>
                <w:shd w:val="clear" w:color="auto" w:fill="FFFFFF"/>
              </w:rPr>
              <w:t xml:space="preserve">Steven Dong was licensed to act as a real estate representative with Royal Pacific Kingsway from 2012 to 2013. He owns Steven Real Estate Developments, Maijan Holdings Inc., and Bliip Box Inc. </w:t>
            </w:r>
            <w:r w:rsidRPr="00B10752">
              <w:rPr>
                <w:color w:val="000000"/>
                <w:sz w:val="20"/>
                <w:szCs w:val="20"/>
              </w:rPr>
              <w:t>Mr. Dong was provided with an oral or unwritten license to use the marks at issue in the course of his employment. By the summer of 2012, Mr. Dong had created a website which combined information about Mr. Dong in his capacity as a sales representative of Royal Pacific Kingsway with a social media referral application called Bliip Box. The Real Estate Council of British Columbia (the “Council”) informed Mr. Dong that certain aspects of his website did not comply with its regulations. A manager of several Royal Pacific Group brokerages reviewed the website and sent an email to Mr. Dong outlining what he considered to be the deficiencies in the website. Mr. Dong solicited business for Bliip Box using Royal Pacific’s trading names and Royal Pacific’s contact information and he registered a new website, royalpacific.co. Royal Pacific expressed concern that customers would confuse Mr. Dong’s additional services as being endorsed by Royal Pacific. Mr. Dong refused to take down his website or cease using the Royal Pacific trade names. The Supreme Court of British Columbia found that Mr. Dong infringed Royal Pacific’s intellectual property and committed the tort of passing off. Mr. Dong’s appeal was unanimously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July 30, 2018</w:t>
            </w:r>
          </w:p>
          <w:p w:rsidR="00E70281" w:rsidRPr="00B10752" w:rsidRDefault="00E70281" w:rsidP="0074582E">
            <w:pPr>
              <w:jc w:val="both"/>
              <w:rPr>
                <w:sz w:val="20"/>
              </w:rPr>
            </w:pPr>
            <w:r w:rsidRPr="00B10752">
              <w:rPr>
                <w:sz w:val="20"/>
              </w:rPr>
              <w:t>Supreme Court of British Columbia</w:t>
            </w:r>
          </w:p>
          <w:p w:rsidR="00E70281" w:rsidRPr="00B10752" w:rsidRDefault="00E70281" w:rsidP="0074582E">
            <w:pPr>
              <w:jc w:val="both"/>
              <w:rPr>
                <w:sz w:val="20"/>
              </w:rPr>
            </w:pPr>
            <w:r w:rsidRPr="00B10752">
              <w:rPr>
                <w:sz w:val="20"/>
              </w:rPr>
              <w:t>(Sewell J.)</w:t>
            </w:r>
          </w:p>
          <w:p w:rsidR="00E70281" w:rsidRPr="00B10752" w:rsidRDefault="00B10752" w:rsidP="0074582E">
            <w:pPr>
              <w:jc w:val="both"/>
              <w:rPr>
                <w:sz w:val="20"/>
              </w:rPr>
            </w:pPr>
            <w:hyperlink r:id="rId33" w:history="1">
              <w:r w:rsidR="00E70281" w:rsidRPr="00B10752">
                <w:rPr>
                  <w:rStyle w:val="Hyperlink"/>
                  <w:sz w:val="20"/>
                </w:rPr>
                <w:t>2018 BCSC 1272</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Finding that Royal Pacific trademark was infringed and tort of passing off established; counterclaim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November 20, 2020</w:t>
            </w:r>
          </w:p>
          <w:p w:rsidR="00E70281" w:rsidRPr="00B10752" w:rsidRDefault="00E70281" w:rsidP="0074582E">
            <w:pPr>
              <w:jc w:val="both"/>
              <w:rPr>
                <w:sz w:val="20"/>
              </w:rPr>
            </w:pPr>
            <w:r w:rsidRPr="00B10752">
              <w:rPr>
                <w:sz w:val="20"/>
              </w:rPr>
              <w:t xml:space="preserve">Court of Appeal for British Columbia </w:t>
            </w:r>
          </w:p>
          <w:p w:rsidR="00E70281" w:rsidRPr="00B10752" w:rsidRDefault="00E70281" w:rsidP="0074582E">
            <w:pPr>
              <w:jc w:val="both"/>
              <w:rPr>
                <w:sz w:val="20"/>
              </w:rPr>
            </w:pPr>
            <w:r w:rsidRPr="00B10752">
              <w:rPr>
                <w:sz w:val="20"/>
              </w:rPr>
              <w:t>(Vancouver)</w:t>
            </w:r>
          </w:p>
          <w:p w:rsidR="00E70281" w:rsidRPr="00B10752" w:rsidRDefault="00E70281" w:rsidP="0074582E">
            <w:pPr>
              <w:jc w:val="both"/>
              <w:rPr>
                <w:sz w:val="20"/>
              </w:rPr>
            </w:pPr>
            <w:r w:rsidRPr="00B10752">
              <w:rPr>
                <w:sz w:val="20"/>
              </w:rPr>
              <w:t xml:space="preserve">(Saunders, Bennett, and </w:t>
            </w:r>
          </w:p>
          <w:p w:rsidR="00E70281" w:rsidRPr="00B10752" w:rsidRDefault="00E70281" w:rsidP="0074582E">
            <w:pPr>
              <w:jc w:val="both"/>
              <w:rPr>
                <w:sz w:val="20"/>
              </w:rPr>
            </w:pPr>
            <w:r w:rsidRPr="00B10752">
              <w:rPr>
                <w:sz w:val="20"/>
              </w:rPr>
              <w:t>DeWitt</w:t>
            </w:r>
            <w:r w:rsidRPr="00B10752">
              <w:rPr>
                <w:sz w:val="20"/>
              </w:rPr>
              <w:noBreakHyphen/>
              <w:t>Van Oosten JJ.A.)</w:t>
            </w:r>
          </w:p>
          <w:p w:rsidR="00E70281" w:rsidRPr="00B10752" w:rsidRDefault="00B10752" w:rsidP="0074582E">
            <w:pPr>
              <w:jc w:val="both"/>
              <w:rPr>
                <w:sz w:val="20"/>
              </w:rPr>
            </w:pPr>
            <w:hyperlink r:id="rId34" w:history="1">
              <w:r w:rsidR="00E70281" w:rsidRPr="00B10752">
                <w:rPr>
                  <w:rStyle w:val="Hyperlink"/>
                  <w:sz w:val="20"/>
                </w:rPr>
                <w:t>2020 BCCA 323</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Appeal dismissed.</w:t>
            </w:r>
          </w:p>
        </w:tc>
      </w:tr>
      <w:tr w:rsidR="00E70281" w:rsidRPr="00B10752" w:rsidTr="0074582E">
        <w:tc>
          <w:tcPr>
            <w:tcW w:w="2427" w:type="pct"/>
            <w:gridSpan w:val="2"/>
          </w:tcPr>
          <w:p w:rsidR="00E70281" w:rsidRPr="00B10752" w:rsidRDefault="00E70281" w:rsidP="0074582E">
            <w:pPr>
              <w:jc w:val="both"/>
              <w:rPr>
                <w:sz w:val="20"/>
              </w:rPr>
            </w:pPr>
            <w:r w:rsidRPr="00B10752">
              <w:rPr>
                <w:sz w:val="20"/>
              </w:rPr>
              <w:t>January 19, 2021</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47"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39550</w:t>
            </w:r>
          </w:p>
        </w:tc>
        <w:tc>
          <w:tcPr>
            <w:tcW w:w="4457" w:type="pct"/>
            <w:gridSpan w:val="3"/>
          </w:tcPr>
          <w:p w:rsidR="00E70281" w:rsidRPr="00B10752" w:rsidRDefault="00EA38C0" w:rsidP="0074582E">
            <w:pPr>
              <w:pStyle w:val="SCCLsocParty"/>
              <w:jc w:val="both"/>
              <w:rPr>
                <w:b/>
                <w:sz w:val="20"/>
                <w:szCs w:val="20"/>
                <w:lang w:val="en-US"/>
              </w:rPr>
            </w:pPr>
            <w:r w:rsidRPr="00B10752">
              <w:rPr>
                <w:b/>
                <w:sz w:val="20"/>
                <w:szCs w:val="20"/>
                <w:lang w:val="en-US"/>
              </w:rPr>
              <w:t>Vinh Phat Steven Dong (alias Steven Dong), Maijan Holdings Inc. et Bliip Box Inc.</w:t>
            </w:r>
            <w:r w:rsidR="00E70281" w:rsidRPr="00B10752">
              <w:rPr>
                <w:b/>
                <w:sz w:val="20"/>
                <w:szCs w:val="20"/>
                <w:lang w:val="en-US"/>
              </w:rPr>
              <w:t xml:space="preserve"> c. </w:t>
            </w:r>
            <w:r w:rsidRPr="00B10752">
              <w:rPr>
                <w:b/>
                <w:sz w:val="20"/>
                <w:szCs w:val="20"/>
                <w:lang w:val="en-US"/>
              </w:rPr>
              <w:t>Royal Pacific Real Estate Group Ltd. et Royal Pacific Realty (Kingsway) Ltd.</w:t>
            </w:r>
          </w:p>
          <w:p w:rsidR="00E70281" w:rsidRPr="00B10752" w:rsidRDefault="00E70281" w:rsidP="0074582E">
            <w:pPr>
              <w:jc w:val="both"/>
              <w:rPr>
                <w:sz w:val="20"/>
                <w:lang w:val="fr-CA"/>
              </w:rPr>
            </w:pPr>
            <w:r w:rsidRPr="00B10752">
              <w:rPr>
                <w:sz w:val="20"/>
                <w:lang w:val="fr-CA"/>
              </w:rPr>
              <w:t>(C.-B.) (Civile) (Sur autorisation)</w:t>
            </w:r>
          </w:p>
        </w:tc>
      </w:tr>
      <w:tr w:rsidR="00E70281" w:rsidRPr="00B10752" w:rsidTr="0074582E">
        <w:tc>
          <w:tcPr>
            <w:tcW w:w="5000" w:type="pct"/>
            <w:gridSpan w:val="4"/>
          </w:tcPr>
          <w:p w:rsidR="00E70281" w:rsidRPr="00B10752" w:rsidRDefault="00EA38C0" w:rsidP="0074582E">
            <w:pPr>
              <w:jc w:val="both"/>
              <w:rPr>
                <w:sz w:val="20"/>
                <w:szCs w:val="20"/>
                <w:lang w:val="fr-CA"/>
              </w:rPr>
            </w:pPr>
            <w:r w:rsidRPr="00B10752">
              <w:rPr>
                <w:sz w:val="20"/>
                <w:szCs w:val="20"/>
                <w:lang w:val="fr-CA"/>
              </w:rPr>
              <w:t>La demande d’autorisation d’appel de l’arrêt de la Cour d’appel de la Colombie-Britannique (Vancouver), numéro CA45538, 2020 BCCA 323, daté du 20 novembre 2020, est rejet</w:t>
            </w:r>
            <w:r w:rsidRPr="00B10752">
              <w:rPr>
                <w:rFonts w:cs="Times New Roman"/>
                <w:sz w:val="20"/>
                <w:szCs w:val="20"/>
                <w:lang w:val="fr-CA"/>
              </w:rPr>
              <w:t>é</w:t>
            </w:r>
            <w:r w:rsidRPr="00B10752">
              <w:rPr>
                <w:sz w:val="20"/>
                <w:szCs w:val="20"/>
                <w:lang w:val="fr-CA"/>
              </w:rPr>
              <w:t>e avec d</w:t>
            </w:r>
            <w:r w:rsidRPr="00B10752">
              <w:rPr>
                <w:rFonts w:cs="Times New Roman"/>
                <w:sz w:val="20"/>
                <w:szCs w:val="20"/>
                <w:lang w:val="fr-CA"/>
              </w:rPr>
              <w:t>é</w:t>
            </w:r>
            <w:r w:rsidRPr="00B10752">
              <w:rPr>
                <w:sz w:val="20"/>
                <w:szCs w:val="20"/>
                <w:lang w:val="fr-CA"/>
              </w:rPr>
              <w:t>pens.</w:t>
            </w:r>
          </w:p>
          <w:p w:rsidR="00EA38C0" w:rsidRPr="00B10752" w:rsidRDefault="00EA38C0"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lastRenderedPageBreak/>
              <w:t>Propriété intellectuelle — Marques de commerce — Responsabilité délictuelle — Commercialisation trompeuse — Dans le cadre du délit de commercialisation trompeuse, quelle approche convient</w:t>
            </w:r>
            <w:r w:rsidRPr="00B10752">
              <w:rPr>
                <w:sz w:val="20"/>
                <w:lang w:val="fr-CA"/>
              </w:rPr>
              <w:noBreakHyphen/>
              <w:t>il d’adopter afin de déterminer l’élément constitutif de la fausse déclaration, et devrait</w:t>
            </w:r>
            <w:r w:rsidRPr="00B10752">
              <w:rPr>
                <w:sz w:val="20"/>
                <w:lang w:val="fr-CA"/>
              </w:rPr>
              <w:noBreakHyphen/>
              <w:t>il être présumé qu’il y a eu préjudice? — Lorsqu’une relation contractuelle autorise l’utilisation d’une marque de commerce, le contrat devrait</w:t>
            </w:r>
            <w:r w:rsidRPr="00B10752">
              <w:rPr>
                <w:sz w:val="20"/>
                <w:lang w:val="fr-CA"/>
              </w:rPr>
              <w:noBreakHyphen/>
              <w:t>il être interprété en faveur du détenteur de la marque de commerce ou de l’utilisateur autorisé? — Les plateformes de médias sociaux en ligne devraient</w:t>
            </w:r>
            <w:r w:rsidRPr="00B10752">
              <w:rPr>
                <w:sz w:val="20"/>
                <w:lang w:val="fr-CA"/>
              </w:rPr>
              <w:noBreakHyphen/>
              <w:t>elles être tenues responsables des publications de leurs utilisateurs? — Lorsqu’un plaideur n’est pas représenté par un avocat, des protections supplémentaires s’imposent</w:t>
            </w:r>
            <w:r w:rsidRPr="00B10752">
              <w:rPr>
                <w:sz w:val="20"/>
                <w:lang w:val="fr-CA"/>
              </w:rPr>
              <w:noBreakHyphen/>
              <w:t>elles afin de prévenir des injustices sur le plan procédural?</w:t>
            </w:r>
          </w:p>
        </w:tc>
      </w:tr>
      <w:tr w:rsidR="00E70281" w:rsidRPr="00B10752" w:rsidTr="0074582E">
        <w:tc>
          <w:tcPr>
            <w:tcW w:w="5000" w:type="pct"/>
            <w:gridSpan w:val="4"/>
          </w:tcPr>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pStyle w:val="scjnumber"/>
              <w:shd w:val="clear" w:color="auto" w:fill="FFFFFF"/>
              <w:spacing w:before="0" w:beforeAutospacing="0" w:after="0" w:afterAutospacing="0"/>
              <w:jc w:val="both"/>
              <w:rPr>
                <w:color w:val="000000"/>
                <w:sz w:val="20"/>
                <w:szCs w:val="20"/>
                <w:lang w:val="fr-CA"/>
              </w:rPr>
            </w:pPr>
            <w:r w:rsidRPr="00B10752">
              <w:rPr>
                <w:color w:val="000000"/>
                <w:sz w:val="20"/>
                <w:szCs w:val="20"/>
                <w:lang w:val="fr-CA"/>
              </w:rPr>
              <w:t xml:space="preserve">Royal Pacific Real Estate Group Ltd. est le propriétaire d’une marque de commerce enregistrée au Canada. Conjointement avec Royal Pacific Realty (Kingsway) Ltd., ces entités font partie d’un groupe de sociétés faisant des affaires dans le cadre de ventes immobilières. </w:t>
            </w:r>
            <w:r w:rsidRPr="00B10752">
              <w:rPr>
                <w:color w:val="000000"/>
                <w:sz w:val="20"/>
                <w:szCs w:val="20"/>
                <w:shd w:val="clear" w:color="auto" w:fill="FFFFFF"/>
                <w:lang w:val="fr-CA"/>
              </w:rPr>
              <w:t xml:space="preserve">Steven Dong était autorisé à agir en tant que représentant immobilier auprès de Royal Pacific Kingsway, de 2012 à 2013. Il est le propriétaire de Steven Real Estate Developments, Maijan Holdings Inc., et Bliip Box Inc. </w:t>
            </w:r>
            <w:r w:rsidRPr="00B10752">
              <w:rPr>
                <w:color w:val="000000"/>
                <w:sz w:val="20"/>
                <w:szCs w:val="20"/>
                <w:lang w:val="fr-CA"/>
              </w:rPr>
              <w:t>M. Dong s’est vu accorder une licence verbale ou non écrite l’autorisant à utiliser les marques de commerce en litige dans le cadre de son emploi. Dès l’été de 2012, M. Dong avait créé un site Web qui regroupait des renseignements à son sujet en qualité de représentant commercial de Royal Pacific Kingsway avec une application d’acheminement de clientèle sur les réseaux sociaux appelée Bliip Box. Le Real Estate Council of British Columbia a avisé M. Dong du fait que certains aspects de son site Web ne respectaient pas ses règlements. Un gestionnaire auprès de plusieurs courtages immobiliers de Royal Pacific Group a passé le site Web en revue et a écrit à M. Dong par courriel lui indiquant quelles étaient, selon lui, les lacunes de son site Web. M. Dong sollicitait des clients pour Bliip Box en utilisant les noms commerciaux</w:t>
            </w:r>
            <w:r w:rsidRPr="00B10752">
              <w:rPr>
                <w:rFonts w:eastAsiaTheme="minorHAnsi" w:cstheme="minorBidi"/>
                <w:color w:val="000000"/>
                <w:sz w:val="20"/>
                <w:szCs w:val="20"/>
                <w:lang w:val="fr-CA"/>
              </w:rPr>
              <w:t xml:space="preserve"> </w:t>
            </w:r>
            <w:r w:rsidRPr="00B10752">
              <w:rPr>
                <w:color w:val="000000"/>
                <w:sz w:val="20"/>
                <w:szCs w:val="20"/>
                <w:lang w:val="fr-CA"/>
              </w:rPr>
              <w:t>et les coordonnées de Royal Pacific et a enregistré un nouveau site Web, royalpacific.co. Royal Pacific a dit craindre que la clientèle confonde les services additionnels offerts par M. Dong comme ayant été avalisés par Royal Pacific. M. Dong a refusé de supprimer son site Web ou d’arrêter d’utiliser les noms commerciaux de Royal Pacific. La Cour suprême de la Colombie-Britannique a conclu que M. Dong avait violé les droits en matière de propriété intellectuelle de Royal Pacific et commis le délit de commercialisation trompeuse. L’appel de M. Dong a été rejeté à l’unanimité.</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30 juillet 2018</w:t>
            </w:r>
          </w:p>
          <w:p w:rsidR="00E70281" w:rsidRPr="00B10752" w:rsidRDefault="00E70281" w:rsidP="0074582E">
            <w:pPr>
              <w:jc w:val="both"/>
              <w:rPr>
                <w:sz w:val="20"/>
                <w:lang w:val="fr-CA"/>
              </w:rPr>
            </w:pPr>
            <w:r w:rsidRPr="00B10752">
              <w:rPr>
                <w:sz w:val="20"/>
                <w:lang w:val="fr-CA"/>
              </w:rPr>
              <w:t>Cour suprême de la Colombie</w:t>
            </w:r>
            <w:r w:rsidRPr="00B10752">
              <w:rPr>
                <w:sz w:val="20"/>
                <w:lang w:val="fr-CA"/>
              </w:rPr>
              <w:noBreakHyphen/>
              <w:t>Britannique (juge Sewell)</w:t>
            </w:r>
          </w:p>
          <w:p w:rsidR="00E70281" w:rsidRPr="00B10752" w:rsidRDefault="00B10752" w:rsidP="0074582E">
            <w:pPr>
              <w:jc w:val="both"/>
              <w:rPr>
                <w:sz w:val="20"/>
                <w:lang w:val="fr-CA"/>
              </w:rPr>
            </w:pPr>
            <w:hyperlink r:id="rId35" w:history="1">
              <w:r w:rsidR="00E70281" w:rsidRPr="00B10752">
                <w:rPr>
                  <w:rStyle w:val="Hyperlink"/>
                  <w:sz w:val="20"/>
                  <w:lang w:val="fr-CA"/>
                </w:rPr>
                <w:t>2018 BCSC 1272</w:t>
              </w:r>
            </w:hyperlink>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Il est conclu que la marque de commerce de Royal Pacific a été violée et que le délit de commercialisation trompeuse a été établi; la demande reconventionnelle est rejetée.</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20 novembre 2020</w:t>
            </w:r>
          </w:p>
          <w:p w:rsidR="00E70281" w:rsidRPr="00B10752" w:rsidRDefault="00E70281" w:rsidP="0074582E">
            <w:pPr>
              <w:jc w:val="both"/>
              <w:rPr>
                <w:sz w:val="20"/>
                <w:lang w:val="fr-CA"/>
              </w:rPr>
            </w:pPr>
            <w:r w:rsidRPr="00B10752">
              <w:rPr>
                <w:sz w:val="20"/>
                <w:lang w:val="fr-CA"/>
              </w:rPr>
              <w:t>Cour d’appel de la Colombie</w:t>
            </w:r>
            <w:r w:rsidRPr="00B10752">
              <w:rPr>
                <w:sz w:val="20"/>
                <w:lang w:val="fr-CA"/>
              </w:rPr>
              <w:noBreakHyphen/>
              <w:t>Britannique (Vancouver)</w:t>
            </w:r>
          </w:p>
          <w:p w:rsidR="00E70281" w:rsidRPr="00B10752" w:rsidRDefault="00E70281" w:rsidP="0074582E">
            <w:pPr>
              <w:jc w:val="both"/>
              <w:rPr>
                <w:sz w:val="20"/>
                <w:lang w:val="fr-CA"/>
              </w:rPr>
            </w:pPr>
            <w:r w:rsidRPr="00B10752">
              <w:rPr>
                <w:sz w:val="20"/>
                <w:lang w:val="fr-CA"/>
              </w:rPr>
              <w:t xml:space="preserve">(juges Saunders, Bennett et </w:t>
            </w:r>
          </w:p>
          <w:p w:rsidR="00E70281" w:rsidRPr="00B10752" w:rsidRDefault="00E70281" w:rsidP="0074582E">
            <w:pPr>
              <w:jc w:val="both"/>
              <w:rPr>
                <w:sz w:val="20"/>
                <w:lang w:val="fr-CA"/>
              </w:rPr>
            </w:pPr>
            <w:r w:rsidRPr="00B10752">
              <w:rPr>
                <w:sz w:val="20"/>
                <w:lang w:val="fr-CA"/>
              </w:rPr>
              <w:t>DeWitt</w:t>
            </w:r>
            <w:r w:rsidRPr="00B10752">
              <w:rPr>
                <w:sz w:val="20"/>
                <w:lang w:val="fr-CA"/>
              </w:rPr>
              <w:noBreakHyphen/>
              <w:t>Van Oosten)</w:t>
            </w:r>
          </w:p>
          <w:p w:rsidR="00E70281" w:rsidRPr="00B10752" w:rsidRDefault="00B10752" w:rsidP="0074582E">
            <w:pPr>
              <w:jc w:val="both"/>
              <w:rPr>
                <w:sz w:val="20"/>
                <w:lang w:val="fr-CA"/>
              </w:rPr>
            </w:pPr>
            <w:hyperlink r:id="rId36" w:history="1">
              <w:r w:rsidR="00E70281" w:rsidRPr="00B10752">
                <w:rPr>
                  <w:rStyle w:val="Hyperlink"/>
                  <w:sz w:val="20"/>
                  <w:lang w:val="fr-CA"/>
                </w:rPr>
                <w:t>2020 BCCA 323</w:t>
              </w:r>
            </w:hyperlink>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L’appel est rejeté.</w:t>
            </w: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19 janvier 2021</w:t>
            </w:r>
          </w:p>
          <w:p w:rsidR="00E70281" w:rsidRPr="00B10752" w:rsidRDefault="00E70281" w:rsidP="0074582E">
            <w:pPr>
              <w:jc w:val="both"/>
              <w:rPr>
                <w:sz w:val="20"/>
                <w:lang w:val="fr-CA"/>
              </w:rPr>
            </w:pPr>
            <w:r w:rsidRPr="00B10752">
              <w:rPr>
                <w:sz w:val="20"/>
                <w:lang w:val="fr-CA"/>
              </w:rPr>
              <w:t xml:space="preserve">Cour suprême du Canada </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d’appel est présentée.</w:t>
            </w:r>
          </w:p>
          <w:p w:rsidR="00E70281" w:rsidRPr="00B10752" w:rsidRDefault="00E70281" w:rsidP="0074582E">
            <w:pPr>
              <w:jc w:val="both"/>
              <w:rPr>
                <w:sz w:val="20"/>
                <w:lang w:val="fr-CA"/>
              </w:rPr>
            </w:pP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48"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39224</w:t>
            </w:r>
          </w:p>
        </w:tc>
        <w:tc>
          <w:tcPr>
            <w:tcW w:w="4457" w:type="pct"/>
          </w:tcPr>
          <w:p w:rsidR="00E70281" w:rsidRPr="00B10752" w:rsidRDefault="00E70281" w:rsidP="0074582E">
            <w:pPr>
              <w:pStyle w:val="SCCLsocParty"/>
              <w:jc w:val="both"/>
              <w:rPr>
                <w:b/>
                <w:sz w:val="20"/>
                <w:szCs w:val="20"/>
                <w:lang w:val="en-CA"/>
              </w:rPr>
            </w:pPr>
            <w:r w:rsidRPr="00B10752">
              <w:rPr>
                <w:b/>
                <w:sz w:val="20"/>
                <w:szCs w:val="20"/>
                <w:lang w:val="en-CA"/>
              </w:rPr>
              <w:t>Daniel Lorne Snooks v. Attorney General of Canada</w:t>
            </w:r>
            <w:r w:rsidR="00E91D43" w:rsidRPr="00B10752">
              <w:rPr>
                <w:b/>
                <w:sz w:val="20"/>
                <w:szCs w:val="20"/>
                <w:lang w:val="en-CA"/>
              </w:rPr>
              <w:t xml:space="preserve"> and</w:t>
            </w:r>
            <w:r w:rsidRPr="00B10752">
              <w:rPr>
                <w:b/>
                <w:sz w:val="20"/>
                <w:szCs w:val="20"/>
                <w:lang w:val="en-CA"/>
              </w:rPr>
              <w:t xml:space="preserve"> Linda Giordano, in her capacity as warden of the Special Handling Unit</w:t>
            </w:r>
          </w:p>
          <w:p w:rsidR="00E70281" w:rsidRPr="00B10752" w:rsidRDefault="00E70281" w:rsidP="0074582E">
            <w:pPr>
              <w:jc w:val="both"/>
              <w:rPr>
                <w:sz w:val="20"/>
              </w:rPr>
            </w:pPr>
            <w:r w:rsidRPr="00B10752">
              <w:rPr>
                <w:sz w:val="20"/>
              </w:rPr>
              <w:t>(Que.) (Civil) (By Leave)</w:t>
            </w:r>
          </w:p>
        </w:tc>
      </w:tr>
      <w:tr w:rsidR="00E70281" w:rsidRPr="00B10752" w:rsidTr="0074582E">
        <w:tc>
          <w:tcPr>
            <w:tcW w:w="5000" w:type="pct"/>
            <w:gridSpan w:val="2"/>
          </w:tcPr>
          <w:p w:rsidR="00E70281" w:rsidRPr="00B10752" w:rsidRDefault="00E91D43" w:rsidP="0074582E">
            <w:pPr>
              <w:jc w:val="both"/>
              <w:rPr>
                <w:sz w:val="20"/>
                <w:szCs w:val="20"/>
              </w:rPr>
            </w:pPr>
            <w:r w:rsidRPr="00B10752">
              <w:rPr>
                <w:sz w:val="20"/>
                <w:szCs w:val="20"/>
              </w:rPr>
              <w:t xml:space="preserve">The application for leave to appeal from the judgment of the </w:t>
            </w:r>
            <w:r w:rsidRPr="00B10752">
              <w:rPr>
                <w:sz w:val="20"/>
                <w:szCs w:val="20"/>
                <w:lang w:val="en-US"/>
              </w:rPr>
              <w:t>Court of Appeal of Quebec (Montréal)</w:t>
            </w:r>
            <w:r w:rsidRPr="00B10752">
              <w:rPr>
                <w:sz w:val="20"/>
                <w:szCs w:val="20"/>
              </w:rPr>
              <w:t xml:space="preserve">, Number </w:t>
            </w:r>
            <w:r w:rsidRPr="00B10752">
              <w:rPr>
                <w:sz w:val="20"/>
                <w:szCs w:val="20"/>
                <w:lang w:val="en-US"/>
              </w:rPr>
              <w:t>500-10-007092-198,</w:t>
            </w:r>
            <w:r w:rsidRPr="00B10752">
              <w:rPr>
                <w:sz w:val="20"/>
                <w:szCs w:val="20"/>
              </w:rPr>
              <w:t xml:space="preserve"> </w:t>
            </w:r>
            <w:r w:rsidRPr="00B10752">
              <w:rPr>
                <w:sz w:val="20"/>
                <w:szCs w:val="20"/>
                <w:lang w:val="en-US"/>
              </w:rPr>
              <w:t xml:space="preserve">2020 QCCA 586, </w:t>
            </w:r>
            <w:r w:rsidRPr="00B10752">
              <w:rPr>
                <w:sz w:val="20"/>
                <w:szCs w:val="20"/>
              </w:rPr>
              <w:t xml:space="preserve">dated </w:t>
            </w:r>
            <w:r w:rsidRPr="00B10752">
              <w:rPr>
                <w:sz w:val="20"/>
                <w:szCs w:val="20"/>
                <w:lang w:val="en-US"/>
              </w:rPr>
              <w:t>April 24, 2020,</w:t>
            </w:r>
            <w:r w:rsidRPr="00B10752">
              <w:rPr>
                <w:sz w:val="20"/>
                <w:szCs w:val="20"/>
              </w:rPr>
              <w:t xml:space="preserve"> is dismissed without costs.</w:t>
            </w:r>
          </w:p>
          <w:p w:rsidR="00E91D43" w:rsidRPr="00B10752" w:rsidRDefault="00E91D43" w:rsidP="0074582E">
            <w:pPr>
              <w:jc w:val="both"/>
              <w:rPr>
                <w:sz w:val="20"/>
              </w:rPr>
            </w:pPr>
          </w:p>
        </w:tc>
      </w:tr>
    </w:tbl>
    <w:p w:rsidR="00D90258" w:rsidRPr="00B10752" w:rsidRDefault="00D90258">
      <w:r w:rsidRPr="00B1075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5000" w:type="pct"/>
            <w:gridSpan w:val="3"/>
          </w:tcPr>
          <w:p w:rsidR="00E70281" w:rsidRPr="00B10752" w:rsidRDefault="00E70281" w:rsidP="0074582E">
            <w:pPr>
              <w:jc w:val="both"/>
              <w:rPr>
                <w:sz w:val="20"/>
              </w:rPr>
            </w:pPr>
            <w:r w:rsidRPr="00B10752">
              <w:rPr>
                <w:sz w:val="20"/>
              </w:rPr>
              <w:lastRenderedPageBreak/>
              <w:t xml:space="preserve">Administrative law — Prisons — Procedure — </w:t>
            </w:r>
            <w:r w:rsidRPr="00B10752">
              <w:rPr>
                <w:i/>
                <w:sz w:val="20"/>
              </w:rPr>
              <w:t xml:space="preserve">Habeas corpus </w:t>
            </w:r>
            <w:r w:rsidRPr="00B10752">
              <w:rPr>
                <w:sz w:val="20"/>
              </w:rPr>
              <w:t xml:space="preserve">— Involuntary transfer — Indigenous offenders — Whether Court of Appeal erred in finding that </w:t>
            </w:r>
            <w:r w:rsidRPr="00B10752">
              <w:rPr>
                <w:i/>
                <w:sz w:val="20"/>
              </w:rPr>
              <w:t xml:space="preserve">habeas corpus </w:t>
            </w:r>
            <w:r w:rsidRPr="00B10752">
              <w:rPr>
                <w:sz w:val="20"/>
              </w:rPr>
              <w:t xml:space="preserve">in prison context is civil remedy subject to </w:t>
            </w:r>
            <w:r w:rsidRPr="00B10752">
              <w:rPr>
                <w:i/>
                <w:sz w:val="20"/>
              </w:rPr>
              <w:t>Code of Civil Procedure</w:t>
            </w:r>
            <w:r w:rsidRPr="00B10752">
              <w:rPr>
                <w:sz w:val="20"/>
              </w:rPr>
              <w:t xml:space="preserve"> — Whether Court of Appeal erred in finding that applicant had filed his appeal out of time — Whether respondents discharged their duty to consider specific needs of Indigenous offenders in making decisions that concern them — Whether meaning given by application judge to term “only reasonable alternative” used in Commissioner’s Directive 708 is consistent with current state of law.</w:t>
            </w:r>
          </w:p>
          <w:p w:rsidR="00E70281" w:rsidRPr="00B10752" w:rsidRDefault="00E70281" w:rsidP="0074582E">
            <w:pPr>
              <w:jc w:val="both"/>
              <w:rPr>
                <w:sz w:val="20"/>
              </w:rPr>
            </w:pPr>
          </w:p>
        </w:tc>
      </w:tr>
      <w:tr w:rsidR="00E70281" w:rsidRPr="00B10752" w:rsidTr="0074582E">
        <w:tc>
          <w:tcPr>
            <w:tcW w:w="5000" w:type="pct"/>
            <w:gridSpan w:val="3"/>
          </w:tcPr>
          <w:p w:rsidR="00E70281" w:rsidRPr="00B10752" w:rsidRDefault="00E70281" w:rsidP="0074582E">
            <w:pPr>
              <w:jc w:val="both"/>
              <w:rPr>
                <w:sz w:val="20"/>
              </w:rPr>
            </w:pPr>
            <w:r w:rsidRPr="00B10752">
              <w:rPr>
                <w:sz w:val="20"/>
              </w:rPr>
              <w:t>In 2018, the applicant, who is an Indigenous person, was serving a sentence at a medium</w:t>
            </w:r>
            <w:r w:rsidRPr="00B10752">
              <w:rPr>
                <w:sz w:val="20"/>
              </w:rPr>
              <w:noBreakHyphen/>
              <w:t>security penitentiary. After the applicant was charged with aggravated assault against a fellow inmate, his case management team recommended an increase in his security classification and a transfer to a maximum</w:t>
            </w:r>
            <w:r w:rsidRPr="00B10752">
              <w:rPr>
                <w:sz w:val="20"/>
              </w:rPr>
              <w:noBreakHyphen/>
              <w:t>security penitentiary. He was transferred first to a maximum</w:t>
            </w:r>
            <w:r w:rsidRPr="00B10752">
              <w:rPr>
                <w:sz w:val="20"/>
              </w:rPr>
              <w:noBreakHyphen/>
              <w:t xml:space="preserve">security penitentiary and then to the Special Handling Unit (“SHU”). The applicant filed an application for </w:t>
            </w:r>
            <w:r w:rsidRPr="00B10752">
              <w:rPr>
                <w:i/>
                <w:sz w:val="20"/>
              </w:rPr>
              <w:t>habeas corpus</w:t>
            </w:r>
            <w:r w:rsidRPr="00B10752">
              <w:rPr>
                <w:sz w:val="20"/>
              </w:rPr>
              <w:t xml:space="preserve"> in the Criminal Division of the Superior Court, alleging that his transfer to the SHU was an unlawful deprivation of his liberty. The Superior Court dismissed the application for </w:t>
            </w:r>
            <w:r w:rsidRPr="00B10752">
              <w:rPr>
                <w:i/>
                <w:sz w:val="20"/>
              </w:rPr>
              <w:t>habeas corpus</w:t>
            </w:r>
            <w:r w:rsidRPr="00B10752">
              <w:rPr>
                <w:sz w:val="20"/>
              </w:rPr>
              <w:t xml:space="preserve">. The Court of Appeal found that the transfer decision was an administrative decision and therefore civil in nature and that the provisions of the </w:t>
            </w:r>
            <w:r w:rsidRPr="00B10752">
              <w:rPr>
                <w:i/>
                <w:sz w:val="20"/>
              </w:rPr>
              <w:t>Code of Civil Procedure</w:t>
            </w:r>
            <w:r w:rsidRPr="00B10752">
              <w:rPr>
                <w:sz w:val="20"/>
              </w:rPr>
              <w:t xml:space="preserve"> (“</w:t>
            </w:r>
            <w:r w:rsidRPr="00B10752">
              <w:rPr>
                <w:i/>
                <w:sz w:val="20"/>
              </w:rPr>
              <w:t>C.C.P.</w:t>
            </w:r>
            <w:r w:rsidRPr="00B10752">
              <w:rPr>
                <w:sz w:val="20"/>
              </w:rPr>
              <w:t>”) applied in this case. Since the applicant had not complied with the 10</w:t>
            </w:r>
            <w:r w:rsidRPr="00B10752">
              <w:rPr>
                <w:sz w:val="20"/>
              </w:rPr>
              <w:noBreakHyphen/>
              <w:t xml:space="preserve">day time limit for appealing set out in art. 361 </w:t>
            </w:r>
            <w:r w:rsidRPr="00B10752">
              <w:rPr>
                <w:i/>
                <w:sz w:val="20"/>
              </w:rPr>
              <w:t>C.C.P.</w:t>
            </w:r>
            <w:r w:rsidRPr="00B10752">
              <w:rPr>
                <w:sz w:val="20"/>
              </w:rPr>
              <w:t>, the Court of Appeal found and declared that the applicant’s right to appeal had been forfeited and dismissed the appeal.</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May 8, 2019</w:t>
            </w:r>
          </w:p>
          <w:p w:rsidR="00E70281" w:rsidRPr="00B10752" w:rsidRDefault="00E70281" w:rsidP="0074582E">
            <w:pPr>
              <w:jc w:val="both"/>
              <w:rPr>
                <w:sz w:val="20"/>
              </w:rPr>
            </w:pPr>
            <w:r w:rsidRPr="00B10752">
              <w:rPr>
                <w:sz w:val="20"/>
              </w:rPr>
              <w:t>Quebec Superior Court</w:t>
            </w:r>
          </w:p>
          <w:p w:rsidR="00E70281" w:rsidRPr="00B10752" w:rsidRDefault="00E70281" w:rsidP="0074582E">
            <w:pPr>
              <w:jc w:val="both"/>
              <w:rPr>
                <w:sz w:val="20"/>
              </w:rPr>
            </w:pPr>
            <w:r w:rsidRPr="00B10752">
              <w:rPr>
                <w:sz w:val="20"/>
              </w:rPr>
              <w:t>(Lachance J.)</w:t>
            </w:r>
          </w:p>
          <w:p w:rsidR="00E70281" w:rsidRPr="00B10752" w:rsidRDefault="00B10752" w:rsidP="0074582E">
            <w:pPr>
              <w:jc w:val="both"/>
              <w:rPr>
                <w:sz w:val="20"/>
              </w:rPr>
            </w:pPr>
            <w:hyperlink r:id="rId37" w:history="1">
              <w:r w:rsidR="00E70281" w:rsidRPr="00B10752">
                <w:rPr>
                  <w:rStyle w:val="Hyperlink"/>
                  <w:sz w:val="20"/>
                </w:rPr>
                <w:t>2019 QCCS 1766</w:t>
              </w:r>
            </w:hyperlink>
          </w:p>
          <w:p w:rsidR="00E70281" w:rsidRPr="00B10752" w:rsidRDefault="00E70281" w:rsidP="0074582E">
            <w:pPr>
              <w:jc w:val="both"/>
              <w:rPr>
                <w:sz w:val="20"/>
              </w:rPr>
            </w:pPr>
            <w:r w:rsidRPr="00B10752">
              <w:rPr>
                <w:sz w:val="20"/>
              </w:rPr>
              <w:t xml:space="preserve"> </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 xml:space="preserve">Application for writ of </w:t>
            </w:r>
            <w:r w:rsidRPr="00B10752">
              <w:rPr>
                <w:i/>
                <w:sz w:val="20"/>
              </w:rPr>
              <w:t xml:space="preserve">habeas corpus </w:t>
            </w:r>
            <w:r w:rsidRPr="00B10752">
              <w:rPr>
                <w:sz w:val="20"/>
              </w:rPr>
              <w:t xml:space="preserve">with </w:t>
            </w:r>
            <w:r w:rsidRPr="00B10752">
              <w:rPr>
                <w:i/>
                <w:sz w:val="20"/>
              </w:rPr>
              <w:t xml:space="preserve">certiorari </w:t>
            </w:r>
            <w:r w:rsidRPr="00B10752">
              <w:rPr>
                <w:sz w:val="20"/>
              </w:rPr>
              <w:t>in aid dismissed</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April 24, 2020</w:t>
            </w:r>
          </w:p>
          <w:p w:rsidR="00E70281" w:rsidRPr="00B10752" w:rsidRDefault="00E70281" w:rsidP="0074582E">
            <w:pPr>
              <w:jc w:val="both"/>
              <w:rPr>
                <w:sz w:val="20"/>
              </w:rPr>
            </w:pPr>
            <w:r w:rsidRPr="00B10752">
              <w:rPr>
                <w:sz w:val="20"/>
              </w:rPr>
              <w:t>Quebec Court of Appeal (Montréal)</w:t>
            </w:r>
          </w:p>
          <w:p w:rsidR="00E70281" w:rsidRPr="00B10752" w:rsidRDefault="00E70281" w:rsidP="0074582E">
            <w:pPr>
              <w:jc w:val="both"/>
              <w:rPr>
                <w:sz w:val="20"/>
                <w:lang w:val="fr-CA"/>
              </w:rPr>
            </w:pPr>
            <w:r w:rsidRPr="00B10752">
              <w:rPr>
                <w:sz w:val="20"/>
                <w:lang w:val="fr-CA"/>
              </w:rPr>
              <w:t>(Morissette, Rancourt and Beaupré JJ.A.)</w:t>
            </w:r>
          </w:p>
          <w:p w:rsidR="00E70281" w:rsidRPr="00B10752" w:rsidRDefault="00B10752" w:rsidP="0074582E">
            <w:pPr>
              <w:jc w:val="both"/>
              <w:rPr>
                <w:sz w:val="20"/>
              </w:rPr>
            </w:pPr>
            <w:hyperlink r:id="rId38" w:history="1">
              <w:r w:rsidR="00E70281" w:rsidRPr="00B10752">
                <w:rPr>
                  <w:rStyle w:val="Hyperlink"/>
                  <w:sz w:val="20"/>
                </w:rPr>
                <w:t>2020 QCCA 586</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Applicant’s right to appeal declared to be forfeited and appeal dismissed</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June 23, 2020</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49"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39224</w:t>
            </w:r>
          </w:p>
        </w:tc>
        <w:tc>
          <w:tcPr>
            <w:tcW w:w="4457" w:type="pct"/>
          </w:tcPr>
          <w:p w:rsidR="00E70281" w:rsidRPr="00B10752" w:rsidRDefault="00E70281" w:rsidP="0074582E">
            <w:pPr>
              <w:pStyle w:val="SCCLsocParty"/>
              <w:jc w:val="both"/>
              <w:rPr>
                <w:b/>
                <w:sz w:val="20"/>
                <w:szCs w:val="20"/>
              </w:rPr>
            </w:pPr>
            <w:r w:rsidRPr="00B10752">
              <w:rPr>
                <w:b/>
                <w:sz w:val="20"/>
                <w:szCs w:val="20"/>
              </w:rPr>
              <w:t>Daniel Lorne Snooks c. Procureur général du Canada</w:t>
            </w:r>
            <w:r w:rsidR="00E91D43" w:rsidRPr="00B10752">
              <w:rPr>
                <w:b/>
                <w:sz w:val="20"/>
                <w:szCs w:val="20"/>
              </w:rPr>
              <w:t xml:space="preserve"> et</w:t>
            </w:r>
            <w:r w:rsidRPr="00B10752">
              <w:rPr>
                <w:b/>
                <w:sz w:val="20"/>
                <w:szCs w:val="20"/>
              </w:rPr>
              <w:t xml:space="preserve"> Linda Giordano, en sa qualité de directrice de l’Unité spéciale de détention</w:t>
            </w:r>
          </w:p>
          <w:p w:rsidR="00E70281" w:rsidRPr="00B10752" w:rsidRDefault="00E70281" w:rsidP="0074582E">
            <w:pPr>
              <w:jc w:val="both"/>
              <w:rPr>
                <w:sz w:val="20"/>
              </w:rPr>
            </w:pPr>
            <w:r w:rsidRPr="00B10752">
              <w:rPr>
                <w:sz w:val="20"/>
              </w:rPr>
              <w:t>(Qc) (Civile) (Autorisation)</w:t>
            </w:r>
          </w:p>
        </w:tc>
      </w:tr>
      <w:tr w:rsidR="00E70281" w:rsidRPr="00B10752" w:rsidTr="0074582E">
        <w:tc>
          <w:tcPr>
            <w:tcW w:w="5000" w:type="pct"/>
            <w:gridSpan w:val="2"/>
          </w:tcPr>
          <w:p w:rsidR="00E91D43" w:rsidRPr="00B10752" w:rsidRDefault="00E91D43" w:rsidP="00E91D43">
            <w:pPr>
              <w:jc w:val="both"/>
              <w:rPr>
                <w:sz w:val="20"/>
                <w:szCs w:val="20"/>
                <w:lang w:val="fr-CA"/>
              </w:rPr>
            </w:pPr>
            <w:r w:rsidRPr="00B10752">
              <w:rPr>
                <w:sz w:val="20"/>
                <w:szCs w:val="20"/>
                <w:lang w:val="fr-CA"/>
              </w:rPr>
              <w:t>La demande d’autorisation d’appel de l’arrêt de la Cour d’appel du Québec (Montréal), numéro 500-10-007092-198, 2020 QCCA 586, daté du 24 avril 2020, est rejetée sans dépens.</w:t>
            </w:r>
          </w:p>
          <w:p w:rsidR="00E70281" w:rsidRPr="00B10752" w:rsidRDefault="00E70281" w:rsidP="00E91D43">
            <w:pPr>
              <w:jc w:val="both"/>
              <w:rPr>
                <w:sz w:val="20"/>
                <w:lang w:val="fr-CA"/>
              </w:rPr>
            </w:pPr>
          </w:p>
        </w:tc>
      </w:tr>
      <w:tr w:rsidR="00E70281" w:rsidRPr="00B10752" w:rsidTr="0074582E">
        <w:tc>
          <w:tcPr>
            <w:tcW w:w="5000" w:type="pct"/>
            <w:gridSpan w:val="2"/>
          </w:tcPr>
          <w:p w:rsidR="00E70281" w:rsidRPr="00B10752" w:rsidRDefault="00E70281" w:rsidP="0074582E">
            <w:pPr>
              <w:jc w:val="both"/>
              <w:rPr>
                <w:sz w:val="20"/>
                <w:lang w:val="fr-CA"/>
              </w:rPr>
            </w:pPr>
            <w:r w:rsidRPr="00B10752">
              <w:rPr>
                <w:sz w:val="20"/>
                <w:lang w:val="fr-CA"/>
              </w:rPr>
              <w:t xml:space="preserve">Droit administratif — Droit carcéral — Procédure — </w:t>
            </w:r>
            <w:r w:rsidRPr="00B10752">
              <w:rPr>
                <w:i/>
                <w:sz w:val="20"/>
                <w:lang w:val="fr-CA"/>
              </w:rPr>
              <w:t xml:space="preserve">Habeas corpus </w:t>
            </w:r>
            <w:r w:rsidRPr="00B10752">
              <w:rPr>
                <w:sz w:val="20"/>
                <w:lang w:val="fr-CA"/>
              </w:rPr>
              <w:t>— Transfèrement non sollicité — Délinquants autochtones — La Cour d’appel a</w:t>
            </w:r>
            <w:r w:rsidRPr="00B10752">
              <w:rPr>
                <w:sz w:val="20"/>
                <w:lang w:val="fr-CA"/>
              </w:rPr>
              <w:noBreakHyphen/>
              <w:t>t</w:t>
            </w:r>
            <w:r w:rsidRPr="00B10752">
              <w:rPr>
                <w:sz w:val="20"/>
                <w:lang w:val="fr-CA"/>
              </w:rPr>
              <w:noBreakHyphen/>
              <w:t xml:space="preserve">elle erré en concluant qu’un recours en </w:t>
            </w:r>
            <w:r w:rsidRPr="00B10752">
              <w:rPr>
                <w:i/>
                <w:sz w:val="20"/>
                <w:lang w:val="fr-CA"/>
              </w:rPr>
              <w:t xml:space="preserve">habeas corpus </w:t>
            </w:r>
            <w:r w:rsidRPr="00B10752">
              <w:rPr>
                <w:sz w:val="20"/>
                <w:lang w:val="fr-CA"/>
              </w:rPr>
              <w:t xml:space="preserve">en matière carcérale est de nature civile et assujetti au </w:t>
            </w:r>
            <w:r w:rsidRPr="00B10752">
              <w:rPr>
                <w:i/>
                <w:sz w:val="20"/>
                <w:lang w:val="fr-CA"/>
              </w:rPr>
              <w:t>Code de procédure civile</w:t>
            </w:r>
            <w:r w:rsidRPr="00B10752">
              <w:rPr>
                <w:sz w:val="20"/>
                <w:lang w:val="fr-CA"/>
              </w:rPr>
              <w:t>? — La Cour d’appel a</w:t>
            </w:r>
            <w:r w:rsidRPr="00B10752">
              <w:rPr>
                <w:sz w:val="20"/>
                <w:lang w:val="fr-CA"/>
              </w:rPr>
              <w:noBreakHyphen/>
              <w:t>t</w:t>
            </w:r>
            <w:r w:rsidRPr="00B10752">
              <w:rPr>
                <w:sz w:val="20"/>
                <w:lang w:val="fr-CA"/>
              </w:rPr>
              <w:noBreakHyphen/>
              <w:t>elle erré en concluant que le demandeur avait déposé son appel hors délai? — Les intimés se conforment</w:t>
            </w:r>
            <w:r w:rsidRPr="00B10752">
              <w:rPr>
                <w:sz w:val="20"/>
                <w:lang w:val="fr-CA"/>
              </w:rPr>
              <w:noBreakHyphen/>
              <w:t>ils à leur devoir de tenir compte des besoins propres aux déliquants autochtones dans la prise de décisions qui les concernent? — Le sens donné par la juge de première instance au terme « seule solution raisonnable » employé dans la Directive du Commissaire 708 est</w:t>
            </w:r>
            <w:r w:rsidRPr="00B10752">
              <w:rPr>
                <w:sz w:val="20"/>
                <w:lang w:val="fr-CA"/>
              </w:rPr>
              <w:noBreakHyphen/>
              <w:t>il conforme à l’état actuel du droit?</w:t>
            </w:r>
          </w:p>
          <w:p w:rsidR="00E70281" w:rsidRPr="00B10752" w:rsidRDefault="00E70281" w:rsidP="0074582E">
            <w:pPr>
              <w:jc w:val="both"/>
              <w:rPr>
                <w:sz w:val="20"/>
                <w:lang w:val="fr-CA"/>
              </w:rPr>
            </w:pPr>
          </w:p>
        </w:tc>
      </w:tr>
    </w:tbl>
    <w:p w:rsidR="00D90258" w:rsidRPr="00B10752" w:rsidRDefault="00D90258">
      <w:pPr>
        <w:rPr>
          <w:lang w:val="fr-CA"/>
        </w:rPr>
      </w:pPr>
      <w:r w:rsidRPr="00B1075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5000" w:type="pct"/>
            <w:gridSpan w:val="3"/>
          </w:tcPr>
          <w:p w:rsidR="00E70281" w:rsidRPr="00B10752" w:rsidRDefault="00E70281" w:rsidP="0074582E">
            <w:pPr>
              <w:jc w:val="both"/>
              <w:rPr>
                <w:sz w:val="20"/>
                <w:lang w:val="fr-CA"/>
              </w:rPr>
            </w:pPr>
            <w:r w:rsidRPr="00B10752">
              <w:rPr>
                <w:sz w:val="20"/>
                <w:lang w:val="fr-CA"/>
              </w:rPr>
              <w:lastRenderedPageBreak/>
              <w:t>En 2018, le demandeur, qui est autochtone, purge une peine dans un pénitencier à sécurité moyenne. Suite à une accusation de voies de faits graves commises à l’égard d’un co</w:t>
            </w:r>
            <w:r w:rsidRPr="00B10752">
              <w:rPr>
                <w:sz w:val="20"/>
                <w:lang w:val="fr-CA"/>
              </w:rPr>
              <w:noBreakHyphen/>
              <w:t xml:space="preserve">détenu, l’équipe de gestion de cas du demandeur recommande que sa cote de sécurité soit augmentée et qu’il soit transféré à un pénitencier à sécurité maximale. Il est d’abord transféré à un pénitencier à sécurité maximale et ensuite à l’Unité spéciale de détention (« U.S.D. »). Le demandeur dépose une requête en </w:t>
            </w:r>
            <w:r w:rsidRPr="00B10752">
              <w:rPr>
                <w:i/>
                <w:sz w:val="20"/>
                <w:lang w:val="fr-CA"/>
              </w:rPr>
              <w:t>habeas corpus</w:t>
            </w:r>
            <w:r w:rsidRPr="00B10752">
              <w:rPr>
                <w:sz w:val="20"/>
                <w:lang w:val="fr-CA"/>
              </w:rPr>
              <w:t xml:space="preserve"> à la chambre criminelle de la Cour supérieure, alléguant que son transfert à l’U.S.D. constitue une privation illicite de sa liberté. La Cour supérieure rejette la demande en </w:t>
            </w:r>
            <w:r w:rsidRPr="00B10752">
              <w:rPr>
                <w:i/>
                <w:sz w:val="20"/>
                <w:lang w:val="fr-CA"/>
              </w:rPr>
              <w:t>habeas corpus</w:t>
            </w:r>
            <w:r w:rsidRPr="00B10752">
              <w:rPr>
                <w:sz w:val="20"/>
                <w:lang w:val="fr-CA"/>
              </w:rPr>
              <w:t xml:space="preserve">. La Cour d’appel conclut que la décision de transfèrement est une décision administrative et donc de nature civile, et que les dispositions du </w:t>
            </w:r>
            <w:r w:rsidRPr="00B10752">
              <w:rPr>
                <w:i/>
                <w:sz w:val="20"/>
                <w:lang w:val="fr-CA"/>
              </w:rPr>
              <w:t>Code de procédure civile</w:t>
            </w:r>
            <w:r w:rsidRPr="00B10752">
              <w:rPr>
                <w:sz w:val="20"/>
                <w:lang w:val="fr-CA"/>
              </w:rPr>
              <w:t xml:space="preserve"> (« </w:t>
            </w:r>
            <w:r w:rsidRPr="00B10752">
              <w:rPr>
                <w:i/>
                <w:sz w:val="20"/>
                <w:lang w:val="fr-CA"/>
              </w:rPr>
              <w:t>C.p.c.</w:t>
            </w:r>
            <w:r w:rsidRPr="00B10752">
              <w:rPr>
                <w:sz w:val="20"/>
                <w:lang w:val="fr-CA"/>
              </w:rPr>
              <w:t xml:space="preserve"> ») s’appliquent en l’espèce. Le demandeur n’ayant pas respecté le délai d’appel de 10 jours prévu à l’art. 361 du </w:t>
            </w:r>
            <w:r w:rsidRPr="00B10752">
              <w:rPr>
                <w:i/>
                <w:sz w:val="20"/>
                <w:lang w:val="fr-CA"/>
              </w:rPr>
              <w:t>C.p.c.</w:t>
            </w:r>
            <w:r w:rsidRPr="00B10752">
              <w:rPr>
                <w:sz w:val="20"/>
                <w:lang w:val="fr-CA"/>
              </w:rPr>
              <w:t>, la Cour d’appel constate et déclare que le droit appel du demandeur est déchu et rejette l’appel.</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Le 8 mai 2019</w:t>
            </w:r>
          </w:p>
          <w:p w:rsidR="00E70281" w:rsidRPr="00B10752" w:rsidRDefault="00E70281" w:rsidP="0074582E">
            <w:pPr>
              <w:jc w:val="both"/>
              <w:rPr>
                <w:sz w:val="20"/>
                <w:lang w:val="fr-CA"/>
              </w:rPr>
            </w:pPr>
            <w:r w:rsidRPr="00B10752">
              <w:rPr>
                <w:sz w:val="20"/>
                <w:lang w:val="fr-CA"/>
              </w:rPr>
              <w:t>Cour supérieure du Québec</w:t>
            </w:r>
          </w:p>
          <w:p w:rsidR="00E70281" w:rsidRPr="00B10752" w:rsidRDefault="00E70281" w:rsidP="0074582E">
            <w:pPr>
              <w:jc w:val="both"/>
              <w:rPr>
                <w:sz w:val="20"/>
              </w:rPr>
            </w:pPr>
            <w:r w:rsidRPr="00B10752">
              <w:rPr>
                <w:sz w:val="20"/>
              </w:rPr>
              <w:t>(La juge Lachance)</w:t>
            </w:r>
          </w:p>
          <w:p w:rsidR="00E70281" w:rsidRPr="00B10752" w:rsidRDefault="00B10752" w:rsidP="0074582E">
            <w:pPr>
              <w:jc w:val="both"/>
              <w:rPr>
                <w:sz w:val="20"/>
              </w:rPr>
            </w:pPr>
            <w:hyperlink r:id="rId39" w:history="1">
              <w:r w:rsidR="00E70281" w:rsidRPr="00B10752">
                <w:rPr>
                  <w:rStyle w:val="Hyperlink"/>
                  <w:sz w:val="20"/>
                </w:rPr>
                <w:t>2019 QCCS 1766</w:t>
              </w:r>
            </w:hyperlink>
          </w:p>
          <w:p w:rsidR="00E70281" w:rsidRPr="00B10752" w:rsidRDefault="00E70281" w:rsidP="0074582E">
            <w:pPr>
              <w:jc w:val="both"/>
              <w:rPr>
                <w:sz w:val="20"/>
              </w:rPr>
            </w:pPr>
            <w:r w:rsidRPr="00B10752">
              <w:rPr>
                <w:sz w:val="20"/>
              </w:rPr>
              <w:t xml:space="preserve"> </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fr-CA"/>
              </w:rPr>
            </w:pPr>
            <w:r w:rsidRPr="00B10752">
              <w:rPr>
                <w:sz w:val="20"/>
                <w:lang w:val="fr-CA"/>
              </w:rPr>
              <w:t>Requête pour l’émission d’un bref d’</w:t>
            </w:r>
            <w:r w:rsidRPr="00B10752">
              <w:rPr>
                <w:i/>
                <w:sz w:val="20"/>
                <w:lang w:val="fr-CA"/>
              </w:rPr>
              <w:t xml:space="preserve">habeas corpus </w:t>
            </w:r>
            <w:r w:rsidRPr="00B10752">
              <w:rPr>
                <w:sz w:val="20"/>
                <w:lang w:val="fr-CA"/>
              </w:rPr>
              <w:t xml:space="preserve">avec </w:t>
            </w:r>
            <w:r w:rsidRPr="00B10752">
              <w:rPr>
                <w:i/>
                <w:sz w:val="20"/>
                <w:lang w:val="fr-CA"/>
              </w:rPr>
              <w:t xml:space="preserve">certiorari </w:t>
            </w:r>
            <w:r w:rsidRPr="00B10752">
              <w:rPr>
                <w:sz w:val="20"/>
                <w:lang w:val="fr-CA"/>
              </w:rPr>
              <w:t>auxiliaire rejetée.</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Le 24 avril 2020</w:t>
            </w:r>
          </w:p>
          <w:p w:rsidR="00E70281" w:rsidRPr="00B10752" w:rsidRDefault="00E70281" w:rsidP="0074582E">
            <w:pPr>
              <w:jc w:val="both"/>
              <w:rPr>
                <w:sz w:val="20"/>
                <w:lang w:val="fr-CA"/>
              </w:rPr>
            </w:pPr>
            <w:r w:rsidRPr="00B10752">
              <w:rPr>
                <w:sz w:val="20"/>
                <w:lang w:val="fr-CA"/>
              </w:rPr>
              <w:t>Cour d’appel du Québec (Montréal)</w:t>
            </w:r>
          </w:p>
          <w:p w:rsidR="00E70281" w:rsidRPr="00B10752" w:rsidRDefault="00E70281" w:rsidP="0074582E">
            <w:pPr>
              <w:jc w:val="both"/>
              <w:rPr>
                <w:sz w:val="20"/>
                <w:lang w:val="fr-CA"/>
              </w:rPr>
            </w:pPr>
            <w:r w:rsidRPr="00B10752">
              <w:rPr>
                <w:sz w:val="20"/>
                <w:lang w:val="fr-CA"/>
              </w:rPr>
              <w:t>(Les juges Morissette, Rancourt et Beaupré)</w:t>
            </w:r>
          </w:p>
          <w:p w:rsidR="00E70281" w:rsidRPr="00B10752" w:rsidRDefault="00B10752" w:rsidP="0074582E">
            <w:pPr>
              <w:jc w:val="both"/>
              <w:rPr>
                <w:sz w:val="20"/>
              </w:rPr>
            </w:pPr>
            <w:hyperlink r:id="rId40" w:history="1">
              <w:r w:rsidR="00E70281" w:rsidRPr="00B10752">
                <w:rPr>
                  <w:rStyle w:val="Hyperlink"/>
                  <w:sz w:val="20"/>
                </w:rPr>
                <w:t>2020 QCCA 586</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fr-CA"/>
              </w:rPr>
            </w:pPr>
            <w:r w:rsidRPr="00B10752">
              <w:rPr>
                <w:sz w:val="20"/>
                <w:lang w:val="fr-CA"/>
              </w:rPr>
              <w:t>Déclaration que le droit d’appel du demandeur est déchu et rejet de l’appel.</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Le 23 juin 2020</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rPr>
            </w:pPr>
            <w:r w:rsidRPr="00B10752">
              <w:rPr>
                <w:sz w:val="20"/>
              </w:rPr>
              <w:t>Demande d'autorisation d'appel déposée</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widowControl w:val="0"/>
        <w:jc w:val="both"/>
        <w:rPr>
          <w:sz w:val="20"/>
          <w:lang w:val="fr-CA"/>
        </w:rPr>
      </w:pPr>
      <w:r w:rsidRPr="00B10752">
        <w:rPr>
          <w:sz w:val="20"/>
        </w:rPr>
        <w:pict>
          <v:rect id="_x0000_i1050"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39225</w:t>
            </w:r>
          </w:p>
        </w:tc>
        <w:tc>
          <w:tcPr>
            <w:tcW w:w="4457" w:type="pct"/>
            <w:gridSpan w:val="3"/>
          </w:tcPr>
          <w:p w:rsidR="00E70281" w:rsidRPr="00B10752" w:rsidRDefault="00E70281" w:rsidP="0074582E">
            <w:pPr>
              <w:pStyle w:val="SCCLsocParty"/>
              <w:jc w:val="both"/>
              <w:rPr>
                <w:b/>
                <w:sz w:val="20"/>
                <w:szCs w:val="20"/>
                <w:lang w:val="en-US"/>
              </w:rPr>
            </w:pPr>
            <w:r w:rsidRPr="00B10752">
              <w:rPr>
                <w:b/>
                <w:sz w:val="20"/>
                <w:szCs w:val="20"/>
                <w:lang w:val="en-CA"/>
              </w:rPr>
              <w:t xml:space="preserve">Justin Germa v. </w:t>
            </w:r>
            <w:r w:rsidR="00E91D43" w:rsidRPr="00B10752">
              <w:rPr>
                <w:b/>
                <w:sz w:val="20"/>
                <w:szCs w:val="20"/>
                <w:lang w:val="en-CA"/>
              </w:rPr>
              <w:t>Attorney General of Canada, Josée Tremblay, in her capacity as warden of Donnacona Institution and Stéphane Lalande, in his capacity as warden of Archambault Institution</w:t>
            </w:r>
          </w:p>
          <w:p w:rsidR="00E70281" w:rsidRPr="00B10752" w:rsidRDefault="00E70281" w:rsidP="0074582E">
            <w:pPr>
              <w:jc w:val="both"/>
              <w:rPr>
                <w:sz w:val="20"/>
              </w:rPr>
            </w:pPr>
            <w:r w:rsidRPr="00B10752">
              <w:rPr>
                <w:sz w:val="20"/>
              </w:rPr>
              <w:t>(Que.) (Civil) (By Leave)</w:t>
            </w:r>
          </w:p>
        </w:tc>
      </w:tr>
      <w:tr w:rsidR="00E70281" w:rsidRPr="00B10752" w:rsidTr="0074582E">
        <w:tc>
          <w:tcPr>
            <w:tcW w:w="5000" w:type="pct"/>
            <w:gridSpan w:val="4"/>
          </w:tcPr>
          <w:p w:rsidR="00E70281" w:rsidRPr="00B10752" w:rsidRDefault="00E91D43" w:rsidP="0074582E">
            <w:pPr>
              <w:jc w:val="both"/>
              <w:rPr>
                <w:sz w:val="20"/>
                <w:szCs w:val="20"/>
              </w:rPr>
            </w:pPr>
            <w:r w:rsidRPr="00B10752">
              <w:rPr>
                <w:sz w:val="20"/>
                <w:szCs w:val="20"/>
              </w:rPr>
              <w:t xml:space="preserve">The application for leave to appeal from the judgment of the </w:t>
            </w:r>
            <w:r w:rsidRPr="00B10752">
              <w:rPr>
                <w:sz w:val="20"/>
                <w:szCs w:val="20"/>
                <w:lang w:val="en-US"/>
              </w:rPr>
              <w:t>Court of Appeal of Quebec (Montréal)</w:t>
            </w:r>
            <w:r w:rsidRPr="00B10752">
              <w:rPr>
                <w:sz w:val="20"/>
                <w:szCs w:val="20"/>
              </w:rPr>
              <w:t xml:space="preserve">, Number </w:t>
            </w:r>
            <w:r w:rsidRPr="00B10752">
              <w:rPr>
                <w:sz w:val="20"/>
                <w:szCs w:val="20"/>
                <w:lang w:val="en-US"/>
              </w:rPr>
              <w:t>500-10-007093-196</w:t>
            </w:r>
            <w:r w:rsidRPr="00B10752">
              <w:rPr>
                <w:sz w:val="20"/>
                <w:szCs w:val="20"/>
              </w:rPr>
              <w:t xml:space="preserve"> </w:t>
            </w:r>
            <w:r w:rsidRPr="00B10752">
              <w:rPr>
                <w:sz w:val="20"/>
                <w:szCs w:val="20"/>
                <w:lang w:val="en-US"/>
              </w:rPr>
              <w:t>2020 QCCA 586</w:t>
            </w:r>
            <w:r w:rsidRPr="00B10752">
              <w:rPr>
                <w:sz w:val="20"/>
                <w:szCs w:val="20"/>
              </w:rPr>
              <w:t xml:space="preserve">, dated </w:t>
            </w:r>
            <w:r w:rsidRPr="00B10752">
              <w:rPr>
                <w:sz w:val="20"/>
                <w:szCs w:val="20"/>
                <w:lang w:val="en-US"/>
              </w:rPr>
              <w:t>April 24, 2020,</w:t>
            </w:r>
            <w:r w:rsidRPr="00B10752">
              <w:rPr>
                <w:sz w:val="20"/>
                <w:szCs w:val="20"/>
              </w:rPr>
              <w:t xml:space="preserve"> is dismissed without costs.</w:t>
            </w:r>
          </w:p>
          <w:p w:rsidR="00E91D43" w:rsidRPr="00B10752" w:rsidRDefault="00E91D43"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 xml:space="preserve">Administrative law — Prisons — Procedure — </w:t>
            </w:r>
            <w:r w:rsidRPr="00B10752">
              <w:rPr>
                <w:i/>
                <w:sz w:val="20"/>
              </w:rPr>
              <w:t xml:space="preserve">Habeas corpus </w:t>
            </w:r>
            <w:r w:rsidRPr="00B10752">
              <w:rPr>
                <w:sz w:val="20"/>
              </w:rPr>
              <w:t xml:space="preserve">— Involuntary transfer — Whether Court of Appeal erred in finding that </w:t>
            </w:r>
            <w:r w:rsidRPr="00B10752">
              <w:rPr>
                <w:i/>
                <w:sz w:val="20"/>
              </w:rPr>
              <w:t xml:space="preserve">habeas corpus </w:t>
            </w:r>
            <w:r w:rsidRPr="00B10752">
              <w:rPr>
                <w:sz w:val="20"/>
              </w:rPr>
              <w:t xml:space="preserve">in prison context is civil remedy subject to </w:t>
            </w:r>
            <w:r w:rsidRPr="00B10752">
              <w:rPr>
                <w:i/>
                <w:sz w:val="20"/>
              </w:rPr>
              <w:t>Code of Civil Procedure</w:t>
            </w:r>
            <w:r w:rsidRPr="00B10752">
              <w:rPr>
                <w:sz w:val="20"/>
              </w:rPr>
              <w:t xml:space="preserve"> — Whether Court of Appeal erred in finding that applicant had filed his appeal out of time — Whether respondents discharged their duty to consider specific needs of Indigenous offenders in making decisions that concern them — Whether application judge’s interpretation of duty to give information provided for in s. 27 of </w:t>
            </w:r>
            <w:r w:rsidRPr="00B10752">
              <w:rPr>
                <w:i/>
                <w:sz w:val="20"/>
              </w:rPr>
              <w:t>Corrections and Conditional Release Act</w:t>
            </w:r>
            <w:r w:rsidRPr="00B10752">
              <w:rPr>
                <w:sz w:val="20"/>
              </w:rPr>
              <w:t>, S.C. 1992, c. 20, is consistent with current state of law.</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lang w:eastAsia="en-CA"/>
              </w:rPr>
            </w:pPr>
            <w:r w:rsidRPr="00B10752">
              <w:rPr>
                <w:sz w:val="20"/>
                <w:lang w:eastAsia="en-CA"/>
              </w:rPr>
              <w:t xml:space="preserve">In 2018, the applicant, </w:t>
            </w:r>
            <w:r w:rsidRPr="00B10752">
              <w:rPr>
                <w:sz w:val="20"/>
              </w:rPr>
              <w:t>who is an Indigenous person, was in custody at a medium</w:t>
            </w:r>
            <w:r w:rsidRPr="00B10752">
              <w:rPr>
                <w:sz w:val="20"/>
              </w:rPr>
              <w:noBreakHyphen/>
              <w:t xml:space="preserve">security institution. In November 2018, he was found in possession of drugs and placed in segregation. In December 2018, </w:t>
            </w:r>
            <w:r w:rsidRPr="00B10752">
              <w:rPr>
                <w:sz w:val="20"/>
                <w:lang w:eastAsia="en-CA"/>
              </w:rPr>
              <w:t xml:space="preserve">his case management team </w:t>
            </w:r>
            <w:r w:rsidRPr="00B10752">
              <w:rPr>
                <w:sz w:val="20"/>
              </w:rPr>
              <w:t>recommended an increase in his security classification and a transfer to a maximum</w:t>
            </w:r>
            <w:r w:rsidRPr="00B10752">
              <w:rPr>
                <w:sz w:val="20"/>
              </w:rPr>
              <w:noBreakHyphen/>
              <w:t>security penitentiary</w:t>
            </w:r>
            <w:r w:rsidRPr="00B10752">
              <w:rPr>
                <w:sz w:val="20"/>
                <w:lang w:eastAsia="en-CA"/>
              </w:rPr>
              <w:t xml:space="preserve">. The recommendation was approved by the warden of the penitentiary. The </w:t>
            </w:r>
            <w:r w:rsidRPr="00B10752">
              <w:rPr>
                <w:sz w:val="20"/>
              </w:rPr>
              <w:t xml:space="preserve">applicant filed an application for </w:t>
            </w:r>
            <w:r w:rsidRPr="00B10752">
              <w:rPr>
                <w:i/>
                <w:sz w:val="20"/>
              </w:rPr>
              <w:t>habeas corpus</w:t>
            </w:r>
            <w:r w:rsidRPr="00B10752">
              <w:rPr>
                <w:sz w:val="20"/>
              </w:rPr>
              <w:t xml:space="preserve"> in the Criminal Division of the Superior Court, alleging that the increase in his security classification and his transfer constituted an unlawful deprivation of his liberty. The Superior Court dismissed the application for </w:t>
            </w:r>
            <w:r w:rsidRPr="00B10752">
              <w:rPr>
                <w:i/>
                <w:sz w:val="20"/>
              </w:rPr>
              <w:t>habeas corpus</w:t>
            </w:r>
            <w:r w:rsidRPr="00B10752">
              <w:rPr>
                <w:sz w:val="20"/>
              </w:rPr>
              <w:t xml:space="preserve">. The Court of Appeal found that the transfer decision was an administrative decision and therefore civil in nature and that the provisions of the </w:t>
            </w:r>
            <w:r w:rsidRPr="00B10752">
              <w:rPr>
                <w:i/>
                <w:sz w:val="20"/>
              </w:rPr>
              <w:t>Code of Civil Procedure</w:t>
            </w:r>
            <w:r w:rsidRPr="00B10752">
              <w:rPr>
                <w:sz w:val="20"/>
              </w:rPr>
              <w:t xml:space="preserve"> (“</w:t>
            </w:r>
            <w:r w:rsidRPr="00B10752">
              <w:rPr>
                <w:i/>
                <w:sz w:val="20"/>
              </w:rPr>
              <w:t>C.C.P.</w:t>
            </w:r>
            <w:r w:rsidRPr="00B10752">
              <w:rPr>
                <w:sz w:val="20"/>
              </w:rPr>
              <w:t>”) applied in this case. Since the applicant had not complied with the 10</w:t>
            </w:r>
            <w:r w:rsidRPr="00B10752">
              <w:rPr>
                <w:sz w:val="20"/>
              </w:rPr>
              <w:noBreakHyphen/>
              <w:t xml:space="preserve">day time limit for appealing set out in art. 361 </w:t>
            </w:r>
            <w:r w:rsidRPr="00B10752">
              <w:rPr>
                <w:i/>
                <w:sz w:val="20"/>
              </w:rPr>
              <w:t>C.C.P.</w:t>
            </w:r>
            <w:r w:rsidRPr="00B10752">
              <w:rPr>
                <w:sz w:val="20"/>
              </w:rPr>
              <w:t>, the Court of Appeal found and declared that the applicant’s right to appeal had been forfeited and dismissed the appeal.</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lastRenderedPageBreak/>
              <w:t>May 8, 2019</w:t>
            </w:r>
          </w:p>
          <w:p w:rsidR="00E70281" w:rsidRPr="00B10752" w:rsidRDefault="00E70281" w:rsidP="0074582E">
            <w:pPr>
              <w:jc w:val="both"/>
              <w:rPr>
                <w:sz w:val="20"/>
              </w:rPr>
            </w:pPr>
            <w:r w:rsidRPr="00B10752">
              <w:rPr>
                <w:sz w:val="20"/>
              </w:rPr>
              <w:t>Quebec Superior Court</w:t>
            </w:r>
          </w:p>
          <w:p w:rsidR="00E70281" w:rsidRPr="00B10752" w:rsidRDefault="00E70281" w:rsidP="0074582E">
            <w:pPr>
              <w:jc w:val="both"/>
              <w:rPr>
                <w:sz w:val="20"/>
              </w:rPr>
            </w:pPr>
            <w:r w:rsidRPr="00B10752">
              <w:rPr>
                <w:sz w:val="20"/>
              </w:rPr>
              <w:t>(Lachance J.)</w:t>
            </w:r>
          </w:p>
          <w:p w:rsidR="00E70281" w:rsidRPr="00B10752" w:rsidRDefault="00B10752" w:rsidP="0074582E">
            <w:pPr>
              <w:jc w:val="both"/>
              <w:rPr>
                <w:sz w:val="20"/>
              </w:rPr>
            </w:pPr>
            <w:hyperlink r:id="rId41" w:history="1">
              <w:r w:rsidR="00E70281" w:rsidRPr="00B10752">
                <w:rPr>
                  <w:rStyle w:val="Hyperlink"/>
                  <w:sz w:val="20"/>
                </w:rPr>
                <w:t>2019 QCCS 1764</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 xml:space="preserve">Application for writ of </w:t>
            </w:r>
            <w:r w:rsidRPr="00B10752">
              <w:rPr>
                <w:i/>
                <w:sz w:val="20"/>
              </w:rPr>
              <w:t xml:space="preserve">habeas corpus </w:t>
            </w:r>
            <w:r w:rsidRPr="00B10752">
              <w:rPr>
                <w:sz w:val="20"/>
              </w:rPr>
              <w:t xml:space="preserve">with </w:t>
            </w:r>
            <w:r w:rsidRPr="00B10752">
              <w:rPr>
                <w:i/>
                <w:sz w:val="20"/>
              </w:rPr>
              <w:t xml:space="preserve">certiorari </w:t>
            </w:r>
            <w:r w:rsidRPr="00B10752">
              <w:rPr>
                <w:sz w:val="20"/>
              </w:rPr>
              <w:t>in aid dismissed</w:t>
            </w:r>
          </w:p>
        </w:tc>
      </w:tr>
      <w:tr w:rsidR="00E70281" w:rsidRPr="00B10752" w:rsidTr="0074582E">
        <w:tc>
          <w:tcPr>
            <w:tcW w:w="2427" w:type="pct"/>
            <w:gridSpan w:val="2"/>
          </w:tcPr>
          <w:p w:rsidR="00E70281" w:rsidRPr="00B10752" w:rsidRDefault="00E70281" w:rsidP="0074582E">
            <w:pPr>
              <w:jc w:val="both"/>
              <w:rPr>
                <w:sz w:val="20"/>
              </w:rPr>
            </w:pPr>
            <w:r w:rsidRPr="00B10752">
              <w:rPr>
                <w:sz w:val="20"/>
              </w:rPr>
              <w:t>April 24, 2020</w:t>
            </w:r>
          </w:p>
          <w:p w:rsidR="00E70281" w:rsidRPr="00B10752" w:rsidRDefault="00E70281" w:rsidP="0074582E">
            <w:pPr>
              <w:jc w:val="both"/>
              <w:rPr>
                <w:sz w:val="20"/>
              </w:rPr>
            </w:pPr>
            <w:r w:rsidRPr="00B10752">
              <w:rPr>
                <w:sz w:val="20"/>
              </w:rPr>
              <w:t>Quebec Court of Appeal (Montréal)</w:t>
            </w:r>
          </w:p>
          <w:p w:rsidR="00E70281" w:rsidRPr="00B10752" w:rsidRDefault="00E70281" w:rsidP="0074582E">
            <w:pPr>
              <w:jc w:val="both"/>
              <w:rPr>
                <w:sz w:val="20"/>
                <w:lang w:val="fr-CA"/>
              </w:rPr>
            </w:pPr>
            <w:r w:rsidRPr="00B10752">
              <w:rPr>
                <w:sz w:val="20"/>
                <w:lang w:val="fr-CA"/>
              </w:rPr>
              <w:t>(Morissette, Rancourt and Beaupré JJ.A.)</w:t>
            </w:r>
          </w:p>
          <w:p w:rsidR="00E70281" w:rsidRPr="00B10752" w:rsidRDefault="00B10752" w:rsidP="0074582E">
            <w:pPr>
              <w:jc w:val="both"/>
              <w:rPr>
                <w:sz w:val="20"/>
              </w:rPr>
            </w:pPr>
            <w:hyperlink r:id="rId42" w:history="1">
              <w:r w:rsidR="00E70281" w:rsidRPr="00B10752">
                <w:rPr>
                  <w:rStyle w:val="Hyperlink"/>
                  <w:sz w:val="20"/>
                </w:rPr>
                <w:t>2020 QCCA 586</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Applicant’s right to appeal declared to be forfeited and appeal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June 23, 2020</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51"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39225</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 xml:space="preserve">Justin Germa c. </w:t>
            </w:r>
            <w:r w:rsidR="00E91D43" w:rsidRPr="00B10752">
              <w:rPr>
                <w:b/>
                <w:sz w:val="20"/>
                <w:szCs w:val="20"/>
              </w:rPr>
              <w:t>Procureur général du Canada, Josée Tremblay, en sa qualité de directrice de l’Établissement Donnacona et Stéphane Lalande, en sa qualité de directeur de l’Établissement Archambault</w:t>
            </w:r>
          </w:p>
          <w:p w:rsidR="00E70281" w:rsidRPr="00B10752" w:rsidRDefault="00E70281" w:rsidP="0074582E">
            <w:pPr>
              <w:jc w:val="both"/>
              <w:rPr>
                <w:sz w:val="20"/>
              </w:rPr>
            </w:pPr>
            <w:r w:rsidRPr="00B10752">
              <w:rPr>
                <w:sz w:val="20"/>
              </w:rPr>
              <w:t>(Qc) (Civile) (Autorisation)</w:t>
            </w:r>
          </w:p>
        </w:tc>
      </w:tr>
      <w:tr w:rsidR="00E70281" w:rsidRPr="00B10752" w:rsidTr="0074582E">
        <w:tc>
          <w:tcPr>
            <w:tcW w:w="5000" w:type="pct"/>
            <w:gridSpan w:val="4"/>
          </w:tcPr>
          <w:p w:rsidR="00E91D43" w:rsidRPr="00B10752" w:rsidRDefault="00E91D43" w:rsidP="00E91D43">
            <w:pPr>
              <w:jc w:val="both"/>
              <w:rPr>
                <w:sz w:val="20"/>
                <w:szCs w:val="20"/>
                <w:lang w:val="fr-CA"/>
              </w:rPr>
            </w:pPr>
            <w:r w:rsidRPr="00B10752">
              <w:rPr>
                <w:sz w:val="20"/>
                <w:szCs w:val="20"/>
                <w:lang w:val="fr-CA"/>
              </w:rPr>
              <w:t>La demande d’autorisation d’appel de l’arrêt de la Cour d’appel du Québec (Montréal), numéro 500-10-007093-196, 2020 QCCA 586, daté du 24 avril 2020, est rejetée sans dépens.</w:t>
            </w:r>
          </w:p>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 xml:space="preserve">Droit administratif — Droit carcéral — Procédure — </w:t>
            </w:r>
            <w:r w:rsidRPr="00B10752">
              <w:rPr>
                <w:i/>
                <w:sz w:val="20"/>
                <w:lang w:val="fr-CA"/>
              </w:rPr>
              <w:t xml:space="preserve">Habeas corpus </w:t>
            </w:r>
            <w:r w:rsidRPr="00B10752">
              <w:rPr>
                <w:sz w:val="20"/>
                <w:lang w:val="fr-CA"/>
              </w:rPr>
              <w:t xml:space="preserve">— Transfèrement non sollicité — La Cour d’appel a-t-elle erré en concluant qu’un recours en </w:t>
            </w:r>
            <w:r w:rsidRPr="00B10752">
              <w:rPr>
                <w:i/>
                <w:sz w:val="20"/>
                <w:lang w:val="fr-CA"/>
              </w:rPr>
              <w:t xml:space="preserve">habeas corpus </w:t>
            </w:r>
            <w:r w:rsidRPr="00B10752">
              <w:rPr>
                <w:sz w:val="20"/>
                <w:lang w:val="fr-CA"/>
              </w:rPr>
              <w:t xml:space="preserve">en matière carcérale est de nature civile et assujetti au </w:t>
            </w:r>
            <w:r w:rsidRPr="00B10752">
              <w:rPr>
                <w:i/>
                <w:sz w:val="20"/>
                <w:lang w:val="fr-CA"/>
              </w:rPr>
              <w:t>Code de procédure civile</w:t>
            </w:r>
            <w:r w:rsidRPr="00B10752">
              <w:rPr>
                <w:sz w:val="20"/>
                <w:lang w:val="fr-CA"/>
              </w:rPr>
              <w:t>? — La Cour d’appel a</w:t>
            </w:r>
            <w:r w:rsidRPr="00B10752">
              <w:rPr>
                <w:sz w:val="20"/>
                <w:lang w:val="fr-CA"/>
              </w:rPr>
              <w:noBreakHyphen/>
              <w:t>t</w:t>
            </w:r>
            <w:r w:rsidRPr="00B10752">
              <w:rPr>
                <w:sz w:val="20"/>
                <w:lang w:val="fr-CA"/>
              </w:rPr>
              <w:noBreakHyphen/>
              <w:t>elle erré en concluant que le demandeur avait déposé son appel hors délai? — Les intimés se conforment</w:t>
            </w:r>
            <w:r w:rsidRPr="00B10752">
              <w:rPr>
                <w:sz w:val="20"/>
                <w:lang w:val="fr-CA"/>
              </w:rPr>
              <w:noBreakHyphen/>
              <w:t xml:space="preserve">ils à leur devoir de tenir compte des besoins propres aux déliquants autochtones dans la prise de décisions qui les concernent? — L’interprétation faite par la juge de première instance de l’obligation de communication de l’information prévue à l’article 27 de la </w:t>
            </w:r>
            <w:r w:rsidRPr="00B10752">
              <w:rPr>
                <w:i/>
                <w:sz w:val="20"/>
                <w:lang w:val="fr-CA"/>
              </w:rPr>
              <w:t>Loi sur le système correctionnel et la mise en liberté sous condition</w:t>
            </w:r>
            <w:r w:rsidRPr="00B10752">
              <w:rPr>
                <w:sz w:val="20"/>
                <w:lang w:val="fr-CA"/>
              </w:rPr>
              <w:t>, L.C. 1992, c. 20, est</w:t>
            </w:r>
            <w:r w:rsidRPr="00B10752">
              <w:rPr>
                <w:sz w:val="20"/>
                <w:lang w:val="fr-CA"/>
              </w:rPr>
              <w:noBreakHyphen/>
              <w:t>elle conforme à l’état actuel du droit?</w:t>
            </w:r>
          </w:p>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eastAsia="en-CA"/>
              </w:rPr>
            </w:pPr>
            <w:r w:rsidRPr="00B10752">
              <w:rPr>
                <w:sz w:val="20"/>
                <w:lang w:val="fr-CA" w:eastAsia="en-CA"/>
              </w:rPr>
              <w:t xml:space="preserve">En 2018, le demandeur, qui est autochtone, est détenu dans un pénitencier à sécurité moyenne. En novembre 2018, il est trouvé en possession de stupéfiants et placé en isolement. En décembre 2018, l’équipe de gestion de cas du demandeur recommande que sa cote de sécurité soit augmentée et qu’il soit transféré à un pénitencier à sécurité maximale. La recommandation est entérinée par la direction du pénitencier. Le demandeur dépose une requête en </w:t>
            </w:r>
            <w:r w:rsidRPr="00B10752">
              <w:rPr>
                <w:i/>
                <w:sz w:val="20"/>
                <w:lang w:val="fr-CA" w:eastAsia="en-CA"/>
              </w:rPr>
              <w:t>habeas corpus</w:t>
            </w:r>
            <w:r w:rsidRPr="00B10752">
              <w:rPr>
                <w:sz w:val="20"/>
                <w:lang w:val="fr-CA" w:eastAsia="en-CA"/>
              </w:rPr>
              <w:t xml:space="preserve"> à la chambre criminelle de la Cour supérieure, alléguant que le rehaussement de sa cote de sécurité et son transfert constitutent une privation illicite de sa liberté.</w:t>
            </w:r>
            <w:r w:rsidRPr="00B10752">
              <w:rPr>
                <w:sz w:val="20"/>
                <w:lang w:val="fr-CA"/>
              </w:rPr>
              <w:t xml:space="preserve"> La Cour supérieure rejette la demande en </w:t>
            </w:r>
            <w:r w:rsidRPr="00B10752">
              <w:rPr>
                <w:i/>
                <w:sz w:val="20"/>
                <w:lang w:val="fr-CA"/>
              </w:rPr>
              <w:t>habeas corpus</w:t>
            </w:r>
            <w:r w:rsidRPr="00B10752">
              <w:rPr>
                <w:sz w:val="20"/>
                <w:lang w:val="fr-CA"/>
              </w:rPr>
              <w:t xml:space="preserve">. La Cour d’appel conclut que la décision de transfèrement est une décision administrative et donc de nature civile, et que les dispositions du </w:t>
            </w:r>
            <w:r w:rsidRPr="00B10752">
              <w:rPr>
                <w:i/>
                <w:sz w:val="20"/>
                <w:lang w:val="fr-CA"/>
              </w:rPr>
              <w:t>Code de procédure civile</w:t>
            </w:r>
            <w:r w:rsidRPr="00B10752">
              <w:rPr>
                <w:sz w:val="20"/>
                <w:lang w:val="fr-CA"/>
              </w:rPr>
              <w:t xml:space="preserve"> (« </w:t>
            </w:r>
            <w:r w:rsidRPr="00B10752">
              <w:rPr>
                <w:i/>
                <w:sz w:val="20"/>
                <w:lang w:val="fr-CA"/>
              </w:rPr>
              <w:t>C.p.c.</w:t>
            </w:r>
            <w:r w:rsidRPr="00B10752">
              <w:rPr>
                <w:sz w:val="20"/>
                <w:lang w:val="fr-CA"/>
              </w:rPr>
              <w:t xml:space="preserve"> ») s’appliquent en l’espèce. Le demandeur n’ayant pas respecté le délai d’appel de 10 jours prévu à l’art. 361 du </w:t>
            </w:r>
            <w:r w:rsidRPr="00B10752">
              <w:rPr>
                <w:i/>
                <w:sz w:val="20"/>
                <w:lang w:val="fr-CA"/>
              </w:rPr>
              <w:t>C.p.c.</w:t>
            </w:r>
            <w:r w:rsidRPr="00B10752">
              <w:rPr>
                <w:sz w:val="20"/>
                <w:lang w:val="fr-CA"/>
              </w:rPr>
              <w:t>, la Cour d’appel constate et déclare que le droit appel du demandeur est déchu et rejette l’appel.</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Le 8 mai 2019</w:t>
            </w:r>
          </w:p>
          <w:p w:rsidR="00E70281" w:rsidRPr="00B10752" w:rsidRDefault="00E70281" w:rsidP="0074582E">
            <w:pPr>
              <w:jc w:val="both"/>
              <w:rPr>
                <w:sz w:val="20"/>
                <w:lang w:val="fr-CA"/>
              </w:rPr>
            </w:pPr>
            <w:r w:rsidRPr="00B10752">
              <w:rPr>
                <w:sz w:val="20"/>
                <w:lang w:val="fr-CA"/>
              </w:rPr>
              <w:t>Cour supérieure du Québec</w:t>
            </w:r>
          </w:p>
          <w:p w:rsidR="00E70281" w:rsidRPr="00B10752" w:rsidRDefault="00E70281" w:rsidP="0074582E">
            <w:pPr>
              <w:jc w:val="both"/>
              <w:rPr>
                <w:sz w:val="20"/>
              </w:rPr>
            </w:pPr>
            <w:r w:rsidRPr="00B10752">
              <w:rPr>
                <w:sz w:val="20"/>
              </w:rPr>
              <w:t>(La juge Lachance)</w:t>
            </w:r>
          </w:p>
          <w:p w:rsidR="00E70281" w:rsidRPr="00B10752" w:rsidRDefault="00B10752" w:rsidP="0074582E">
            <w:pPr>
              <w:jc w:val="both"/>
              <w:rPr>
                <w:sz w:val="20"/>
              </w:rPr>
            </w:pPr>
            <w:hyperlink r:id="rId43" w:history="1">
              <w:r w:rsidR="00E70281" w:rsidRPr="00B10752">
                <w:rPr>
                  <w:rStyle w:val="Hyperlink"/>
                  <w:sz w:val="20"/>
                </w:rPr>
                <w:t>2019 QCCS 1764</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fr-CA"/>
              </w:rPr>
            </w:pPr>
            <w:r w:rsidRPr="00B10752">
              <w:rPr>
                <w:sz w:val="20"/>
                <w:lang w:val="fr-CA"/>
              </w:rPr>
              <w:t>Requête pour l’émission d’un bref d’</w:t>
            </w:r>
            <w:r w:rsidRPr="00B10752">
              <w:rPr>
                <w:i/>
                <w:sz w:val="20"/>
                <w:lang w:val="fr-CA"/>
              </w:rPr>
              <w:t xml:space="preserve">habeas corpus </w:t>
            </w:r>
            <w:r w:rsidRPr="00B10752">
              <w:rPr>
                <w:sz w:val="20"/>
                <w:lang w:val="fr-CA"/>
              </w:rPr>
              <w:t xml:space="preserve">avec </w:t>
            </w:r>
            <w:r w:rsidRPr="00B10752">
              <w:rPr>
                <w:i/>
                <w:sz w:val="20"/>
                <w:lang w:val="fr-CA"/>
              </w:rPr>
              <w:t xml:space="preserve">certiorari </w:t>
            </w:r>
            <w:r w:rsidRPr="00B10752">
              <w:rPr>
                <w:sz w:val="20"/>
                <w:lang w:val="fr-CA"/>
              </w:rPr>
              <w:t>auxiliaire rejetée.</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Le 24 avril 2020</w:t>
            </w:r>
          </w:p>
          <w:p w:rsidR="00E70281" w:rsidRPr="00B10752" w:rsidRDefault="00E70281" w:rsidP="0074582E">
            <w:pPr>
              <w:jc w:val="both"/>
              <w:rPr>
                <w:sz w:val="20"/>
                <w:lang w:val="fr-CA"/>
              </w:rPr>
            </w:pPr>
            <w:r w:rsidRPr="00B10752">
              <w:rPr>
                <w:sz w:val="20"/>
                <w:lang w:val="fr-CA"/>
              </w:rPr>
              <w:t>Cour d’appel du Québec (Montréal)</w:t>
            </w:r>
          </w:p>
          <w:p w:rsidR="00E70281" w:rsidRPr="00B10752" w:rsidRDefault="00E70281" w:rsidP="0074582E">
            <w:pPr>
              <w:jc w:val="both"/>
              <w:rPr>
                <w:sz w:val="20"/>
                <w:lang w:val="fr-CA"/>
              </w:rPr>
            </w:pPr>
            <w:r w:rsidRPr="00B10752">
              <w:rPr>
                <w:sz w:val="20"/>
                <w:lang w:val="fr-CA"/>
              </w:rPr>
              <w:t>(Les juges Morissette, Rancourt et Beaupré)</w:t>
            </w:r>
          </w:p>
          <w:p w:rsidR="00E70281" w:rsidRPr="00B10752" w:rsidRDefault="00B10752" w:rsidP="0074582E">
            <w:pPr>
              <w:jc w:val="both"/>
              <w:rPr>
                <w:sz w:val="20"/>
              </w:rPr>
            </w:pPr>
            <w:hyperlink r:id="rId44" w:history="1">
              <w:r w:rsidR="00E70281" w:rsidRPr="00B10752">
                <w:rPr>
                  <w:rStyle w:val="Hyperlink"/>
                  <w:sz w:val="20"/>
                </w:rPr>
                <w:t>2020 QCCA 586</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fr-CA"/>
              </w:rPr>
            </w:pPr>
            <w:r w:rsidRPr="00B10752">
              <w:rPr>
                <w:sz w:val="20"/>
                <w:lang w:val="fr-CA"/>
              </w:rPr>
              <w:t>Déclaration que le droit d’appel du demandeur est déchu et rejet de l’appel.</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lastRenderedPageBreak/>
              <w:t>Le 23 juin 2020</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rPr>
            </w:pPr>
            <w:r w:rsidRPr="00B10752">
              <w:rPr>
                <w:sz w:val="20"/>
              </w:rPr>
              <w:t>Demande d'autorisation d'appel déposée</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widowControl w:val="0"/>
        <w:jc w:val="both"/>
        <w:rPr>
          <w:sz w:val="20"/>
          <w:lang w:val="fr-CA"/>
        </w:rPr>
      </w:pPr>
      <w:r w:rsidRPr="00B10752">
        <w:rPr>
          <w:sz w:val="20"/>
        </w:rPr>
        <w:pict>
          <v:rect id="_x0000_i1052"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39240</w:t>
            </w:r>
          </w:p>
        </w:tc>
        <w:tc>
          <w:tcPr>
            <w:tcW w:w="4457" w:type="pct"/>
            <w:gridSpan w:val="3"/>
          </w:tcPr>
          <w:p w:rsidR="00E70281" w:rsidRPr="00B10752" w:rsidRDefault="00E70281" w:rsidP="0074582E">
            <w:pPr>
              <w:pStyle w:val="SCCLsocParty"/>
              <w:jc w:val="both"/>
              <w:rPr>
                <w:b/>
                <w:sz w:val="20"/>
                <w:szCs w:val="20"/>
                <w:lang w:val="en-CA"/>
              </w:rPr>
            </w:pPr>
            <w:r w:rsidRPr="00B10752">
              <w:rPr>
                <w:b/>
                <w:sz w:val="20"/>
                <w:szCs w:val="20"/>
                <w:lang w:val="en-CA"/>
              </w:rPr>
              <w:t xml:space="preserve">Robert Anthony Paul v. </w:t>
            </w:r>
            <w:r w:rsidR="00E91D43" w:rsidRPr="00B10752">
              <w:rPr>
                <w:b/>
                <w:sz w:val="20"/>
                <w:szCs w:val="20"/>
                <w:lang w:val="en-CA"/>
              </w:rPr>
              <w:t>Attorney General of Canada, Stéphane Lalande, in his role as Director of Archambault Institution and Geneviève Thibeault, in her role as Director of the Federal Training Centre</w:t>
            </w:r>
          </w:p>
          <w:p w:rsidR="00E70281" w:rsidRPr="00B10752" w:rsidRDefault="00E70281" w:rsidP="0074582E">
            <w:pPr>
              <w:jc w:val="both"/>
              <w:rPr>
                <w:sz w:val="20"/>
              </w:rPr>
            </w:pPr>
            <w:r w:rsidRPr="00B10752">
              <w:rPr>
                <w:sz w:val="20"/>
              </w:rPr>
              <w:t>(Que.) (Civil) (By Leave)</w:t>
            </w:r>
          </w:p>
        </w:tc>
      </w:tr>
      <w:tr w:rsidR="00E70281" w:rsidRPr="00B10752" w:rsidTr="0074582E">
        <w:tc>
          <w:tcPr>
            <w:tcW w:w="5000" w:type="pct"/>
            <w:gridSpan w:val="4"/>
          </w:tcPr>
          <w:p w:rsidR="00E70281" w:rsidRPr="00B10752" w:rsidRDefault="00E91D43" w:rsidP="0074582E">
            <w:pPr>
              <w:jc w:val="both"/>
              <w:rPr>
                <w:sz w:val="20"/>
                <w:szCs w:val="20"/>
              </w:rPr>
            </w:pPr>
            <w:r w:rsidRPr="00B10752">
              <w:rPr>
                <w:sz w:val="20"/>
                <w:szCs w:val="20"/>
              </w:rPr>
              <w:t xml:space="preserve">The application for leave to appeal from the judgment of the </w:t>
            </w:r>
            <w:r w:rsidRPr="00B10752">
              <w:rPr>
                <w:sz w:val="20"/>
                <w:szCs w:val="20"/>
                <w:lang w:val="en-US"/>
              </w:rPr>
              <w:t>Court of Appeal of Quebec (Montréal)</w:t>
            </w:r>
            <w:r w:rsidRPr="00B10752">
              <w:rPr>
                <w:sz w:val="20"/>
                <w:szCs w:val="20"/>
              </w:rPr>
              <w:t xml:space="preserve">, Number </w:t>
            </w:r>
            <w:r w:rsidRPr="00B10752">
              <w:rPr>
                <w:sz w:val="20"/>
                <w:szCs w:val="20"/>
                <w:lang w:val="en-US"/>
              </w:rPr>
              <w:t xml:space="preserve">500-10-007168-196, </w:t>
            </w:r>
            <w:r w:rsidRPr="00B10752">
              <w:rPr>
                <w:sz w:val="20"/>
                <w:szCs w:val="20"/>
              </w:rPr>
              <w:t xml:space="preserve"> </w:t>
            </w:r>
            <w:r w:rsidRPr="00B10752">
              <w:rPr>
                <w:sz w:val="20"/>
                <w:szCs w:val="20"/>
                <w:lang w:val="en-US"/>
              </w:rPr>
              <w:t xml:space="preserve">2020 QCCA 632, </w:t>
            </w:r>
            <w:r w:rsidRPr="00B10752">
              <w:rPr>
                <w:sz w:val="20"/>
                <w:szCs w:val="20"/>
              </w:rPr>
              <w:t xml:space="preserve">dated </w:t>
            </w:r>
            <w:r w:rsidRPr="00B10752">
              <w:rPr>
                <w:sz w:val="20"/>
                <w:szCs w:val="20"/>
                <w:lang w:val="en-US"/>
              </w:rPr>
              <w:t>May 8, 2020,</w:t>
            </w:r>
            <w:r w:rsidRPr="00B10752">
              <w:rPr>
                <w:sz w:val="20"/>
                <w:szCs w:val="20"/>
              </w:rPr>
              <w:t xml:space="preserve"> is dismissed without costs.</w:t>
            </w:r>
          </w:p>
          <w:p w:rsidR="00E91D43" w:rsidRPr="00B10752" w:rsidRDefault="00E91D43"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 xml:space="preserve">Administrative law — Prisons — Procedure — </w:t>
            </w:r>
            <w:r w:rsidRPr="00B10752">
              <w:rPr>
                <w:i/>
                <w:sz w:val="20"/>
              </w:rPr>
              <w:t xml:space="preserve">Habeas corpus </w:t>
            </w:r>
            <w:r w:rsidRPr="00B10752">
              <w:rPr>
                <w:sz w:val="20"/>
              </w:rPr>
              <w:t xml:space="preserve">— Involuntary transfer — Procedural fairness — Duty to give information — Whether Court of Appeal erred in finding that </w:t>
            </w:r>
            <w:r w:rsidRPr="00B10752">
              <w:rPr>
                <w:i/>
                <w:sz w:val="20"/>
              </w:rPr>
              <w:t xml:space="preserve">habeas corpus </w:t>
            </w:r>
            <w:r w:rsidRPr="00B10752">
              <w:rPr>
                <w:sz w:val="20"/>
              </w:rPr>
              <w:t xml:space="preserve">in prison context is civil remedy and is therefore subject to </w:t>
            </w:r>
            <w:r w:rsidRPr="00B10752">
              <w:rPr>
                <w:i/>
                <w:sz w:val="20"/>
              </w:rPr>
              <w:t>Code of Civil Procedure</w:t>
            </w:r>
            <w:r w:rsidRPr="00B10752">
              <w:rPr>
                <w:sz w:val="20"/>
              </w:rPr>
              <w:t xml:space="preserve"> — Whether Court of Appeal erred in interpreting duty to give incarcerated person information referred to in s. 27 of </w:t>
            </w:r>
            <w:r w:rsidRPr="00B10752">
              <w:rPr>
                <w:i/>
                <w:sz w:val="20"/>
              </w:rPr>
              <w:t>Corrections and Conditional Release Act</w:t>
            </w:r>
            <w:r w:rsidRPr="00B10752">
              <w:rPr>
                <w:sz w:val="20"/>
              </w:rPr>
              <w:t>, S.C. 1992, c. 20.</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lang w:eastAsia="en-CA"/>
              </w:rPr>
            </w:pPr>
            <w:r w:rsidRPr="00B10752">
              <w:rPr>
                <w:sz w:val="20"/>
                <w:lang w:eastAsia="en-CA"/>
              </w:rPr>
              <w:t>In 2019, the applicant was serving a sentence at a minimum</w:t>
            </w:r>
            <w:r w:rsidRPr="00B10752">
              <w:rPr>
                <w:sz w:val="20"/>
                <w:lang w:eastAsia="en-CA"/>
              </w:rPr>
              <w:noBreakHyphen/>
              <w:t xml:space="preserve">security penitentiary. Following allegations that he had stolen food and trafficked in contraband, his case management team </w:t>
            </w:r>
            <w:r w:rsidRPr="00B10752">
              <w:rPr>
                <w:sz w:val="20"/>
              </w:rPr>
              <w:t>recommended an increase in his security classification and a transfer to a medium</w:t>
            </w:r>
            <w:r w:rsidRPr="00B10752">
              <w:rPr>
                <w:sz w:val="20"/>
              </w:rPr>
              <w:noBreakHyphen/>
              <w:t>security penitentiary</w:t>
            </w:r>
            <w:r w:rsidRPr="00B10752">
              <w:rPr>
                <w:sz w:val="20"/>
                <w:lang w:eastAsia="en-CA"/>
              </w:rPr>
              <w:t>. Before the warden of the penitentiary made a decision, the applicant was given three documents containing the information on which the decision would be based and was allowed to file written representations. He was not given some information that was protected. The warden approved the case management team’s recommendation, and the applicant was transferred to a medium</w:t>
            </w:r>
            <w:r w:rsidRPr="00B10752">
              <w:rPr>
                <w:sz w:val="20"/>
                <w:lang w:eastAsia="en-CA"/>
              </w:rPr>
              <w:noBreakHyphen/>
              <w:t xml:space="preserve">security penitentiary. Alleging that his transfer was unlawful, including because of failure to give information, the applicant filed an application for </w:t>
            </w:r>
            <w:r w:rsidRPr="00B10752">
              <w:rPr>
                <w:i/>
                <w:sz w:val="20"/>
                <w:lang w:eastAsia="en-CA"/>
              </w:rPr>
              <w:t>habeas corpus</w:t>
            </w:r>
            <w:r w:rsidRPr="00B10752">
              <w:rPr>
                <w:sz w:val="20"/>
                <w:lang w:eastAsia="en-CA"/>
              </w:rPr>
              <w:t xml:space="preserve"> with the Superior Court, which dismissed the application. The Court of Appeal dismissed the applicant’s appeal and stated in </w:t>
            </w:r>
            <w:r w:rsidRPr="00B10752">
              <w:rPr>
                <w:i/>
                <w:sz w:val="20"/>
                <w:lang w:eastAsia="en-CA"/>
              </w:rPr>
              <w:t>obiter</w:t>
            </w:r>
            <w:r w:rsidRPr="00B10752">
              <w:rPr>
                <w:sz w:val="20"/>
                <w:lang w:eastAsia="en-CA"/>
              </w:rPr>
              <w:t xml:space="preserve"> that the </w:t>
            </w:r>
            <w:r w:rsidRPr="00B10752">
              <w:rPr>
                <w:i/>
                <w:sz w:val="20"/>
                <w:lang w:eastAsia="en-CA"/>
              </w:rPr>
              <w:t>Code of Civil Procedure</w:t>
            </w:r>
            <w:r w:rsidRPr="00B10752">
              <w:rPr>
                <w:sz w:val="20"/>
                <w:lang w:eastAsia="en-CA"/>
              </w:rPr>
              <w:t xml:space="preserve"> applies to </w:t>
            </w:r>
            <w:r w:rsidRPr="00B10752">
              <w:rPr>
                <w:i/>
                <w:sz w:val="20"/>
                <w:lang w:eastAsia="en-CA"/>
              </w:rPr>
              <w:t xml:space="preserve">habeas corpus </w:t>
            </w:r>
            <w:r w:rsidRPr="00B10752">
              <w:rPr>
                <w:sz w:val="20"/>
                <w:lang w:eastAsia="en-CA"/>
              </w:rPr>
              <w:t>proceedings in relation to the classification or transfer of inmates.</w:t>
            </w:r>
          </w:p>
          <w:p w:rsidR="00E70281" w:rsidRPr="00B10752" w:rsidRDefault="00E70281" w:rsidP="0074582E">
            <w:pPr>
              <w:jc w:val="both"/>
              <w:rPr>
                <w:sz w:val="20"/>
                <w:lang w:eastAsia="en-CA"/>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September 17, 2019</w:t>
            </w:r>
          </w:p>
          <w:p w:rsidR="00E70281" w:rsidRPr="00B10752" w:rsidRDefault="00E70281" w:rsidP="0074582E">
            <w:pPr>
              <w:jc w:val="both"/>
              <w:rPr>
                <w:sz w:val="20"/>
              </w:rPr>
            </w:pPr>
            <w:r w:rsidRPr="00B10752">
              <w:rPr>
                <w:sz w:val="20"/>
              </w:rPr>
              <w:t>Quebec Superior Court</w:t>
            </w:r>
          </w:p>
          <w:p w:rsidR="00E70281" w:rsidRPr="00B10752" w:rsidRDefault="00E70281" w:rsidP="0074582E">
            <w:pPr>
              <w:jc w:val="both"/>
              <w:rPr>
                <w:sz w:val="20"/>
              </w:rPr>
            </w:pPr>
            <w:r w:rsidRPr="00B10752">
              <w:rPr>
                <w:sz w:val="20"/>
              </w:rPr>
              <w:t>(Décarie J.)</w:t>
            </w:r>
          </w:p>
          <w:p w:rsidR="00E70281" w:rsidRPr="00B10752" w:rsidRDefault="00B10752" w:rsidP="0074582E">
            <w:pPr>
              <w:jc w:val="both"/>
              <w:rPr>
                <w:sz w:val="20"/>
              </w:rPr>
            </w:pPr>
            <w:hyperlink r:id="rId45" w:history="1">
              <w:r w:rsidR="00E70281" w:rsidRPr="00B10752">
                <w:rPr>
                  <w:rStyle w:val="Hyperlink"/>
                  <w:sz w:val="20"/>
                </w:rPr>
                <w:t>2019 QCCS 5905</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 xml:space="preserve">Application for writ of </w:t>
            </w:r>
            <w:r w:rsidRPr="00B10752">
              <w:rPr>
                <w:i/>
                <w:sz w:val="20"/>
              </w:rPr>
              <w:t xml:space="preserve">habeas corpus </w:t>
            </w:r>
            <w:r w:rsidRPr="00B10752">
              <w:rPr>
                <w:sz w:val="20"/>
              </w:rPr>
              <w:t xml:space="preserve">with </w:t>
            </w:r>
            <w:r w:rsidRPr="00B10752">
              <w:rPr>
                <w:i/>
                <w:sz w:val="20"/>
              </w:rPr>
              <w:t xml:space="preserve">certiorari </w:t>
            </w:r>
            <w:r w:rsidRPr="00B10752">
              <w:rPr>
                <w:sz w:val="20"/>
              </w:rPr>
              <w:t>in aid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May 8, 2020</w:t>
            </w:r>
          </w:p>
          <w:p w:rsidR="00E70281" w:rsidRPr="00B10752" w:rsidRDefault="00E70281" w:rsidP="0074582E">
            <w:pPr>
              <w:jc w:val="both"/>
              <w:rPr>
                <w:sz w:val="20"/>
              </w:rPr>
            </w:pPr>
            <w:r w:rsidRPr="00B10752">
              <w:rPr>
                <w:sz w:val="20"/>
              </w:rPr>
              <w:t>Quebec Court of Appeal (Montréal)</w:t>
            </w:r>
          </w:p>
          <w:p w:rsidR="00E70281" w:rsidRPr="00B10752" w:rsidRDefault="00E70281" w:rsidP="0074582E">
            <w:pPr>
              <w:jc w:val="both"/>
              <w:rPr>
                <w:sz w:val="20"/>
              </w:rPr>
            </w:pPr>
            <w:r w:rsidRPr="00B10752">
              <w:rPr>
                <w:sz w:val="20"/>
              </w:rPr>
              <w:t>(Schrager, Healy and Fournier JJ.A.)</w:t>
            </w:r>
          </w:p>
          <w:p w:rsidR="00E70281" w:rsidRPr="00B10752" w:rsidRDefault="00B10752" w:rsidP="0074582E">
            <w:pPr>
              <w:jc w:val="both"/>
              <w:rPr>
                <w:sz w:val="20"/>
              </w:rPr>
            </w:pPr>
            <w:hyperlink r:id="rId46" w:history="1">
              <w:r w:rsidR="00E70281" w:rsidRPr="00B10752">
                <w:rPr>
                  <w:rStyle w:val="Hyperlink"/>
                  <w:sz w:val="20"/>
                </w:rPr>
                <w:t>2020 QCCA 632</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Appeal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July 6, 2020</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53"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39240</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 xml:space="preserve">Robert Anthony Paul c. </w:t>
            </w:r>
            <w:r w:rsidR="00E91D43" w:rsidRPr="00B10752">
              <w:rPr>
                <w:b/>
                <w:sz w:val="20"/>
                <w:szCs w:val="20"/>
              </w:rPr>
              <w:t>Procureur général du Canada, Stéphane Lalande, en sa qualité de directeur de l’Établissement Archambault et Geneviève Thibeault, en sa qualité de directrice de Centre fédéral de formation-minimum</w:t>
            </w:r>
          </w:p>
          <w:p w:rsidR="00E70281" w:rsidRPr="00B10752" w:rsidRDefault="00E70281" w:rsidP="0074582E">
            <w:pPr>
              <w:jc w:val="both"/>
              <w:rPr>
                <w:sz w:val="20"/>
              </w:rPr>
            </w:pPr>
            <w:r w:rsidRPr="00B10752">
              <w:rPr>
                <w:sz w:val="20"/>
              </w:rPr>
              <w:t>(Qc) (Civile) (Autorisation)</w:t>
            </w:r>
          </w:p>
        </w:tc>
      </w:tr>
      <w:tr w:rsidR="00E70281" w:rsidRPr="00B10752" w:rsidTr="0074582E">
        <w:tc>
          <w:tcPr>
            <w:tcW w:w="5000" w:type="pct"/>
            <w:gridSpan w:val="4"/>
          </w:tcPr>
          <w:p w:rsidR="00E70281" w:rsidRPr="00B10752" w:rsidRDefault="00E91D43" w:rsidP="0074582E">
            <w:pPr>
              <w:jc w:val="both"/>
              <w:rPr>
                <w:sz w:val="20"/>
                <w:szCs w:val="20"/>
                <w:lang w:val="fr-CA"/>
              </w:rPr>
            </w:pPr>
            <w:r w:rsidRPr="00B10752">
              <w:rPr>
                <w:sz w:val="20"/>
                <w:szCs w:val="20"/>
                <w:lang w:val="fr-CA"/>
              </w:rPr>
              <w:t>La demande d’autorisation d’appel de l’arrêt de la Cour d’appel du Québec (Montréal), numéro 500-10-007168-196, 2020 QCCA 632, daté du 8 mai 2020, est rejetée sans dépens.</w:t>
            </w:r>
          </w:p>
          <w:p w:rsidR="00E91D43" w:rsidRPr="00B10752" w:rsidRDefault="00E91D43"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lastRenderedPageBreak/>
              <w:t xml:space="preserve">Droit administratif — Droit carcéral — Procédure — </w:t>
            </w:r>
            <w:r w:rsidRPr="00B10752">
              <w:rPr>
                <w:i/>
                <w:sz w:val="20"/>
                <w:lang w:val="fr-CA"/>
              </w:rPr>
              <w:t xml:space="preserve">Habeas corpus </w:t>
            </w:r>
            <w:r w:rsidRPr="00B10752">
              <w:rPr>
                <w:sz w:val="20"/>
                <w:lang w:val="fr-CA"/>
              </w:rPr>
              <w:t>— Transfèrement non sollicité — Équité procédurale — Obligation de communication — La Cour d’appel a</w:t>
            </w:r>
            <w:r w:rsidRPr="00B10752">
              <w:rPr>
                <w:sz w:val="20"/>
                <w:lang w:val="fr-CA"/>
              </w:rPr>
              <w:noBreakHyphen/>
              <w:t>t</w:t>
            </w:r>
            <w:r w:rsidRPr="00B10752">
              <w:rPr>
                <w:sz w:val="20"/>
                <w:lang w:val="fr-CA"/>
              </w:rPr>
              <w:noBreakHyphen/>
              <w:t xml:space="preserve">elle erré en concluant qu’un recours en </w:t>
            </w:r>
            <w:r w:rsidRPr="00B10752">
              <w:rPr>
                <w:i/>
                <w:sz w:val="20"/>
                <w:lang w:val="fr-CA"/>
              </w:rPr>
              <w:t xml:space="preserve">habeas corpus </w:t>
            </w:r>
            <w:r w:rsidRPr="00B10752">
              <w:rPr>
                <w:sz w:val="20"/>
                <w:lang w:val="fr-CA"/>
              </w:rPr>
              <w:t xml:space="preserve">en matière carcérale est de nature civile et donc assujetti au </w:t>
            </w:r>
            <w:r w:rsidRPr="00B10752">
              <w:rPr>
                <w:i/>
                <w:sz w:val="20"/>
                <w:lang w:val="fr-CA"/>
              </w:rPr>
              <w:t>Code de procédure civile</w:t>
            </w:r>
            <w:r w:rsidRPr="00B10752">
              <w:rPr>
                <w:sz w:val="20"/>
                <w:lang w:val="fr-CA"/>
              </w:rPr>
              <w:t>? — La Cour d’appel a</w:t>
            </w:r>
            <w:r w:rsidRPr="00B10752">
              <w:rPr>
                <w:sz w:val="20"/>
                <w:lang w:val="fr-CA"/>
              </w:rPr>
              <w:noBreakHyphen/>
              <w:t>t</w:t>
            </w:r>
            <w:r w:rsidRPr="00B10752">
              <w:rPr>
                <w:sz w:val="20"/>
                <w:lang w:val="fr-CA"/>
              </w:rPr>
              <w:noBreakHyphen/>
              <w:t xml:space="preserve">elle erré dans son interprétation de l’obligation de communication à une personne incarcérée des renseignements prévus à l’article 27 de la </w:t>
            </w:r>
            <w:r w:rsidRPr="00B10752">
              <w:rPr>
                <w:i/>
                <w:sz w:val="20"/>
                <w:lang w:val="fr-CA"/>
              </w:rPr>
              <w:t>Loi sur le système correctionnel et la mise en liberté sous condition</w:t>
            </w:r>
            <w:r w:rsidRPr="00B10752">
              <w:rPr>
                <w:sz w:val="20"/>
                <w:lang w:val="fr-CA"/>
              </w:rPr>
              <w:t>, L.C. 1992, c. 20?</w:t>
            </w:r>
          </w:p>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eastAsia="en-CA"/>
              </w:rPr>
            </w:pPr>
            <w:r w:rsidRPr="00B10752">
              <w:rPr>
                <w:sz w:val="20"/>
                <w:lang w:val="fr-CA" w:eastAsia="en-CA"/>
              </w:rPr>
              <w:t xml:space="preserve">En 2019, le demandeur purge une peine dans un pénitencier à sécurité minimum. Suite à des allégations de vol de nourriture et de trafic de contrebande, l’équipe de gestion de cas du demandeur recommande que sa cote de sécurité soit rehaussée et qu’il soit transféré à un pénitencier à sécurité moyenne. Avant la prise de la décision par la directrice du pénitencier, trois documents contenant les renseignements sur lesquels la décision serait basée sont communiqués au demandeur, et il lui est permis de produire des représentations écrites. Certains renseignements protégés ne sont pas communiqués au demandeur. La directrice entérine la recommandation de l’équipe de gestion de cas, et le demandeur est transféré à un pénitencier à sécurité moyenne. Alléguant que son transfèrement est illicite, notamment en raison de manquements dans la communication de renseignements, le demandeur dépose une requête en </w:t>
            </w:r>
            <w:r w:rsidRPr="00B10752">
              <w:rPr>
                <w:i/>
                <w:sz w:val="20"/>
                <w:lang w:val="fr-CA" w:eastAsia="en-CA"/>
              </w:rPr>
              <w:t>habeas corpus</w:t>
            </w:r>
            <w:r w:rsidRPr="00B10752">
              <w:rPr>
                <w:sz w:val="20"/>
                <w:lang w:val="fr-CA" w:eastAsia="en-CA"/>
              </w:rPr>
              <w:t xml:space="preserve"> à la Cour supérieure. La Cour supérieure rejette la requête en </w:t>
            </w:r>
            <w:r w:rsidRPr="00B10752">
              <w:rPr>
                <w:i/>
                <w:sz w:val="20"/>
                <w:lang w:val="fr-CA" w:eastAsia="en-CA"/>
              </w:rPr>
              <w:t>habeas corpus</w:t>
            </w:r>
            <w:r w:rsidRPr="00B10752">
              <w:rPr>
                <w:sz w:val="20"/>
                <w:lang w:val="fr-CA" w:eastAsia="en-CA"/>
              </w:rPr>
              <w:t xml:space="preserve">. La Cour d’appel rejette l’appel du demandeur et énonce, en </w:t>
            </w:r>
            <w:r w:rsidRPr="00B10752">
              <w:rPr>
                <w:i/>
                <w:sz w:val="20"/>
                <w:lang w:val="fr-CA" w:eastAsia="en-CA"/>
              </w:rPr>
              <w:t>obiter</w:t>
            </w:r>
            <w:r w:rsidRPr="00B10752">
              <w:rPr>
                <w:sz w:val="20"/>
                <w:lang w:val="fr-CA" w:eastAsia="en-CA"/>
              </w:rPr>
              <w:t xml:space="preserve">, que le </w:t>
            </w:r>
            <w:r w:rsidRPr="00B10752">
              <w:rPr>
                <w:i/>
                <w:sz w:val="20"/>
                <w:lang w:val="fr-CA" w:eastAsia="en-CA"/>
              </w:rPr>
              <w:t>Code de procédure civile</w:t>
            </w:r>
            <w:r w:rsidRPr="00B10752">
              <w:rPr>
                <w:sz w:val="20"/>
                <w:lang w:val="fr-CA" w:eastAsia="en-CA"/>
              </w:rPr>
              <w:t xml:space="preserve"> s’applique aux recours en </w:t>
            </w:r>
            <w:r w:rsidRPr="00B10752">
              <w:rPr>
                <w:i/>
                <w:sz w:val="20"/>
                <w:lang w:val="fr-CA" w:eastAsia="en-CA"/>
              </w:rPr>
              <w:t xml:space="preserve">habeas corpus </w:t>
            </w:r>
            <w:r w:rsidRPr="00B10752">
              <w:rPr>
                <w:sz w:val="20"/>
                <w:lang w:val="fr-CA" w:eastAsia="en-CA"/>
              </w:rPr>
              <w:t>en matière de classification ou de transfèrement d’une personne détenue.</w:t>
            </w:r>
          </w:p>
          <w:p w:rsidR="00E70281" w:rsidRPr="00B10752" w:rsidRDefault="00E70281" w:rsidP="0074582E">
            <w:pPr>
              <w:jc w:val="both"/>
              <w:rPr>
                <w:sz w:val="20"/>
                <w:lang w:val="fr-CA" w:eastAsia="en-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Le 17 septembre 2019</w:t>
            </w:r>
          </w:p>
          <w:p w:rsidR="00E70281" w:rsidRPr="00B10752" w:rsidRDefault="00E70281" w:rsidP="0074582E">
            <w:pPr>
              <w:jc w:val="both"/>
              <w:rPr>
                <w:sz w:val="20"/>
                <w:lang w:val="fr-CA"/>
              </w:rPr>
            </w:pPr>
            <w:r w:rsidRPr="00B10752">
              <w:rPr>
                <w:sz w:val="20"/>
                <w:lang w:val="fr-CA"/>
              </w:rPr>
              <w:t>Cour supérieure du Québec</w:t>
            </w:r>
          </w:p>
          <w:p w:rsidR="00E70281" w:rsidRPr="00B10752" w:rsidRDefault="00E70281" w:rsidP="0074582E">
            <w:pPr>
              <w:jc w:val="both"/>
              <w:rPr>
                <w:sz w:val="20"/>
              </w:rPr>
            </w:pPr>
            <w:r w:rsidRPr="00B10752">
              <w:rPr>
                <w:sz w:val="20"/>
              </w:rPr>
              <w:t>(La juge Décarie)</w:t>
            </w:r>
          </w:p>
          <w:p w:rsidR="00E70281" w:rsidRPr="00B10752" w:rsidRDefault="00B10752" w:rsidP="0074582E">
            <w:pPr>
              <w:jc w:val="both"/>
              <w:rPr>
                <w:sz w:val="20"/>
              </w:rPr>
            </w:pPr>
            <w:hyperlink r:id="rId47" w:history="1">
              <w:r w:rsidR="00E70281" w:rsidRPr="00B10752">
                <w:rPr>
                  <w:rStyle w:val="Hyperlink"/>
                  <w:sz w:val="20"/>
                </w:rPr>
                <w:t>2019 QCCS 5905</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fr-CA"/>
              </w:rPr>
            </w:pPr>
            <w:r w:rsidRPr="00B10752">
              <w:rPr>
                <w:sz w:val="20"/>
                <w:lang w:val="fr-CA"/>
              </w:rPr>
              <w:t>Requête pour l’émission d’un bref d’</w:t>
            </w:r>
            <w:r w:rsidRPr="00B10752">
              <w:rPr>
                <w:i/>
                <w:sz w:val="20"/>
                <w:lang w:val="fr-CA"/>
              </w:rPr>
              <w:t xml:space="preserve">habeas corpus </w:t>
            </w:r>
            <w:r w:rsidRPr="00B10752">
              <w:rPr>
                <w:sz w:val="20"/>
                <w:lang w:val="fr-CA"/>
              </w:rPr>
              <w:t xml:space="preserve">avec </w:t>
            </w:r>
            <w:r w:rsidRPr="00B10752">
              <w:rPr>
                <w:i/>
                <w:sz w:val="20"/>
                <w:lang w:val="fr-CA"/>
              </w:rPr>
              <w:t xml:space="preserve">certiorari </w:t>
            </w:r>
            <w:r w:rsidRPr="00B10752">
              <w:rPr>
                <w:sz w:val="20"/>
                <w:lang w:val="fr-CA"/>
              </w:rPr>
              <w:t>auxiliaire rejetée.</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Le 8 mai 2020</w:t>
            </w:r>
          </w:p>
          <w:p w:rsidR="00E70281" w:rsidRPr="00B10752" w:rsidRDefault="00E70281" w:rsidP="0074582E">
            <w:pPr>
              <w:jc w:val="both"/>
              <w:rPr>
                <w:sz w:val="20"/>
                <w:lang w:val="fr-CA"/>
              </w:rPr>
            </w:pPr>
            <w:r w:rsidRPr="00B10752">
              <w:rPr>
                <w:sz w:val="20"/>
                <w:lang w:val="fr-CA"/>
              </w:rPr>
              <w:t>Cour d’appel du Québec (Montréal)</w:t>
            </w:r>
          </w:p>
          <w:p w:rsidR="00E70281" w:rsidRPr="00B10752" w:rsidRDefault="00E70281" w:rsidP="0074582E">
            <w:pPr>
              <w:jc w:val="both"/>
              <w:rPr>
                <w:sz w:val="20"/>
                <w:lang w:val="fr-CA"/>
              </w:rPr>
            </w:pPr>
            <w:r w:rsidRPr="00B10752">
              <w:rPr>
                <w:sz w:val="20"/>
                <w:lang w:val="fr-CA"/>
              </w:rPr>
              <w:t>(Les juges Schrager, Healy et Fournier)</w:t>
            </w:r>
          </w:p>
          <w:p w:rsidR="00E70281" w:rsidRPr="00B10752" w:rsidRDefault="00B10752" w:rsidP="0074582E">
            <w:pPr>
              <w:jc w:val="both"/>
              <w:rPr>
                <w:sz w:val="20"/>
              </w:rPr>
            </w:pPr>
            <w:hyperlink r:id="rId48" w:history="1">
              <w:r w:rsidR="00E70281" w:rsidRPr="00B10752">
                <w:rPr>
                  <w:rStyle w:val="Hyperlink"/>
                  <w:sz w:val="20"/>
                </w:rPr>
                <w:t>2020 QCCA 632</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Appel rejeté.</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Le 6 juillet 2020</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rPr>
            </w:pPr>
            <w:r w:rsidRPr="00B10752">
              <w:rPr>
                <w:sz w:val="20"/>
              </w:rPr>
              <w:t>Demande d'autorisation d'appel déposée</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54"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39471</w:t>
            </w:r>
          </w:p>
        </w:tc>
        <w:tc>
          <w:tcPr>
            <w:tcW w:w="4457" w:type="pct"/>
          </w:tcPr>
          <w:p w:rsidR="00E70281" w:rsidRPr="00B10752" w:rsidRDefault="00E70281" w:rsidP="0074582E">
            <w:pPr>
              <w:pStyle w:val="SCCLsocParty"/>
              <w:jc w:val="both"/>
              <w:rPr>
                <w:b/>
                <w:sz w:val="20"/>
                <w:szCs w:val="20"/>
                <w:lang w:val="en-US"/>
              </w:rPr>
            </w:pPr>
            <w:r w:rsidRPr="00B10752">
              <w:rPr>
                <w:b/>
                <w:sz w:val="20"/>
                <w:szCs w:val="20"/>
                <w:lang w:val="en-US"/>
              </w:rPr>
              <w:t>Wallace Platt v. Canada Revenue Agency</w:t>
            </w:r>
          </w:p>
          <w:p w:rsidR="00E70281" w:rsidRPr="00B10752" w:rsidRDefault="00E70281" w:rsidP="0074582E">
            <w:pPr>
              <w:jc w:val="both"/>
              <w:rPr>
                <w:sz w:val="20"/>
              </w:rPr>
            </w:pPr>
            <w:r w:rsidRPr="00B10752">
              <w:rPr>
                <w:sz w:val="20"/>
              </w:rPr>
              <w:t>(Ont.) (Civil) (By Leave)</w:t>
            </w:r>
          </w:p>
        </w:tc>
      </w:tr>
      <w:tr w:rsidR="00E70281" w:rsidRPr="00B10752" w:rsidTr="0074582E">
        <w:tc>
          <w:tcPr>
            <w:tcW w:w="5000" w:type="pct"/>
            <w:gridSpan w:val="2"/>
          </w:tcPr>
          <w:p w:rsidR="00E91D43" w:rsidRPr="00B10752" w:rsidRDefault="00E91D43" w:rsidP="00E91D43">
            <w:pPr>
              <w:jc w:val="both"/>
              <w:rPr>
                <w:sz w:val="20"/>
                <w:szCs w:val="20"/>
              </w:rPr>
            </w:pPr>
            <w:r w:rsidRPr="00B10752">
              <w:rPr>
                <w:rFonts w:cs="Times New Roman"/>
                <w:sz w:val="20"/>
                <w:szCs w:val="20"/>
              </w:rPr>
              <w:t xml:space="preserve">The motion for an extension of time to serve and file the application for leave to appeal is granted. </w:t>
            </w:r>
            <w:r w:rsidRPr="00B10752">
              <w:rPr>
                <w:sz w:val="20"/>
                <w:szCs w:val="20"/>
              </w:rPr>
              <w:t>The application for leave to appeal from the judgment of the Court of Appeal for Ontario, Number M51144, dated September 14, 2020, is dismissed with costs.</w:t>
            </w:r>
          </w:p>
          <w:p w:rsidR="00E70281" w:rsidRPr="00B10752" w:rsidRDefault="00E70281" w:rsidP="0074582E">
            <w:pPr>
              <w:jc w:val="both"/>
              <w:rPr>
                <w:sz w:val="20"/>
              </w:rPr>
            </w:pPr>
          </w:p>
        </w:tc>
      </w:tr>
      <w:tr w:rsidR="00E70281" w:rsidRPr="00B10752" w:rsidTr="0074582E">
        <w:tc>
          <w:tcPr>
            <w:tcW w:w="5000" w:type="pct"/>
            <w:gridSpan w:val="2"/>
          </w:tcPr>
          <w:p w:rsidR="00E70281" w:rsidRPr="00B10752" w:rsidRDefault="00E70281" w:rsidP="0074582E">
            <w:pPr>
              <w:jc w:val="both"/>
              <w:rPr>
                <w:sz w:val="20"/>
              </w:rPr>
            </w:pPr>
            <w:r w:rsidRPr="00B10752">
              <w:rPr>
                <w:sz w:val="20"/>
              </w:rPr>
              <w:t>Taxation — Applicant commencing action against Canada Revenue Agency — Action dismissed — Whether application for leave to appeal involves an issue of public importance regarding the Canada Revenue Agency and the private law duty of care to taxpayers.</w:t>
            </w:r>
          </w:p>
          <w:p w:rsidR="00E70281" w:rsidRPr="00B10752" w:rsidRDefault="00E70281" w:rsidP="0074582E">
            <w:pPr>
              <w:jc w:val="both"/>
              <w:rPr>
                <w:sz w:val="20"/>
              </w:rPr>
            </w:pPr>
          </w:p>
        </w:tc>
      </w:tr>
      <w:tr w:rsidR="00E70281" w:rsidRPr="00B10752" w:rsidTr="0074582E">
        <w:tc>
          <w:tcPr>
            <w:tcW w:w="5000" w:type="pct"/>
            <w:gridSpan w:val="2"/>
          </w:tcPr>
          <w:p w:rsidR="00E70281" w:rsidRPr="00B10752" w:rsidRDefault="00E70281" w:rsidP="0074582E">
            <w:pPr>
              <w:jc w:val="both"/>
              <w:rPr>
                <w:sz w:val="20"/>
              </w:rPr>
            </w:pPr>
            <w:r w:rsidRPr="00B10752">
              <w:rPr>
                <w:sz w:val="20"/>
              </w:rPr>
              <w:t>The applicant owes money to the Canada Revenue Agency (CRA). The applicant states that he and the CRA had a verbal agreement that he make monthly payments to the CRA in order to discharge the amount owing. Then, the CRA froze the applicant’s bank accounts. The applicant commenced an action against the CRA in Small Claims Court. The CRA successful brought a motion to strike the applicant’s action. The applicant’s appeal of that decision was dismissed. The Court of Appeal denied leave to appeal.</w:t>
            </w:r>
          </w:p>
        </w:tc>
      </w:tr>
      <w:tr w:rsidR="00E70281" w:rsidRPr="00B10752" w:rsidTr="0074582E">
        <w:tc>
          <w:tcPr>
            <w:tcW w:w="5000" w:type="pct"/>
            <w:gridSpan w:val="2"/>
          </w:tcPr>
          <w:p w:rsidR="00E70281" w:rsidRPr="00B10752" w:rsidRDefault="00E70281" w:rsidP="0074582E">
            <w:pPr>
              <w:jc w:val="both"/>
              <w:rPr>
                <w:sz w:val="20"/>
              </w:rPr>
            </w:pPr>
          </w:p>
        </w:tc>
      </w:tr>
    </w:tbl>
    <w:p w:rsidR="00D90258" w:rsidRPr="00B10752" w:rsidRDefault="00D90258">
      <w:r w:rsidRPr="00B1075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2427" w:type="pct"/>
          </w:tcPr>
          <w:p w:rsidR="00E70281" w:rsidRPr="00B10752" w:rsidRDefault="00E70281" w:rsidP="0074582E">
            <w:pPr>
              <w:jc w:val="both"/>
              <w:rPr>
                <w:sz w:val="20"/>
              </w:rPr>
            </w:pPr>
            <w:r w:rsidRPr="00B10752">
              <w:rPr>
                <w:sz w:val="20"/>
              </w:rPr>
              <w:lastRenderedPageBreak/>
              <w:t>May 30, 2019</w:t>
            </w:r>
          </w:p>
          <w:p w:rsidR="00E70281" w:rsidRPr="00B10752" w:rsidRDefault="00E70281" w:rsidP="0074582E">
            <w:pPr>
              <w:jc w:val="both"/>
              <w:rPr>
                <w:sz w:val="20"/>
              </w:rPr>
            </w:pPr>
            <w:r w:rsidRPr="00B10752">
              <w:rPr>
                <w:sz w:val="20"/>
              </w:rPr>
              <w:t>Ontario Small Claims Court</w:t>
            </w:r>
          </w:p>
          <w:p w:rsidR="00E70281" w:rsidRPr="00B10752" w:rsidRDefault="00E70281" w:rsidP="0074582E">
            <w:pPr>
              <w:jc w:val="both"/>
              <w:rPr>
                <w:sz w:val="20"/>
              </w:rPr>
            </w:pPr>
            <w:r w:rsidRPr="00B10752">
              <w:rPr>
                <w:sz w:val="20"/>
              </w:rPr>
              <w:t>(Deputy Judge McCabe)</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Applicant’s action dismissed</w:t>
            </w:r>
          </w:p>
        </w:tc>
      </w:tr>
      <w:tr w:rsidR="00E70281" w:rsidRPr="00B10752" w:rsidTr="0074582E">
        <w:tc>
          <w:tcPr>
            <w:tcW w:w="2427" w:type="pct"/>
          </w:tcPr>
          <w:p w:rsidR="00E70281" w:rsidRPr="00B10752" w:rsidRDefault="00E70281" w:rsidP="0074582E">
            <w:pPr>
              <w:jc w:val="both"/>
              <w:rPr>
                <w:sz w:val="20"/>
              </w:rPr>
            </w:pPr>
            <w:r w:rsidRPr="00B10752">
              <w:rPr>
                <w:sz w:val="20"/>
              </w:rPr>
              <w:t>November 29, 2019</w:t>
            </w:r>
          </w:p>
          <w:p w:rsidR="00E70281" w:rsidRPr="00B10752" w:rsidRDefault="00E70281" w:rsidP="0074582E">
            <w:pPr>
              <w:jc w:val="both"/>
              <w:rPr>
                <w:sz w:val="20"/>
              </w:rPr>
            </w:pPr>
            <w:r w:rsidRPr="00B10752">
              <w:rPr>
                <w:sz w:val="20"/>
              </w:rPr>
              <w:t>Ontario Superior Court of Justice</w:t>
            </w:r>
          </w:p>
          <w:p w:rsidR="00E70281" w:rsidRPr="00B10752" w:rsidRDefault="00E70281" w:rsidP="0074582E">
            <w:pPr>
              <w:jc w:val="both"/>
              <w:rPr>
                <w:sz w:val="20"/>
              </w:rPr>
            </w:pPr>
            <w:r w:rsidRPr="00B10752">
              <w:rPr>
                <w:sz w:val="20"/>
              </w:rPr>
              <w:t>(Baltman J.)</w:t>
            </w:r>
          </w:p>
          <w:p w:rsidR="00E70281" w:rsidRPr="00B10752" w:rsidRDefault="00E70281" w:rsidP="0074582E">
            <w:pPr>
              <w:jc w:val="both"/>
              <w:rPr>
                <w:sz w:val="20"/>
              </w:rPr>
            </w:pPr>
            <w:r w:rsidRPr="00B10752">
              <w:rPr>
                <w:sz w:val="20"/>
              </w:rPr>
              <w:t>(unreported)</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Appeal from decision striking the applicant’s action dismissed</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September 14, 2020</w:t>
            </w:r>
          </w:p>
          <w:p w:rsidR="00E70281" w:rsidRPr="00B10752" w:rsidRDefault="00E70281" w:rsidP="0074582E">
            <w:pPr>
              <w:jc w:val="both"/>
              <w:rPr>
                <w:sz w:val="20"/>
              </w:rPr>
            </w:pPr>
            <w:r w:rsidRPr="00B10752">
              <w:rPr>
                <w:sz w:val="20"/>
              </w:rPr>
              <w:t>Court of Appeal for Ontario</w:t>
            </w:r>
          </w:p>
          <w:p w:rsidR="00E70281" w:rsidRPr="00B10752" w:rsidRDefault="00E70281" w:rsidP="0074582E">
            <w:pPr>
              <w:jc w:val="both"/>
              <w:rPr>
                <w:sz w:val="20"/>
              </w:rPr>
            </w:pPr>
            <w:r w:rsidRPr="00B10752">
              <w:rPr>
                <w:sz w:val="20"/>
              </w:rPr>
              <w:t>(Paciocco, Nordheimer, Thorburn JJ.A.)</w:t>
            </w:r>
          </w:p>
          <w:p w:rsidR="00E70281" w:rsidRPr="00B10752" w:rsidRDefault="00E70281" w:rsidP="0074582E">
            <w:pPr>
              <w:jc w:val="both"/>
              <w:rPr>
                <w:sz w:val="20"/>
              </w:rPr>
            </w:pPr>
            <w:r w:rsidRPr="00B10752">
              <w:rPr>
                <w:sz w:val="20"/>
              </w:rPr>
              <w:t>(unreported); M51144</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Leave to appeal denied with fixed costs</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November 16, 2020</w:t>
            </w:r>
          </w:p>
          <w:p w:rsidR="00E70281" w:rsidRPr="00B10752" w:rsidRDefault="00E70281" w:rsidP="0074582E">
            <w:pPr>
              <w:jc w:val="both"/>
              <w:rPr>
                <w:sz w:val="20"/>
              </w:rPr>
            </w:pPr>
            <w:r w:rsidRPr="00B10752">
              <w:rPr>
                <w:sz w:val="20"/>
              </w:rPr>
              <w:t>Supreme Court of Canada</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January 12, 2021</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Motion for an extension of time to serve and file application for leave to appeal filed</w:t>
            </w: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55"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39471</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 xml:space="preserve">Wallace Platt c. Agence du revenu du Canada </w:t>
            </w:r>
          </w:p>
          <w:p w:rsidR="00E70281" w:rsidRPr="00B10752" w:rsidRDefault="00E70281" w:rsidP="0074582E">
            <w:pPr>
              <w:jc w:val="both"/>
              <w:rPr>
                <w:sz w:val="20"/>
                <w:lang w:val="fr-CA"/>
              </w:rPr>
            </w:pPr>
            <w:r w:rsidRPr="00B10752">
              <w:rPr>
                <w:sz w:val="20"/>
                <w:lang w:val="fr-CA"/>
              </w:rPr>
              <w:t>(Ont.) (Civile) (Sur autorisation)</w:t>
            </w:r>
          </w:p>
        </w:tc>
      </w:tr>
      <w:tr w:rsidR="00E70281" w:rsidRPr="00B10752" w:rsidTr="0074582E">
        <w:tc>
          <w:tcPr>
            <w:tcW w:w="5000" w:type="pct"/>
            <w:gridSpan w:val="4"/>
          </w:tcPr>
          <w:p w:rsidR="00E70281" w:rsidRPr="00B10752" w:rsidRDefault="00E91D43" w:rsidP="0074582E">
            <w:pPr>
              <w:jc w:val="both"/>
              <w:rPr>
                <w:sz w:val="20"/>
                <w:szCs w:val="20"/>
                <w:lang w:val="fr-CA"/>
              </w:rPr>
            </w:pPr>
            <w:r w:rsidRPr="00B10752">
              <w:rPr>
                <w:rFonts w:cs="Times New Roman"/>
                <w:sz w:val="20"/>
                <w:szCs w:val="20"/>
                <w:lang w:val="fr-CA"/>
              </w:rPr>
              <w:t xml:space="preserve">La requête en prorogation du délai de signification et de dépôt de la demande d’autorisation d’appel est accueillie. </w:t>
            </w:r>
            <w:r w:rsidRPr="00B10752">
              <w:rPr>
                <w:sz w:val="20"/>
                <w:szCs w:val="20"/>
                <w:lang w:val="fr-CA"/>
              </w:rPr>
              <w:t>La demande d’autorisation d’appel de l’arrêt de la Cour d’appel de l’Ontario, numéro M51144, daté du 14 septembre 2020, est rejetée avec dépens.</w:t>
            </w:r>
          </w:p>
          <w:p w:rsidR="00E91D43" w:rsidRPr="00B10752" w:rsidRDefault="00E91D43"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Droit fiscal — Le demandeur a intenté une action contre l’Agence du revenu du Canada — L’action a été rejetée — La demande d’autorisation d’appel présente</w:t>
            </w:r>
            <w:r w:rsidRPr="00B10752">
              <w:rPr>
                <w:sz w:val="20"/>
                <w:lang w:val="fr-CA"/>
              </w:rPr>
              <w:noBreakHyphen/>
              <w:t>t</w:t>
            </w:r>
            <w:r w:rsidRPr="00B10752">
              <w:rPr>
                <w:sz w:val="20"/>
                <w:lang w:val="fr-CA"/>
              </w:rPr>
              <w:noBreakHyphen/>
              <w:t>elle une question</w:t>
            </w:r>
            <w:r w:rsidRPr="00B10752">
              <w:rPr>
                <w:color w:val="000000"/>
                <w:sz w:val="20"/>
                <w:lang w:val="fr-CA"/>
              </w:rPr>
              <w:t xml:space="preserve"> </w:t>
            </w:r>
            <w:r w:rsidRPr="00B10752">
              <w:rPr>
                <w:sz w:val="20"/>
                <w:lang w:val="fr-CA"/>
              </w:rPr>
              <w:t>d’importance pour le public à l’égard de l’Agence du revenu du Canada et de l’obligation de diligence de droit privé envers les contribuables?</w:t>
            </w:r>
          </w:p>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Le demandeur doit une somme d’argent à l’Agence du revenu du Canada (ARC). Le demandeur affirme qu’il y avait entre lui et l’ARC une entente verbale aux termes de laquelle il ferait des versements mensuels à l’ARC afin de s’acquitter de la somme due. Ensuite, l’ARC a gelé les comptes bancaires du demandeur. Il a intenté une action contre l’ARC devant la Cour des petites créances. L’ARC a présenté avec succès une motion en radiation de l’action du demandeur. L’appel de cette décision interjeté par le demandeur a été rejeté. La Cour d’appel a rejeté la demande d’autorisation d’appel.</w:t>
            </w:r>
          </w:p>
        </w:tc>
      </w:tr>
      <w:tr w:rsidR="00E70281" w:rsidRPr="00B10752" w:rsidTr="0074582E">
        <w:tc>
          <w:tcPr>
            <w:tcW w:w="5000" w:type="pct"/>
            <w:gridSpan w:val="4"/>
          </w:tcPr>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30 mai 2019</w:t>
            </w:r>
          </w:p>
          <w:p w:rsidR="00E70281" w:rsidRPr="00B10752" w:rsidRDefault="00E70281" w:rsidP="0074582E">
            <w:pPr>
              <w:jc w:val="both"/>
              <w:rPr>
                <w:sz w:val="20"/>
                <w:lang w:val="fr-CA"/>
              </w:rPr>
            </w:pPr>
            <w:r w:rsidRPr="00B10752">
              <w:rPr>
                <w:sz w:val="20"/>
                <w:lang w:val="fr-CA"/>
              </w:rPr>
              <w:t>Cour des petites créances de l’Ontario</w:t>
            </w:r>
          </w:p>
          <w:p w:rsidR="00E70281" w:rsidRPr="00B10752" w:rsidRDefault="00E70281" w:rsidP="0074582E">
            <w:pPr>
              <w:jc w:val="both"/>
              <w:rPr>
                <w:sz w:val="20"/>
                <w:lang w:val="fr-CA"/>
              </w:rPr>
            </w:pPr>
            <w:r w:rsidRPr="00B10752">
              <w:rPr>
                <w:sz w:val="20"/>
                <w:lang w:val="fr-CA"/>
              </w:rPr>
              <w:t>(Juge adjoint McCabe)</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L’action du demandeur est rejetée.</w:t>
            </w: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29 novembre 2019</w:t>
            </w:r>
          </w:p>
          <w:p w:rsidR="00E70281" w:rsidRPr="00B10752" w:rsidRDefault="00E70281" w:rsidP="0074582E">
            <w:pPr>
              <w:jc w:val="both"/>
              <w:rPr>
                <w:sz w:val="20"/>
                <w:lang w:val="fr-CA"/>
              </w:rPr>
            </w:pPr>
            <w:r w:rsidRPr="00B10752">
              <w:rPr>
                <w:sz w:val="20"/>
                <w:lang w:val="fr-CA"/>
              </w:rPr>
              <w:t>Cour supérieure de justice de l’Ontario</w:t>
            </w:r>
          </w:p>
          <w:p w:rsidR="00E70281" w:rsidRPr="00B10752" w:rsidRDefault="00E70281" w:rsidP="0074582E">
            <w:pPr>
              <w:jc w:val="both"/>
              <w:rPr>
                <w:sz w:val="20"/>
                <w:lang w:val="fr-CA"/>
              </w:rPr>
            </w:pPr>
            <w:r w:rsidRPr="00B10752">
              <w:rPr>
                <w:sz w:val="20"/>
                <w:lang w:val="fr-CA"/>
              </w:rPr>
              <w:t>(Juge Baltman)</w:t>
            </w:r>
          </w:p>
          <w:p w:rsidR="00E70281" w:rsidRPr="00B10752" w:rsidRDefault="00E70281" w:rsidP="0074582E">
            <w:pPr>
              <w:jc w:val="both"/>
              <w:rPr>
                <w:sz w:val="20"/>
                <w:lang w:val="fr-CA"/>
              </w:rPr>
            </w:pPr>
            <w:r w:rsidRPr="00B10752">
              <w:rPr>
                <w:sz w:val="20"/>
                <w:lang w:val="fr-CA"/>
              </w:rPr>
              <w:t>(non publié)</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L’appel de la décision radiant l’action du demandeur est rejeté.</w:t>
            </w:r>
          </w:p>
        </w:tc>
      </w:tr>
    </w:tbl>
    <w:p w:rsidR="00D90258" w:rsidRPr="00B10752" w:rsidRDefault="00D90258">
      <w:pPr>
        <w:rPr>
          <w:lang w:val="fr-CA"/>
        </w:rPr>
      </w:pPr>
      <w:r w:rsidRPr="00B1075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2427" w:type="pct"/>
          </w:tcPr>
          <w:p w:rsidR="00E70281" w:rsidRPr="00B10752" w:rsidRDefault="00E70281" w:rsidP="0074582E">
            <w:pPr>
              <w:jc w:val="both"/>
              <w:rPr>
                <w:sz w:val="20"/>
                <w:lang w:val="fr-CA"/>
              </w:rPr>
            </w:pPr>
            <w:r w:rsidRPr="00B10752">
              <w:rPr>
                <w:sz w:val="20"/>
                <w:lang w:val="fr-CA"/>
              </w:rPr>
              <w:lastRenderedPageBreak/>
              <w:t>14 septembre 2020</w:t>
            </w:r>
          </w:p>
          <w:p w:rsidR="00E70281" w:rsidRPr="00B10752" w:rsidRDefault="00E70281" w:rsidP="0074582E">
            <w:pPr>
              <w:jc w:val="both"/>
              <w:rPr>
                <w:sz w:val="20"/>
                <w:lang w:val="fr-CA"/>
              </w:rPr>
            </w:pPr>
            <w:r w:rsidRPr="00B10752">
              <w:rPr>
                <w:sz w:val="20"/>
                <w:lang w:val="fr-CA"/>
              </w:rPr>
              <w:t>Cour d’appel de l’Ontario</w:t>
            </w:r>
          </w:p>
          <w:p w:rsidR="00E70281" w:rsidRPr="00B10752" w:rsidRDefault="00E70281" w:rsidP="0074582E">
            <w:pPr>
              <w:jc w:val="both"/>
              <w:rPr>
                <w:sz w:val="20"/>
                <w:lang w:val="fr-CA"/>
              </w:rPr>
            </w:pPr>
            <w:r w:rsidRPr="00B10752">
              <w:rPr>
                <w:sz w:val="20"/>
                <w:lang w:val="fr-CA"/>
              </w:rPr>
              <w:t>(Juges Paciocco, Nordheimer, Thorburn)</w:t>
            </w:r>
          </w:p>
          <w:p w:rsidR="00E70281" w:rsidRPr="00B10752" w:rsidRDefault="00E70281" w:rsidP="0074582E">
            <w:pPr>
              <w:jc w:val="both"/>
              <w:rPr>
                <w:sz w:val="20"/>
                <w:lang w:val="fr-CA"/>
              </w:rPr>
            </w:pPr>
            <w:r w:rsidRPr="00B10752">
              <w:rPr>
                <w:sz w:val="20"/>
                <w:lang w:val="fr-CA"/>
              </w:rPr>
              <w:t>(non publié); M51144</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d’appel est rejetée avec dépens fixes.</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16 novembre 2020</w:t>
            </w:r>
          </w:p>
          <w:p w:rsidR="00E70281" w:rsidRPr="00B10752" w:rsidRDefault="00E70281" w:rsidP="0074582E">
            <w:pPr>
              <w:jc w:val="both"/>
              <w:rPr>
                <w:sz w:val="20"/>
                <w:lang w:val="fr-CA"/>
              </w:rPr>
            </w:pPr>
            <w:r w:rsidRPr="00B10752">
              <w:rPr>
                <w:sz w:val="20"/>
                <w:lang w:val="fr-CA"/>
              </w:rPr>
              <w:t>Cour suprême du Canada</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d’appel est présentée.</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12 janvier 2021</w:t>
            </w:r>
          </w:p>
          <w:p w:rsidR="00E70281" w:rsidRPr="00B10752" w:rsidRDefault="00E70281" w:rsidP="0074582E">
            <w:pPr>
              <w:jc w:val="both"/>
              <w:rPr>
                <w:sz w:val="20"/>
                <w:lang w:val="fr-CA"/>
              </w:rPr>
            </w:pPr>
            <w:r w:rsidRPr="00B10752">
              <w:rPr>
                <w:sz w:val="20"/>
                <w:lang w:val="fr-CA"/>
              </w:rPr>
              <w:t>Cour suprême du Canada</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 xml:space="preserve">La requête en prorogation du délai de signification et de dépôt de la demande d’autorisation d’appel est présentée. </w:t>
            </w: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56"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39486</w:t>
            </w:r>
          </w:p>
        </w:tc>
        <w:tc>
          <w:tcPr>
            <w:tcW w:w="4457" w:type="pct"/>
            <w:gridSpan w:val="3"/>
          </w:tcPr>
          <w:p w:rsidR="00E70281" w:rsidRPr="00B10752" w:rsidRDefault="00E70281" w:rsidP="0074582E">
            <w:pPr>
              <w:pStyle w:val="SCCLsocParty"/>
              <w:jc w:val="both"/>
              <w:rPr>
                <w:b/>
                <w:sz w:val="20"/>
                <w:szCs w:val="20"/>
                <w:lang w:val="en-US"/>
              </w:rPr>
            </w:pPr>
            <w:r w:rsidRPr="00B10752">
              <w:rPr>
                <w:b/>
                <w:sz w:val="20"/>
                <w:szCs w:val="20"/>
                <w:lang w:val="en-US"/>
              </w:rPr>
              <w:t>Bobbie Mann v. Her Majesty the Queen</w:t>
            </w:r>
          </w:p>
          <w:p w:rsidR="00E70281" w:rsidRPr="00B10752" w:rsidRDefault="00E70281" w:rsidP="0074582E">
            <w:pPr>
              <w:jc w:val="both"/>
              <w:rPr>
                <w:sz w:val="20"/>
              </w:rPr>
            </w:pPr>
            <w:r w:rsidRPr="00B10752">
              <w:rPr>
                <w:sz w:val="20"/>
              </w:rPr>
              <w:t>(F.C.) (Civil) (By Leave)</w:t>
            </w:r>
          </w:p>
        </w:tc>
      </w:tr>
      <w:tr w:rsidR="00E70281" w:rsidRPr="00B10752" w:rsidTr="0074582E">
        <w:tc>
          <w:tcPr>
            <w:tcW w:w="5000" w:type="pct"/>
            <w:gridSpan w:val="4"/>
          </w:tcPr>
          <w:p w:rsidR="00E91D43" w:rsidRPr="00B10752" w:rsidRDefault="00E91D43" w:rsidP="00E91D43">
            <w:pPr>
              <w:jc w:val="both"/>
              <w:rPr>
                <w:sz w:val="20"/>
                <w:szCs w:val="20"/>
              </w:rPr>
            </w:pPr>
            <w:r w:rsidRPr="00B10752">
              <w:rPr>
                <w:rFonts w:cs="Times New Roman"/>
                <w:sz w:val="20"/>
                <w:szCs w:val="20"/>
              </w:rPr>
              <w:t xml:space="preserve">The motion for an extension of time to serve and file the application for leave to appeal is granted. </w:t>
            </w:r>
            <w:r w:rsidRPr="00B10752">
              <w:rPr>
                <w:sz w:val="20"/>
                <w:szCs w:val="20"/>
              </w:rPr>
              <w:t>The application for leave to appeal from the judgment of the Federal Court of Appeal, Number A-69-20, dated October 19, 2020, is dismissed with costs.</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Courts — Jurisdiction — Taxation — Income Tax — Reassessment — Motion seeking dismissal of taxation reassessment on basis that assessment audit and review process constituted an abuse of process dismissed — Motion to appeal decision to a three</w:t>
            </w:r>
            <w:r w:rsidRPr="00B10752">
              <w:rPr>
                <w:sz w:val="20"/>
              </w:rPr>
              <w:noBreakHyphen/>
              <w:t>person panel of Federal Court of Appeal dismissed — Whether conduct of Minister’s servants relevant in determining tax liability of taxpayer in taxation assessment — Whether lower courts erred in reasoning and decisions — Whether application for leave to appeal to Supreme Court of Canada should be granted?</w:t>
            </w:r>
          </w:p>
        </w:tc>
      </w:tr>
      <w:tr w:rsidR="00E70281" w:rsidRPr="00B10752" w:rsidTr="0074582E">
        <w:tc>
          <w:tcPr>
            <w:tcW w:w="5000" w:type="pct"/>
            <w:gridSpan w:val="4"/>
          </w:tcPr>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The applicant taxpayer was issued notices of reassessment relating to numerous taxation years which resulted in taxes and penalties owing. The initial amounts owing were $5.5 million but were eventually reduced to about $400, 000. The applicant wanted to appeal this decision on the basis that the assessment audit and review process constituted an abuse of process.</w:t>
            </w:r>
          </w:p>
          <w:p w:rsidR="00E70281" w:rsidRPr="00B10752" w:rsidRDefault="00E70281" w:rsidP="0074582E">
            <w:pPr>
              <w:jc w:val="both"/>
              <w:rPr>
                <w:sz w:val="20"/>
              </w:rPr>
            </w:pPr>
          </w:p>
          <w:p w:rsidR="00E70281" w:rsidRPr="00B10752" w:rsidRDefault="00E70281" w:rsidP="0074582E">
            <w:pPr>
              <w:jc w:val="both"/>
              <w:rPr>
                <w:sz w:val="20"/>
              </w:rPr>
            </w:pPr>
            <w:r w:rsidRPr="00B10752">
              <w:rPr>
                <w:sz w:val="20"/>
              </w:rPr>
              <w:t>The Tax Court of Canada dismissed the applicant’s motion seeking dismissal of the taxation reassessment. The motion to strike reply and grant appeal was dismissed. A single judge of the Federal Court of Appeal dismissed the motion for filing a notice of appeal from the Tax Court decision. The applicant’s subsequent motion sought direction to see if the Federal Court of Appeal’s order could be appealed to a three</w:t>
            </w:r>
            <w:r w:rsidRPr="00B10752">
              <w:rPr>
                <w:sz w:val="20"/>
              </w:rPr>
              <w:noBreakHyphen/>
              <w:t>person panel. That motion was also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January 20, 2020</w:t>
            </w:r>
          </w:p>
          <w:p w:rsidR="00E70281" w:rsidRPr="00B10752" w:rsidRDefault="00E70281" w:rsidP="0074582E">
            <w:pPr>
              <w:jc w:val="both"/>
              <w:rPr>
                <w:sz w:val="20"/>
              </w:rPr>
            </w:pPr>
            <w:r w:rsidRPr="00B10752">
              <w:rPr>
                <w:sz w:val="20"/>
              </w:rPr>
              <w:t>Tax Court of Canada</w:t>
            </w:r>
          </w:p>
          <w:p w:rsidR="00E70281" w:rsidRPr="00B10752" w:rsidRDefault="00E70281" w:rsidP="0074582E">
            <w:pPr>
              <w:jc w:val="both"/>
              <w:rPr>
                <w:sz w:val="20"/>
              </w:rPr>
            </w:pPr>
            <w:r w:rsidRPr="00B10752">
              <w:rPr>
                <w:sz w:val="20"/>
              </w:rPr>
              <w:t>(Bocock J.)</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Ms. Mann’s motion seeking dismissal of net</w:t>
            </w:r>
            <w:r w:rsidRPr="00B10752">
              <w:rPr>
                <w:sz w:val="20"/>
              </w:rPr>
              <w:noBreakHyphen/>
              <w:t>worth taxation reassessment issued against her, dismissed. Motion to strike reply and grant appeal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April 9, 2020</w:t>
            </w:r>
          </w:p>
          <w:p w:rsidR="00E70281" w:rsidRPr="00B10752" w:rsidRDefault="00E70281" w:rsidP="0074582E">
            <w:pPr>
              <w:jc w:val="both"/>
              <w:rPr>
                <w:sz w:val="20"/>
              </w:rPr>
            </w:pPr>
            <w:r w:rsidRPr="00B10752">
              <w:rPr>
                <w:sz w:val="20"/>
              </w:rPr>
              <w:t>Federal Court of Appeal</w:t>
            </w:r>
          </w:p>
          <w:p w:rsidR="00E70281" w:rsidRPr="00B10752" w:rsidRDefault="00E70281" w:rsidP="0074582E">
            <w:pPr>
              <w:jc w:val="both"/>
              <w:rPr>
                <w:sz w:val="20"/>
              </w:rPr>
            </w:pPr>
            <w:r w:rsidRPr="00B10752">
              <w:rPr>
                <w:sz w:val="20"/>
              </w:rPr>
              <w:t>(Pelletier J.A.)</w:t>
            </w:r>
          </w:p>
          <w:p w:rsidR="00E70281" w:rsidRPr="00B10752" w:rsidRDefault="00E70281" w:rsidP="0074582E">
            <w:pPr>
              <w:jc w:val="both"/>
              <w:rPr>
                <w:sz w:val="20"/>
              </w:rPr>
            </w:pPr>
            <w:r w:rsidRPr="00B10752">
              <w:rPr>
                <w:sz w:val="20"/>
              </w:rPr>
              <w:t>File No.: A</w:t>
            </w:r>
            <w:r w:rsidRPr="00B10752">
              <w:rPr>
                <w:sz w:val="20"/>
              </w:rPr>
              <w:noBreakHyphen/>
              <w:t>69</w:t>
            </w:r>
            <w:r w:rsidRPr="00B10752">
              <w:rPr>
                <w:sz w:val="20"/>
              </w:rPr>
              <w:noBreakHyphen/>
              <w:t>20</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 xml:space="preserve">Motion for filing a notice appeal from decision of Tax Court dismissed; Filing of notice of appeal set aside and notice of appeal to be removed from file.  </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October 19, 2020</w:t>
            </w:r>
          </w:p>
          <w:p w:rsidR="00E70281" w:rsidRPr="00B10752" w:rsidRDefault="00E70281" w:rsidP="0074582E">
            <w:pPr>
              <w:jc w:val="both"/>
              <w:rPr>
                <w:sz w:val="20"/>
              </w:rPr>
            </w:pPr>
            <w:r w:rsidRPr="00B10752">
              <w:rPr>
                <w:sz w:val="20"/>
              </w:rPr>
              <w:t>Federal Court of Appeal</w:t>
            </w:r>
          </w:p>
          <w:p w:rsidR="00E70281" w:rsidRPr="00B10752" w:rsidRDefault="00E70281" w:rsidP="0074582E">
            <w:pPr>
              <w:jc w:val="both"/>
              <w:rPr>
                <w:sz w:val="20"/>
              </w:rPr>
            </w:pPr>
            <w:r w:rsidRPr="00B10752">
              <w:rPr>
                <w:sz w:val="20"/>
              </w:rPr>
              <w:t>(Gleason J.A.)</w:t>
            </w:r>
          </w:p>
          <w:p w:rsidR="00E70281" w:rsidRPr="00B10752" w:rsidRDefault="00E70281" w:rsidP="0074582E">
            <w:pPr>
              <w:jc w:val="both"/>
              <w:rPr>
                <w:sz w:val="20"/>
              </w:rPr>
            </w:pPr>
            <w:r w:rsidRPr="00B10752">
              <w:rPr>
                <w:sz w:val="20"/>
              </w:rPr>
              <w:t>File No: A</w:t>
            </w:r>
            <w:r w:rsidRPr="00B10752">
              <w:rPr>
                <w:sz w:val="20"/>
              </w:rPr>
              <w:noBreakHyphen/>
              <w:t>69</w:t>
            </w:r>
            <w:r w:rsidRPr="00B10752">
              <w:rPr>
                <w:sz w:val="20"/>
              </w:rPr>
              <w:noBreakHyphen/>
              <w:t>20</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Ms. Mann’s motion seeking direction to appeal to three</w:t>
            </w:r>
            <w:r w:rsidRPr="00B10752">
              <w:rPr>
                <w:sz w:val="20"/>
              </w:rPr>
              <w:noBreakHyphen/>
              <w:t xml:space="preserve">person panel of Federal Court of Appeal, dismissed.  </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lastRenderedPageBreak/>
              <w:t>December 18, 2020</w:t>
            </w:r>
          </w:p>
          <w:p w:rsidR="00E70281" w:rsidRPr="00B10752" w:rsidRDefault="00E70281" w:rsidP="0074582E">
            <w:pPr>
              <w:jc w:val="both"/>
              <w:rPr>
                <w:sz w:val="20"/>
              </w:rPr>
            </w:pPr>
            <w:r w:rsidRPr="00B10752">
              <w:rPr>
                <w:sz w:val="20"/>
              </w:rPr>
              <w:t>Supreme Court of Canada</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January 29, 2021</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Motion for extension of time to file and serve leave application.</w:t>
            </w: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57"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39486</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Bobbie Mann c. Sa Majesté la Reine</w:t>
            </w:r>
          </w:p>
          <w:p w:rsidR="00E70281" w:rsidRPr="00B10752" w:rsidRDefault="00E70281" w:rsidP="0074582E">
            <w:pPr>
              <w:jc w:val="both"/>
              <w:rPr>
                <w:sz w:val="20"/>
                <w:lang w:val="fr-CA"/>
              </w:rPr>
            </w:pPr>
            <w:r w:rsidRPr="00B10752">
              <w:rPr>
                <w:sz w:val="20"/>
                <w:lang w:val="fr-CA"/>
              </w:rPr>
              <w:t>(C.F.) (Civile) (Sur autorisation)</w:t>
            </w:r>
          </w:p>
        </w:tc>
      </w:tr>
      <w:tr w:rsidR="00E70281" w:rsidRPr="00B10752" w:rsidTr="0074582E">
        <w:tc>
          <w:tcPr>
            <w:tcW w:w="5000" w:type="pct"/>
            <w:gridSpan w:val="4"/>
          </w:tcPr>
          <w:p w:rsidR="00E70281" w:rsidRPr="00B10752" w:rsidRDefault="00E91D43" w:rsidP="0074582E">
            <w:pPr>
              <w:jc w:val="both"/>
              <w:rPr>
                <w:sz w:val="20"/>
                <w:szCs w:val="20"/>
                <w:lang w:val="fr-CA"/>
              </w:rPr>
            </w:pPr>
            <w:r w:rsidRPr="00B10752">
              <w:rPr>
                <w:rFonts w:cs="Times New Roman"/>
                <w:sz w:val="20"/>
                <w:szCs w:val="20"/>
                <w:lang w:val="fr-CA"/>
              </w:rPr>
              <w:t>La requête en prorogation du délai de signification et de dépôt de la demande d’autorisation d’appel est accueillie.</w:t>
            </w:r>
            <w:r w:rsidRPr="00B10752">
              <w:rPr>
                <w:sz w:val="20"/>
                <w:szCs w:val="20"/>
                <w:lang w:val="fr-CA"/>
              </w:rPr>
              <w:t xml:space="preserve"> La demande d’autorisation d’appel de l’arrêt de la Cour d’appel fédérale, numéro A-69-20, daté du 19 octobre 2020, est rejetée avec dépens.</w:t>
            </w:r>
          </w:p>
          <w:p w:rsidR="00E91D43" w:rsidRPr="00B10752" w:rsidRDefault="00E91D43"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Tribunaux — Compétence — Droit fiscal — Impôt sur le revenu — Nouvelle cotisation — La requête en rejet de la nouvelle cotisation d’impôt au motif que la vérification relative à la cotisation et le processus de révision constituaient un abus de procédure a été rejetée — La requête en autorisation d’appel de la décision devant une formation de trois juges de la Cour d’appel fédérale a été rejetée — La conduite des fonctionnaires au service du ministre est-elle pertinente dans le cadre de la détermination de l’obligation fiscale qui incombe au contribuable lors de la cotisation d’impôt? — Les juridictions inférieures ont-elles commis une erreur dans leur raisonnement et leurs décisions? — La demande d’autorisation d’appel à la Cour suprême du Canada devrait-elle être accordée?</w:t>
            </w:r>
          </w:p>
        </w:tc>
      </w:tr>
      <w:tr w:rsidR="00E70281" w:rsidRPr="00B10752" w:rsidTr="0074582E">
        <w:tc>
          <w:tcPr>
            <w:tcW w:w="5000" w:type="pct"/>
            <w:gridSpan w:val="4"/>
          </w:tcPr>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De nouvelles cotisations par rapport à plusieurs années d’imposition ont été établies à l’égard de la demanderesse, une contribuable, entraînant ainsi des impôts et pénalités à payer. Les montants initiaux exigibles étaient de 5,5 millions de dollars, mais ont fini par être réduits à environ 400 000 $. La demanderesse souhaitait faire appel de cette décision au motif que la vérification relative à la cotisation et le processus de révision constituaient un abus de procédure.</w:t>
            </w:r>
          </w:p>
          <w:p w:rsidR="00E70281" w:rsidRPr="00B10752" w:rsidRDefault="00E70281" w:rsidP="0074582E">
            <w:pPr>
              <w:jc w:val="both"/>
              <w:rPr>
                <w:sz w:val="20"/>
                <w:lang w:val="fr-CA"/>
              </w:rPr>
            </w:pPr>
          </w:p>
          <w:p w:rsidR="00E70281" w:rsidRPr="00B10752" w:rsidRDefault="00E70281" w:rsidP="0074582E">
            <w:pPr>
              <w:jc w:val="both"/>
              <w:rPr>
                <w:sz w:val="20"/>
                <w:lang w:val="fr-CA"/>
              </w:rPr>
            </w:pPr>
            <w:r w:rsidRPr="00B10752">
              <w:rPr>
                <w:sz w:val="20"/>
                <w:lang w:val="fr-CA"/>
              </w:rPr>
              <w:t>La Cour canadienne de l’impôt a rejeté la requête en rejet de la nouvelle cotisation d’impôt présentée par la demanderesse. La requête en radiation de la réplique et en autorisation d’appel a été rejetée. Un juge de la Cour d’appel fédérale, siégeant seul, a rejeté la requête visant le dépôt d’un avis d’appel de la décision de la Cour canadienne de l’impôt. La demanderesse a par la suite présenté une requête sollicitant une directive lui permettant de faire appel de l’ordonnance de la Cour d’appel fédérale devant une formation de trois juges. Cette dernière requête a également été rejetée.</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20 janvier 2020</w:t>
            </w:r>
          </w:p>
          <w:p w:rsidR="00E70281" w:rsidRPr="00B10752" w:rsidRDefault="00E70281" w:rsidP="0074582E">
            <w:pPr>
              <w:jc w:val="both"/>
              <w:rPr>
                <w:sz w:val="20"/>
                <w:lang w:val="fr-CA"/>
              </w:rPr>
            </w:pPr>
            <w:r w:rsidRPr="00B10752">
              <w:rPr>
                <w:sz w:val="20"/>
                <w:lang w:val="fr-CA"/>
              </w:rPr>
              <w:t xml:space="preserve">Cour canadienne de l’impôt </w:t>
            </w:r>
          </w:p>
          <w:p w:rsidR="00E70281" w:rsidRPr="00B10752" w:rsidRDefault="00E70281" w:rsidP="0074582E">
            <w:pPr>
              <w:jc w:val="both"/>
              <w:rPr>
                <w:sz w:val="20"/>
                <w:lang w:val="fr-CA"/>
              </w:rPr>
            </w:pPr>
            <w:r w:rsidRPr="00B10752">
              <w:rPr>
                <w:sz w:val="20"/>
                <w:lang w:val="fr-CA"/>
              </w:rPr>
              <w:t>(Juge Bocock)</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requête de Mme Mann en rejet de la nouvelle cotisation d’impôt quant à la valeur nette qui a été établie à son égard est rejetée. La requête en radiation de la réplique et en autorisation d’appel est rejetée.</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9 avril 2020</w:t>
            </w:r>
          </w:p>
          <w:p w:rsidR="00E70281" w:rsidRPr="00B10752" w:rsidRDefault="00E70281" w:rsidP="0074582E">
            <w:pPr>
              <w:jc w:val="both"/>
              <w:rPr>
                <w:sz w:val="20"/>
                <w:lang w:val="fr-CA"/>
              </w:rPr>
            </w:pPr>
            <w:r w:rsidRPr="00B10752">
              <w:rPr>
                <w:sz w:val="20"/>
                <w:lang w:val="fr-CA"/>
              </w:rPr>
              <w:t xml:space="preserve">Cour d’appel fédérale </w:t>
            </w:r>
          </w:p>
          <w:p w:rsidR="00E70281" w:rsidRPr="00B10752" w:rsidRDefault="00E70281" w:rsidP="0074582E">
            <w:pPr>
              <w:jc w:val="both"/>
              <w:rPr>
                <w:sz w:val="20"/>
                <w:lang w:val="fr-CA"/>
              </w:rPr>
            </w:pPr>
            <w:r w:rsidRPr="00B10752">
              <w:rPr>
                <w:sz w:val="20"/>
                <w:lang w:val="fr-CA"/>
              </w:rPr>
              <w:t>(Juge Pelletier)</w:t>
            </w:r>
          </w:p>
          <w:p w:rsidR="00E70281" w:rsidRPr="00B10752" w:rsidRDefault="00E70281" w:rsidP="0074582E">
            <w:pPr>
              <w:jc w:val="both"/>
              <w:rPr>
                <w:sz w:val="20"/>
                <w:lang w:val="fr-CA"/>
              </w:rPr>
            </w:pPr>
            <w:r w:rsidRPr="00B10752">
              <w:rPr>
                <w:sz w:val="20"/>
                <w:lang w:val="fr-CA"/>
              </w:rPr>
              <w:t>N</w:t>
            </w:r>
            <w:r w:rsidRPr="00B10752">
              <w:rPr>
                <w:sz w:val="20"/>
                <w:vertAlign w:val="superscript"/>
                <w:lang w:val="fr-CA"/>
              </w:rPr>
              <w:t>o</w:t>
            </w:r>
            <w:r w:rsidRPr="00B10752">
              <w:rPr>
                <w:sz w:val="20"/>
                <w:lang w:val="fr-CA"/>
              </w:rPr>
              <w:t xml:space="preserve"> de dossier : A</w:t>
            </w:r>
            <w:r w:rsidRPr="00B10752">
              <w:rPr>
                <w:sz w:val="20"/>
                <w:lang w:val="fr-CA"/>
              </w:rPr>
              <w:noBreakHyphen/>
              <w:t>69</w:t>
            </w:r>
            <w:r w:rsidRPr="00B10752">
              <w:rPr>
                <w:sz w:val="20"/>
                <w:lang w:val="fr-CA"/>
              </w:rPr>
              <w:noBreakHyphen/>
              <w:t>20</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 xml:space="preserve">La requête visant le dépôt d’un avis d’appel de la décision de la Cour canadienne de l’impôt est rejetée; le dépôt de l’avis d’appel est annulé et l’avis d’appel sera retiré du dossier.  </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19 octobre 2020</w:t>
            </w:r>
          </w:p>
          <w:p w:rsidR="00E70281" w:rsidRPr="00B10752" w:rsidRDefault="00E70281" w:rsidP="0074582E">
            <w:pPr>
              <w:jc w:val="both"/>
              <w:rPr>
                <w:sz w:val="20"/>
                <w:lang w:val="fr-CA"/>
              </w:rPr>
            </w:pPr>
            <w:r w:rsidRPr="00B10752">
              <w:rPr>
                <w:sz w:val="20"/>
                <w:lang w:val="fr-CA"/>
              </w:rPr>
              <w:t xml:space="preserve">Cour d’appel fédérale </w:t>
            </w:r>
          </w:p>
          <w:p w:rsidR="00E70281" w:rsidRPr="00B10752" w:rsidRDefault="00E70281" w:rsidP="0074582E">
            <w:pPr>
              <w:jc w:val="both"/>
              <w:rPr>
                <w:sz w:val="20"/>
                <w:lang w:val="fr-CA"/>
              </w:rPr>
            </w:pPr>
            <w:r w:rsidRPr="00B10752">
              <w:rPr>
                <w:sz w:val="20"/>
                <w:lang w:val="fr-CA"/>
              </w:rPr>
              <w:t>(Juge Gleason)</w:t>
            </w:r>
          </w:p>
          <w:p w:rsidR="00E70281" w:rsidRPr="00B10752" w:rsidRDefault="00E70281" w:rsidP="0074582E">
            <w:pPr>
              <w:jc w:val="both"/>
              <w:rPr>
                <w:sz w:val="20"/>
                <w:lang w:val="fr-CA"/>
              </w:rPr>
            </w:pPr>
            <w:r w:rsidRPr="00B10752">
              <w:rPr>
                <w:sz w:val="20"/>
                <w:lang w:val="fr-CA"/>
              </w:rPr>
              <w:t>N</w:t>
            </w:r>
            <w:r w:rsidRPr="00B10752">
              <w:rPr>
                <w:sz w:val="20"/>
                <w:vertAlign w:val="superscript"/>
                <w:lang w:val="fr-CA"/>
              </w:rPr>
              <w:t>o</w:t>
            </w:r>
            <w:r w:rsidRPr="00B10752">
              <w:rPr>
                <w:sz w:val="20"/>
                <w:lang w:val="fr-CA"/>
              </w:rPr>
              <w:t xml:space="preserve"> de dossier : A</w:t>
            </w:r>
            <w:r w:rsidRPr="00B10752">
              <w:rPr>
                <w:sz w:val="20"/>
                <w:lang w:val="fr-CA"/>
              </w:rPr>
              <w:noBreakHyphen/>
              <w:t>69</w:t>
            </w:r>
            <w:r w:rsidRPr="00B10752">
              <w:rPr>
                <w:sz w:val="20"/>
                <w:lang w:val="fr-CA"/>
              </w:rPr>
              <w:noBreakHyphen/>
              <w:t>20</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requête de Mme Mann sollicitant une directive lui permettant de faire appel devant une formation de trois juges de la Cour d’appel fédérale est rejetée.</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18 décembre 2020</w:t>
            </w:r>
          </w:p>
          <w:p w:rsidR="00E70281" w:rsidRPr="00B10752" w:rsidRDefault="00E70281" w:rsidP="0074582E">
            <w:pPr>
              <w:jc w:val="both"/>
              <w:rPr>
                <w:sz w:val="20"/>
                <w:lang w:val="fr-CA"/>
              </w:rPr>
            </w:pPr>
            <w:r w:rsidRPr="00B10752">
              <w:rPr>
                <w:sz w:val="20"/>
                <w:lang w:val="fr-CA"/>
              </w:rPr>
              <w:t>Cour suprême du Canada</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d’appel est présentée.</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29 janvier 2021</w:t>
            </w:r>
          </w:p>
          <w:p w:rsidR="00E70281" w:rsidRPr="00B10752" w:rsidRDefault="00E70281" w:rsidP="0074582E">
            <w:pPr>
              <w:jc w:val="both"/>
              <w:rPr>
                <w:sz w:val="20"/>
                <w:lang w:val="fr-CA"/>
              </w:rPr>
            </w:pPr>
            <w:r w:rsidRPr="00B10752">
              <w:rPr>
                <w:sz w:val="20"/>
                <w:lang w:val="fr-CA"/>
              </w:rPr>
              <w:t>Cour suprême du Canada</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requête en prorogation du délai de signification et de dépôt de la demande d’autorisation d’appel est présentée.</w:t>
            </w: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58"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39496</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3295036 Canada Inc. v. Agence du revenu du Québec</w:t>
            </w:r>
          </w:p>
          <w:p w:rsidR="00E70281" w:rsidRPr="00B10752" w:rsidRDefault="00E70281" w:rsidP="0074582E">
            <w:pPr>
              <w:jc w:val="both"/>
              <w:rPr>
                <w:sz w:val="20"/>
              </w:rPr>
            </w:pPr>
            <w:r w:rsidRPr="00B10752">
              <w:rPr>
                <w:sz w:val="20"/>
              </w:rPr>
              <w:t>(Que.) (Civil) (By Leave)</w:t>
            </w:r>
          </w:p>
        </w:tc>
      </w:tr>
      <w:tr w:rsidR="00E70281" w:rsidRPr="00B10752" w:rsidTr="0074582E">
        <w:tc>
          <w:tcPr>
            <w:tcW w:w="5000" w:type="pct"/>
            <w:gridSpan w:val="4"/>
          </w:tcPr>
          <w:p w:rsidR="00A90CAC" w:rsidRPr="00B10752" w:rsidRDefault="00A90CAC" w:rsidP="00A90CAC">
            <w:pPr>
              <w:jc w:val="both"/>
              <w:rPr>
                <w:sz w:val="20"/>
                <w:szCs w:val="20"/>
              </w:rPr>
            </w:pPr>
            <w:r w:rsidRPr="00B10752">
              <w:rPr>
                <w:sz w:val="20"/>
                <w:szCs w:val="20"/>
              </w:rPr>
              <w:t>The application for leave to appeal from the judgment of the Court of Appeal of Quebec (Montréal), Number 500-09-028008-183, 2020 QCCA 1435, dated November 3, 2020, is dismissed without costs.</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Taxation — Income tax — Assessments — Tax planning —</w:t>
            </w:r>
            <w:r w:rsidRPr="00B10752">
              <w:rPr>
                <w:bCs/>
                <w:sz w:val="20"/>
              </w:rPr>
              <w:t xml:space="preserve"> Series of transactions </w:t>
            </w:r>
            <w:r w:rsidRPr="00B10752">
              <w:rPr>
                <w:sz w:val="20"/>
              </w:rPr>
              <w:t>— Non</w:t>
            </w:r>
            <w:r w:rsidRPr="00B10752">
              <w:rPr>
                <w:sz w:val="20"/>
              </w:rPr>
              <w:noBreakHyphen/>
              <w:t xml:space="preserve">capital losses — What are the applicable legal tests in order to determine that transactions form an extended series of transactions under s. 1.5 of the </w:t>
            </w:r>
            <w:r w:rsidRPr="00B10752">
              <w:rPr>
                <w:i/>
                <w:sz w:val="20"/>
              </w:rPr>
              <w:t>Taxation Act —</w:t>
            </w:r>
            <w:r w:rsidRPr="00B10752">
              <w:rPr>
                <w:sz w:val="20"/>
              </w:rPr>
              <w:t xml:space="preserve"> When and how may non-capital losses be redetermined pursuant to the </w:t>
            </w:r>
            <w:r w:rsidRPr="00B10752">
              <w:rPr>
                <w:i/>
                <w:sz w:val="20"/>
              </w:rPr>
              <w:t>Taxation Act — Taxation Act</w:t>
            </w:r>
            <w:r w:rsidRPr="00B10752">
              <w:rPr>
                <w:sz w:val="20"/>
              </w:rPr>
              <w:t xml:space="preserve">, </w:t>
            </w:r>
            <w:r w:rsidRPr="00B10752">
              <w:rPr>
                <w:bCs/>
                <w:sz w:val="20"/>
              </w:rPr>
              <w:t>CQLR</w:t>
            </w:r>
            <w:r w:rsidRPr="00B10752">
              <w:rPr>
                <w:sz w:val="20"/>
              </w:rPr>
              <w:t>, c. I</w:t>
            </w:r>
            <w:r w:rsidRPr="00B10752">
              <w:rPr>
                <w:sz w:val="20"/>
              </w:rPr>
              <w:noBreakHyphen/>
              <w:t>3, ss. 1.5, 529.1.</w:t>
            </w:r>
          </w:p>
        </w:tc>
      </w:tr>
      <w:tr w:rsidR="00E70281" w:rsidRPr="00B10752" w:rsidTr="0074582E">
        <w:tc>
          <w:tcPr>
            <w:tcW w:w="5000" w:type="pct"/>
            <w:gridSpan w:val="4"/>
          </w:tcPr>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This case concerns a tax planning technique called the “Quebec shuffle”. On March 8, 2011, the respondent, the Agence du revenu du Québec (“ARQ”), made two assessments against the applicant, 3295036 Canada Inc. (“3295036”), for the taxation years ending on September 30, 2007 and September 30, 2008. In the notice of assessment for the 2007 taxation year, the ARQ disallowed the carry</w:t>
            </w:r>
            <w:r w:rsidRPr="00B10752">
              <w:rPr>
                <w:sz w:val="20"/>
              </w:rPr>
              <w:softHyphen/>
            </w:r>
            <w:r w:rsidRPr="00B10752">
              <w:rPr>
                <w:sz w:val="20"/>
              </w:rPr>
              <w:noBreakHyphen/>
              <w:t>forward of a net capital loss of $805,964 that 3295036 had allegedly claimed mistakenly for the taxation year ending on September 30, 2000. For the 2008 taxation year, the ARQ disallowed the carry</w:t>
            </w:r>
            <w:r w:rsidRPr="00B10752">
              <w:rPr>
                <w:sz w:val="20"/>
              </w:rPr>
              <w:noBreakHyphen/>
              <w:t>forward of a net capital loss of $3,635,667 that 3295036 had allegedly claimed mistakenly for the 2000 taxation year, and the ARQ added a taxable capital gain of $2,744,654 that 3295036 had allegedly failed to include in its income. In making the assessments in issue, the ARQ relied on the specific anti</w:t>
            </w:r>
            <w:r w:rsidRPr="00B10752">
              <w:rPr>
                <w:sz w:val="20"/>
              </w:rPr>
              <w:noBreakHyphen/>
              <w:t xml:space="preserve">avoidance rule set out in s. 529.1 of the </w:t>
            </w:r>
            <w:r w:rsidRPr="00B10752">
              <w:rPr>
                <w:i/>
                <w:sz w:val="20"/>
              </w:rPr>
              <w:t>Taxation Act</w:t>
            </w:r>
            <w:r w:rsidRPr="00B10752">
              <w:rPr>
                <w:sz w:val="20"/>
              </w:rPr>
              <w:t>, CQLR, c. I</w:t>
            </w:r>
            <w:r w:rsidRPr="00B10752">
              <w:rPr>
                <w:sz w:val="20"/>
              </w:rPr>
              <w:noBreakHyphen/>
              <w:t>3. However, 3295036 was of the view that that rule did not apply in this case.</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November 8, 2018</w:t>
            </w:r>
          </w:p>
          <w:p w:rsidR="00E70281" w:rsidRPr="00B10752" w:rsidRDefault="00E70281" w:rsidP="0074582E">
            <w:pPr>
              <w:jc w:val="both"/>
              <w:rPr>
                <w:sz w:val="20"/>
              </w:rPr>
            </w:pPr>
            <w:r w:rsidRPr="00B10752">
              <w:rPr>
                <w:sz w:val="20"/>
              </w:rPr>
              <w:t>Court of Québec (Montréal)</w:t>
            </w:r>
          </w:p>
          <w:p w:rsidR="00E70281" w:rsidRPr="00B10752" w:rsidRDefault="00E70281" w:rsidP="0074582E">
            <w:pPr>
              <w:jc w:val="both"/>
              <w:rPr>
                <w:sz w:val="20"/>
              </w:rPr>
            </w:pPr>
            <w:r w:rsidRPr="00B10752">
              <w:rPr>
                <w:sz w:val="20"/>
              </w:rPr>
              <w:t>(Judge Fournier)</w:t>
            </w:r>
          </w:p>
          <w:p w:rsidR="00E70281" w:rsidRPr="00B10752" w:rsidRDefault="00E70281" w:rsidP="0074582E">
            <w:pPr>
              <w:jc w:val="both"/>
              <w:rPr>
                <w:sz w:val="20"/>
              </w:rPr>
            </w:pPr>
            <w:r w:rsidRPr="00B10752">
              <w:rPr>
                <w:sz w:val="20"/>
              </w:rPr>
              <w:t>File: 500</w:t>
            </w:r>
            <w:r w:rsidRPr="00B10752">
              <w:rPr>
                <w:sz w:val="20"/>
              </w:rPr>
              <w:noBreakHyphen/>
              <w:t>80</w:t>
            </w:r>
            <w:r w:rsidRPr="00B10752">
              <w:rPr>
                <w:sz w:val="20"/>
              </w:rPr>
              <w:noBreakHyphen/>
              <w:t>021691</w:t>
            </w:r>
            <w:r w:rsidRPr="00B10752">
              <w:rPr>
                <w:sz w:val="20"/>
              </w:rPr>
              <w:noBreakHyphen/>
              <w:t>127</w:t>
            </w:r>
          </w:p>
          <w:p w:rsidR="00E70281" w:rsidRPr="00B10752" w:rsidRDefault="00B10752" w:rsidP="0074582E">
            <w:pPr>
              <w:jc w:val="both"/>
              <w:rPr>
                <w:sz w:val="20"/>
              </w:rPr>
            </w:pPr>
            <w:hyperlink r:id="rId49" w:history="1">
              <w:r w:rsidR="00E70281" w:rsidRPr="00B10752">
                <w:rPr>
                  <w:rStyle w:val="Hyperlink"/>
                  <w:sz w:val="20"/>
                </w:rPr>
                <w:t>2018 QCCQ 8100</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Originating application to appeal tax reassessments of 3295036 Canada Inc. for taxation years ending on September 30, 2007 and September 30, 2008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November 3, 2020</w:t>
            </w:r>
          </w:p>
          <w:p w:rsidR="00E70281" w:rsidRPr="00B10752" w:rsidRDefault="00E70281" w:rsidP="0074582E">
            <w:pPr>
              <w:jc w:val="both"/>
              <w:rPr>
                <w:sz w:val="20"/>
              </w:rPr>
            </w:pPr>
            <w:r w:rsidRPr="00B10752">
              <w:rPr>
                <w:sz w:val="20"/>
              </w:rPr>
              <w:t>Quebec Court of Appeal (Montréal)</w:t>
            </w:r>
          </w:p>
          <w:p w:rsidR="00E70281" w:rsidRPr="00B10752" w:rsidRDefault="00E70281" w:rsidP="0074582E">
            <w:pPr>
              <w:jc w:val="both"/>
              <w:rPr>
                <w:sz w:val="20"/>
              </w:rPr>
            </w:pPr>
            <w:r w:rsidRPr="00B10752">
              <w:rPr>
                <w:sz w:val="20"/>
              </w:rPr>
              <w:t>(Dutil, Bélanger and Mainville JJ.A.)</w:t>
            </w:r>
          </w:p>
          <w:p w:rsidR="00E70281" w:rsidRPr="00B10752" w:rsidRDefault="00E70281" w:rsidP="0074582E">
            <w:pPr>
              <w:jc w:val="both"/>
              <w:rPr>
                <w:sz w:val="20"/>
              </w:rPr>
            </w:pPr>
            <w:r w:rsidRPr="00B10752">
              <w:rPr>
                <w:sz w:val="20"/>
              </w:rPr>
              <w:t>File: 500</w:t>
            </w:r>
            <w:r w:rsidRPr="00B10752">
              <w:rPr>
                <w:sz w:val="20"/>
              </w:rPr>
              <w:noBreakHyphen/>
              <w:t>09</w:t>
            </w:r>
            <w:r w:rsidRPr="00B10752">
              <w:rPr>
                <w:sz w:val="20"/>
              </w:rPr>
              <w:noBreakHyphen/>
              <w:t>028008</w:t>
            </w:r>
            <w:r w:rsidRPr="00B10752">
              <w:rPr>
                <w:sz w:val="20"/>
              </w:rPr>
              <w:noBreakHyphen/>
              <w:t>183</w:t>
            </w:r>
          </w:p>
          <w:p w:rsidR="00E70281" w:rsidRPr="00B10752" w:rsidRDefault="00B10752" w:rsidP="0074582E">
            <w:pPr>
              <w:jc w:val="both"/>
              <w:rPr>
                <w:sz w:val="20"/>
              </w:rPr>
            </w:pPr>
            <w:hyperlink r:id="rId50" w:history="1">
              <w:r w:rsidR="00E70281" w:rsidRPr="00B10752">
                <w:rPr>
                  <w:rStyle w:val="Hyperlink"/>
                  <w:sz w:val="20"/>
                </w:rPr>
                <w:t>2020 QCCA 1435</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Appeal from trial judgment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December 23, 2020</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59"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39496</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3295036 Canada Inc. c. Agence du revenu du Québec</w:t>
            </w:r>
          </w:p>
          <w:p w:rsidR="00E70281" w:rsidRPr="00B10752" w:rsidRDefault="00E70281" w:rsidP="0074582E">
            <w:pPr>
              <w:jc w:val="both"/>
              <w:rPr>
                <w:sz w:val="20"/>
              </w:rPr>
            </w:pPr>
            <w:r w:rsidRPr="00B10752">
              <w:rPr>
                <w:sz w:val="20"/>
              </w:rPr>
              <w:t>(Qc) (Civile) (Sur autorisation)</w:t>
            </w:r>
          </w:p>
        </w:tc>
      </w:tr>
      <w:tr w:rsidR="00E70281" w:rsidRPr="00B10752" w:rsidTr="0074582E">
        <w:tc>
          <w:tcPr>
            <w:tcW w:w="5000" w:type="pct"/>
            <w:gridSpan w:val="4"/>
          </w:tcPr>
          <w:p w:rsidR="00E70281" w:rsidRPr="00B10752" w:rsidRDefault="00A90CAC" w:rsidP="0074582E">
            <w:pPr>
              <w:jc w:val="both"/>
              <w:rPr>
                <w:sz w:val="20"/>
                <w:szCs w:val="20"/>
                <w:lang w:val="fr-CA"/>
              </w:rPr>
            </w:pPr>
            <w:r w:rsidRPr="00B10752">
              <w:rPr>
                <w:sz w:val="20"/>
                <w:szCs w:val="20"/>
                <w:lang w:val="fr-CA"/>
              </w:rPr>
              <w:t>La demande d’autorisation d’appel de l’arrêt de la Cour d’appel du Québec (Montréal), numéro 500-09-028008-183, 2020 QCCA 1435, daté du 3 novembre 2020, est rejetée sans dépens.</w:t>
            </w:r>
          </w:p>
          <w:p w:rsidR="00A90CAC" w:rsidRPr="00B10752" w:rsidRDefault="00A90CAC"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lastRenderedPageBreak/>
              <w:t>Droit fiscal — Impôt sur le revenu — Cotisations — Planification fiscale —</w:t>
            </w:r>
            <w:r w:rsidRPr="00B10752">
              <w:rPr>
                <w:bCs/>
                <w:sz w:val="20"/>
                <w:lang w:val="fr-CA"/>
              </w:rPr>
              <w:t xml:space="preserve"> Séries d’opérations </w:t>
            </w:r>
            <w:r w:rsidRPr="00B10752">
              <w:rPr>
                <w:sz w:val="20"/>
                <w:lang w:val="fr-CA"/>
              </w:rPr>
              <w:t xml:space="preserve">— Pertes autres que des pertes en capital — Quels sont les critères juridiques applicables afin de déterminer si des opérations forment une longue série d’opérations en vertu de l’art. 1.5 de la </w:t>
            </w:r>
            <w:r w:rsidRPr="00B10752">
              <w:rPr>
                <w:i/>
                <w:sz w:val="20"/>
                <w:lang w:val="fr-CA"/>
              </w:rPr>
              <w:t>Loi sur les impôts</w:t>
            </w:r>
            <w:r w:rsidRPr="00B10752">
              <w:rPr>
                <w:sz w:val="20"/>
                <w:lang w:val="fr-CA"/>
              </w:rPr>
              <w:t>?</w:t>
            </w:r>
            <w:r w:rsidRPr="00B10752">
              <w:rPr>
                <w:i/>
                <w:sz w:val="20"/>
                <w:lang w:val="fr-CA"/>
              </w:rPr>
              <w:t xml:space="preserve"> —</w:t>
            </w:r>
            <w:r w:rsidRPr="00B10752">
              <w:rPr>
                <w:sz w:val="20"/>
                <w:lang w:val="fr-CA"/>
              </w:rPr>
              <w:t xml:space="preserve"> À quel moment et de quelle façon convient</w:t>
            </w:r>
            <w:r w:rsidRPr="00B10752">
              <w:rPr>
                <w:sz w:val="20"/>
                <w:lang w:val="fr-CA"/>
              </w:rPr>
              <w:noBreakHyphen/>
              <w:t xml:space="preserve">il de réexaminer les pertes autres que des pertes en capital en vertu de la </w:t>
            </w:r>
            <w:r w:rsidRPr="00B10752">
              <w:rPr>
                <w:i/>
                <w:sz w:val="20"/>
                <w:lang w:val="fr-CA"/>
              </w:rPr>
              <w:t>Loi sur les impôts</w:t>
            </w:r>
            <w:r w:rsidRPr="00B10752">
              <w:rPr>
                <w:sz w:val="20"/>
                <w:lang w:val="fr-CA"/>
              </w:rPr>
              <w:t>?</w:t>
            </w:r>
            <w:r w:rsidRPr="00B10752">
              <w:rPr>
                <w:i/>
                <w:sz w:val="20"/>
                <w:lang w:val="fr-CA"/>
              </w:rPr>
              <w:t xml:space="preserve"> — Loi sur les impôts, RLRQ, c. I</w:t>
            </w:r>
            <w:r w:rsidRPr="00B10752">
              <w:rPr>
                <w:i/>
                <w:sz w:val="20"/>
                <w:lang w:val="fr-CA"/>
              </w:rPr>
              <w:noBreakHyphen/>
              <w:t>3</w:t>
            </w:r>
            <w:r w:rsidRPr="00B10752">
              <w:rPr>
                <w:sz w:val="20"/>
                <w:lang w:val="fr-CA"/>
              </w:rPr>
              <w:t>, art. 1.5, 529.1.</w:t>
            </w:r>
          </w:p>
        </w:tc>
      </w:tr>
      <w:tr w:rsidR="00E70281" w:rsidRPr="00B10752" w:rsidTr="0074582E">
        <w:tc>
          <w:tcPr>
            <w:tcW w:w="5000" w:type="pct"/>
            <w:gridSpan w:val="4"/>
          </w:tcPr>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Cette affaire concerne une technique de planification fiscale appelée « Quebec shuffle ». Le 8 mars 2011, l’intimée, l’Agence du revenu du Québec (« ARQ »), émet à la demanderesse, 3295036 Canada Inc. (« 3295036 »), deux cotisations quant aux années d’imposition se terminant le 30 septembre 2007 et le 30 septembre 2008. L’ARQ refuse, aux termes de l’avis de cotisation pour l’année d’imposition 2007, le report prospectif d’une perte nette en capital de 805 964 $ que 3295036 aurait réclamé à tort pour l’année d’imposition se terminant le 30 septembre 2000. L’ARQ refuse, pour l’année d’imposition 2008, le report prospectif d’une perte nette en capital de 3 635 667 $ que 3295036 aurait réclamé à tort pour l’année d’imposition 2000 en plus d’ajouter un gain en capital imposable au montant de 2 744 654 $ qu’elle aurait omis d’inclure à ses revenus. L’ARQ s’appuie sur la règle spécifique anti</w:t>
            </w:r>
            <w:r w:rsidRPr="00B10752">
              <w:rPr>
                <w:sz w:val="20"/>
                <w:lang w:val="fr-CA"/>
              </w:rPr>
              <w:noBreakHyphen/>
              <w:t xml:space="preserve">évitement prévue à l’art. 529.1 de la </w:t>
            </w:r>
            <w:r w:rsidRPr="00B10752">
              <w:rPr>
                <w:i/>
                <w:sz w:val="20"/>
                <w:lang w:val="fr-CA"/>
              </w:rPr>
              <w:t>Loi sur les impôts</w:t>
            </w:r>
            <w:r w:rsidRPr="00B10752">
              <w:rPr>
                <w:sz w:val="20"/>
                <w:lang w:val="fr-CA"/>
              </w:rPr>
              <w:t>, RLRQ, c. I</w:t>
            </w:r>
            <w:r w:rsidRPr="00B10752">
              <w:rPr>
                <w:sz w:val="20"/>
                <w:lang w:val="fr-CA"/>
              </w:rPr>
              <w:noBreakHyphen/>
              <w:t>3, pour établir les cotisations en cause. 3295036 est cependant d’avis que cette règle spécifique anti</w:t>
            </w:r>
            <w:r w:rsidRPr="00B10752">
              <w:rPr>
                <w:sz w:val="20"/>
                <w:lang w:val="fr-CA"/>
              </w:rPr>
              <w:noBreakHyphen/>
              <w:t>évitement ne trouve pas application en l’espèce.</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Le 8 novembre 2018</w:t>
            </w:r>
          </w:p>
          <w:p w:rsidR="00E70281" w:rsidRPr="00B10752" w:rsidRDefault="00E70281" w:rsidP="0074582E">
            <w:pPr>
              <w:jc w:val="both"/>
              <w:rPr>
                <w:sz w:val="20"/>
                <w:lang w:val="fr-CA"/>
              </w:rPr>
            </w:pPr>
            <w:r w:rsidRPr="00B10752">
              <w:rPr>
                <w:sz w:val="20"/>
                <w:lang w:val="fr-CA"/>
              </w:rPr>
              <w:t>Cour du Québec (Montréal)</w:t>
            </w:r>
          </w:p>
          <w:p w:rsidR="00E70281" w:rsidRPr="00B10752" w:rsidRDefault="00E70281" w:rsidP="0074582E">
            <w:pPr>
              <w:jc w:val="both"/>
              <w:rPr>
                <w:sz w:val="20"/>
                <w:lang w:val="fr-CA"/>
              </w:rPr>
            </w:pPr>
            <w:r w:rsidRPr="00B10752">
              <w:rPr>
                <w:sz w:val="20"/>
                <w:lang w:val="fr-CA"/>
              </w:rPr>
              <w:t>(Le juge Fournier)</w:t>
            </w:r>
          </w:p>
          <w:p w:rsidR="00E70281" w:rsidRPr="00B10752" w:rsidRDefault="00E70281" w:rsidP="0074582E">
            <w:pPr>
              <w:jc w:val="both"/>
              <w:rPr>
                <w:sz w:val="20"/>
                <w:lang w:val="fr-CA"/>
              </w:rPr>
            </w:pPr>
            <w:r w:rsidRPr="00B10752">
              <w:rPr>
                <w:sz w:val="20"/>
                <w:lang w:val="fr-CA"/>
              </w:rPr>
              <w:t>Dossier : 500</w:t>
            </w:r>
            <w:r w:rsidRPr="00B10752">
              <w:rPr>
                <w:sz w:val="20"/>
                <w:lang w:val="fr-CA"/>
              </w:rPr>
              <w:noBreakHyphen/>
              <w:t>80</w:t>
            </w:r>
            <w:r w:rsidRPr="00B10752">
              <w:rPr>
                <w:sz w:val="20"/>
                <w:lang w:val="fr-CA"/>
              </w:rPr>
              <w:noBreakHyphen/>
              <w:t>021691</w:t>
            </w:r>
            <w:r w:rsidRPr="00B10752">
              <w:rPr>
                <w:sz w:val="20"/>
                <w:lang w:val="fr-CA"/>
              </w:rPr>
              <w:noBreakHyphen/>
              <w:t>127</w:t>
            </w:r>
          </w:p>
          <w:p w:rsidR="00E70281" w:rsidRPr="00B10752" w:rsidRDefault="00E70281" w:rsidP="0074582E">
            <w:pPr>
              <w:jc w:val="both"/>
              <w:rPr>
                <w:sz w:val="20"/>
                <w:lang w:val="fr-CA"/>
              </w:rPr>
            </w:pPr>
            <w:r w:rsidRPr="00B10752">
              <w:rPr>
                <w:rStyle w:val="Hyperlink"/>
                <w:sz w:val="20"/>
                <w:lang w:val="fr-CA"/>
              </w:rPr>
              <w:t>2018 QCCQ 8100</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Rejet de la demande introductive d’instance en appel de nouvelles cotisations fiscales de 3295036 Canada Inc. pour les années d’imposition se terminant le 30 septembre 2007 et le 30 septembre 2008.</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Le 3 novembre 2020</w:t>
            </w:r>
          </w:p>
          <w:p w:rsidR="00E70281" w:rsidRPr="00B10752" w:rsidRDefault="00E70281" w:rsidP="0074582E">
            <w:pPr>
              <w:jc w:val="both"/>
              <w:rPr>
                <w:sz w:val="20"/>
                <w:lang w:val="fr-CA"/>
              </w:rPr>
            </w:pPr>
            <w:r w:rsidRPr="00B10752">
              <w:rPr>
                <w:sz w:val="20"/>
                <w:lang w:val="fr-CA"/>
              </w:rPr>
              <w:t>Cour d’appel du Québec (Montréal)</w:t>
            </w:r>
          </w:p>
          <w:p w:rsidR="00E70281" w:rsidRPr="00B10752" w:rsidRDefault="00E70281" w:rsidP="0074582E">
            <w:pPr>
              <w:jc w:val="both"/>
              <w:rPr>
                <w:sz w:val="20"/>
                <w:lang w:val="fr-CA"/>
              </w:rPr>
            </w:pPr>
            <w:r w:rsidRPr="00B10752">
              <w:rPr>
                <w:sz w:val="20"/>
                <w:lang w:val="fr-CA"/>
              </w:rPr>
              <w:t>(Les juges Dutil, Bélanger et Mainville)</w:t>
            </w:r>
          </w:p>
          <w:p w:rsidR="00E70281" w:rsidRPr="00B10752" w:rsidRDefault="00E70281" w:rsidP="0074582E">
            <w:pPr>
              <w:jc w:val="both"/>
              <w:rPr>
                <w:sz w:val="20"/>
                <w:lang w:val="fr-CA"/>
              </w:rPr>
            </w:pPr>
            <w:r w:rsidRPr="00B10752">
              <w:rPr>
                <w:sz w:val="20"/>
                <w:lang w:val="fr-CA"/>
              </w:rPr>
              <w:t>Dossier : 500</w:t>
            </w:r>
            <w:r w:rsidRPr="00B10752">
              <w:rPr>
                <w:sz w:val="20"/>
                <w:lang w:val="fr-CA"/>
              </w:rPr>
              <w:noBreakHyphen/>
              <w:t>09</w:t>
            </w:r>
            <w:r w:rsidRPr="00B10752">
              <w:rPr>
                <w:sz w:val="20"/>
                <w:lang w:val="fr-CA"/>
              </w:rPr>
              <w:noBreakHyphen/>
              <w:t>028008</w:t>
            </w:r>
            <w:r w:rsidRPr="00B10752">
              <w:rPr>
                <w:sz w:val="20"/>
                <w:lang w:val="fr-CA"/>
              </w:rPr>
              <w:noBreakHyphen/>
              <w:t>183</w:t>
            </w:r>
          </w:p>
          <w:p w:rsidR="00E70281" w:rsidRPr="00B10752" w:rsidRDefault="00E70281" w:rsidP="0074582E">
            <w:pPr>
              <w:jc w:val="both"/>
              <w:rPr>
                <w:sz w:val="20"/>
              </w:rPr>
            </w:pPr>
            <w:r w:rsidRPr="00B10752">
              <w:rPr>
                <w:rStyle w:val="Hyperlink"/>
                <w:sz w:val="20"/>
              </w:rPr>
              <w:t>2020 QCCA 1435</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Rejet de l’appel du jugement de première instance.</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23 décembre 2020</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d’appel est présentée.</w:t>
            </w:r>
          </w:p>
          <w:p w:rsidR="00E70281" w:rsidRPr="00B10752" w:rsidRDefault="00E70281" w:rsidP="0074582E">
            <w:pPr>
              <w:jc w:val="both"/>
              <w:rPr>
                <w:sz w:val="20"/>
                <w:lang w:val="fr-CA"/>
              </w:rPr>
            </w:pP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60"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39529</w:t>
            </w:r>
          </w:p>
        </w:tc>
        <w:tc>
          <w:tcPr>
            <w:tcW w:w="4457" w:type="pct"/>
          </w:tcPr>
          <w:p w:rsidR="00E70281" w:rsidRPr="00B10752" w:rsidRDefault="00E70281" w:rsidP="0074582E">
            <w:pPr>
              <w:pStyle w:val="SCCLsocParty"/>
              <w:jc w:val="both"/>
              <w:rPr>
                <w:b/>
                <w:sz w:val="20"/>
                <w:szCs w:val="20"/>
                <w:lang w:val="en-US"/>
              </w:rPr>
            </w:pPr>
            <w:r w:rsidRPr="00B10752">
              <w:rPr>
                <w:b/>
                <w:sz w:val="20"/>
                <w:szCs w:val="20"/>
                <w:lang w:val="en-US"/>
              </w:rPr>
              <w:t>Mahbubur Rahman v. Minister of Citizenship and Immigration</w:t>
            </w:r>
          </w:p>
          <w:p w:rsidR="00E70281" w:rsidRPr="00B10752" w:rsidRDefault="00E70281" w:rsidP="0074582E">
            <w:pPr>
              <w:jc w:val="both"/>
              <w:rPr>
                <w:sz w:val="20"/>
              </w:rPr>
            </w:pPr>
            <w:r w:rsidRPr="00B10752">
              <w:rPr>
                <w:sz w:val="20"/>
              </w:rPr>
              <w:t>(F.C.) (Civil) (By Leave)</w:t>
            </w:r>
          </w:p>
        </w:tc>
      </w:tr>
      <w:tr w:rsidR="00E70281" w:rsidRPr="00B10752" w:rsidTr="0074582E">
        <w:tc>
          <w:tcPr>
            <w:tcW w:w="5000" w:type="pct"/>
            <w:gridSpan w:val="2"/>
          </w:tcPr>
          <w:p w:rsidR="00A90CAC" w:rsidRPr="00B10752" w:rsidRDefault="00A90CAC" w:rsidP="00A90CAC">
            <w:pPr>
              <w:jc w:val="both"/>
              <w:rPr>
                <w:sz w:val="20"/>
                <w:szCs w:val="20"/>
              </w:rPr>
            </w:pPr>
            <w:r w:rsidRPr="00B10752">
              <w:rPr>
                <w:sz w:val="20"/>
                <w:szCs w:val="20"/>
              </w:rPr>
              <w:t>The application for leave to appeal from the judgment of the Federal Court of Appeal, Number A-255-20, 2020 FCA 220, dated December 18, 2020, is dismissed with costs.</w:t>
            </w:r>
          </w:p>
          <w:p w:rsidR="00E70281" w:rsidRPr="00B10752" w:rsidRDefault="00E70281" w:rsidP="0074582E">
            <w:pPr>
              <w:ind w:right="56" w:firstLine="25"/>
              <w:jc w:val="both"/>
              <w:rPr>
                <w:sz w:val="20"/>
              </w:rPr>
            </w:pPr>
          </w:p>
        </w:tc>
      </w:tr>
      <w:tr w:rsidR="00E70281" w:rsidRPr="00B10752" w:rsidTr="0074582E">
        <w:tc>
          <w:tcPr>
            <w:tcW w:w="5000" w:type="pct"/>
            <w:gridSpan w:val="2"/>
          </w:tcPr>
          <w:p w:rsidR="00E70281" w:rsidRPr="00B10752" w:rsidRDefault="00E70281" w:rsidP="0074582E">
            <w:pPr>
              <w:ind w:right="56" w:firstLine="25"/>
              <w:jc w:val="both"/>
              <w:rPr>
                <w:sz w:val="20"/>
              </w:rPr>
            </w:pPr>
            <w:r w:rsidRPr="00B10752">
              <w:rPr>
                <w:sz w:val="20"/>
              </w:rPr>
              <w:t xml:space="preserve">Immigration — Judicial review — Applicant denied leave to seek judicial review of decision of Visa Officer denying his application for a study visa in Canada — Whether the </w:t>
            </w:r>
            <w:r w:rsidRPr="00B10752">
              <w:rPr>
                <w:i/>
                <w:sz w:val="20"/>
              </w:rPr>
              <w:t>Immigration and Refugee Protection Act</w:t>
            </w:r>
            <w:r w:rsidRPr="00B10752">
              <w:rPr>
                <w:sz w:val="20"/>
              </w:rPr>
              <w:t xml:space="preserve">, S.C. 2001, c. 27, confers on Federal Court judges the discretion to deny leave when the requirement for leave has been established — Whether denying leave despite having shown an “arguable issue” reveals judicial bias and permits appeal to the Federal Court of Appeal — Whether there was a reasonable basis to believe that the applicant would remain unlawfully in Canada — Whether a refusal is only lawful if Immigration Canada proves it was made by an authorised, identified officer — Whether the student visa should be issued forthwith because the statutory requirements were met — Whether Rule 22 of the Federal Court’s </w:t>
            </w:r>
            <w:r w:rsidRPr="00B10752">
              <w:rPr>
                <w:i/>
                <w:sz w:val="20"/>
              </w:rPr>
              <w:t>Immigration and Refugee Protection Rules</w:t>
            </w:r>
            <w:r w:rsidRPr="00B10752">
              <w:rPr>
                <w:sz w:val="20"/>
              </w:rPr>
              <w:t xml:space="preserve"> is unlawful because it contravenes A3(3)(b) by absolving Immigration Canada from being accountable, contrary to the expressed will of Parliament.</w:t>
            </w:r>
          </w:p>
        </w:tc>
      </w:tr>
      <w:tr w:rsidR="00E70281" w:rsidRPr="00B10752" w:rsidTr="0074582E">
        <w:tc>
          <w:tcPr>
            <w:tcW w:w="5000" w:type="pct"/>
            <w:gridSpan w:val="2"/>
          </w:tcPr>
          <w:p w:rsidR="00E70281" w:rsidRPr="00B10752" w:rsidRDefault="00E70281" w:rsidP="0074582E">
            <w:pPr>
              <w:jc w:val="both"/>
              <w:rPr>
                <w:sz w:val="20"/>
              </w:rPr>
            </w:pPr>
          </w:p>
        </w:tc>
      </w:tr>
    </w:tbl>
    <w:p w:rsidR="00D90258" w:rsidRPr="00B10752" w:rsidRDefault="00D90258">
      <w:r w:rsidRPr="00B1075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5000" w:type="pct"/>
            <w:gridSpan w:val="3"/>
          </w:tcPr>
          <w:p w:rsidR="00E70281" w:rsidRPr="00B10752" w:rsidRDefault="00E70281" w:rsidP="0074582E">
            <w:pPr>
              <w:jc w:val="both"/>
              <w:rPr>
                <w:sz w:val="20"/>
              </w:rPr>
            </w:pPr>
            <w:r w:rsidRPr="00B10752">
              <w:rPr>
                <w:sz w:val="20"/>
              </w:rPr>
              <w:lastRenderedPageBreak/>
              <w:t xml:space="preserve">On October 10, 2019, a visa officer rejected the applicant’s application for a study permit. The applicant challenged that decision by way of an application for leave to apply for judicial review under s. 72(1) of the </w:t>
            </w:r>
            <w:r w:rsidRPr="00B10752">
              <w:rPr>
                <w:i/>
                <w:sz w:val="20"/>
              </w:rPr>
              <w:t xml:space="preserve">Immigration and Refugee Protection Act </w:t>
            </w:r>
            <w:r w:rsidRPr="00B10752">
              <w:rPr>
                <w:sz w:val="20"/>
              </w:rPr>
              <w:t>(“</w:t>
            </w:r>
            <w:r w:rsidRPr="00B10752">
              <w:rPr>
                <w:i/>
                <w:sz w:val="20"/>
              </w:rPr>
              <w:t>IRPA</w:t>
            </w:r>
            <w:r w:rsidRPr="00B10752">
              <w:rPr>
                <w:sz w:val="20"/>
              </w:rPr>
              <w:t xml:space="preserve">”). The Federal Court dismissed the application for leave to commence an application for judicial review. The applicant filed a Notice of Appeal. It was accepted for filing without prejudice to the respondent to challenge the timelines or the legality of the appeal. The respondent brought a motion under Rule 74 of the </w:t>
            </w:r>
            <w:r w:rsidRPr="00B10752">
              <w:rPr>
                <w:i/>
                <w:sz w:val="20"/>
              </w:rPr>
              <w:t>Federal Court Rules</w:t>
            </w:r>
            <w:r w:rsidRPr="00B10752">
              <w:rPr>
                <w:sz w:val="20"/>
              </w:rPr>
              <w:t xml:space="preserve"> to quash the appeal and to remove the Notice from the record as there was no right of appeal from an order of the Federal Court dismissing leave. The Federal Court of Appeal granted the respondent’s motion, quashed the appeal and removed the Notice from the record.</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March 6, 2020</w:t>
            </w:r>
          </w:p>
          <w:p w:rsidR="00E70281" w:rsidRPr="00B10752" w:rsidRDefault="00E70281" w:rsidP="0074582E">
            <w:pPr>
              <w:jc w:val="both"/>
              <w:rPr>
                <w:sz w:val="20"/>
              </w:rPr>
            </w:pPr>
            <w:r w:rsidRPr="00B10752">
              <w:rPr>
                <w:sz w:val="20"/>
              </w:rPr>
              <w:t>Federal Court</w:t>
            </w:r>
          </w:p>
          <w:p w:rsidR="00E70281" w:rsidRPr="00B10752" w:rsidRDefault="00E70281" w:rsidP="0074582E">
            <w:pPr>
              <w:jc w:val="both"/>
              <w:rPr>
                <w:sz w:val="20"/>
              </w:rPr>
            </w:pPr>
            <w:r w:rsidRPr="00B10752">
              <w:rPr>
                <w:sz w:val="20"/>
              </w:rPr>
              <w:t>(Strickland J.)</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Applicant’s application for leave to commence application for judicial review of decision of Visa Officer dismissed.</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December 18, 2020</w:t>
            </w:r>
          </w:p>
          <w:p w:rsidR="00E70281" w:rsidRPr="00B10752" w:rsidRDefault="00E70281" w:rsidP="0074582E">
            <w:pPr>
              <w:jc w:val="both"/>
              <w:rPr>
                <w:sz w:val="20"/>
              </w:rPr>
            </w:pPr>
            <w:r w:rsidRPr="00B10752">
              <w:rPr>
                <w:sz w:val="20"/>
              </w:rPr>
              <w:t>Federal Court of Appeal</w:t>
            </w:r>
          </w:p>
          <w:p w:rsidR="00E70281" w:rsidRPr="00B10752" w:rsidRDefault="00E70281" w:rsidP="0074582E">
            <w:pPr>
              <w:jc w:val="both"/>
              <w:rPr>
                <w:sz w:val="20"/>
              </w:rPr>
            </w:pPr>
            <w:r w:rsidRPr="00B10752">
              <w:rPr>
                <w:sz w:val="20"/>
              </w:rPr>
              <w:t>(Gauthier, Webb and Locke JJ.A.)</w:t>
            </w:r>
          </w:p>
          <w:p w:rsidR="00E70281" w:rsidRPr="00B10752" w:rsidRDefault="00E70281" w:rsidP="0074582E">
            <w:pPr>
              <w:jc w:val="both"/>
              <w:rPr>
                <w:sz w:val="20"/>
              </w:rPr>
            </w:pPr>
            <w:r w:rsidRPr="00B10752">
              <w:rPr>
                <w:sz w:val="20"/>
              </w:rPr>
              <w:t>2020 FCA 220</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Minister’s motion to quash applicant’s appeal granted</w:t>
            </w:r>
          </w:p>
          <w:p w:rsidR="00E70281" w:rsidRPr="00B10752" w:rsidRDefault="00E70281" w:rsidP="0074582E">
            <w:pPr>
              <w:jc w:val="both"/>
              <w:rPr>
                <w:sz w:val="20"/>
              </w:rPr>
            </w:pP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January 12, 2021</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61"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39529</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 xml:space="preserve">Mahbubur Rahman c. Ministre de la Citoyenneté et </w:t>
            </w:r>
            <w:r w:rsidR="0043200D" w:rsidRPr="00B10752">
              <w:rPr>
                <w:b/>
                <w:sz w:val="20"/>
                <w:szCs w:val="20"/>
              </w:rPr>
              <w:t xml:space="preserve">de </w:t>
            </w:r>
            <w:r w:rsidRPr="00B10752">
              <w:rPr>
                <w:b/>
                <w:sz w:val="20"/>
                <w:szCs w:val="20"/>
              </w:rPr>
              <w:t>l’Immigration</w:t>
            </w:r>
          </w:p>
          <w:p w:rsidR="00E70281" w:rsidRPr="00B10752" w:rsidRDefault="00E70281" w:rsidP="0074582E">
            <w:pPr>
              <w:jc w:val="both"/>
              <w:rPr>
                <w:sz w:val="20"/>
                <w:lang w:val="fr-CA"/>
              </w:rPr>
            </w:pPr>
            <w:r w:rsidRPr="00B10752">
              <w:rPr>
                <w:sz w:val="20"/>
                <w:lang w:val="fr-CA"/>
              </w:rPr>
              <w:t>(C.F.) (Civile) (Sur autorisation)</w:t>
            </w:r>
          </w:p>
        </w:tc>
      </w:tr>
      <w:tr w:rsidR="00E70281" w:rsidRPr="00B10752" w:rsidTr="0074582E">
        <w:tc>
          <w:tcPr>
            <w:tcW w:w="5000" w:type="pct"/>
            <w:gridSpan w:val="4"/>
          </w:tcPr>
          <w:p w:rsidR="00E70281" w:rsidRPr="00B10752" w:rsidRDefault="0043200D" w:rsidP="0074582E">
            <w:pPr>
              <w:ind w:right="56" w:firstLine="25"/>
              <w:jc w:val="both"/>
              <w:rPr>
                <w:sz w:val="20"/>
                <w:szCs w:val="20"/>
                <w:lang w:val="fr-CA"/>
              </w:rPr>
            </w:pPr>
            <w:r w:rsidRPr="00B10752">
              <w:rPr>
                <w:sz w:val="20"/>
                <w:szCs w:val="20"/>
                <w:lang w:val="fr-CA"/>
              </w:rPr>
              <w:t>La demande d’autorisation d’appel de l’arrêt de la Cour d’appel fédérale, numéro A-255-20, 2020 FCA 220, A-255-20, daté du 18 décembre 2020, est rejetée avec dépens.</w:t>
            </w:r>
          </w:p>
          <w:p w:rsidR="0043200D" w:rsidRPr="00B10752" w:rsidRDefault="0043200D" w:rsidP="0074582E">
            <w:pPr>
              <w:ind w:right="56" w:firstLine="25"/>
              <w:jc w:val="both"/>
              <w:rPr>
                <w:sz w:val="20"/>
                <w:lang w:val="fr-CA"/>
              </w:rPr>
            </w:pPr>
          </w:p>
        </w:tc>
      </w:tr>
      <w:tr w:rsidR="00E70281" w:rsidRPr="00B10752" w:rsidTr="0074582E">
        <w:tc>
          <w:tcPr>
            <w:tcW w:w="5000" w:type="pct"/>
            <w:gridSpan w:val="4"/>
          </w:tcPr>
          <w:p w:rsidR="00E70281" w:rsidRPr="00B10752" w:rsidRDefault="00E70281" w:rsidP="0074582E">
            <w:pPr>
              <w:ind w:right="56" w:firstLine="25"/>
              <w:jc w:val="both"/>
              <w:rPr>
                <w:sz w:val="20"/>
                <w:lang w:val="fr-CA"/>
              </w:rPr>
            </w:pPr>
            <w:r w:rsidRPr="00B10752">
              <w:rPr>
                <w:sz w:val="20"/>
                <w:lang w:val="fr-CA"/>
              </w:rPr>
              <w:t xml:space="preserve">Immigration — Contrôle judiciaire — La demande sollicitant le contrôle judiciaire de la décision d’un agent des visas rejetant sa demande de permis d’études au Canada a été refusée au demandeur — La </w:t>
            </w:r>
            <w:r w:rsidRPr="00B10752">
              <w:rPr>
                <w:rStyle w:val="Emphasis"/>
                <w:sz w:val="20"/>
                <w:lang w:val="fr-CA"/>
              </w:rPr>
              <w:t>Loi sur l’immigration et la protection des réfugiés</w:t>
            </w:r>
            <w:r w:rsidRPr="00B10752">
              <w:rPr>
                <w:sz w:val="20"/>
                <w:lang w:val="fr-CA"/>
              </w:rPr>
              <w:t>, LC 2001, c. 27, confère</w:t>
            </w:r>
            <w:r w:rsidRPr="00B10752">
              <w:rPr>
                <w:sz w:val="20"/>
                <w:lang w:val="fr-CA"/>
              </w:rPr>
              <w:noBreakHyphen/>
              <w:t>t</w:t>
            </w:r>
            <w:r w:rsidRPr="00B10752">
              <w:rPr>
                <w:sz w:val="20"/>
                <w:lang w:val="fr-CA"/>
              </w:rPr>
              <w:noBreakHyphen/>
              <w:t>elle aux juges de la Cour fédérale le pouvoir discrétionnaire de rejeter une demande d’autorisation lorsque l’exigence d’autorisation a été établie? — Le rejet de la demande d’autorisation en dépit d’avoir démontré l’existence d’une « question défendable » est</w:t>
            </w:r>
            <w:r w:rsidRPr="00B10752">
              <w:rPr>
                <w:sz w:val="20"/>
                <w:lang w:val="fr-CA"/>
              </w:rPr>
              <w:noBreakHyphen/>
              <w:t>il une indication de partialité judiciaire et permet</w:t>
            </w:r>
            <w:r w:rsidRPr="00B10752">
              <w:rPr>
                <w:sz w:val="20"/>
                <w:lang w:val="fr-CA"/>
              </w:rPr>
              <w:noBreakHyphen/>
              <w:t>il d’interjeter appel devant la Cour d’appel fédérale? — Existait</w:t>
            </w:r>
            <w:r w:rsidRPr="00B10752">
              <w:rPr>
                <w:sz w:val="20"/>
                <w:lang w:val="fr-CA"/>
              </w:rPr>
              <w:noBreakHyphen/>
              <w:t>il des motifs raisonnables de croire que le demandeur allait demeurer au Canada illégalement? — Un refus est</w:t>
            </w:r>
            <w:r w:rsidRPr="00B10752">
              <w:rPr>
                <w:sz w:val="20"/>
                <w:lang w:val="fr-CA"/>
              </w:rPr>
              <w:noBreakHyphen/>
              <w:t>il légal qu’à condition qu’Immigration Canada démontre qu’il provient d’un agent identifié et autorisé à le faire? — Le permis d’études devrait</w:t>
            </w:r>
            <w:r w:rsidRPr="00B10752">
              <w:rPr>
                <w:sz w:val="20"/>
                <w:lang w:val="fr-CA"/>
              </w:rPr>
              <w:noBreakHyphen/>
              <w:t xml:space="preserve">il être délivré immédiatement puisque les exigences légales ont été respectées? — L’article 22 de </w:t>
            </w:r>
            <w:r w:rsidRPr="00B10752">
              <w:rPr>
                <w:i/>
                <w:iCs/>
                <w:sz w:val="20"/>
                <w:lang w:val="fr-FR"/>
              </w:rPr>
              <w:t>Règles des cours fédérales en matière de citoyenneté, d’immigration et de protection des réfugiés</w:t>
            </w:r>
            <w:r w:rsidRPr="00B10752">
              <w:rPr>
                <w:sz w:val="20"/>
                <w:lang w:val="fr-CA"/>
              </w:rPr>
              <w:t xml:space="preserve"> est</w:t>
            </w:r>
            <w:r w:rsidRPr="00B10752">
              <w:rPr>
                <w:sz w:val="20"/>
                <w:lang w:val="fr-CA"/>
              </w:rPr>
              <w:noBreakHyphen/>
              <w:t>il illégal au motif qu’il contrevient à l’al. 3(3)b) de</w:t>
            </w:r>
            <w:r w:rsidRPr="00B10752">
              <w:rPr>
                <w:rStyle w:val="Emphasis"/>
                <w:sz w:val="20"/>
                <w:lang w:val="fr-CA"/>
              </w:rPr>
              <w:t xml:space="preserve"> la Loi sur l’immigration et la protection des réfugiés</w:t>
            </w:r>
            <w:r w:rsidRPr="00B10752">
              <w:rPr>
                <w:sz w:val="20"/>
                <w:lang w:val="fr-CA"/>
              </w:rPr>
              <w:t>, en soustrayant Immigration Canada à toute responsabilisation, à l’encontre de la volonté expresse du législateur?</w:t>
            </w:r>
          </w:p>
        </w:tc>
      </w:tr>
      <w:tr w:rsidR="00E70281" w:rsidRPr="00B10752" w:rsidTr="0074582E">
        <w:tc>
          <w:tcPr>
            <w:tcW w:w="5000" w:type="pct"/>
            <w:gridSpan w:val="4"/>
          </w:tcPr>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 xml:space="preserve">Le 10 octobre 2019, un agent des visas a rejeté la demande de permis d’études du demandeur. Ce dernier a contesté cette décision en demandant l’autorisation de présenter une demande de contrôle judiciaire de celle-ci en vertu du par. 72(1) de la </w:t>
            </w:r>
            <w:r w:rsidRPr="00B10752">
              <w:rPr>
                <w:rStyle w:val="Emphasis"/>
                <w:sz w:val="20"/>
                <w:lang w:val="fr-CA"/>
              </w:rPr>
              <w:t>Loi sur l’immigration et la protection des réfugiés</w:t>
            </w:r>
            <w:r w:rsidRPr="00B10752">
              <w:rPr>
                <w:sz w:val="20"/>
                <w:lang w:val="fr-CA"/>
              </w:rPr>
              <w:t xml:space="preserve"> (« LIPR »). La Cour fédérale a rejeté la demande d’autorisation de présenter une demande de contrôle judiciaire. Le demandeur a déposé un avis d’appel. Ce dépôt a été accepté sous réserve du droit de l’intimé de contester les délais ou le caractère légal de l’appel. L’intimé a présenté une requête en vertu de l’art. 74 des </w:t>
            </w:r>
            <w:r w:rsidRPr="00B10752">
              <w:rPr>
                <w:i/>
                <w:sz w:val="20"/>
                <w:lang w:val="fr-CA"/>
              </w:rPr>
              <w:t>Règles de la Cour fédérale</w:t>
            </w:r>
            <w:r w:rsidRPr="00B10752">
              <w:rPr>
                <w:sz w:val="20"/>
                <w:lang w:val="fr-CA"/>
              </w:rPr>
              <w:t xml:space="preserve"> en vue d’annuler l’appel et de retirer l’avis d’appel du dossier puisqu’il n’y avait pas de droit d’appel de l’ordonnance de la Cour fédérale rejetant la demande d’autorisation. La Cour d’appel fédérale a accueilli la requête de l’intimé, a annulé l’appel et a retiré l’avis d’appel du dossier.</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lastRenderedPageBreak/>
              <w:t>6 mars 2020</w:t>
            </w:r>
          </w:p>
          <w:p w:rsidR="00E70281" w:rsidRPr="00B10752" w:rsidRDefault="00E70281" w:rsidP="0074582E">
            <w:pPr>
              <w:jc w:val="both"/>
              <w:rPr>
                <w:sz w:val="20"/>
                <w:lang w:val="fr-CA"/>
              </w:rPr>
            </w:pPr>
            <w:r w:rsidRPr="00B10752">
              <w:rPr>
                <w:sz w:val="20"/>
                <w:lang w:val="fr-CA"/>
              </w:rPr>
              <w:t>Cour fédérale</w:t>
            </w:r>
          </w:p>
          <w:p w:rsidR="00E70281" w:rsidRPr="00B10752" w:rsidRDefault="00E70281" w:rsidP="0074582E">
            <w:pPr>
              <w:jc w:val="both"/>
              <w:rPr>
                <w:sz w:val="20"/>
                <w:lang w:val="fr-CA"/>
              </w:rPr>
            </w:pPr>
            <w:r w:rsidRPr="00B10752">
              <w:rPr>
                <w:sz w:val="20"/>
                <w:lang w:val="fr-CA"/>
              </w:rPr>
              <w:t>(Juge Strickland)</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de présenter une demande de contrôle judiciaire de la décision de l’agent des visas présentée par le demandeur est rejetée.</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18 décembre 2020</w:t>
            </w:r>
          </w:p>
          <w:p w:rsidR="00E70281" w:rsidRPr="00B10752" w:rsidRDefault="00E70281" w:rsidP="0074582E">
            <w:pPr>
              <w:jc w:val="both"/>
              <w:rPr>
                <w:sz w:val="20"/>
                <w:lang w:val="fr-CA"/>
              </w:rPr>
            </w:pPr>
            <w:r w:rsidRPr="00B10752">
              <w:rPr>
                <w:sz w:val="20"/>
                <w:lang w:val="fr-CA"/>
              </w:rPr>
              <w:t>Cour d’appel fédérale</w:t>
            </w:r>
          </w:p>
          <w:p w:rsidR="00E70281" w:rsidRPr="00B10752" w:rsidRDefault="00E70281" w:rsidP="0074582E">
            <w:pPr>
              <w:jc w:val="both"/>
              <w:rPr>
                <w:sz w:val="20"/>
                <w:lang w:val="fr-CA"/>
              </w:rPr>
            </w:pPr>
            <w:r w:rsidRPr="00B10752">
              <w:rPr>
                <w:sz w:val="20"/>
                <w:lang w:val="fr-CA"/>
              </w:rPr>
              <w:t>(Juges Gauthier, Webb et Locke)</w:t>
            </w:r>
          </w:p>
          <w:p w:rsidR="00E70281" w:rsidRPr="00B10752" w:rsidRDefault="00E70281" w:rsidP="0074582E">
            <w:pPr>
              <w:jc w:val="both"/>
              <w:rPr>
                <w:sz w:val="20"/>
                <w:lang w:val="fr-CA"/>
              </w:rPr>
            </w:pPr>
            <w:r w:rsidRPr="00B10752">
              <w:rPr>
                <w:sz w:val="20"/>
                <w:lang w:val="fr-CA"/>
              </w:rPr>
              <w:t>2020 FCA 220</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requête du ministre en annulation de l’appel du demandeur est accueillie.</w:t>
            </w:r>
          </w:p>
          <w:p w:rsidR="00E70281" w:rsidRPr="00B10752" w:rsidRDefault="00E70281" w:rsidP="0074582E">
            <w:pPr>
              <w:jc w:val="both"/>
              <w:rPr>
                <w:sz w:val="20"/>
                <w:lang w:val="fr-CA"/>
              </w:rPr>
            </w:pP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12 janvier 2021</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d’appel est présentée.</w:t>
            </w:r>
          </w:p>
          <w:p w:rsidR="00E70281" w:rsidRPr="00B10752" w:rsidRDefault="00E70281" w:rsidP="0074582E">
            <w:pPr>
              <w:jc w:val="both"/>
              <w:rPr>
                <w:sz w:val="20"/>
                <w:lang w:val="fr-CA"/>
              </w:rPr>
            </w:pP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62"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39537</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Agence du revenu du Québec v. Philippe Custeau</w:t>
            </w:r>
            <w:r w:rsidR="0043200D" w:rsidRPr="00B10752">
              <w:rPr>
                <w:b/>
                <w:sz w:val="20"/>
                <w:szCs w:val="20"/>
              </w:rPr>
              <w:t xml:space="preserve"> and</w:t>
            </w:r>
            <w:r w:rsidRPr="00B10752">
              <w:rPr>
                <w:b/>
                <w:sz w:val="20"/>
                <w:szCs w:val="20"/>
              </w:rPr>
              <w:t xml:space="preserve"> Charles Custeau</w:t>
            </w:r>
          </w:p>
          <w:p w:rsidR="00E70281" w:rsidRPr="00B10752" w:rsidRDefault="00E70281" w:rsidP="0074582E">
            <w:pPr>
              <w:jc w:val="both"/>
              <w:rPr>
                <w:sz w:val="20"/>
              </w:rPr>
            </w:pPr>
            <w:r w:rsidRPr="00B10752">
              <w:rPr>
                <w:sz w:val="20"/>
              </w:rPr>
              <w:t>(Que.) (Civil) (By Leave)</w:t>
            </w:r>
          </w:p>
        </w:tc>
      </w:tr>
      <w:tr w:rsidR="00E70281" w:rsidRPr="00B10752" w:rsidTr="0074582E">
        <w:tc>
          <w:tcPr>
            <w:tcW w:w="5000" w:type="pct"/>
            <w:gridSpan w:val="4"/>
          </w:tcPr>
          <w:p w:rsidR="0043200D" w:rsidRPr="00B10752" w:rsidRDefault="0043200D" w:rsidP="0043200D">
            <w:pPr>
              <w:jc w:val="both"/>
              <w:rPr>
                <w:sz w:val="20"/>
                <w:szCs w:val="20"/>
              </w:rPr>
            </w:pPr>
            <w:r w:rsidRPr="00B10752">
              <w:rPr>
                <w:sz w:val="20"/>
                <w:szCs w:val="20"/>
              </w:rPr>
              <w:t xml:space="preserve">The application for leave to appeal from the judgment of the </w:t>
            </w:r>
            <w:r w:rsidRPr="00B10752">
              <w:rPr>
                <w:sz w:val="20"/>
                <w:szCs w:val="20"/>
                <w:lang w:val="en-US"/>
              </w:rPr>
              <w:t>Court of Appeal of Quebec (Montréal)</w:t>
            </w:r>
            <w:r w:rsidRPr="00B10752">
              <w:rPr>
                <w:sz w:val="20"/>
                <w:szCs w:val="20"/>
              </w:rPr>
              <w:t xml:space="preserve">, Numbers </w:t>
            </w:r>
            <w:r w:rsidRPr="00B10752">
              <w:rPr>
                <w:sz w:val="20"/>
                <w:szCs w:val="20"/>
                <w:lang w:val="en-US"/>
              </w:rPr>
              <w:t>500-09-027827-187 and 500-09-027828-185</w:t>
            </w:r>
            <w:r w:rsidRPr="00B10752">
              <w:rPr>
                <w:sz w:val="20"/>
                <w:szCs w:val="20"/>
              </w:rPr>
              <w:t xml:space="preserve">, </w:t>
            </w:r>
            <w:r w:rsidRPr="00B10752">
              <w:rPr>
                <w:sz w:val="20"/>
                <w:szCs w:val="20"/>
                <w:lang w:val="en-US"/>
              </w:rPr>
              <w:t xml:space="preserve">2020 QCCA 1496, </w:t>
            </w:r>
            <w:r w:rsidRPr="00B10752">
              <w:rPr>
                <w:sz w:val="20"/>
                <w:szCs w:val="20"/>
              </w:rPr>
              <w:t xml:space="preserve">dated </w:t>
            </w:r>
            <w:r w:rsidRPr="00B10752">
              <w:rPr>
                <w:sz w:val="20"/>
                <w:szCs w:val="20"/>
                <w:lang w:val="en-US"/>
              </w:rPr>
              <w:t>November 13, 2020,</w:t>
            </w:r>
            <w:r w:rsidRPr="00B10752">
              <w:rPr>
                <w:sz w:val="20"/>
                <w:szCs w:val="20"/>
              </w:rPr>
              <w:t xml:space="preserve"> is dismissed with costs.</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Taxation — Income tax — Assessments — General anti</w:t>
            </w:r>
            <w:r w:rsidRPr="00B10752">
              <w:rPr>
                <w:sz w:val="20"/>
              </w:rPr>
              <w:noBreakHyphen/>
              <w:t>avoidance rule (GAAR) — Series of transactions — Extent to which presence or absence of non</w:t>
            </w:r>
            <w:r w:rsidRPr="00B10752">
              <w:rPr>
                <w:sz w:val="20"/>
              </w:rPr>
              <w:noBreakHyphen/>
              <w:t xml:space="preserve">arm’s length relationship affects analysis of last two requirements for application of GAAR, namely avoidance transaction and abuse within meaning of ss. 1079.10 to 1079.12 </w:t>
            </w:r>
            <w:r w:rsidRPr="00B10752">
              <w:rPr>
                <w:i/>
                <w:sz w:val="20"/>
              </w:rPr>
              <w:t>T.A.</w:t>
            </w:r>
            <w:r w:rsidRPr="00B10752">
              <w:rPr>
                <w:sz w:val="20"/>
              </w:rPr>
              <w:t xml:space="preserve"> — Whether transactions identified by ARQ were related transactions that were part of series of transactions resulting in tax benefit — Whether at least one of these transactions was avoidance transaction — Whether avoidance transaction that was part of series of transactions generating tax benefit was abusive — </w:t>
            </w:r>
            <w:r w:rsidRPr="00B10752">
              <w:rPr>
                <w:i/>
                <w:sz w:val="20"/>
              </w:rPr>
              <w:t>Taxation Act</w:t>
            </w:r>
            <w:r w:rsidRPr="00B10752">
              <w:rPr>
                <w:sz w:val="20"/>
              </w:rPr>
              <w:t>, CQLR, c. I</w:t>
            </w:r>
            <w:r w:rsidRPr="00B10752">
              <w:rPr>
                <w:sz w:val="20"/>
              </w:rPr>
              <w:noBreakHyphen/>
              <w:t>3, ss. 1.5, 1079.9 to 1079.13.</w:t>
            </w:r>
          </w:p>
        </w:tc>
      </w:tr>
      <w:tr w:rsidR="00E70281" w:rsidRPr="00B10752" w:rsidTr="0074582E">
        <w:tc>
          <w:tcPr>
            <w:tcW w:w="5000" w:type="pct"/>
            <w:gridSpan w:val="4"/>
          </w:tcPr>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This case relates to the application of the general anti</w:t>
            </w:r>
            <w:r w:rsidRPr="00B10752">
              <w:rPr>
                <w:sz w:val="20"/>
              </w:rPr>
              <w:noBreakHyphen/>
              <w:t xml:space="preserve">avoidance rule (“GAAR”). The applicant, the Agence du revenu du Québec (“ARQ”), was of the view that the respondents, Philippe Custeau and Charles Custeau, had carried out a series of transactions that included avoidance transactions, which had given rise to a tax benefit that was an abuse of ss. 517.1 and 570 of the </w:t>
            </w:r>
            <w:r w:rsidRPr="00B10752">
              <w:rPr>
                <w:i/>
                <w:sz w:val="20"/>
              </w:rPr>
              <w:t>Taxation Act</w:t>
            </w:r>
            <w:r w:rsidRPr="00B10752">
              <w:rPr>
                <w:sz w:val="20"/>
              </w:rPr>
              <w:t>, CQLR, c. I</w:t>
            </w:r>
            <w:r w:rsidRPr="00B10752">
              <w:rPr>
                <w:sz w:val="20"/>
              </w:rPr>
              <w:noBreakHyphen/>
              <w:t>3</w:t>
            </w:r>
            <w:r w:rsidRPr="00B10752">
              <w:rPr>
                <w:i/>
                <w:sz w:val="20"/>
              </w:rPr>
              <w:t xml:space="preserve">. </w:t>
            </w:r>
            <w:r w:rsidRPr="00B10752">
              <w:rPr>
                <w:sz w:val="20"/>
              </w:rPr>
              <w:t>On December 10, 2013, the ARQ made a tax assessment against each of them for the 2006 taxation year, which had the effect of adding a deemed dividend of $499,950 to the income of each for that year. Philippe Custeau and Charles Custeau believed that the GAAR did not apply in this case. They asked the Court of Québec to vacate the assessments made against them by the ARQ. The Court of Québec allowed the appeals from the tax assessments and vacated the notices of assessment. The ARQ appealed the trial judgment, but the Quebec Court of Appeal dismissed the appeal.</w:t>
            </w:r>
          </w:p>
          <w:p w:rsidR="00E70281" w:rsidRPr="00B10752" w:rsidRDefault="00E70281" w:rsidP="0074582E">
            <w:pPr>
              <w:jc w:val="both"/>
              <w:rPr>
                <w:sz w:val="20"/>
              </w:rPr>
            </w:pPr>
          </w:p>
        </w:tc>
      </w:tr>
      <w:tr w:rsidR="00E70281" w:rsidRPr="00B10752" w:rsidTr="0074582E">
        <w:trPr>
          <w:trHeight w:val="1525"/>
        </w:trPr>
        <w:tc>
          <w:tcPr>
            <w:tcW w:w="2427" w:type="pct"/>
            <w:gridSpan w:val="2"/>
          </w:tcPr>
          <w:p w:rsidR="00E70281" w:rsidRPr="00B10752" w:rsidRDefault="00E70281" w:rsidP="0074582E">
            <w:pPr>
              <w:jc w:val="both"/>
              <w:rPr>
                <w:sz w:val="20"/>
              </w:rPr>
            </w:pPr>
            <w:r w:rsidRPr="00B10752">
              <w:rPr>
                <w:sz w:val="20"/>
              </w:rPr>
              <w:t>August 8, 2018</w:t>
            </w:r>
          </w:p>
          <w:p w:rsidR="00E70281" w:rsidRPr="00B10752" w:rsidRDefault="00E70281" w:rsidP="0074582E">
            <w:pPr>
              <w:jc w:val="both"/>
              <w:rPr>
                <w:sz w:val="20"/>
              </w:rPr>
            </w:pPr>
            <w:r w:rsidRPr="00B10752">
              <w:rPr>
                <w:sz w:val="20"/>
              </w:rPr>
              <w:t>Court of Québec (Montréal)</w:t>
            </w:r>
          </w:p>
          <w:p w:rsidR="00E70281" w:rsidRPr="00B10752" w:rsidRDefault="00E70281" w:rsidP="0074582E">
            <w:pPr>
              <w:jc w:val="both"/>
              <w:rPr>
                <w:sz w:val="20"/>
              </w:rPr>
            </w:pPr>
            <w:r w:rsidRPr="00B10752">
              <w:rPr>
                <w:sz w:val="20"/>
              </w:rPr>
              <w:t>(Judge Dortélus)</w:t>
            </w:r>
          </w:p>
          <w:p w:rsidR="00E70281" w:rsidRPr="00B10752" w:rsidRDefault="00E70281" w:rsidP="0074582E">
            <w:pPr>
              <w:jc w:val="both"/>
              <w:rPr>
                <w:sz w:val="20"/>
              </w:rPr>
            </w:pPr>
            <w:r w:rsidRPr="00B10752">
              <w:rPr>
                <w:sz w:val="20"/>
              </w:rPr>
              <w:t>Files: 500</w:t>
            </w:r>
            <w:r w:rsidRPr="00B10752">
              <w:rPr>
                <w:sz w:val="20"/>
              </w:rPr>
              <w:noBreakHyphen/>
              <w:t>80</w:t>
            </w:r>
            <w:r w:rsidRPr="00B10752">
              <w:rPr>
                <w:sz w:val="20"/>
              </w:rPr>
              <w:noBreakHyphen/>
              <w:t>029266</w:t>
            </w:r>
            <w:r w:rsidRPr="00B10752">
              <w:rPr>
                <w:sz w:val="20"/>
              </w:rPr>
              <w:noBreakHyphen/>
              <w:t>148</w:t>
            </w:r>
          </w:p>
          <w:p w:rsidR="00E70281" w:rsidRPr="00B10752" w:rsidRDefault="00E70281" w:rsidP="0074582E">
            <w:pPr>
              <w:jc w:val="both"/>
              <w:rPr>
                <w:sz w:val="20"/>
              </w:rPr>
            </w:pPr>
            <w:r w:rsidRPr="00B10752">
              <w:rPr>
                <w:sz w:val="20"/>
              </w:rPr>
              <w:t>and</w:t>
            </w:r>
            <w:r w:rsidRPr="00B10752">
              <w:rPr>
                <w:rFonts w:ascii="Arial" w:hAnsi="Arial" w:cs="Arial"/>
                <w:color w:val="000000"/>
                <w:sz w:val="20"/>
                <w:shd w:val="clear" w:color="auto" w:fill="FFFFFF"/>
              </w:rPr>
              <w:t xml:space="preserve"> </w:t>
            </w:r>
            <w:r w:rsidRPr="00B10752">
              <w:rPr>
                <w:sz w:val="20"/>
              </w:rPr>
              <w:t>500</w:t>
            </w:r>
            <w:r w:rsidRPr="00B10752">
              <w:rPr>
                <w:sz w:val="20"/>
              </w:rPr>
              <w:noBreakHyphen/>
              <w:t>80</w:t>
            </w:r>
            <w:r w:rsidRPr="00B10752">
              <w:rPr>
                <w:sz w:val="20"/>
              </w:rPr>
              <w:noBreakHyphen/>
              <w:t>029265</w:t>
            </w:r>
            <w:r w:rsidRPr="00B10752">
              <w:rPr>
                <w:sz w:val="20"/>
              </w:rPr>
              <w:noBreakHyphen/>
              <w:t>148</w:t>
            </w:r>
          </w:p>
          <w:p w:rsidR="00E70281" w:rsidRPr="00B10752" w:rsidRDefault="00B10752" w:rsidP="0074582E">
            <w:pPr>
              <w:jc w:val="both"/>
              <w:rPr>
                <w:sz w:val="20"/>
              </w:rPr>
            </w:pPr>
            <w:hyperlink r:id="rId51" w:history="1">
              <w:r w:rsidR="00E70281" w:rsidRPr="00B10752">
                <w:rPr>
                  <w:rStyle w:val="Hyperlink"/>
                  <w:sz w:val="20"/>
                </w:rPr>
                <w:t>2018 QCCQ 5692</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Appeals of Philippe Custeau and Charles Custeau from tax assessments for 2006 taxation year allowed; notices of assessment QW879202C02 and QW876758C02 for 2006 taxation year vacated</w:t>
            </w:r>
          </w:p>
          <w:p w:rsidR="00E70281" w:rsidRPr="00B10752" w:rsidRDefault="00E70281" w:rsidP="0074582E">
            <w:pPr>
              <w:jc w:val="both"/>
              <w:rPr>
                <w:sz w:val="20"/>
              </w:rPr>
            </w:pPr>
          </w:p>
        </w:tc>
      </w:tr>
      <w:tr w:rsidR="00E70281" w:rsidRPr="00B10752" w:rsidTr="0074582E">
        <w:trPr>
          <w:trHeight w:val="1507"/>
        </w:trPr>
        <w:tc>
          <w:tcPr>
            <w:tcW w:w="2427" w:type="pct"/>
            <w:gridSpan w:val="2"/>
          </w:tcPr>
          <w:p w:rsidR="00E70281" w:rsidRPr="00B10752" w:rsidRDefault="00E70281" w:rsidP="0074582E">
            <w:pPr>
              <w:jc w:val="both"/>
              <w:rPr>
                <w:sz w:val="20"/>
              </w:rPr>
            </w:pPr>
            <w:r w:rsidRPr="00B10752">
              <w:rPr>
                <w:sz w:val="20"/>
              </w:rPr>
              <w:t>November 13, 2020</w:t>
            </w:r>
          </w:p>
          <w:p w:rsidR="00E70281" w:rsidRPr="00B10752" w:rsidRDefault="00E70281" w:rsidP="0074582E">
            <w:pPr>
              <w:jc w:val="both"/>
              <w:rPr>
                <w:sz w:val="20"/>
              </w:rPr>
            </w:pPr>
            <w:r w:rsidRPr="00B10752">
              <w:rPr>
                <w:sz w:val="20"/>
              </w:rPr>
              <w:t>Quebec Court of Appeal (Montréal)</w:t>
            </w:r>
          </w:p>
          <w:p w:rsidR="00E70281" w:rsidRPr="00B10752" w:rsidRDefault="00E70281" w:rsidP="0074582E">
            <w:pPr>
              <w:jc w:val="both"/>
              <w:rPr>
                <w:sz w:val="20"/>
              </w:rPr>
            </w:pPr>
            <w:r w:rsidRPr="00B10752">
              <w:rPr>
                <w:sz w:val="20"/>
              </w:rPr>
              <w:t>(Schrager, Sansfaçon and Moore JJ.A.)</w:t>
            </w:r>
          </w:p>
          <w:p w:rsidR="00E70281" w:rsidRPr="00B10752" w:rsidRDefault="00E70281" w:rsidP="0074582E">
            <w:pPr>
              <w:jc w:val="both"/>
              <w:rPr>
                <w:sz w:val="20"/>
              </w:rPr>
            </w:pPr>
            <w:r w:rsidRPr="00B10752">
              <w:rPr>
                <w:sz w:val="20"/>
              </w:rPr>
              <w:t>Files: 500</w:t>
            </w:r>
            <w:r w:rsidRPr="00B10752">
              <w:rPr>
                <w:sz w:val="20"/>
              </w:rPr>
              <w:noBreakHyphen/>
              <w:t>09</w:t>
            </w:r>
            <w:r w:rsidRPr="00B10752">
              <w:rPr>
                <w:sz w:val="20"/>
              </w:rPr>
              <w:noBreakHyphen/>
              <w:t>027827</w:t>
            </w:r>
            <w:r w:rsidRPr="00B10752">
              <w:rPr>
                <w:sz w:val="20"/>
              </w:rPr>
              <w:noBreakHyphen/>
              <w:t>187</w:t>
            </w:r>
          </w:p>
          <w:p w:rsidR="00E70281" w:rsidRPr="00B10752" w:rsidRDefault="00E70281" w:rsidP="0074582E">
            <w:pPr>
              <w:jc w:val="both"/>
              <w:rPr>
                <w:sz w:val="20"/>
              </w:rPr>
            </w:pPr>
            <w:r w:rsidRPr="00B10752">
              <w:rPr>
                <w:sz w:val="20"/>
              </w:rPr>
              <w:t>and 500</w:t>
            </w:r>
            <w:r w:rsidRPr="00B10752">
              <w:rPr>
                <w:sz w:val="20"/>
              </w:rPr>
              <w:noBreakHyphen/>
              <w:t>09</w:t>
            </w:r>
            <w:r w:rsidRPr="00B10752">
              <w:rPr>
                <w:sz w:val="20"/>
              </w:rPr>
              <w:noBreakHyphen/>
              <w:t>027828</w:t>
            </w:r>
            <w:r w:rsidRPr="00B10752">
              <w:rPr>
                <w:sz w:val="20"/>
              </w:rPr>
              <w:noBreakHyphen/>
              <w:t>185</w:t>
            </w:r>
          </w:p>
          <w:p w:rsidR="00E70281" w:rsidRPr="00B10752" w:rsidRDefault="00B10752" w:rsidP="0074582E">
            <w:pPr>
              <w:jc w:val="both"/>
              <w:rPr>
                <w:rStyle w:val="Hyperlink"/>
                <w:sz w:val="20"/>
              </w:rPr>
            </w:pPr>
            <w:hyperlink r:id="rId52" w:history="1">
              <w:r w:rsidR="00E70281" w:rsidRPr="00B10752">
                <w:rPr>
                  <w:rStyle w:val="Hyperlink"/>
                  <w:sz w:val="20"/>
                </w:rPr>
                <w:t>2020 QCCA 1496</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Appeal from trial judgment dismissed</w:t>
            </w:r>
          </w:p>
          <w:p w:rsidR="00E70281" w:rsidRPr="00B10752" w:rsidRDefault="00E70281" w:rsidP="0074582E">
            <w:pPr>
              <w:jc w:val="both"/>
              <w:rPr>
                <w:sz w:val="20"/>
              </w:rPr>
            </w:pPr>
          </w:p>
          <w:p w:rsidR="00E70281" w:rsidRPr="00B10752" w:rsidRDefault="00E70281" w:rsidP="0074582E">
            <w:pPr>
              <w:jc w:val="both"/>
              <w:rPr>
                <w:sz w:val="20"/>
              </w:rPr>
            </w:pPr>
          </w:p>
        </w:tc>
      </w:tr>
    </w:tbl>
    <w:p w:rsidR="00D90258" w:rsidRPr="00B10752" w:rsidRDefault="00D90258">
      <w:r w:rsidRPr="00B1075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2427" w:type="pct"/>
          </w:tcPr>
          <w:p w:rsidR="00E70281" w:rsidRPr="00B10752" w:rsidRDefault="00E70281" w:rsidP="0074582E">
            <w:pPr>
              <w:jc w:val="both"/>
              <w:rPr>
                <w:sz w:val="20"/>
              </w:rPr>
            </w:pPr>
            <w:r w:rsidRPr="00B10752">
              <w:rPr>
                <w:sz w:val="20"/>
              </w:rPr>
              <w:lastRenderedPageBreak/>
              <w:t>January 11, 2021</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63"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39537</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Agence du revenu du Québec c. Philippe Custeau</w:t>
            </w:r>
            <w:r w:rsidR="0043200D" w:rsidRPr="00B10752">
              <w:rPr>
                <w:b/>
                <w:sz w:val="20"/>
                <w:szCs w:val="20"/>
              </w:rPr>
              <w:t xml:space="preserve"> et</w:t>
            </w:r>
            <w:r w:rsidRPr="00B10752">
              <w:rPr>
                <w:b/>
                <w:sz w:val="20"/>
                <w:szCs w:val="20"/>
              </w:rPr>
              <w:t xml:space="preserve"> Charles Custeau</w:t>
            </w:r>
          </w:p>
          <w:p w:rsidR="00E70281" w:rsidRPr="00B10752" w:rsidRDefault="00E70281" w:rsidP="0074582E">
            <w:pPr>
              <w:jc w:val="both"/>
              <w:rPr>
                <w:sz w:val="20"/>
                <w:lang w:val="fr-CA"/>
              </w:rPr>
            </w:pPr>
            <w:r w:rsidRPr="00B10752">
              <w:rPr>
                <w:sz w:val="20"/>
                <w:lang w:val="fr-CA"/>
              </w:rPr>
              <w:t>(Qc) (Civile) (Autorisation)</w:t>
            </w:r>
          </w:p>
        </w:tc>
      </w:tr>
      <w:tr w:rsidR="00E70281" w:rsidRPr="00B10752" w:rsidTr="0074582E">
        <w:tc>
          <w:tcPr>
            <w:tcW w:w="5000" w:type="pct"/>
            <w:gridSpan w:val="4"/>
          </w:tcPr>
          <w:p w:rsidR="0043200D" w:rsidRPr="00B10752" w:rsidRDefault="0043200D" w:rsidP="0043200D">
            <w:pPr>
              <w:jc w:val="both"/>
              <w:rPr>
                <w:sz w:val="20"/>
                <w:szCs w:val="20"/>
                <w:lang w:val="fr-CA"/>
              </w:rPr>
            </w:pPr>
            <w:r w:rsidRPr="00B10752">
              <w:rPr>
                <w:sz w:val="20"/>
                <w:szCs w:val="20"/>
                <w:lang w:val="fr-CA"/>
              </w:rPr>
              <w:t>La demande d’autorisation d’appel de l’arrêt de la Cour d’appel du Québec (Montréal), numéros 500-09-027827-187 et 500-09-027828-185, 2020 QCCA 1496, daté du 13 novembre 2020, est rejetée avec dépens.</w:t>
            </w:r>
          </w:p>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Droit fiscal — Impôt sur le revenu — Cotisations — Règle générale anti</w:t>
            </w:r>
            <w:r w:rsidRPr="00B10752">
              <w:rPr>
                <w:sz w:val="20"/>
                <w:lang w:val="fr-CA"/>
              </w:rPr>
              <w:noBreakHyphen/>
              <w:t xml:space="preserve">évitement (RGAÉ) — Série d’opérations — Dans quelle mesure l’existence ou l’absence d’un lien de dépendance influence l’analyse des deux dernières exigences de l’application de la RGAÉ, soit l’opération d’évitement et l’abus au sens des art. 1079.10 à 1079.12 </w:t>
            </w:r>
            <w:r w:rsidRPr="00B10752">
              <w:rPr>
                <w:i/>
                <w:sz w:val="20"/>
                <w:lang w:val="fr-CA"/>
              </w:rPr>
              <w:t>L.i.</w:t>
            </w:r>
            <w:r w:rsidRPr="00B10752">
              <w:rPr>
                <w:sz w:val="20"/>
                <w:lang w:val="fr-CA"/>
              </w:rPr>
              <w:t>? — Les opérations identifiées par l’ARQ sont</w:t>
            </w:r>
            <w:r w:rsidRPr="00B10752">
              <w:rPr>
                <w:sz w:val="20"/>
                <w:lang w:val="fr-CA"/>
              </w:rPr>
              <w:noBreakHyphen/>
              <w:t>elles des opérations liées qui font partie d’une série d’opérations dont découle l’avantage fiscal? — Est</w:t>
            </w:r>
            <w:r w:rsidRPr="00B10752">
              <w:rPr>
                <w:sz w:val="20"/>
                <w:lang w:val="fr-CA"/>
              </w:rPr>
              <w:noBreakHyphen/>
              <w:t xml:space="preserve">ce qu’au moins une de ces opérations est une opération d’évitement? — L’opération d’évitement qui fait partie de la série d’opérations ayant généré l’avantage fiscal était-elle abusive? — </w:t>
            </w:r>
            <w:r w:rsidRPr="00B10752">
              <w:rPr>
                <w:i/>
                <w:sz w:val="20"/>
                <w:lang w:val="fr-CA"/>
              </w:rPr>
              <w:t>Loi sur les impôts</w:t>
            </w:r>
            <w:r w:rsidRPr="00B10752">
              <w:rPr>
                <w:sz w:val="20"/>
                <w:lang w:val="fr-CA"/>
              </w:rPr>
              <w:t>, RLRQ, c. I</w:t>
            </w:r>
            <w:r w:rsidRPr="00B10752">
              <w:rPr>
                <w:sz w:val="20"/>
                <w:lang w:val="fr-CA"/>
              </w:rPr>
              <w:noBreakHyphen/>
              <w:t>3, art. 1.5, 1079.9 à 1079.13.</w:t>
            </w:r>
          </w:p>
        </w:tc>
      </w:tr>
      <w:tr w:rsidR="00E70281" w:rsidRPr="00B10752" w:rsidTr="0074582E">
        <w:tc>
          <w:tcPr>
            <w:tcW w:w="5000" w:type="pct"/>
            <w:gridSpan w:val="4"/>
          </w:tcPr>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 xml:space="preserve">Cette affaire porte sur l’application de la règle générale anti-évitement (« RGAÉ »). La demanderesse, l’Agence du revenu du Québec (« ARQ »), est d’avis que les intimés, Philippe Custeau et Charles Custeau, ont réalisé une série d’opérations qui comprenait des opérations d’évitement, lesquelles ont mené à la réalisation d’un avantage fiscal qui constitue un abus des art. 517.1 et 570 de la </w:t>
            </w:r>
            <w:r w:rsidRPr="00B10752">
              <w:rPr>
                <w:i/>
                <w:sz w:val="20"/>
                <w:lang w:val="fr-CA"/>
              </w:rPr>
              <w:t>Loi sur les impôts</w:t>
            </w:r>
            <w:r w:rsidRPr="00B10752">
              <w:rPr>
                <w:sz w:val="20"/>
                <w:lang w:val="fr-CA"/>
              </w:rPr>
              <w:t>, RLRQ, c. I</w:t>
            </w:r>
            <w:r w:rsidRPr="00B10752">
              <w:rPr>
                <w:sz w:val="20"/>
                <w:lang w:val="fr-CA"/>
              </w:rPr>
              <w:noBreakHyphen/>
              <w:t>3</w:t>
            </w:r>
            <w:r w:rsidRPr="00B10752">
              <w:rPr>
                <w:i/>
                <w:sz w:val="20"/>
                <w:lang w:val="fr-CA"/>
              </w:rPr>
              <w:t xml:space="preserve">. </w:t>
            </w:r>
            <w:r w:rsidRPr="00B10752">
              <w:rPr>
                <w:sz w:val="20"/>
                <w:lang w:val="fr-CA"/>
              </w:rPr>
              <w:t>Le 10 décembre 2013, l’ARQ émet une cotisation fiscale à chacun d’entre eux pour l’année d’imposition 2006 qui a pour effet d’ajouter à chacun de leur revenu pour l’année d’imposition 2006, une somme de 499 950$ à titre de dividende réputé. Philippe et Charles Custeau estiment que la RGAÉ ne s’applique pas en l’espèce.</w:t>
            </w:r>
            <w:r w:rsidRPr="00B10752">
              <w:rPr>
                <w:sz w:val="20"/>
                <w:lang w:val="fr-CA" w:eastAsia="en-CA"/>
              </w:rPr>
              <w:t xml:space="preserve"> </w:t>
            </w:r>
            <w:r w:rsidRPr="00B10752">
              <w:rPr>
                <w:sz w:val="20"/>
                <w:lang w:val="fr-CA"/>
              </w:rPr>
              <w:t>Ils demandent à la Cour du Québec d’annuler les cotisations émises à leur égard par l’ARQ. Celle</w:t>
            </w:r>
            <w:r w:rsidRPr="00B10752">
              <w:rPr>
                <w:sz w:val="20"/>
                <w:lang w:val="fr-CA"/>
              </w:rPr>
              <w:noBreakHyphen/>
              <w:t>ci accueille les appels à l’encontre des cotisations fiscales et annule les avis de cotisation. L’ARQ se pourvoit contre le jugement de première instance, mais la Cour d’appel du Québec rejette l’appel.</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Le 8 août 2018</w:t>
            </w:r>
          </w:p>
          <w:p w:rsidR="00E70281" w:rsidRPr="00B10752" w:rsidRDefault="00E70281" w:rsidP="0074582E">
            <w:pPr>
              <w:jc w:val="both"/>
              <w:rPr>
                <w:sz w:val="20"/>
                <w:lang w:val="fr-CA"/>
              </w:rPr>
            </w:pPr>
            <w:r w:rsidRPr="00B10752">
              <w:rPr>
                <w:sz w:val="20"/>
                <w:lang w:val="fr-CA"/>
              </w:rPr>
              <w:t>Cour du Québec (Montréal)</w:t>
            </w:r>
          </w:p>
          <w:p w:rsidR="00E70281" w:rsidRPr="00B10752" w:rsidRDefault="00E70281" w:rsidP="0074582E">
            <w:pPr>
              <w:jc w:val="both"/>
              <w:rPr>
                <w:sz w:val="20"/>
                <w:lang w:val="fr-CA"/>
              </w:rPr>
            </w:pPr>
            <w:r w:rsidRPr="00B10752">
              <w:rPr>
                <w:sz w:val="20"/>
                <w:lang w:val="fr-CA"/>
              </w:rPr>
              <w:t>(Le juge Dortélus)</w:t>
            </w:r>
          </w:p>
          <w:p w:rsidR="00E70281" w:rsidRPr="00B10752" w:rsidRDefault="00E70281" w:rsidP="0074582E">
            <w:pPr>
              <w:jc w:val="both"/>
              <w:rPr>
                <w:sz w:val="20"/>
                <w:lang w:val="fr-CA"/>
              </w:rPr>
            </w:pPr>
            <w:r w:rsidRPr="00B10752">
              <w:rPr>
                <w:sz w:val="20"/>
                <w:lang w:val="fr-CA"/>
              </w:rPr>
              <w:t>Dossiers : 500</w:t>
            </w:r>
            <w:r w:rsidRPr="00B10752">
              <w:rPr>
                <w:sz w:val="20"/>
                <w:lang w:val="fr-CA"/>
              </w:rPr>
              <w:noBreakHyphen/>
              <w:t>80</w:t>
            </w:r>
            <w:r w:rsidRPr="00B10752">
              <w:rPr>
                <w:sz w:val="20"/>
                <w:lang w:val="fr-CA"/>
              </w:rPr>
              <w:noBreakHyphen/>
              <w:t>029266</w:t>
            </w:r>
            <w:r w:rsidRPr="00B10752">
              <w:rPr>
                <w:sz w:val="20"/>
                <w:lang w:val="fr-CA"/>
              </w:rPr>
              <w:noBreakHyphen/>
              <w:t>148</w:t>
            </w:r>
          </w:p>
          <w:p w:rsidR="00E70281" w:rsidRPr="00B10752" w:rsidRDefault="00E70281" w:rsidP="0074582E">
            <w:pPr>
              <w:jc w:val="both"/>
              <w:rPr>
                <w:sz w:val="20"/>
                <w:lang w:val="fr-CA"/>
              </w:rPr>
            </w:pPr>
            <w:r w:rsidRPr="00B10752">
              <w:rPr>
                <w:sz w:val="20"/>
                <w:lang w:val="fr-CA"/>
              </w:rPr>
              <w:t>et</w:t>
            </w:r>
            <w:r w:rsidRPr="00B10752">
              <w:rPr>
                <w:rFonts w:ascii="Arial" w:hAnsi="Arial" w:cs="Arial"/>
                <w:color w:val="000000"/>
                <w:sz w:val="20"/>
                <w:shd w:val="clear" w:color="auto" w:fill="FFFFFF"/>
                <w:lang w:val="fr-CA"/>
              </w:rPr>
              <w:t xml:space="preserve"> </w:t>
            </w:r>
            <w:r w:rsidRPr="00B10752">
              <w:rPr>
                <w:sz w:val="20"/>
                <w:lang w:val="fr-CA"/>
              </w:rPr>
              <w:t>500</w:t>
            </w:r>
            <w:r w:rsidRPr="00B10752">
              <w:rPr>
                <w:sz w:val="20"/>
                <w:lang w:val="fr-CA"/>
              </w:rPr>
              <w:noBreakHyphen/>
              <w:t>80</w:t>
            </w:r>
            <w:r w:rsidRPr="00B10752">
              <w:rPr>
                <w:sz w:val="20"/>
                <w:lang w:val="fr-CA"/>
              </w:rPr>
              <w:noBreakHyphen/>
              <w:t>029265</w:t>
            </w:r>
            <w:r w:rsidRPr="00B10752">
              <w:rPr>
                <w:sz w:val="20"/>
                <w:lang w:val="fr-CA"/>
              </w:rPr>
              <w:noBreakHyphen/>
              <w:t>148</w:t>
            </w:r>
          </w:p>
          <w:p w:rsidR="00E70281" w:rsidRPr="00B10752" w:rsidRDefault="00B10752" w:rsidP="0074582E">
            <w:pPr>
              <w:jc w:val="both"/>
              <w:rPr>
                <w:sz w:val="20"/>
              </w:rPr>
            </w:pPr>
            <w:hyperlink r:id="rId53" w:history="1">
              <w:r w:rsidR="00E70281" w:rsidRPr="00B10752">
                <w:rPr>
                  <w:rStyle w:val="Hyperlink"/>
                  <w:sz w:val="20"/>
                </w:rPr>
                <w:t>2018 QCCQ 5692</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fr-CA"/>
              </w:rPr>
            </w:pPr>
            <w:r w:rsidRPr="00B10752">
              <w:rPr>
                <w:sz w:val="20"/>
                <w:lang w:val="fr-CA"/>
              </w:rPr>
              <w:t>Accueil des</w:t>
            </w:r>
            <w:bookmarkStart w:id="5" w:name="_Ref398049864"/>
            <w:r w:rsidRPr="00B10752">
              <w:rPr>
                <w:sz w:val="20"/>
                <w:lang w:val="fr-CA"/>
              </w:rPr>
              <w:t xml:space="preserve"> appels de </w:t>
            </w:r>
            <w:bookmarkEnd w:id="5"/>
            <w:r w:rsidRPr="00B10752">
              <w:rPr>
                <w:sz w:val="20"/>
                <w:lang w:val="fr-CA"/>
              </w:rPr>
              <w:t>Philippe Custeau et Charles Custeau à l’encontre des cotisations fiscales pour l’année d’imposition 2006. Annulation des avis de cotisations</w:t>
            </w:r>
            <w:r w:rsidRPr="00B10752">
              <w:rPr>
                <w:rFonts w:ascii="Arial" w:hAnsi="Arial" w:cs="Arial"/>
                <w:color w:val="000000"/>
                <w:sz w:val="20"/>
                <w:shd w:val="clear" w:color="auto" w:fill="FFFFFF"/>
                <w:lang w:val="fr-CA"/>
              </w:rPr>
              <w:t xml:space="preserve"> </w:t>
            </w:r>
            <w:r w:rsidRPr="00B10752">
              <w:rPr>
                <w:sz w:val="20"/>
                <w:lang w:val="fr-CA"/>
              </w:rPr>
              <w:t>QW879202C02 et QW876758C02</w:t>
            </w:r>
            <w:r w:rsidRPr="00B10752">
              <w:rPr>
                <w:rFonts w:ascii="Arial" w:hAnsi="Arial" w:cs="Arial"/>
                <w:color w:val="000000"/>
                <w:sz w:val="20"/>
                <w:shd w:val="clear" w:color="auto" w:fill="FFFFFF"/>
                <w:lang w:val="fr-CA"/>
              </w:rPr>
              <w:t xml:space="preserve"> </w:t>
            </w:r>
            <w:r w:rsidRPr="00B10752">
              <w:rPr>
                <w:sz w:val="20"/>
                <w:lang w:val="fr-CA"/>
              </w:rPr>
              <w:t>pour l’année d’imposition 2006.</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Le 13 novembre 2020</w:t>
            </w:r>
          </w:p>
          <w:p w:rsidR="00E70281" w:rsidRPr="00B10752" w:rsidRDefault="00E70281" w:rsidP="0074582E">
            <w:pPr>
              <w:jc w:val="both"/>
              <w:rPr>
                <w:sz w:val="20"/>
                <w:lang w:val="fr-CA"/>
              </w:rPr>
            </w:pPr>
            <w:r w:rsidRPr="00B10752">
              <w:rPr>
                <w:sz w:val="20"/>
                <w:lang w:val="fr-CA"/>
              </w:rPr>
              <w:t>Cour d’appel du Québec (Montréal)</w:t>
            </w:r>
          </w:p>
          <w:p w:rsidR="00E70281" w:rsidRPr="00B10752" w:rsidRDefault="00E70281" w:rsidP="0074582E">
            <w:pPr>
              <w:jc w:val="both"/>
              <w:rPr>
                <w:sz w:val="20"/>
                <w:lang w:val="fr-CA"/>
              </w:rPr>
            </w:pPr>
            <w:r w:rsidRPr="00B10752">
              <w:rPr>
                <w:sz w:val="20"/>
                <w:lang w:val="fr-CA"/>
              </w:rPr>
              <w:t>(Les juges Schrager, Sansfaçon et Moore)</w:t>
            </w:r>
          </w:p>
          <w:p w:rsidR="00E70281" w:rsidRPr="00B10752" w:rsidRDefault="00E70281" w:rsidP="0074582E">
            <w:pPr>
              <w:jc w:val="both"/>
              <w:rPr>
                <w:sz w:val="20"/>
              </w:rPr>
            </w:pPr>
            <w:r w:rsidRPr="00B10752">
              <w:rPr>
                <w:sz w:val="20"/>
              </w:rPr>
              <w:t>Dossiers : 500</w:t>
            </w:r>
            <w:r w:rsidRPr="00B10752">
              <w:rPr>
                <w:sz w:val="20"/>
              </w:rPr>
              <w:noBreakHyphen/>
              <w:t>09</w:t>
            </w:r>
            <w:r w:rsidRPr="00B10752">
              <w:rPr>
                <w:sz w:val="20"/>
              </w:rPr>
              <w:noBreakHyphen/>
              <w:t>027827</w:t>
            </w:r>
            <w:r w:rsidRPr="00B10752">
              <w:rPr>
                <w:sz w:val="20"/>
              </w:rPr>
              <w:noBreakHyphen/>
              <w:t>187</w:t>
            </w:r>
          </w:p>
          <w:p w:rsidR="00E70281" w:rsidRPr="00B10752" w:rsidRDefault="00E70281" w:rsidP="0074582E">
            <w:pPr>
              <w:jc w:val="both"/>
              <w:rPr>
                <w:sz w:val="20"/>
              </w:rPr>
            </w:pPr>
            <w:r w:rsidRPr="00B10752">
              <w:rPr>
                <w:sz w:val="20"/>
              </w:rPr>
              <w:t>et 500</w:t>
            </w:r>
            <w:r w:rsidRPr="00B10752">
              <w:rPr>
                <w:sz w:val="20"/>
              </w:rPr>
              <w:noBreakHyphen/>
              <w:t>09</w:t>
            </w:r>
            <w:r w:rsidRPr="00B10752">
              <w:rPr>
                <w:sz w:val="20"/>
              </w:rPr>
              <w:noBreakHyphen/>
              <w:t>027828</w:t>
            </w:r>
            <w:r w:rsidRPr="00B10752">
              <w:rPr>
                <w:sz w:val="20"/>
              </w:rPr>
              <w:noBreakHyphen/>
              <w:t>185</w:t>
            </w:r>
          </w:p>
          <w:p w:rsidR="00E70281" w:rsidRPr="00B10752" w:rsidRDefault="00B10752" w:rsidP="0074582E">
            <w:pPr>
              <w:jc w:val="both"/>
              <w:rPr>
                <w:rStyle w:val="Hyperlink"/>
                <w:sz w:val="20"/>
              </w:rPr>
            </w:pPr>
            <w:hyperlink r:id="rId54" w:history="1">
              <w:r w:rsidR="00E70281" w:rsidRPr="00B10752">
                <w:rPr>
                  <w:rStyle w:val="Hyperlink"/>
                  <w:sz w:val="20"/>
                </w:rPr>
                <w:t>2020 QCCA 1496</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fr-CA"/>
              </w:rPr>
            </w:pPr>
            <w:r w:rsidRPr="00B10752">
              <w:rPr>
                <w:sz w:val="20"/>
                <w:lang w:val="fr-CA"/>
              </w:rPr>
              <w:t>Rejet de l’appel du jugement de première instance.</w:t>
            </w:r>
          </w:p>
          <w:p w:rsidR="00E70281" w:rsidRPr="00B10752" w:rsidRDefault="00E70281" w:rsidP="0074582E">
            <w:pPr>
              <w:jc w:val="both"/>
              <w:rPr>
                <w:sz w:val="20"/>
                <w:lang w:val="fr-CA"/>
              </w:rPr>
            </w:pP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Le 11 janvier 2021</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rPr>
            </w:pPr>
            <w:r w:rsidRPr="00B10752">
              <w:rPr>
                <w:sz w:val="20"/>
              </w:rPr>
              <w:t>Demande d’autorisation d’appel déposée.</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64"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39563</w:t>
            </w:r>
          </w:p>
        </w:tc>
        <w:tc>
          <w:tcPr>
            <w:tcW w:w="4457" w:type="pct"/>
            <w:gridSpan w:val="3"/>
          </w:tcPr>
          <w:p w:rsidR="00E70281" w:rsidRPr="00B10752" w:rsidRDefault="00E70281" w:rsidP="0074582E">
            <w:pPr>
              <w:pStyle w:val="SCCLsocParty"/>
              <w:jc w:val="both"/>
              <w:rPr>
                <w:b/>
                <w:sz w:val="20"/>
                <w:szCs w:val="20"/>
                <w:lang w:val="en-US"/>
              </w:rPr>
            </w:pPr>
            <w:r w:rsidRPr="00B10752">
              <w:rPr>
                <w:b/>
                <w:sz w:val="20"/>
                <w:szCs w:val="20"/>
                <w:lang w:val="en-US"/>
              </w:rPr>
              <w:t>Vimal Chandra Iyer v. Her Majesty the Queen</w:t>
            </w:r>
          </w:p>
          <w:p w:rsidR="00E70281" w:rsidRPr="00B10752" w:rsidRDefault="00E70281" w:rsidP="0074582E">
            <w:pPr>
              <w:jc w:val="both"/>
              <w:rPr>
                <w:sz w:val="20"/>
              </w:rPr>
            </w:pPr>
            <w:r w:rsidRPr="00B10752">
              <w:rPr>
                <w:sz w:val="20"/>
              </w:rPr>
              <w:t>(Alta.) (Criminal) (By Leave)</w:t>
            </w:r>
          </w:p>
        </w:tc>
      </w:tr>
      <w:tr w:rsidR="00E70281" w:rsidRPr="00B10752" w:rsidTr="0074582E">
        <w:tc>
          <w:tcPr>
            <w:tcW w:w="5000" w:type="pct"/>
            <w:gridSpan w:val="4"/>
          </w:tcPr>
          <w:p w:rsidR="0043200D" w:rsidRPr="00B10752" w:rsidRDefault="0043200D" w:rsidP="0043200D">
            <w:pPr>
              <w:jc w:val="both"/>
              <w:rPr>
                <w:sz w:val="20"/>
                <w:szCs w:val="20"/>
              </w:rPr>
            </w:pPr>
            <w:r w:rsidRPr="00B10752">
              <w:rPr>
                <w:sz w:val="20"/>
                <w:szCs w:val="20"/>
              </w:rPr>
              <w:t>The application for leave to appeal from the judgment of the Court of Appeal of Alberta (Edmonton), Number 1603-0288-A, 2020 ABCA 439, dated December 8, 2020, is dismissed.</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lastRenderedPageBreak/>
              <w:t>Criminal law — Offences — Elements of offence — Fraud — Charge to jury — Contracts —Interpretation — Whether an individual can be convicted for fraud absent the complainant having a clear pecuniary or economic interest in the goods or monies at issue — When, if ever, is a trial judge required to interpret a contract or other agreement for the jury?</w:t>
            </w:r>
          </w:p>
        </w:tc>
      </w:tr>
      <w:tr w:rsidR="00E70281" w:rsidRPr="00B10752" w:rsidTr="0074582E">
        <w:tc>
          <w:tcPr>
            <w:tcW w:w="5000" w:type="pct"/>
            <w:gridSpan w:val="4"/>
          </w:tcPr>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lang w:val="en"/>
              </w:rPr>
            </w:pPr>
            <w:r w:rsidRPr="00B10752">
              <w:rPr>
                <w:sz w:val="20"/>
              </w:rPr>
              <w:t xml:space="preserve">Through Trident Properties Ltd., Mr. Iyer sold interests in land developments. The lands however proved to be undevelopable for 25 to 40 years. Mr. Iyer spent some invested funds on personal luxury items. Mr. Iyer was charged with fraud for failing to reveal the unlikelihood that the land could be developed, representations intended to keep the investors from withdrawing funds or spending money held by Trident Properties Ltd. for purposes other than improving the value of the investments. A jury found Mr. Iyer guilty on 33 counts of fraud over $5000 </w:t>
            </w:r>
            <w:r w:rsidRPr="00B10752">
              <w:rPr>
                <w:sz w:val="20"/>
                <w:lang w:val="en"/>
              </w:rPr>
              <w:t xml:space="preserve">under s. 380 of the </w:t>
            </w:r>
            <w:r w:rsidRPr="00B10752">
              <w:rPr>
                <w:i/>
                <w:sz w:val="20"/>
                <w:lang w:val="en"/>
              </w:rPr>
              <w:t>Criminal Code</w:t>
            </w:r>
            <w:r w:rsidRPr="00B10752">
              <w:rPr>
                <w:sz w:val="20"/>
                <w:lang w:val="en"/>
              </w:rPr>
              <w:t>, R.S.C. 1985, c. C</w:t>
            </w:r>
            <w:r w:rsidRPr="00B10752">
              <w:rPr>
                <w:sz w:val="20"/>
                <w:lang w:val="en"/>
              </w:rPr>
              <w:noBreakHyphen/>
              <w:t xml:space="preserve">46. </w:t>
            </w:r>
            <w:r w:rsidRPr="00B10752">
              <w:rPr>
                <w:sz w:val="20"/>
              </w:rPr>
              <w:t>The Court of Appeal dismissed an appeal.</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August 10, 2016</w:t>
            </w:r>
          </w:p>
          <w:p w:rsidR="00E70281" w:rsidRPr="00B10752" w:rsidRDefault="00E70281" w:rsidP="0074582E">
            <w:pPr>
              <w:jc w:val="both"/>
              <w:rPr>
                <w:sz w:val="20"/>
              </w:rPr>
            </w:pPr>
            <w:r w:rsidRPr="00B10752">
              <w:rPr>
                <w:sz w:val="20"/>
              </w:rPr>
              <w:t>Court of Queen’s Bench of Alberta</w:t>
            </w:r>
          </w:p>
          <w:p w:rsidR="00E70281" w:rsidRPr="00B10752" w:rsidRDefault="00E70281" w:rsidP="0074582E">
            <w:pPr>
              <w:jc w:val="both"/>
              <w:rPr>
                <w:sz w:val="20"/>
              </w:rPr>
            </w:pPr>
            <w:r w:rsidRPr="00B10752">
              <w:rPr>
                <w:sz w:val="20"/>
              </w:rPr>
              <w:t>(Moen J.) (Unreported)</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Convictions by jury on counts of fraud over $5,000</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December 8, 2020</w:t>
            </w:r>
          </w:p>
          <w:p w:rsidR="00E70281" w:rsidRPr="00B10752" w:rsidRDefault="00E70281" w:rsidP="0074582E">
            <w:pPr>
              <w:jc w:val="both"/>
              <w:rPr>
                <w:sz w:val="20"/>
              </w:rPr>
            </w:pPr>
            <w:r w:rsidRPr="00B10752">
              <w:rPr>
                <w:sz w:val="20"/>
              </w:rPr>
              <w:t>Court of Appeal of Alberta (Edmonton)</w:t>
            </w:r>
          </w:p>
          <w:p w:rsidR="00E70281" w:rsidRPr="00B10752" w:rsidRDefault="00E70281" w:rsidP="0074582E">
            <w:pPr>
              <w:jc w:val="both"/>
              <w:rPr>
                <w:sz w:val="20"/>
              </w:rPr>
            </w:pPr>
            <w:r w:rsidRPr="00B10752">
              <w:rPr>
                <w:sz w:val="20"/>
              </w:rPr>
              <w:t>(Rowbotham, Wakeling, Khullar JJ.A.)</w:t>
            </w:r>
          </w:p>
          <w:p w:rsidR="00E70281" w:rsidRPr="00B10752" w:rsidRDefault="00B10752" w:rsidP="0074582E">
            <w:pPr>
              <w:jc w:val="both"/>
              <w:rPr>
                <w:sz w:val="20"/>
              </w:rPr>
            </w:pPr>
            <w:hyperlink r:id="rId55" w:history="1">
              <w:r w:rsidR="00E70281" w:rsidRPr="00B10752">
                <w:rPr>
                  <w:rStyle w:val="Hyperlink"/>
                  <w:sz w:val="20"/>
                </w:rPr>
                <w:t>2020 ABCA 439</w:t>
              </w:r>
            </w:hyperlink>
            <w:r w:rsidR="00E70281" w:rsidRPr="00B10752">
              <w:rPr>
                <w:sz w:val="20"/>
              </w:rPr>
              <w:t>; 1603</w:t>
            </w:r>
            <w:r w:rsidR="00E70281" w:rsidRPr="00B10752">
              <w:rPr>
                <w:sz w:val="20"/>
              </w:rPr>
              <w:noBreakHyphen/>
              <w:t>0288</w:t>
            </w:r>
            <w:r w:rsidR="00E70281" w:rsidRPr="00B10752">
              <w:rPr>
                <w:sz w:val="20"/>
              </w:rPr>
              <w:noBreakHyphen/>
              <w:t>A</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Appeal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February 1, 2021</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65"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39563</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Vimal Chandra Iyer c. Sa Majesté la Reine</w:t>
            </w:r>
          </w:p>
          <w:p w:rsidR="00E70281" w:rsidRPr="00B10752" w:rsidRDefault="00E70281" w:rsidP="0074582E">
            <w:pPr>
              <w:jc w:val="both"/>
              <w:rPr>
                <w:sz w:val="20"/>
                <w:lang w:val="fr-CA"/>
              </w:rPr>
            </w:pPr>
            <w:r w:rsidRPr="00B10752">
              <w:rPr>
                <w:sz w:val="20"/>
                <w:lang w:val="fr-CA"/>
              </w:rPr>
              <w:t>(Alb.) (Criminelle) (Sur autorisation)</w:t>
            </w:r>
          </w:p>
        </w:tc>
      </w:tr>
      <w:tr w:rsidR="00E70281" w:rsidRPr="00B10752" w:rsidTr="0074582E">
        <w:tc>
          <w:tcPr>
            <w:tcW w:w="5000" w:type="pct"/>
            <w:gridSpan w:val="4"/>
          </w:tcPr>
          <w:p w:rsidR="00E70281" w:rsidRPr="00B10752" w:rsidRDefault="0043200D" w:rsidP="0043200D">
            <w:pPr>
              <w:tabs>
                <w:tab w:val="left" w:pos="1452"/>
              </w:tabs>
              <w:jc w:val="both"/>
              <w:rPr>
                <w:sz w:val="20"/>
                <w:szCs w:val="20"/>
                <w:lang w:val="fr-CA"/>
              </w:rPr>
            </w:pPr>
            <w:r w:rsidRPr="00B10752">
              <w:rPr>
                <w:sz w:val="20"/>
                <w:szCs w:val="20"/>
                <w:lang w:val="fr-CA"/>
              </w:rPr>
              <w:t>La demande d’autorisation d’appel de l’arrêt de la Cour d’appel de l’Alberta (Edmonton), numéro 1603-0288-A, 2020 ABCA 439, daté du 8 décembre 2020, est rejetée.</w:t>
            </w:r>
          </w:p>
          <w:p w:rsidR="0043200D" w:rsidRPr="00B10752" w:rsidRDefault="0043200D" w:rsidP="0043200D">
            <w:pPr>
              <w:tabs>
                <w:tab w:val="left" w:pos="1452"/>
              </w:tabs>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Droit criminel — Infractions — Éléments de l’infraction — Fraude — Exposé au jury — Contrats — Interprétation — Une personne peut</w:t>
            </w:r>
            <w:r w:rsidRPr="00B10752">
              <w:rPr>
                <w:sz w:val="20"/>
                <w:lang w:val="fr-CA"/>
              </w:rPr>
              <w:noBreakHyphen/>
              <w:t>elle être déclarée coupable de fraude sans que le plaignant ait un intérêt économique ou pécuniaire manifeste dans les biens ou sommes d’argent en cause? — Dans quel cas, s’il en est, le juge du procès doit</w:t>
            </w:r>
            <w:r w:rsidRPr="00B10752">
              <w:rPr>
                <w:sz w:val="20"/>
                <w:lang w:val="fr-CA"/>
              </w:rPr>
              <w:noBreakHyphen/>
              <w:t>il interpréter un contrat ou une autre entente pour le jury?</w:t>
            </w:r>
          </w:p>
        </w:tc>
      </w:tr>
      <w:tr w:rsidR="00E70281" w:rsidRPr="00B10752" w:rsidTr="0074582E">
        <w:tc>
          <w:tcPr>
            <w:tcW w:w="5000" w:type="pct"/>
            <w:gridSpan w:val="4"/>
          </w:tcPr>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 xml:space="preserve">Par l’entremise de Trident Properties Ltd., M. Iyer vendait des intérêts dans l’aménagement de terrains. Ces derniers ne pouvaient cependant pas être exploités pendant 25 à 40 ans. M. Iyer a dépensé certains des fonds investis sur des articles personnels de luxe. Il a été accusé de fraude pour ne pas avoir révélé le fait qu’il était invraisemblable que les terrains pussent être aménagés, et avoir fait des déclarations visant à empêcher les investisseurs de retirer ou dépenser les fonds détenus par Trident Properties Ltd. à des fins autres que de faire accroître la valeur des investissements. Un jury a déclaré M. Iyer coupable de 33 chefs d’accusation de fraude de plus de 5 000 $ en vertu de l’art. 380 du </w:t>
            </w:r>
            <w:r w:rsidRPr="00B10752">
              <w:rPr>
                <w:i/>
                <w:sz w:val="20"/>
                <w:lang w:val="fr-CA"/>
              </w:rPr>
              <w:t>Code criminel</w:t>
            </w:r>
            <w:r w:rsidRPr="00B10752">
              <w:rPr>
                <w:sz w:val="20"/>
                <w:lang w:val="fr-CA"/>
              </w:rPr>
              <w:t>, L.R.C. 1985, ch. C</w:t>
            </w:r>
            <w:r w:rsidRPr="00B10752">
              <w:rPr>
                <w:sz w:val="20"/>
                <w:lang w:val="fr-CA"/>
              </w:rPr>
              <w:noBreakHyphen/>
              <w:t>46. La Cour d’appel a rejeté l’appel.</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10 août 2016</w:t>
            </w:r>
          </w:p>
          <w:p w:rsidR="00E70281" w:rsidRPr="00B10752" w:rsidRDefault="00E70281" w:rsidP="0074582E">
            <w:pPr>
              <w:jc w:val="both"/>
              <w:rPr>
                <w:sz w:val="20"/>
                <w:lang w:val="fr-CA"/>
              </w:rPr>
            </w:pPr>
            <w:r w:rsidRPr="00B10752">
              <w:rPr>
                <w:sz w:val="20"/>
                <w:lang w:val="fr-CA"/>
              </w:rPr>
              <w:t>Cour du Banc de la Reine de l’Alberta</w:t>
            </w:r>
          </w:p>
          <w:p w:rsidR="00E70281" w:rsidRPr="00B10752" w:rsidRDefault="00E70281" w:rsidP="0074582E">
            <w:pPr>
              <w:jc w:val="both"/>
              <w:rPr>
                <w:sz w:val="20"/>
                <w:lang w:val="fr-CA"/>
              </w:rPr>
            </w:pPr>
            <w:r w:rsidRPr="00B10752">
              <w:rPr>
                <w:sz w:val="20"/>
                <w:lang w:val="fr-CA"/>
              </w:rPr>
              <w:t>(juge Moen) (non publié)</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Les déclarations de culpabilité quant aux chefs d’accusation de fraude de plus de 5 000 $ sont prononcées par le jury.</w:t>
            </w:r>
          </w:p>
          <w:p w:rsidR="00E70281" w:rsidRPr="00B10752" w:rsidRDefault="00E70281" w:rsidP="0074582E">
            <w:pPr>
              <w:jc w:val="both"/>
              <w:rPr>
                <w:sz w:val="20"/>
                <w:lang w:val="fr-CA"/>
              </w:rPr>
            </w:pPr>
          </w:p>
        </w:tc>
      </w:tr>
    </w:tbl>
    <w:p w:rsidR="00D90258" w:rsidRPr="00B10752" w:rsidRDefault="00D90258">
      <w:pPr>
        <w:rPr>
          <w:lang w:val="fr-CA"/>
        </w:rPr>
      </w:pPr>
      <w:r w:rsidRPr="00B1075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2427" w:type="pct"/>
          </w:tcPr>
          <w:p w:rsidR="00E70281" w:rsidRPr="00B10752" w:rsidRDefault="00E70281" w:rsidP="0074582E">
            <w:pPr>
              <w:jc w:val="both"/>
              <w:rPr>
                <w:sz w:val="20"/>
                <w:lang w:val="fr-CA"/>
              </w:rPr>
            </w:pPr>
            <w:r w:rsidRPr="00B10752">
              <w:rPr>
                <w:sz w:val="20"/>
                <w:lang w:val="fr-CA"/>
              </w:rPr>
              <w:lastRenderedPageBreak/>
              <w:t>8 décembre 2020</w:t>
            </w:r>
          </w:p>
          <w:p w:rsidR="00E70281" w:rsidRPr="00B10752" w:rsidRDefault="00E70281" w:rsidP="0074582E">
            <w:pPr>
              <w:jc w:val="both"/>
              <w:rPr>
                <w:sz w:val="20"/>
                <w:lang w:val="fr-CA"/>
              </w:rPr>
            </w:pPr>
            <w:r w:rsidRPr="00B10752">
              <w:rPr>
                <w:sz w:val="20"/>
                <w:lang w:val="fr-CA"/>
              </w:rPr>
              <w:t>Cour d’appel de l’Alberta (Edmonton)</w:t>
            </w:r>
          </w:p>
          <w:p w:rsidR="00E70281" w:rsidRPr="00B10752" w:rsidRDefault="00E70281" w:rsidP="0074582E">
            <w:pPr>
              <w:jc w:val="both"/>
              <w:rPr>
                <w:sz w:val="20"/>
              </w:rPr>
            </w:pPr>
            <w:r w:rsidRPr="00B10752">
              <w:rPr>
                <w:sz w:val="20"/>
              </w:rPr>
              <w:t>(juges Rowbotham, Wakeling, Khullar)</w:t>
            </w:r>
          </w:p>
          <w:p w:rsidR="00E70281" w:rsidRPr="00B10752" w:rsidRDefault="00B10752" w:rsidP="0074582E">
            <w:pPr>
              <w:jc w:val="both"/>
              <w:rPr>
                <w:sz w:val="20"/>
              </w:rPr>
            </w:pPr>
            <w:hyperlink r:id="rId56" w:history="1">
              <w:r w:rsidR="00E70281" w:rsidRPr="00B10752">
                <w:rPr>
                  <w:rStyle w:val="Hyperlink"/>
                  <w:sz w:val="20"/>
                </w:rPr>
                <w:t>2020 ABCA 439</w:t>
              </w:r>
            </w:hyperlink>
            <w:r w:rsidR="00E70281" w:rsidRPr="00B10752">
              <w:rPr>
                <w:sz w:val="20"/>
              </w:rPr>
              <w:t>; 1603</w:t>
            </w:r>
            <w:r w:rsidR="00E70281" w:rsidRPr="00B10752">
              <w:rPr>
                <w:sz w:val="20"/>
              </w:rPr>
              <w:noBreakHyphen/>
              <w:t>0288</w:t>
            </w:r>
            <w:r w:rsidR="00E70281" w:rsidRPr="00B10752">
              <w:rPr>
                <w:sz w:val="20"/>
              </w:rPr>
              <w:noBreakHyphen/>
              <w:t>A</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fr-CA"/>
              </w:rPr>
            </w:pPr>
            <w:r w:rsidRPr="00B10752">
              <w:rPr>
                <w:sz w:val="20"/>
                <w:lang w:val="fr-CA"/>
              </w:rPr>
              <w:t xml:space="preserve">L’appel est rejeté. </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1</w:t>
            </w:r>
            <w:r w:rsidRPr="00B10752">
              <w:rPr>
                <w:sz w:val="20"/>
                <w:vertAlign w:val="superscript"/>
                <w:lang w:val="fr-CA"/>
              </w:rPr>
              <w:t>er</w:t>
            </w:r>
            <w:r w:rsidRPr="00B10752">
              <w:rPr>
                <w:sz w:val="20"/>
                <w:lang w:val="fr-CA"/>
              </w:rPr>
              <w:t xml:space="preserve"> février 2021</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d’appel est présentée.</w:t>
            </w:r>
          </w:p>
          <w:p w:rsidR="00E70281" w:rsidRPr="00B10752" w:rsidRDefault="00E70281" w:rsidP="0074582E">
            <w:pPr>
              <w:jc w:val="both"/>
              <w:rPr>
                <w:sz w:val="20"/>
                <w:lang w:val="fr-CA"/>
              </w:rPr>
            </w:pP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66"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39488</w:t>
            </w:r>
          </w:p>
        </w:tc>
        <w:tc>
          <w:tcPr>
            <w:tcW w:w="4457" w:type="pct"/>
            <w:gridSpan w:val="3"/>
          </w:tcPr>
          <w:p w:rsidR="00E70281" w:rsidRPr="00B10752" w:rsidRDefault="00E70281" w:rsidP="0074582E">
            <w:pPr>
              <w:pStyle w:val="SCCLsocParty"/>
              <w:jc w:val="both"/>
              <w:rPr>
                <w:b/>
                <w:sz w:val="20"/>
                <w:szCs w:val="20"/>
                <w:lang w:val="en-US"/>
              </w:rPr>
            </w:pPr>
            <w:r w:rsidRPr="00B10752">
              <w:rPr>
                <w:b/>
                <w:sz w:val="20"/>
                <w:szCs w:val="20"/>
                <w:lang w:val="en-US"/>
              </w:rPr>
              <w:t>Balraj Shoan v. Attorney General of Canada</w:t>
            </w:r>
          </w:p>
          <w:p w:rsidR="00E70281" w:rsidRPr="00B10752" w:rsidRDefault="00E70281" w:rsidP="0074582E">
            <w:pPr>
              <w:jc w:val="both"/>
              <w:rPr>
                <w:sz w:val="20"/>
              </w:rPr>
            </w:pPr>
            <w:r w:rsidRPr="00B10752">
              <w:rPr>
                <w:sz w:val="20"/>
              </w:rPr>
              <w:t>(F.C.) (Civil) (By Leave)</w:t>
            </w:r>
          </w:p>
        </w:tc>
      </w:tr>
      <w:tr w:rsidR="00E70281" w:rsidRPr="00B10752" w:rsidTr="0074582E">
        <w:tc>
          <w:tcPr>
            <w:tcW w:w="5000" w:type="pct"/>
            <w:gridSpan w:val="4"/>
          </w:tcPr>
          <w:p w:rsidR="0043200D" w:rsidRPr="00B10752" w:rsidRDefault="0043200D" w:rsidP="0043200D">
            <w:pPr>
              <w:jc w:val="both"/>
              <w:rPr>
                <w:sz w:val="20"/>
                <w:szCs w:val="20"/>
              </w:rPr>
            </w:pPr>
            <w:r w:rsidRPr="00B10752">
              <w:rPr>
                <w:sz w:val="20"/>
                <w:szCs w:val="20"/>
              </w:rPr>
              <w:t xml:space="preserve">The motion to serve and file an amended application for leave to appeal is granted. The motion for leave to intervene by the Community Media Advocacy Centre is dismissed. The application for leave to appeal from the judgment of the Federal Court of Appeal, Number </w:t>
            </w:r>
            <w:r w:rsidRPr="00B10752">
              <w:rPr>
                <w:sz w:val="20"/>
                <w:szCs w:val="20"/>
                <w:lang w:val="en-US"/>
              </w:rPr>
              <w:t xml:space="preserve">A-163-18, </w:t>
            </w:r>
            <w:r w:rsidRPr="00B10752">
              <w:rPr>
                <w:sz w:val="20"/>
                <w:szCs w:val="20"/>
              </w:rPr>
              <w:t>2020 FCA 174, dated October 19, 2020, is dismissed with costs.</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 xml:space="preserve">Administrative law — Judicial review — Standard of review — </w:t>
            </w:r>
            <w:r w:rsidRPr="00B10752">
              <w:rPr>
                <w:sz w:val="20"/>
                <w:lang w:val="en"/>
              </w:rPr>
              <w:t>Governor in Council terminated applicant’s good behaviour appointment as a CRTC Commissioner</w:t>
            </w:r>
            <w:r w:rsidRPr="00B10752">
              <w:rPr>
                <w:sz w:val="20"/>
              </w:rPr>
              <w:t xml:space="preserve"> for cause — Whether Governor in Council’s </w:t>
            </w:r>
            <w:r w:rsidRPr="00B10752">
              <w:rPr>
                <w:color w:val="000000"/>
                <w:sz w:val="20"/>
              </w:rPr>
              <w:t xml:space="preserve">decision ignored the special procedural protections for ‘good behaviour’ Governor in Council’s appointees — Whether the Federal Court decisions validated the Governor in Council’s approach, thus degrading the procedural protections afforded to ‘good behaviour’ appointees — </w:t>
            </w:r>
            <w:r w:rsidRPr="00B10752">
              <w:rPr>
                <w:color w:val="000000"/>
                <w:spacing w:val="-1"/>
                <w:sz w:val="20"/>
              </w:rPr>
              <w:t xml:space="preserve">Government of Canada’s obligation to investigate concerns of racism, bigotry and differential treatment when raised by </w:t>
            </w:r>
            <w:r w:rsidRPr="00B10752">
              <w:rPr>
                <w:color w:val="000000"/>
                <w:sz w:val="20"/>
              </w:rPr>
              <w:t xml:space="preserve">Governor in Council’s </w:t>
            </w:r>
            <w:r w:rsidRPr="00B10752">
              <w:rPr>
                <w:color w:val="000000"/>
                <w:spacing w:val="-1"/>
                <w:sz w:val="20"/>
              </w:rPr>
              <w:t>appointees.</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lang w:val="en"/>
              </w:rPr>
            </w:pPr>
            <w:r w:rsidRPr="00B10752">
              <w:rPr>
                <w:sz w:val="20"/>
                <w:lang w:val="en"/>
              </w:rPr>
              <w:t xml:space="preserve">The applicant commenced an application under s 18.1 of the </w:t>
            </w:r>
            <w:hyperlink r:id="rId57" w:history="1">
              <w:r w:rsidRPr="00B10752">
                <w:rPr>
                  <w:rStyle w:val="Emphasis"/>
                  <w:color w:val="0000FF"/>
                  <w:sz w:val="20"/>
                  <w:u w:val="single"/>
                  <w:lang w:val="en"/>
                </w:rPr>
                <w:t>Federal Courts Act</w:t>
              </w:r>
              <w:r w:rsidRPr="00B10752">
                <w:rPr>
                  <w:rStyle w:val="Hyperlink"/>
                  <w:rFonts w:eastAsiaTheme="majorEastAsia"/>
                  <w:sz w:val="20"/>
                  <w:lang w:val="en"/>
                </w:rPr>
                <w:t>, RSC 1985, c F-7</w:t>
              </w:r>
            </w:hyperlink>
            <w:r w:rsidRPr="00B10752">
              <w:rPr>
                <w:sz w:val="20"/>
                <w:lang w:val="en"/>
              </w:rPr>
              <w:t>, for judicial review of the decision of the Governor in Council and promulgated by Order in Council to terminate the applicant’s good behaviour appointment as Commissioner for Ontario of the Canadian Radio</w:t>
            </w:r>
            <w:r w:rsidRPr="00B10752">
              <w:rPr>
                <w:sz w:val="20"/>
                <w:lang w:val="en"/>
              </w:rPr>
              <w:noBreakHyphen/>
              <w:t>television and Telecommunications Commission (CRTC) for cause. The Federal Court found that the process leading up to the Order in Council was procedurally fair, and concluded that the Order in Council was substantively reasonable. The Federal Court dismissed the applicant’s application for judicial review of the Order in Council. The Federal Court of Appeal dismissed the appeal.</w:t>
            </w:r>
          </w:p>
        </w:tc>
      </w:tr>
      <w:tr w:rsidR="00E70281" w:rsidRPr="00B10752" w:rsidTr="0074582E">
        <w:tc>
          <w:tcPr>
            <w:tcW w:w="5000" w:type="pct"/>
            <w:gridSpan w:val="4"/>
          </w:tcPr>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May 7, 2018</w:t>
            </w:r>
          </w:p>
          <w:p w:rsidR="00E70281" w:rsidRPr="00B10752" w:rsidRDefault="00E70281" w:rsidP="0074582E">
            <w:pPr>
              <w:jc w:val="both"/>
              <w:rPr>
                <w:sz w:val="20"/>
              </w:rPr>
            </w:pPr>
            <w:r w:rsidRPr="00B10752">
              <w:rPr>
                <w:sz w:val="20"/>
              </w:rPr>
              <w:t>Federal Court</w:t>
            </w:r>
          </w:p>
          <w:p w:rsidR="00E70281" w:rsidRPr="00B10752" w:rsidRDefault="00E70281" w:rsidP="0074582E">
            <w:pPr>
              <w:jc w:val="both"/>
              <w:rPr>
                <w:sz w:val="20"/>
              </w:rPr>
            </w:pPr>
            <w:r w:rsidRPr="00B10752">
              <w:rPr>
                <w:sz w:val="20"/>
              </w:rPr>
              <w:t>(Russell J.)</w:t>
            </w:r>
          </w:p>
          <w:p w:rsidR="00E70281" w:rsidRPr="00B10752" w:rsidRDefault="00B10752" w:rsidP="0074582E">
            <w:pPr>
              <w:jc w:val="both"/>
              <w:rPr>
                <w:sz w:val="20"/>
              </w:rPr>
            </w:pPr>
            <w:hyperlink r:id="rId58" w:history="1">
              <w:r w:rsidR="00E70281" w:rsidRPr="00B10752">
                <w:rPr>
                  <w:rStyle w:val="Hyperlink"/>
                  <w:sz w:val="20"/>
                </w:rPr>
                <w:t>2018 FC 476</w:t>
              </w:r>
            </w:hyperlink>
            <w:r w:rsidR="00E70281" w:rsidRPr="00B10752">
              <w:rPr>
                <w:sz w:val="20"/>
              </w:rPr>
              <w:t xml:space="preserve"> </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judicial review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October 19, 2020</w:t>
            </w:r>
          </w:p>
          <w:p w:rsidR="00E70281" w:rsidRPr="00B10752" w:rsidRDefault="00E70281" w:rsidP="0074582E">
            <w:pPr>
              <w:jc w:val="both"/>
              <w:rPr>
                <w:sz w:val="20"/>
              </w:rPr>
            </w:pPr>
            <w:r w:rsidRPr="00B10752">
              <w:rPr>
                <w:sz w:val="20"/>
              </w:rPr>
              <w:t>Federal Court of Appeal</w:t>
            </w:r>
          </w:p>
          <w:p w:rsidR="00E70281" w:rsidRPr="00B10752" w:rsidRDefault="00E70281" w:rsidP="0074582E">
            <w:pPr>
              <w:jc w:val="both"/>
              <w:rPr>
                <w:sz w:val="20"/>
              </w:rPr>
            </w:pPr>
            <w:r w:rsidRPr="00B10752">
              <w:rPr>
                <w:sz w:val="20"/>
              </w:rPr>
              <w:t>(Stratas, Webb, Rennie JJ.A.)</w:t>
            </w:r>
          </w:p>
          <w:p w:rsidR="00E70281" w:rsidRPr="00B10752" w:rsidRDefault="00B10752" w:rsidP="0074582E">
            <w:pPr>
              <w:jc w:val="both"/>
              <w:rPr>
                <w:sz w:val="20"/>
                <w:lang w:val="fr-CA"/>
              </w:rPr>
            </w:pPr>
            <w:hyperlink r:id="rId59" w:history="1">
              <w:r w:rsidR="00E70281" w:rsidRPr="00B10752">
                <w:rPr>
                  <w:rStyle w:val="Hyperlink"/>
                  <w:sz w:val="20"/>
                  <w:lang w:val="fr-CA"/>
                </w:rPr>
                <w:t>2020 FCA 174</w:t>
              </w:r>
            </w:hyperlink>
            <w:r w:rsidR="00E70281" w:rsidRPr="00B10752">
              <w:rPr>
                <w:sz w:val="20"/>
                <w:lang w:val="fr-CA"/>
              </w:rPr>
              <w:t>; A</w:t>
            </w:r>
            <w:r w:rsidR="00E70281" w:rsidRPr="00B10752">
              <w:rPr>
                <w:sz w:val="20"/>
                <w:lang w:val="fr-CA"/>
              </w:rPr>
              <w:noBreakHyphen/>
              <w:t>163</w:t>
            </w:r>
            <w:r w:rsidR="00E70281" w:rsidRPr="00B10752">
              <w:rPr>
                <w:sz w:val="20"/>
                <w:lang w:val="fr-CA"/>
              </w:rPr>
              <w:noBreakHyphen/>
              <w:t xml:space="preserve">18 </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Appeal dismissed with costs</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December 17, 2020</w:t>
            </w:r>
          </w:p>
          <w:p w:rsidR="00E70281" w:rsidRPr="00B10752" w:rsidRDefault="00E70281" w:rsidP="0074582E">
            <w:pPr>
              <w:jc w:val="both"/>
              <w:rPr>
                <w:sz w:val="20"/>
              </w:rPr>
            </w:pPr>
            <w:r w:rsidRPr="00B10752">
              <w:rPr>
                <w:sz w:val="20"/>
              </w:rPr>
              <w:t>Supreme Court of Canada</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March 31, 2021</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Applicant’s motion to file an amended notice of application for leave to appeal and an amended memorandum of argument filed</w:t>
            </w:r>
          </w:p>
        </w:tc>
      </w:tr>
    </w:tbl>
    <w:p w:rsidR="00E70281" w:rsidRPr="00B10752" w:rsidRDefault="00E70281" w:rsidP="00E70281">
      <w:pPr>
        <w:jc w:val="both"/>
        <w:rPr>
          <w:sz w:val="20"/>
        </w:rPr>
      </w:pPr>
    </w:p>
    <w:p w:rsidR="00E70281" w:rsidRPr="00B10752" w:rsidRDefault="00B10752" w:rsidP="00E70281">
      <w:pPr>
        <w:widowControl w:val="0"/>
        <w:jc w:val="both"/>
        <w:rPr>
          <w:sz w:val="20"/>
        </w:rPr>
      </w:pPr>
      <w:r w:rsidRPr="00B10752">
        <w:rPr>
          <w:sz w:val="20"/>
        </w:rPr>
        <w:pict>
          <v:rect id="_x0000_i1067" style="width:2in;height:1pt" o:hrpct="0" o:hralign="center" o:hrstd="t" o:hrnoshade="t" o:hr="t" fillcolor="black [3213]" stroked="f"/>
        </w:pict>
      </w:r>
    </w:p>
    <w:p w:rsidR="00E70281" w:rsidRPr="00B10752" w:rsidRDefault="00E70281" w:rsidP="00E70281">
      <w:pPr>
        <w:jc w:val="both"/>
        <w:rPr>
          <w:sz w:val="20"/>
        </w:rPr>
      </w:pPr>
    </w:p>
    <w:p w:rsidR="00D90258" w:rsidRPr="00B10752" w:rsidRDefault="00D90258">
      <w:r w:rsidRPr="00B1075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lastRenderedPageBreak/>
              <w:t>39488</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Balraj Shoan c. Procureur général du Canada</w:t>
            </w:r>
          </w:p>
          <w:p w:rsidR="00E70281" w:rsidRPr="00B10752" w:rsidRDefault="00E70281" w:rsidP="0074582E">
            <w:pPr>
              <w:jc w:val="both"/>
              <w:rPr>
                <w:sz w:val="20"/>
                <w:lang w:val="fr-CA"/>
              </w:rPr>
            </w:pPr>
            <w:r w:rsidRPr="00B10752">
              <w:rPr>
                <w:sz w:val="20"/>
                <w:lang w:val="fr-CA"/>
              </w:rPr>
              <w:t>(C.F.) (Civile) (Autorisation)</w:t>
            </w:r>
          </w:p>
        </w:tc>
      </w:tr>
      <w:tr w:rsidR="00E70281" w:rsidRPr="00B10752" w:rsidTr="0074582E">
        <w:tc>
          <w:tcPr>
            <w:tcW w:w="5000" w:type="pct"/>
            <w:gridSpan w:val="4"/>
          </w:tcPr>
          <w:p w:rsidR="00E70281" w:rsidRPr="00B10752" w:rsidRDefault="0043200D" w:rsidP="0074582E">
            <w:pPr>
              <w:jc w:val="both"/>
              <w:rPr>
                <w:sz w:val="20"/>
                <w:szCs w:val="20"/>
                <w:lang w:val="fr-CA"/>
              </w:rPr>
            </w:pPr>
            <w:r w:rsidRPr="00B10752">
              <w:rPr>
                <w:sz w:val="20"/>
                <w:szCs w:val="20"/>
                <w:lang w:val="fr-CA"/>
              </w:rPr>
              <w:t>La requête pour signifier et déposer une demande d’autorisation d’appel modifiée est accueillie. La requête pour permission d’intervenir du Community Media Advocacy Centre est rejetée. La demande d’autorisation d’appel de l’arrêt de la Cour d’appel fédérale, numéro A-163-18, 2020 CAF 174, daté du 19 octobre 2020, est rejetée avec dépens.</w:t>
            </w:r>
          </w:p>
          <w:p w:rsidR="0043200D" w:rsidRPr="00B10752" w:rsidRDefault="0043200D"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Droit administratif — Contrôle judiciaire — Norme de contrôle — Gouverneur en conseil ayant procédé à la révocation motivée du demandeur nommé à titre inamovible au poste de conseiller du CRTC — La décision du gouverneur en conseil a</w:t>
            </w:r>
            <w:r w:rsidRPr="00B10752">
              <w:rPr>
                <w:sz w:val="20"/>
                <w:lang w:val="fr-CA"/>
              </w:rPr>
              <w:noBreakHyphen/>
              <w:t>t</w:t>
            </w:r>
            <w:r w:rsidRPr="00B10752">
              <w:rPr>
                <w:sz w:val="20"/>
                <w:lang w:val="fr-CA"/>
              </w:rPr>
              <w:noBreakHyphen/>
              <w:t xml:space="preserve">elle méconnu les protections procédurales particulières accordées aux personnes nommées par le gouverneur en conseil à titre inamovible? </w:t>
            </w:r>
            <w:r w:rsidRPr="00B10752">
              <w:rPr>
                <w:color w:val="000000"/>
                <w:sz w:val="20"/>
                <w:lang w:val="fr-CA"/>
              </w:rPr>
              <w:t>— Les décisions de la Cour fédérale ont</w:t>
            </w:r>
            <w:r w:rsidRPr="00B10752">
              <w:rPr>
                <w:color w:val="000000"/>
                <w:sz w:val="20"/>
                <w:lang w:val="fr-CA"/>
              </w:rPr>
              <w:noBreakHyphen/>
              <w:t>elles validé l’approche adoptée par le gouverneur en conseil, niant ainsi les protections procédurales accordées aux personnes nommées à titre inamovible? — Obligations du Gouvernement du Canada d’effectuer une enquête lorsque des préoccupations en matière de racisme, de sectarisme et de traitement différentiel sont soulevées par des personnes nommées par le gouverneur en conseil.</w:t>
            </w:r>
          </w:p>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 xml:space="preserve">Le demandeur a présenté une demande en vertu de l’art. 18.1 de la </w:t>
            </w:r>
            <w:hyperlink r:id="rId60" w:history="1">
              <w:r w:rsidRPr="00B10752">
                <w:rPr>
                  <w:rStyle w:val="Hyperlink"/>
                  <w:i/>
                  <w:sz w:val="20"/>
                  <w:lang w:val="fr-CA"/>
                </w:rPr>
                <w:t>Loi sur les Cours fédérales</w:t>
              </w:r>
              <w:r w:rsidRPr="00B10752">
                <w:rPr>
                  <w:rStyle w:val="Hyperlink"/>
                  <w:sz w:val="20"/>
                  <w:lang w:val="fr-CA"/>
                </w:rPr>
                <w:t>,  LRC 1985, c F</w:t>
              </w:r>
              <w:r w:rsidRPr="00B10752">
                <w:rPr>
                  <w:rStyle w:val="Hyperlink"/>
                  <w:sz w:val="20"/>
                  <w:lang w:val="fr-CA"/>
                </w:rPr>
                <w:noBreakHyphen/>
                <w:t>7</w:t>
              </w:r>
            </w:hyperlink>
            <w:r w:rsidRPr="00B10752">
              <w:rPr>
                <w:sz w:val="20"/>
                <w:lang w:val="fr-CA"/>
              </w:rPr>
              <w:t>, en vue de faire contrôler judiciairement la décision du gouverneur en conseil, prise par décret, de procéder à la révocation motivée de sa nomination à titre inamovible au poste de conseiller du Conseil de la radiodiffusion et des télécommunications canadiennes (CRTC) pour la région de l’Ontario. La Cour fédérale a conclu que le processus menant au décret était conforme à l’équité procédurale et que le décret était raisonnable sur le fond. La Cour fédérale a rejeté la demande présentée par le demandeur en vue du contrôle judiciaire du décret. La Cour d’appel fédérale a rejeté l’appel interjeté.</w:t>
            </w:r>
          </w:p>
        </w:tc>
      </w:tr>
      <w:tr w:rsidR="00E70281" w:rsidRPr="00B10752" w:rsidTr="0074582E">
        <w:tc>
          <w:tcPr>
            <w:tcW w:w="5000" w:type="pct"/>
            <w:gridSpan w:val="4"/>
          </w:tcPr>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7 mai 2018</w:t>
            </w:r>
          </w:p>
          <w:p w:rsidR="00E70281" w:rsidRPr="00B10752" w:rsidRDefault="00E70281" w:rsidP="0074582E">
            <w:pPr>
              <w:jc w:val="both"/>
              <w:rPr>
                <w:sz w:val="20"/>
                <w:lang w:val="fr-CA"/>
              </w:rPr>
            </w:pPr>
            <w:r w:rsidRPr="00B10752">
              <w:rPr>
                <w:sz w:val="20"/>
                <w:lang w:val="fr-CA"/>
              </w:rPr>
              <w:t>Cour fédérale</w:t>
            </w:r>
          </w:p>
          <w:p w:rsidR="00E70281" w:rsidRPr="00B10752" w:rsidRDefault="00E70281" w:rsidP="0074582E">
            <w:pPr>
              <w:jc w:val="both"/>
              <w:rPr>
                <w:sz w:val="20"/>
                <w:lang w:val="fr-CA"/>
              </w:rPr>
            </w:pPr>
            <w:r w:rsidRPr="00B10752">
              <w:rPr>
                <w:sz w:val="20"/>
                <w:lang w:val="fr-CA"/>
              </w:rPr>
              <w:t>(juge Russell)</w:t>
            </w:r>
          </w:p>
          <w:p w:rsidR="00E70281" w:rsidRPr="00B10752" w:rsidRDefault="00B10752" w:rsidP="0074582E">
            <w:pPr>
              <w:jc w:val="both"/>
              <w:rPr>
                <w:sz w:val="20"/>
              </w:rPr>
            </w:pPr>
            <w:hyperlink r:id="rId61" w:history="1">
              <w:r w:rsidR="00E70281" w:rsidRPr="00B10752">
                <w:rPr>
                  <w:rStyle w:val="Hyperlink"/>
                  <w:sz w:val="20"/>
                </w:rPr>
                <w:t>2018 CF 476</w:t>
              </w:r>
            </w:hyperlink>
            <w:r w:rsidR="00E70281" w:rsidRPr="00B10752">
              <w:rPr>
                <w:sz w:val="20"/>
              </w:rPr>
              <w:t xml:space="preserve"> </w:t>
            </w:r>
          </w:p>
          <w:p w:rsidR="00E70281" w:rsidRPr="00B10752" w:rsidRDefault="00E70281" w:rsidP="0074582E">
            <w:pPr>
              <w:jc w:val="both"/>
              <w:rPr>
                <w:sz w:val="20"/>
              </w:rPr>
            </w:pPr>
          </w:p>
        </w:tc>
        <w:tc>
          <w:tcPr>
            <w:tcW w:w="243" w:type="pct"/>
          </w:tcPr>
          <w:p w:rsidR="00E70281" w:rsidRPr="00B10752" w:rsidRDefault="00E70281" w:rsidP="0074582E">
            <w:pPr>
              <w:tabs>
                <w:tab w:val="left" w:pos="419"/>
              </w:tabs>
              <w:jc w:val="both"/>
              <w:rPr>
                <w:sz w:val="20"/>
                <w:lang w:val="fr-CA"/>
              </w:rPr>
            </w:pPr>
            <w:r w:rsidRPr="00B10752">
              <w:rPr>
                <w:sz w:val="20"/>
              </w:rPr>
              <w:tab/>
            </w:r>
          </w:p>
        </w:tc>
        <w:tc>
          <w:tcPr>
            <w:tcW w:w="2330" w:type="pct"/>
          </w:tcPr>
          <w:p w:rsidR="00E70281" w:rsidRPr="00B10752" w:rsidRDefault="00E70281" w:rsidP="0074582E">
            <w:pPr>
              <w:jc w:val="both"/>
              <w:rPr>
                <w:sz w:val="20"/>
                <w:lang w:val="fr-CA"/>
              </w:rPr>
            </w:pPr>
            <w:r w:rsidRPr="00B10752">
              <w:rPr>
                <w:sz w:val="20"/>
                <w:lang w:val="fr-CA"/>
              </w:rPr>
              <w:t>Rejet de la demande de contrôle judiciaire</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19 octobre 2020</w:t>
            </w:r>
          </w:p>
          <w:p w:rsidR="00E70281" w:rsidRPr="00B10752" w:rsidRDefault="00E70281" w:rsidP="0074582E">
            <w:pPr>
              <w:jc w:val="both"/>
              <w:rPr>
                <w:sz w:val="20"/>
                <w:lang w:val="fr-CA"/>
              </w:rPr>
            </w:pPr>
            <w:r w:rsidRPr="00B10752">
              <w:rPr>
                <w:sz w:val="20"/>
                <w:lang w:val="fr-CA"/>
              </w:rPr>
              <w:t>Cour d’appel fédérale</w:t>
            </w:r>
          </w:p>
          <w:p w:rsidR="00E70281" w:rsidRPr="00B10752" w:rsidRDefault="00E70281" w:rsidP="0074582E">
            <w:pPr>
              <w:jc w:val="both"/>
              <w:rPr>
                <w:sz w:val="20"/>
                <w:lang w:val="fr-CA"/>
              </w:rPr>
            </w:pPr>
            <w:r w:rsidRPr="00B10752">
              <w:rPr>
                <w:sz w:val="20"/>
                <w:lang w:val="fr-CA"/>
              </w:rPr>
              <w:t>(juges Stratas, Webb, Rennie)</w:t>
            </w:r>
          </w:p>
          <w:p w:rsidR="00E70281" w:rsidRPr="00B10752" w:rsidRDefault="00B10752" w:rsidP="0074582E">
            <w:pPr>
              <w:jc w:val="both"/>
              <w:rPr>
                <w:sz w:val="20"/>
                <w:lang w:val="fr-CA"/>
              </w:rPr>
            </w:pPr>
            <w:hyperlink r:id="rId62" w:history="1">
              <w:r w:rsidR="00E70281" w:rsidRPr="00B10752">
                <w:rPr>
                  <w:rStyle w:val="Hyperlink"/>
                  <w:sz w:val="20"/>
                  <w:lang w:val="fr-CA"/>
                </w:rPr>
                <w:t>2020 CAF 174</w:t>
              </w:r>
            </w:hyperlink>
            <w:r w:rsidR="00E70281" w:rsidRPr="00B10752">
              <w:rPr>
                <w:sz w:val="20"/>
                <w:lang w:val="fr-CA"/>
              </w:rPr>
              <w:t>; A</w:t>
            </w:r>
            <w:r w:rsidR="00E70281" w:rsidRPr="00B10752">
              <w:rPr>
                <w:sz w:val="20"/>
                <w:lang w:val="fr-CA"/>
              </w:rPr>
              <w:noBreakHyphen/>
              <w:t>163</w:t>
            </w:r>
            <w:r w:rsidR="00E70281" w:rsidRPr="00B10752">
              <w:rPr>
                <w:sz w:val="20"/>
                <w:lang w:val="fr-CA"/>
              </w:rPr>
              <w:noBreakHyphen/>
              <w:t xml:space="preserve">18 </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Rejet de l’appel avec dépens</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17 décembre 2020</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Dépôt de la demande d’autorisation d’appel</w:t>
            </w:r>
          </w:p>
          <w:p w:rsidR="00E70281" w:rsidRPr="00B10752" w:rsidRDefault="00E70281" w:rsidP="0074582E">
            <w:pPr>
              <w:jc w:val="both"/>
              <w:rPr>
                <w:sz w:val="20"/>
                <w:lang w:val="fr-CA"/>
              </w:rPr>
            </w:pPr>
            <w:r w:rsidRPr="00B10752">
              <w:rPr>
                <w:sz w:val="20"/>
                <w:lang w:val="fr-CA"/>
              </w:rPr>
              <w:t xml:space="preserve"> </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31 mars 2021</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Dépôt de la</w:t>
            </w:r>
            <w:r w:rsidRPr="00B10752">
              <w:rPr>
                <w:rFonts w:ascii="Shruti" w:hAnsi="Shruti"/>
                <w:sz w:val="20"/>
                <w:lang w:val="fr-CA"/>
              </w:rPr>
              <w:t xml:space="preserve"> </w:t>
            </w:r>
            <w:r w:rsidRPr="00B10752">
              <w:rPr>
                <w:sz w:val="20"/>
                <w:lang w:val="fr-CA"/>
              </w:rPr>
              <w:t xml:space="preserve">requête du demandeur en vue de déposer un avis modifié de demande d’autorisation d’appel et un mémoire modifié </w:t>
            </w: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68"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39381</w:t>
            </w:r>
          </w:p>
        </w:tc>
        <w:tc>
          <w:tcPr>
            <w:tcW w:w="4457" w:type="pct"/>
          </w:tcPr>
          <w:p w:rsidR="00E70281" w:rsidRPr="00B10752" w:rsidRDefault="00E70281" w:rsidP="0074582E">
            <w:pPr>
              <w:pStyle w:val="SCCLsocParty"/>
              <w:jc w:val="both"/>
              <w:rPr>
                <w:b/>
                <w:sz w:val="20"/>
                <w:szCs w:val="20"/>
                <w:lang w:val="en-CA"/>
              </w:rPr>
            </w:pPr>
            <w:r w:rsidRPr="00B10752">
              <w:rPr>
                <w:b/>
                <w:sz w:val="20"/>
                <w:szCs w:val="20"/>
                <w:lang w:val="en-CA"/>
              </w:rPr>
              <w:t xml:space="preserve">Her Majesty the Queen v. </w:t>
            </w:r>
            <w:r w:rsidR="00BA1B00" w:rsidRPr="00B10752">
              <w:rPr>
                <w:b/>
                <w:sz w:val="20"/>
                <w:szCs w:val="20"/>
                <w:lang w:val="en-CA"/>
              </w:rPr>
              <w:t>Mélanie Ste-Marie, Michel Ste-Marie, Dax Ste-Marie and Richard Felx</w:t>
            </w:r>
          </w:p>
          <w:p w:rsidR="00E70281" w:rsidRPr="00B10752" w:rsidRDefault="00E70281" w:rsidP="0074582E">
            <w:pPr>
              <w:jc w:val="both"/>
              <w:rPr>
                <w:sz w:val="20"/>
              </w:rPr>
            </w:pPr>
            <w:r w:rsidRPr="00B10752">
              <w:rPr>
                <w:sz w:val="20"/>
              </w:rPr>
              <w:t>(Que.) (Criminal) (By Leave)</w:t>
            </w:r>
          </w:p>
        </w:tc>
      </w:tr>
      <w:tr w:rsidR="00E70281" w:rsidRPr="00B10752" w:rsidTr="0074582E">
        <w:tc>
          <w:tcPr>
            <w:tcW w:w="5000" w:type="pct"/>
            <w:gridSpan w:val="2"/>
          </w:tcPr>
          <w:p w:rsidR="00E70281" w:rsidRPr="00B10752" w:rsidRDefault="00BA1B00" w:rsidP="0074582E">
            <w:pPr>
              <w:pStyle w:val="SCCBanSummary0"/>
              <w:rPr>
                <w:smallCaps w:val="0"/>
                <w:sz w:val="20"/>
                <w:szCs w:val="20"/>
              </w:rPr>
            </w:pPr>
            <w:r w:rsidRPr="00B10752">
              <w:rPr>
                <w:smallCaps w:val="0"/>
                <w:sz w:val="20"/>
                <w:szCs w:val="20"/>
              </w:rPr>
              <w:t xml:space="preserve">The application for leave to appeal from the judgment of the </w:t>
            </w:r>
            <w:r w:rsidRPr="00B10752">
              <w:rPr>
                <w:smallCaps w:val="0"/>
                <w:sz w:val="20"/>
                <w:szCs w:val="20"/>
                <w:lang w:val="en-US"/>
              </w:rPr>
              <w:t>Court of Appeal of Quebec (Montréal)</w:t>
            </w:r>
            <w:r w:rsidRPr="00B10752">
              <w:rPr>
                <w:smallCaps w:val="0"/>
                <w:sz w:val="20"/>
                <w:szCs w:val="20"/>
              </w:rPr>
              <w:t>, Numbers</w:t>
            </w:r>
            <w:r w:rsidRPr="00B10752">
              <w:rPr>
                <w:smallCaps w:val="0"/>
                <w:sz w:val="20"/>
                <w:szCs w:val="20"/>
                <w:lang w:val="en-US"/>
              </w:rPr>
              <w:t xml:space="preserve"> 500-10-006180-168, 500-10-006181-166, 500-10-006182-164 and 500-10-006190-167</w:t>
            </w:r>
            <w:r w:rsidRPr="00B10752">
              <w:rPr>
                <w:smallCaps w:val="0"/>
                <w:sz w:val="20"/>
                <w:szCs w:val="20"/>
              </w:rPr>
              <w:t xml:space="preserve">, </w:t>
            </w:r>
            <w:r w:rsidRPr="00B10752">
              <w:rPr>
                <w:smallCaps w:val="0"/>
                <w:sz w:val="20"/>
                <w:szCs w:val="20"/>
                <w:lang w:val="en-US"/>
              </w:rPr>
              <w:t>2020 QCCA 1118,</w:t>
            </w:r>
            <w:r w:rsidRPr="00B10752">
              <w:rPr>
                <w:smallCaps w:val="0"/>
                <w:sz w:val="20"/>
                <w:szCs w:val="20"/>
              </w:rPr>
              <w:t xml:space="preserve"> dated </w:t>
            </w:r>
            <w:r w:rsidRPr="00B10752">
              <w:rPr>
                <w:smallCaps w:val="0"/>
                <w:sz w:val="20"/>
                <w:szCs w:val="20"/>
                <w:lang w:val="en-US"/>
              </w:rPr>
              <w:t>September 3, 2020,</w:t>
            </w:r>
            <w:r w:rsidRPr="00B10752">
              <w:rPr>
                <w:smallCaps w:val="0"/>
                <w:sz w:val="20"/>
                <w:szCs w:val="20"/>
              </w:rPr>
              <w:t xml:space="preserve"> is granted.</w:t>
            </w:r>
          </w:p>
          <w:p w:rsidR="00BA1B00" w:rsidRPr="00B10752" w:rsidRDefault="00BA1B00" w:rsidP="00BA1B00"/>
        </w:tc>
      </w:tr>
    </w:tbl>
    <w:p w:rsidR="00D90258" w:rsidRPr="00B10752" w:rsidRDefault="00D90258">
      <w:r w:rsidRPr="00B10752">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5000" w:type="pct"/>
            <w:gridSpan w:val="3"/>
          </w:tcPr>
          <w:p w:rsidR="00E70281" w:rsidRPr="00B10752" w:rsidRDefault="00E70281" w:rsidP="0074582E">
            <w:pPr>
              <w:pStyle w:val="SCCBanSummary0"/>
              <w:rPr>
                <w:sz w:val="20"/>
                <w:szCs w:val="20"/>
              </w:rPr>
            </w:pPr>
            <w:r w:rsidRPr="00B10752">
              <w:rPr>
                <w:smallCaps w:val="0"/>
                <w:sz w:val="20"/>
                <w:szCs w:val="20"/>
              </w:rPr>
              <w:lastRenderedPageBreak/>
              <w:t>Charter of Rights — Criminal law — Right to be tried within a reasonable time — Remedy — Whether Quebec Court of Appeal erred in law in granting final stay of proceedings without addressing point of law validly raised by respondent in Court of Appeal, namely proper attribution of delay relating to extraordinary recourses exercised by defence — Whether Quebec Court of Appeal erred in law in reviewing only part of legal framework of decision on motion for stay of proceedings under s. 11(</w:t>
            </w:r>
            <w:r w:rsidRPr="00B10752">
              <w:rPr>
                <w:i/>
                <w:smallCaps w:val="0"/>
                <w:sz w:val="20"/>
                <w:szCs w:val="20"/>
              </w:rPr>
              <w:t>b</w:t>
            </w:r>
            <w:r w:rsidRPr="00B10752">
              <w:rPr>
                <w:smallCaps w:val="0"/>
                <w:sz w:val="20"/>
                <w:szCs w:val="20"/>
              </w:rPr>
              <w:t xml:space="preserve">) of </w:t>
            </w:r>
            <w:r w:rsidRPr="00B10752">
              <w:rPr>
                <w:i/>
                <w:smallCaps w:val="0"/>
                <w:sz w:val="20"/>
                <w:szCs w:val="20"/>
              </w:rPr>
              <w:t>Canadian Charter of Rights and Freedoms</w:t>
            </w:r>
            <w:r w:rsidRPr="00B10752">
              <w:rPr>
                <w:smallCaps w:val="0"/>
                <w:sz w:val="20"/>
                <w:szCs w:val="20"/>
              </w:rPr>
              <w:t>, though framework ill</w:t>
            </w:r>
            <w:r w:rsidRPr="00B10752">
              <w:rPr>
                <w:smallCaps w:val="0"/>
                <w:sz w:val="20"/>
                <w:szCs w:val="20"/>
              </w:rPr>
              <w:noBreakHyphen/>
              <w:t>defined by trial judge.</w:t>
            </w:r>
          </w:p>
        </w:tc>
      </w:tr>
      <w:tr w:rsidR="00E70281" w:rsidRPr="00B10752" w:rsidTr="0074582E">
        <w:tc>
          <w:tcPr>
            <w:tcW w:w="5000" w:type="pct"/>
            <w:gridSpan w:val="3"/>
          </w:tcPr>
          <w:p w:rsidR="00E70281" w:rsidRPr="00B10752" w:rsidRDefault="00E70281" w:rsidP="0074582E">
            <w:pPr>
              <w:jc w:val="both"/>
              <w:rPr>
                <w:sz w:val="20"/>
              </w:rPr>
            </w:pPr>
          </w:p>
        </w:tc>
      </w:tr>
      <w:tr w:rsidR="00E70281" w:rsidRPr="00B10752" w:rsidTr="0074582E">
        <w:tc>
          <w:tcPr>
            <w:tcW w:w="5000" w:type="pct"/>
            <w:gridSpan w:val="3"/>
          </w:tcPr>
          <w:p w:rsidR="00E70281" w:rsidRPr="00B10752" w:rsidRDefault="00E70281" w:rsidP="0074582E">
            <w:pPr>
              <w:jc w:val="both"/>
              <w:rPr>
                <w:sz w:val="20"/>
              </w:rPr>
            </w:pPr>
            <w:r w:rsidRPr="00B10752">
              <w:rPr>
                <w:sz w:val="20"/>
              </w:rPr>
              <w:t>The four respondents were charged with conspiracy to launder proceeds of crime, laundering proceeds of crime, and commission of an offence for a criminal organization. In the Court of Québec, the respondents moved for a stay of proceedings for unreasonable delay. The Court of Québec found that s. 11(</w:t>
            </w:r>
            <w:r w:rsidRPr="00B10752">
              <w:rPr>
                <w:i/>
                <w:sz w:val="20"/>
              </w:rPr>
              <w:t>b</w:t>
            </w:r>
            <w:r w:rsidRPr="00B10752">
              <w:rPr>
                <w:sz w:val="20"/>
              </w:rPr>
              <w:t xml:space="preserve">) of the </w:t>
            </w:r>
            <w:r w:rsidRPr="00B10752">
              <w:rPr>
                <w:i/>
                <w:sz w:val="20"/>
              </w:rPr>
              <w:t>Charter</w:t>
            </w:r>
            <w:r w:rsidRPr="00B10752">
              <w:rPr>
                <w:sz w:val="20"/>
              </w:rPr>
              <w:t xml:space="preserve"> had been infringed but declined to stay the proceedings. It convicted the respondents of the offences charged. On appeal from the guilty verdicts, the Quebec Court of Appeal had to determine whether the Court of Québec had erred in declining to stay the proceedings after finding unreasonable delay. The Court of Appeal allowed the respondents’ appeals, quashed the convictions and ordered a stay of proceedings. </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September 17, 2015</w:t>
            </w:r>
          </w:p>
          <w:p w:rsidR="00E70281" w:rsidRPr="00B10752" w:rsidRDefault="00E70281" w:rsidP="0074582E">
            <w:pPr>
              <w:jc w:val="both"/>
              <w:rPr>
                <w:sz w:val="20"/>
              </w:rPr>
            </w:pPr>
            <w:r w:rsidRPr="00B10752">
              <w:rPr>
                <w:sz w:val="20"/>
              </w:rPr>
              <w:t xml:space="preserve">Court of Québec </w:t>
            </w:r>
          </w:p>
          <w:p w:rsidR="00E70281" w:rsidRPr="00B10752" w:rsidRDefault="00E70281" w:rsidP="0074582E">
            <w:pPr>
              <w:jc w:val="both"/>
              <w:rPr>
                <w:sz w:val="20"/>
              </w:rPr>
            </w:pPr>
            <w:r w:rsidRPr="00B10752">
              <w:rPr>
                <w:sz w:val="20"/>
              </w:rPr>
              <w:t>(Judge Garneau)</w:t>
            </w:r>
          </w:p>
          <w:p w:rsidR="00E70281" w:rsidRPr="00B10752" w:rsidRDefault="00E70281" w:rsidP="0074582E">
            <w:pPr>
              <w:jc w:val="both"/>
              <w:rPr>
                <w:sz w:val="20"/>
              </w:rPr>
            </w:pPr>
            <w:r w:rsidRPr="00B10752">
              <w:rPr>
                <w:sz w:val="20"/>
              </w:rPr>
              <w:t>540</w:t>
            </w:r>
            <w:r w:rsidRPr="00B10752">
              <w:rPr>
                <w:sz w:val="20"/>
              </w:rPr>
              <w:noBreakHyphen/>
              <w:t>01</w:t>
            </w:r>
            <w:r w:rsidRPr="00B10752">
              <w:rPr>
                <w:sz w:val="20"/>
              </w:rPr>
              <w:noBreakHyphen/>
              <w:t>041705</w:t>
            </w:r>
            <w:r w:rsidRPr="00B10752">
              <w:rPr>
                <w:sz w:val="20"/>
              </w:rPr>
              <w:noBreakHyphen/>
              <w:t>099</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Motion for stay of proceedings dismissed</w:t>
            </w:r>
          </w:p>
        </w:tc>
      </w:tr>
      <w:tr w:rsidR="00E70281" w:rsidRPr="00B10752" w:rsidTr="0074582E">
        <w:tc>
          <w:tcPr>
            <w:tcW w:w="2427" w:type="pct"/>
          </w:tcPr>
          <w:p w:rsidR="00E70281" w:rsidRPr="00B10752" w:rsidRDefault="00E70281" w:rsidP="0074582E">
            <w:pPr>
              <w:jc w:val="both"/>
              <w:rPr>
                <w:sz w:val="20"/>
              </w:rPr>
            </w:pPr>
            <w:r w:rsidRPr="00B10752">
              <w:rPr>
                <w:sz w:val="20"/>
              </w:rPr>
              <w:t>June 22, 2016</w:t>
            </w:r>
          </w:p>
          <w:p w:rsidR="00E70281" w:rsidRPr="00B10752" w:rsidRDefault="00E70281" w:rsidP="0074582E">
            <w:pPr>
              <w:jc w:val="both"/>
              <w:rPr>
                <w:sz w:val="20"/>
              </w:rPr>
            </w:pPr>
            <w:r w:rsidRPr="00B10752">
              <w:rPr>
                <w:sz w:val="20"/>
              </w:rPr>
              <w:t>Court of Québec</w:t>
            </w:r>
          </w:p>
          <w:p w:rsidR="00E70281" w:rsidRPr="00B10752" w:rsidRDefault="00E70281" w:rsidP="0074582E">
            <w:pPr>
              <w:jc w:val="both"/>
              <w:rPr>
                <w:sz w:val="20"/>
              </w:rPr>
            </w:pPr>
            <w:r w:rsidRPr="00B10752">
              <w:rPr>
                <w:sz w:val="20"/>
              </w:rPr>
              <w:t>(Judge Garneau)</w:t>
            </w:r>
          </w:p>
          <w:p w:rsidR="00E70281" w:rsidRPr="00B10752" w:rsidRDefault="00E70281" w:rsidP="0074582E">
            <w:pPr>
              <w:jc w:val="both"/>
              <w:rPr>
                <w:sz w:val="20"/>
              </w:rPr>
            </w:pPr>
            <w:r w:rsidRPr="00B10752">
              <w:rPr>
                <w:sz w:val="20"/>
              </w:rPr>
              <w:t>540</w:t>
            </w:r>
            <w:r w:rsidRPr="00B10752">
              <w:rPr>
                <w:sz w:val="20"/>
              </w:rPr>
              <w:noBreakHyphen/>
              <w:t>01</w:t>
            </w:r>
            <w:r w:rsidRPr="00B10752">
              <w:rPr>
                <w:sz w:val="20"/>
              </w:rPr>
              <w:noBreakHyphen/>
              <w:t>041705</w:t>
            </w:r>
            <w:r w:rsidRPr="00B10752">
              <w:rPr>
                <w:sz w:val="20"/>
              </w:rPr>
              <w:noBreakHyphen/>
              <w:t>099</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Respondents convicted of conspiracy to launder proceeds of crime, laundering proceeds of crime, and commission of offence for criminal organization</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September 3, 2020</w:t>
            </w:r>
          </w:p>
          <w:p w:rsidR="00E70281" w:rsidRPr="00B10752" w:rsidRDefault="00E70281" w:rsidP="0074582E">
            <w:pPr>
              <w:jc w:val="both"/>
              <w:rPr>
                <w:sz w:val="20"/>
              </w:rPr>
            </w:pPr>
            <w:r w:rsidRPr="00B10752">
              <w:rPr>
                <w:sz w:val="20"/>
              </w:rPr>
              <w:t>Quebec Court of Appeal (Montréal)</w:t>
            </w:r>
          </w:p>
          <w:p w:rsidR="00E70281" w:rsidRPr="00B10752" w:rsidRDefault="00E70281" w:rsidP="0074582E">
            <w:pPr>
              <w:jc w:val="both"/>
              <w:rPr>
                <w:sz w:val="20"/>
              </w:rPr>
            </w:pPr>
            <w:r w:rsidRPr="00B10752">
              <w:rPr>
                <w:sz w:val="20"/>
              </w:rPr>
              <w:t>(Lévesque, Healy and Hamilton JJ.A.)</w:t>
            </w:r>
          </w:p>
          <w:p w:rsidR="00E70281" w:rsidRPr="00B10752" w:rsidRDefault="00B10752" w:rsidP="0074582E">
            <w:pPr>
              <w:jc w:val="both"/>
              <w:rPr>
                <w:rStyle w:val="Hyperlink"/>
                <w:sz w:val="20"/>
              </w:rPr>
            </w:pPr>
            <w:hyperlink r:id="rId63" w:history="1">
              <w:r w:rsidR="00E70281" w:rsidRPr="00B10752">
                <w:rPr>
                  <w:rStyle w:val="Hyperlink"/>
                  <w:sz w:val="20"/>
                </w:rPr>
                <w:t>2020 QCCA 1118</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Leave to appeal granted, appeals allowed, convictions quashed and stay of proceedings ordered</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November 2, 2020</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69"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39381</w:t>
            </w:r>
          </w:p>
        </w:tc>
        <w:tc>
          <w:tcPr>
            <w:tcW w:w="4457" w:type="pct"/>
          </w:tcPr>
          <w:p w:rsidR="00E70281" w:rsidRPr="00B10752" w:rsidRDefault="00E70281" w:rsidP="0074582E">
            <w:pPr>
              <w:pStyle w:val="SCCLsocParty"/>
              <w:jc w:val="both"/>
              <w:rPr>
                <w:b/>
                <w:sz w:val="20"/>
                <w:szCs w:val="20"/>
              </w:rPr>
            </w:pPr>
            <w:r w:rsidRPr="00B10752">
              <w:rPr>
                <w:b/>
                <w:sz w:val="20"/>
                <w:szCs w:val="20"/>
              </w:rPr>
              <w:t xml:space="preserve">Sa Majesté la Reine c. </w:t>
            </w:r>
            <w:r w:rsidR="00BA1B00" w:rsidRPr="00B10752">
              <w:rPr>
                <w:b/>
                <w:sz w:val="20"/>
                <w:szCs w:val="20"/>
              </w:rPr>
              <w:t>Mélanie Ste-Marie, Michel Ste-Marie, Dax Ste-Marie et Richard Felx</w:t>
            </w:r>
          </w:p>
          <w:p w:rsidR="00E70281" w:rsidRPr="00B10752" w:rsidRDefault="00E70281" w:rsidP="0074582E">
            <w:pPr>
              <w:jc w:val="both"/>
              <w:rPr>
                <w:sz w:val="20"/>
              </w:rPr>
            </w:pPr>
            <w:r w:rsidRPr="00B10752">
              <w:rPr>
                <w:sz w:val="20"/>
              </w:rPr>
              <w:t>(Qc) (Criminel) (Autorisation)</w:t>
            </w:r>
          </w:p>
        </w:tc>
      </w:tr>
      <w:tr w:rsidR="00E70281" w:rsidRPr="00B10752" w:rsidTr="0074582E">
        <w:tc>
          <w:tcPr>
            <w:tcW w:w="5000" w:type="pct"/>
            <w:gridSpan w:val="2"/>
          </w:tcPr>
          <w:p w:rsidR="00BA1B00" w:rsidRPr="00B10752" w:rsidRDefault="00BA1B00" w:rsidP="00BA1B00">
            <w:pPr>
              <w:jc w:val="both"/>
              <w:rPr>
                <w:sz w:val="20"/>
                <w:szCs w:val="20"/>
                <w:lang w:val="fr-CA"/>
              </w:rPr>
            </w:pPr>
            <w:r w:rsidRPr="00B10752">
              <w:rPr>
                <w:sz w:val="20"/>
                <w:szCs w:val="20"/>
                <w:lang w:val="fr-CA"/>
              </w:rPr>
              <w:t>La demande d’autorisation d’appel de l’arrêt de la Cour d’appel du Québec (Montréal), numéros 500-10-006180-168, 500-10-006181-166, 500-10-006182-164 et 500-10-006190-167, 2020 QCCA 1118, daté du 3 septembre 2020, est accueillie.</w:t>
            </w:r>
          </w:p>
          <w:p w:rsidR="00E70281" w:rsidRPr="00B10752" w:rsidRDefault="00E70281" w:rsidP="0074582E">
            <w:pPr>
              <w:pStyle w:val="SCCBanSummary0"/>
              <w:rPr>
                <w:smallCaps w:val="0"/>
                <w:sz w:val="20"/>
                <w:szCs w:val="20"/>
                <w:lang w:val="fr-CA"/>
              </w:rPr>
            </w:pPr>
          </w:p>
        </w:tc>
      </w:tr>
      <w:tr w:rsidR="00E70281" w:rsidRPr="00B10752" w:rsidTr="0074582E">
        <w:tc>
          <w:tcPr>
            <w:tcW w:w="5000" w:type="pct"/>
            <w:gridSpan w:val="2"/>
          </w:tcPr>
          <w:p w:rsidR="00E70281" w:rsidRPr="00B10752" w:rsidRDefault="00E70281" w:rsidP="0074582E">
            <w:pPr>
              <w:pStyle w:val="SCCBanSummary0"/>
              <w:rPr>
                <w:smallCaps w:val="0"/>
                <w:sz w:val="20"/>
                <w:szCs w:val="20"/>
                <w:lang w:val="fr-CA"/>
              </w:rPr>
            </w:pPr>
            <w:r w:rsidRPr="00B10752">
              <w:rPr>
                <w:i/>
                <w:smallCaps w:val="0"/>
                <w:sz w:val="20"/>
                <w:szCs w:val="20"/>
                <w:lang w:val="fr-CA"/>
              </w:rPr>
              <w:t>Charte des droits</w:t>
            </w:r>
            <w:r w:rsidRPr="00B10752">
              <w:rPr>
                <w:smallCaps w:val="0"/>
                <w:sz w:val="20"/>
                <w:szCs w:val="20"/>
                <w:lang w:val="fr-CA"/>
              </w:rPr>
              <w:t xml:space="preserve"> — Droit criminel — Procès dans un délai raisonnable — Réparation — La Cour d’appel du Québec a</w:t>
            </w:r>
            <w:r w:rsidRPr="00B10752">
              <w:rPr>
                <w:smallCaps w:val="0"/>
                <w:sz w:val="20"/>
                <w:szCs w:val="20"/>
                <w:lang w:val="fr-CA"/>
              </w:rPr>
              <w:noBreakHyphen/>
              <w:t>t</w:t>
            </w:r>
            <w:r w:rsidRPr="00B10752">
              <w:rPr>
                <w:smallCaps w:val="0"/>
                <w:sz w:val="20"/>
                <w:szCs w:val="20"/>
                <w:lang w:val="fr-CA"/>
              </w:rPr>
              <w:noBreakHyphen/>
              <w:t>elle erré en droit en accordant un arrêt définitif des procédures sans se prononcer sur un moyen de droit valablement invoqué par la partie intimée en Cour d’appel à savoir l’attribution correcte des délais portant sur les recours extraordinaires présentés par la défense? — La Cour d’appel du Québec a</w:t>
            </w:r>
            <w:r w:rsidRPr="00B10752">
              <w:rPr>
                <w:smallCaps w:val="0"/>
                <w:sz w:val="20"/>
                <w:szCs w:val="20"/>
                <w:lang w:val="fr-CA"/>
              </w:rPr>
              <w:noBreakHyphen/>
              <w:t>t</w:t>
            </w:r>
            <w:r w:rsidRPr="00B10752">
              <w:rPr>
                <w:smallCaps w:val="0"/>
                <w:sz w:val="20"/>
                <w:szCs w:val="20"/>
                <w:lang w:val="fr-CA"/>
              </w:rPr>
              <w:noBreakHyphen/>
              <w:t>elle erré en droit en ne révisant qu’une partie du cadre</w:t>
            </w:r>
          </w:p>
          <w:p w:rsidR="00E70281" w:rsidRPr="00B10752" w:rsidRDefault="00E70281" w:rsidP="0074582E">
            <w:pPr>
              <w:pStyle w:val="SCCBanSummary0"/>
              <w:rPr>
                <w:sz w:val="20"/>
                <w:szCs w:val="20"/>
                <w:lang w:val="fr-CA"/>
              </w:rPr>
            </w:pPr>
            <w:r w:rsidRPr="00B10752">
              <w:rPr>
                <w:smallCaps w:val="0"/>
                <w:sz w:val="20"/>
                <w:szCs w:val="20"/>
                <w:lang w:val="fr-CA"/>
              </w:rPr>
              <w:t>juridique de la décision sur la requête en arrêt des procédures sous l’al. 11</w:t>
            </w:r>
            <w:r w:rsidRPr="00B10752">
              <w:rPr>
                <w:i/>
                <w:smallCaps w:val="0"/>
                <w:sz w:val="20"/>
                <w:szCs w:val="20"/>
                <w:lang w:val="fr-CA"/>
              </w:rPr>
              <w:t>b</w:t>
            </w:r>
            <w:r w:rsidRPr="00B10752">
              <w:rPr>
                <w:smallCaps w:val="0"/>
                <w:sz w:val="20"/>
                <w:szCs w:val="20"/>
                <w:lang w:val="fr-CA"/>
              </w:rPr>
              <w:t xml:space="preserve">) de la </w:t>
            </w:r>
            <w:r w:rsidRPr="00B10752">
              <w:rPr>
                <w:i/>
                <w:smallCaps w:val="0"/>
                <w:sz w:val="20"/>
                <w:szCs w:val="20"/>
                <w:lang w:val="fr-CA"/>
              </w:rPr>
              <w:t>Charte canadienne des droits et libertés</w:t>
            </w:r>
            <w:r w:rsidRPr="00B10752">
              <w:rPr>
                <w:smallCaps w:val="0"/>
                <w:sz w:val="20"/>
                <w:szCs w:val="20"/>
                <w:lang w:val="fr-CA"/>
              </w:rPr>
              <w:t>, alors mal défini par le juge de première instance?</w:t>
            </w:r>
          </w:p>
        </w:tc>
      </w:tr>
      <w:tr w:rsidR="00E70281" w:rsidRPr="00B10752" w:rsidTr="0074582E">
        <w:tc>
          <w:tcPr>
            <w:tcW w:w="5000" w:type="pct"/>
            <w:gridSpan w:val="2"/>
          </w:tcPr>
          <w:p w:rsidR="00E70281" w:rsidRPr="00B10752" w:rsidRDefault="00E70281" w:rsidP="0074582E">
            <w:pPr>
              <w:jc w:val="both"/>
              <w:rPr>
                <w:sz w:val="20"/>
                <w:lang w:val="fr-CA"/>
              </w:rPr>
            </w:pPr>
          </w:p>
        </w:tc>
      </w:tr>
    </w:tbl>
    <w:p w:rsidR="00D90258" w:rsidRPr="00B10752" w:rsidRDefault="00D90258">
      <w:pPr>
        <w:rPr>
          <w:lang w:val="fr-CA"/>
        </w:rPr>
      </w:pPr>
      <w:r w:rsidRPr="00B1075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5000" w:type="pct"/>
            <w:gridSpan w:val="3"/>
          </w:tcPr>
          <w:p w:rsidR="00E70281" w:rsidRPr="00B10752" w:rsidRDefault="00E70281" w:rsidP="0074582E">
            <w:pPr>
              <w:jc w:val="both"/>
              <w:rPr>
                <w:sz w:val="20"/>
                <w:lang w:val="fr-CA"/>
              </w:rPr>
            </w:pPr>
            <w:r w:rsidRPr="00B10752">
              <w:rPr>
                <w:sz w:val="20"/>
                <w:lang w:val="fr-CA"/>
              </w:rPr>
              <w:lastRenderedPageBreak/>
              <w:t>Les quatre intimés font face aux chefs d’accusation de complot en vue de recycler des produits de la criminalité, de recyclage des produits de la criminalité et de commission d’une infraction au profit d’une organisation criminelle. Devant la Cour du Québec, les intimés présentent une requête en arrêt des procédures pour délais déraisonnables. La Cour du Québec conclut à une violation de l’art. 11</w:t>
            </w:r>
            <w:r w:rsidRPr="00B10752">
              <w:rPr>
                <w:i/>
                <w:sz w:val="20"/>
                <w:lang w:val="fr-CA"/>
              </w:rPr>
              <w:t>b</w:t>
            </w:r>
            <w:r w:rsidRPr="00B10752">
              <w:rPr>
                <w:sz w:val="20"/>
                <w:lang w:val="fr-CA"/>
              </w:rPr>
              <w:t xml:space="preserve">) de la </w:t>
            </w:r>
            <w:r w:rsidRPr="00B10752">
              <w:rPr>
                <w:i/>
                <w:sz w:val="20"/>
                <w:lang w:val="fr-CA"/>
              </w:rPr>
              <w:t>Charte</w:t>
            </w:r>
            <w:r w:rsidRPr="00B10752">
              <w:rPr>
                <w:sz w:val="20"/>
                <w:lang w:val="fr-CA"/>
              </w:rPr>
              <w:t xml:space="preserve">, mais elle refuse d’ordonner l’arrêt des procédures. La Cour du Québec déclare les intimés coupables des infractions reprochées. En appel à l’encontre des verdicts de culpabilité, la Cour d’appel du Québec doit déterminer si la Cour du Québec a erré en refusant d’ordonner l’arrêt des procédures, après avoir conclu à des délais raisonnables. La Cour d’appel accueille les appels des intimés, casse les déclarations de culpabilité et ordonne l’arrêt des procédures. </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17 septembre 2015</w:t>
            </w:r>
          </w:p>
          <w:p w:rsidR="00E70281" w:rsidRPr="00B10752" w:rsidRDefault="00E70281" w:rsidP="0074582E">
            <w:pPr>
              <w:jc w:val="both"/>
              <w:rPr>
                <w:sz w:val="20"/>
                <w:lang w:val="fr-CA"/>
              </w:rPr>
            </w:pPr>
            <w:r w:rsidRPr="00B10752">
              <w:rPr>
                <w:sz w:val="20"/>
                <w:lang w:val="fr-CA"/>
              </w:rPr>
              <w:t xml:space="preserve">Cour du Québec </w:t>
            </w:r>
          </w:p>
          <w:p w:rsidR="00E70281" w:rsidRPr="00B10752" w:rsidRDefault="00E70281" w:rsidP="0074582E">
            <w:pPr>
              <w:jc w:val="both"/>
              <w:rPr>
                <w:sz w:val="20"/>
                <w:lang w:val="fr-CA"/>
              </w:rPr>
            </w:pPr>
            <w:r w:rsidRPr="00B10752">
              <w:rPr>
                <w:sz w:val="20"/>
                <w:lang w:val="fr-CA"/>
              </w:rPr>
              <w:t>(Le juge Garneau)</w:t>
            </w:r>
          </w:p>
          <w:p w:rsidR="00E70281" w:rsidRPr="00B10752" w:rsidRDefault="00E70281" w:rsidP="0074582E">
            <w:pPr>
              <w:jc w:val="both"/>
              <w:rPr>
                <w:sz w:val="20"/>
              </w:rPr>
            </w:pPr>
            <w:r w:rsidRPr="00B10752">
              <w:rPr>
                <w:sz w:val="20"/>
              </w:rPr>
              <w:t>540</w:t>
            </w:r>
            <w:r w:rsidRPr="00B10752">
              <w:rPr>
                <w:sz w:val="20"/>
              </w:rPr>
              <w:noBreakHyphen/>
              <w:t>01</w:t>
            </w:r>
            <w:r w:rsidRPr="00B10752">
              <w:rPr>
                <w:sz w:val="20"/>
              </w:rPr>
              <w:noBreakHyphen/>
              <w:t>041705</w:t>
            </w:r>
            <w:r w:rsidRPr="00B10752">
              <w:rPr>
                <w:sz w:val="20"/>
              </w:rPr>
              <w:noBreakHyphen/>
              <w:t>099</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fr-CA"/>
              </w:rPr>
            </w:pPr>
            <w:r w:rsidRPr="00B10752">
              <w:rPr>
                <w:sz w:val="20"/>
                <w:lang w:val="fr-CA"/>
              </w:rPr>
              <w:t>Requête en arrêt des procédures rejetée</w:t>
            </w: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Le 22 juin 2016</w:t>
            </w:r>
          </w:p>
          <w:p w:rsidR="00E70281" w:rsidRPr="00B10752" w:rsidRDefault="00E70281" w:rsidP="0074582E">
            <w:pPr>
              <w:jc w:val="both"/>
              <w:rPr>
                <w:sz w:val="20"/>
                <w:lang w:val="fr-CA"/>
              </w:rPr>
            </w:pPr>
            <w:r w:rsidRPr="00B10752">
              <w:rPr>
                <w:sz w:val="20"/>
                <w:lang w:val="fr-CA"/>
              </w:rPr>
              <w:t>Cour du Québec</w:t>
            </w:r>
          </w:p>
          <w:p w:rsidR="00E70281" w:rsidRPr="00B10752" w:rsidRDefault="00E70281" w:rsidP="0074582E">
            <w:pPr>
              <w:jc w:val="both"/>
              <w:rPr>
                <w:sz w:val="20"/>
                <w:lang w:val="fr-CA"/>
              </w:rPr>
            </w:pPr>
            <w:r w:rsidRPr="00B10752">
              <w:rPr>
                <w:sz w:val="20"/>
                <w:lang w:val="fr-CA"/>
              </w:rPr>
              <w:t>(Le juge Garneau)</w:t>
            </w:r>
          </w:p>
          <w:p w:rsidR="00E70281" w:rsidRPr="00B10752" w:rsidRDefault="00E70281" w:rsidP="0074582E">
            <w:pPr>
              <w:jc w:val="both"/>
              <w:rPr>
                <w:sz w:val="20"/>
              </w:rPr>
            </w:pPr>
            <w:r w:rsidRPr="00B10752">
              <w:rPr>
                <w:sz w:val="20"/>
              </w:rPr>
              <w:t>540</w:t>
            </w:r>
            <w:r w:rsidRPr="00B10752">
              <w:rPr>
                <w:sz w:val="20"/>
              </w:rPr>
              <w:noBreakHyphen/>
              <w:t>01</w:t>
            </w:r>
            <w:r w:rsidRPr="00B10752">
              <w:rPr>
                <w:sz w:val="20"/>
              </w:rPr>
              <w:noBreakHyphen/>
              <w:t>041705</w:t>
            </w:r>
            <w:r w:rsidRPr="00B10752">
              <w:rPr>
                <w:sz w:val="20"/>
              </w:rPr>
              <w:noBreakHyphen/>
              <w:t>099</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fr-CA"/>
              </w:rPr>
            </w:pPr>
            <w:r w:rsidRPr="00B10752">
              <w:rPr>
                <w:sz w:val="20"/>
                <w:lang w:val="fr-CA"/>
              </w:rPr>
              <w:t>Déclarations de culpabilité pour complot en vue de recycler des produits de la criminalité;  recyclage de produits de la criminalité; et commission d’une infraction au profit d’une organisation criminelle</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Le 3 septembre 2020</w:t>
            </w:r>
          </w:p>
          <w:p w:rsidR="00E70281" w:rsidRPr="00B10752" w:rsidRDefault="00E70281" w:rsidP="0074582E">
            <w:pPr>
              <w:jc w:val="both"/>
              <w:rPr>
                <w:sz w:val="20"/>
                <w:lang w:val="fr-CA"/>
              </w:rPr>
            </w:pPr>
            <w:r w:rsidRPr="00B10752">
              <w:rPr>
                <w:sz w:val="20"/>
                <w:lang w:val="fr-CA"/>
              </w:rPr>
              <w:t>Cour d’appel du Québec (Montréal)</w:t>
            </w:r>
          </w:p>
          <w:p w:rsidR="00E70281" w:rsidRPr="00B10752" w:rsidRDefault="00E70281" w:rsidP="0074582E">
            <w:pPr>
              <w:jc w:val="both"/>
              <w:rPr>
                <w:sz w:val="20"/>
                <w:lang w:val="fr-CA"/>
              </w:rPr>
            </w:pPr>
            <w:r w:rsidRPr="00B10752">
              <w:rPr>
                <w:sz w:val="20"/>
                <w:lang w:val="fr-CA"/>
              </w:rPr>
              <w:t>(Les juges Lévesque, Healy et Hamilton)</w:t>
            </w:r>
          </w:p>
          <w:p w:rsidR="00E70281" w:rsidRPr="00B10752" w:rsidRDefault="00B10752" w:rsidP="0074582E">
            <w:pPr>
              <w:jc w:val="both"/>
              <w:rPr>
                <w:rStyle w:val="Hyperlink"/>
                <w:sz w:val="20"/>
              </w:rPr>
            </w:pPr>
            <w:hyperlink r:id="rId64" w:history="1">
              <w:r w:rsidR="00E70281" w:rsidRPr="00B10752">
                <w:rPr>
                  <w:rStyle w:val="Hyperlink"/>
                  <w:sz w:val="20"/>
                </w:rPr>
                <w:t>2020 QCCA 1118</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lang w:val="fr-CA"/>
              </w:rPr>
            </w:pPr>
            <w:r w:rsidRPr="00B10752">
              <w:rPr>
                <w:sz w:val="20"/>
                <w:lang w:val="fr-CA"/>
              </w:rPr>
              <w:t>Permission d’appeler accueillie; appels accueillis; déclarations de culpabilité cassées et arrêt des procédures ordonné</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Le 2 novembre 2020</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rPr>
            </w:pPr>
            <w:r w:rsidRPr="00B10752">
              <w:rPr>
                <w:sz w:val="20"/>
              </w:rPr>
              <w:t>Demande d’autorisation d’appel déposée</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70"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39419</w:t>
            </w:r>
          </w:p>
        </w:tc>
        <w:tc>
          <w:tcPr>
            <w:tcW w:w="4457" w:type="pct"/>
            <w:gridSpan w:val="3"/>
          </w:tcPr>
          <w:p w:rsidR="00E70281" w:rsidRPr="00B10752" w:rsidRDefault="00E70281" w:rsidP="0074582E">
            <w:pPr>
              <w:pStyle w:val="SCCLsocParty"/>
              <w:jc w:val="both"/>
              <w:rPr>
                <w:b/>
                <w:sz w:val="20"/>
                <w:szCs w:val="20"/>
                <w:lang w:val="en-US"/>
              </w:rPr>
            </w:pPr>
            <w:r w:rsidRPr="00B10752">
              <w:rPr>
                <w:b/>
                <w:sz w:val="20"/>
                <w:szCs w:val="20"/>
                <w:lang w:val="en-US"/>
              </w:rPr>
              <w:t>0799701 B.C. Ltd., Ramona Rina Amiri</w:t>
            </w:r>
            <w:r w:rsidR="00BA1B00" w:rsidRPr="00B10752">
              <w:rPr>
                <w:b/>
                <w:sz w:val="20"/>
                <w:szCs w:val="20"/>
                <w:lang w:val="en-US"/>
              </w:rPr>
              <w:t xml:space="preserve"> and</w:t>
            </w:r>
            <w:r w:rsidRPr="00B10752">
              <w:rPr>
                <w:b/>
                <w:sz w:val="20"/>
                <w:szCs w:val="20"/>
                <w:lang w:val="en-US"/>
              </w:rPr>
              <w:t xml:space="preserve"> Sirus Familamiri v. </w:t>
            </w:r>
            <w:r w:rsidR="00BA1B00" w:rsidRPr="00B10752">
              <w:rPr>
                <w:b/>
                <w:sz w:val="20"/>
                <w:szCs w:val="20"/>
                <w:lang w:val="en-US"/>
              </w:rPr>
              <w:t>Canex Investment Corporation and Cube 4 Construction &amp; Design Ltd.</w:t>
            </w:r>
          </w:p>
          <w:p w:rsidR="00E70281" w:rsidRPr="00B10752" w:rsidRDefault="00E70281" w:rsidP="0074582E">
            <w:pPr>
              <w:jc w:val="both"/>
              <w:rPr>
                <w:sz w:val="20"/>
              </w:rPr>
            </w:pPr>
            <w:r w:rsidRPr="00B10752">
              <w:rPr>
                <w:sz w:val="20"/>
              </w:rPr>
              <w:t>(B.C.) (Civil) (By Leave)</w:t>
            </w:r>
          </w:p>
        </w:tc>
      </w:tr>
      <w:tr w:rsidR="00E70281" w:rsidRPr="00B10752" w:rsidTr="0074582E">
        <w:tc>
          <w:tcPr>
            <w:tcW w:w="5000" w:type="pct"/>
            <w:gridSpan w:val="4"/>
          </w:tcPr>
          <w:p w:rsidR="00BA1B00" w:rsidRPr="00B10752" w:rsidRDefault="00BA1B00" w:rsidP="00BA1B00">
            <w:pPr>
              <w:jc w:val="both"/>
              <w:rPr>
                <w:sz w:val="20"/>
                <w:szCs w:val="20"/>
              </w:rPr>
            </w:pPr>
            <w:r w:rsidRPr="00B10752">
              <w:rPr>
                <w:sz w:val="20"/>
                <w:szCs w:val="20"/>
              </w:rPr>
              <w:t>The motion to join two Court of Appeal for British Columbia files in a single application for leave to appeal is granted. The motion for an extension of time to serve and file the application for leave to appeal is granted. The application for leave to appeal from the judgment of the Court of Appeal for British Columbia (Vancouver), Numbers CA46363 and CA46364, 2020 BCCA 231, dated August 18, 2020, is dismissed.</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 xml:space="preserve">Commercial law — Corporations — Joint venture — Oppression remedy — Punitive damages — Lower courts concluding that respondents entitled to damages, including punitive damages as remedy for oppressive conduct of applicants — Is it proper to award punitive damages as a remedy in an oppression remedy? — What is the proper distinction between the oppression remedy and derivative actions? — Where do the remedies overlap and when are they mutually exclusive? — Upon establishing oppression </w:t>
            </w:r>
            <w:r w:rsidRPr="00B10752">
              <w:rPr>
                <w:i/>
                <w:sz w:val="20"/>
              </w:rPr>
              <w:t>qua</w:t>
            </w:r>
            <w:r w:rsidRPr="00B10752">
              <w:rPr>
                <w:sz w:val="20"/>
              </w:rPr>
              <w:t xml:space="preserve"> shareholder may a court award a remedy </w:t>
            </w:r>
            <w:r w:rsidRPr="00B10752">
              <w:rPr>
                <w:i/>
                <w:sz w:val="20"/>
              </w:rPr>
              <w:t xml:space="preserve">qua </w:t>
            </w:r>
            <w:r w:rsidRPr="00B10752">
              <w:rPr>
                <w:sz w:val="20"/>
              </w:rPr>
              <w:t>creditor?</w:t>
            </w:r>
          </w:p>
        </w:tc>
      </w:tr>
      <w:tr w:rsidR="00E70281" w:rsidRPr="00B10752" w:rsidTr="0074582E">
        <w:tc>
          <w:tcPr>
            <w:tcW w:w="5000" w:type="pct"/>
            <w:gridSpan w:val="4"/>
          </w:tcPr>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pStyle w:val="SCCLsocParty"/>
              <w:jc w:val="both"/>
              <w:rPr>
                <w:sz w:val="20"/>
                <w:szCs w:val="20"/>
                <w:lang w:val="en-US"/>
              </w:rPr>
            </w:pPr>
            <w:r w:rsidRPr="00B10752">
              <w:rPr>
                <w:sz w:val="20"/>
                <w:szCs w:val="20"/>
                <w:lang w:val="en-US"/>
              </w:rPr>
              <w:t>The applicant, 0799701 B.C. Ltd., is a company (the “Company”) established in 2007 by majority shareholder and director Mr. Familamiri, together with minority shareholders, Canex Investment Corporation (“Canex”) and Cube 4 Construction &amp; Design Ltd. (“Cube 4”) for the purpose of purchasing and developing a parcel of land in Port Coquitlam, British Columbia (“Suffolk lands”). Mr. Familamiri and Ms. Amiri (the “personal defendants”) are father and daughter and they also own and control the closely</w:t>
            </w:r>
            <w:r w:rsidRPr="00B10752">
              <w:rPr>
                <w:sz w:val="20"/>
                <w:szCs w:val="20"/>
                <w:lang w:val="en-US"/>
              </w:rPr>
              <w:noBreakHyphen/>
              <w:t>held family company, Flame Engineering and Construction (“Flame”), which provides management and other services to Mr. Familamiri’s projects, including services to the Company. Ms. Amiri maintained the financial records for both the Company and for Flame and also served as director of the Company.</w:t>
            </w:r>
          </w:p>
          <w:p w:rsidR="00E70281" w:rsidRPr="00B10752" w:rsidRDefault="00E70281" w:rsidP="0074582E">
            <w:pPr>
              <w:pStyle w:val="SCCLsocParty"/>
              <w:jc w:val="both"/>
              <w:rPr>
                <w:sz w:val="20"/>
                <w:szCs w:val="20"/>
                <w:lang w:val="en-US"/>
              </w:rPr>
            </w:pPr>
          </w:p>
          <w:p w:rsidR="00E70281" w:rsidRPr="00B10752" w:rsidRDefault="00E70281" w:rsidP="0074582E">
            <w:pPr>
              <w:pStyle w:val="SCCLsocParty"/>
              <w:jc w:val="both"/>
              <w:rPr>
                <w:sz w:val="20"/>
                <w:szCs w:val="20"/>
                <w:lang w:val="en-US"/>
              </w:rPr>
            </w:pPr>
            <w:r w:rsidRPr="00B10752">
              <w:rPr>
                <w:sz w:val="20"/>
                <w:szCs w:val="20"/>
                <w:lang w:val="en-US"/>
              </w:rPr>
              <w:lastRenderedPageBreak/>
              <w:t xml:space="preserve">The principals of Canex and Cube 4, Mr. Baikoghli and Mr. Sohrabi, made investments to the Company for their respective shareholdings. In July 2010, Mr. Familamiri, Ms. Amiri and Flame began a course of conduct that led to Canex and Cube 4, together with their principals, to seek oppression remedies under the </w:t>
            </w:r>
            <w:r w:rsidRPr="00B10752">
              <w:rPr>
                <w:i/>
                <w:sz w:val="20"/>
                <w:szCs w:val="20"/>
                <w:lang w:val="en-US"/>
              </w:rPr>
              <w:t>Business Corporations Act</w:t>
            </w:r>
            <w:r w:rsidRPr="00B10752">
              <w:rPr>
                <w:sz w:val="20"/>
                <w:szCs w:val="20"/>
                <w:lang w:val="en-US"/>
              </w:rPr>
              <w:t>, S.B.C. 2002, c. 57 (“</w:t>
            </w:r>
            <w:r w:rsidRPr="00B10752">
              <w:rPr>
                <w:i/>
                <w:sz w:val="20"/>
                <w:szCs w:val="20"/>
                <w:lang w:val="en-US"/>
              </w:rPr>
              <w:t>BCA</w:t>
            </w:r>
            <w:r w:rsidRPr="00B10752">
              <w:rPr>
                <w:sz w:val="20"/>
                <w:szCs w:val="20"/>
                <w:lang w:val="en-US"/>
              </w:rPr>
              <w:t xml:space="preserve">”). </w:t>
            </w:r>
            <w:r w:rsidRPr="00B10752">
              <w:rPr>
                <w:sz w:val="20"/>
                <w:szCs w:val="20"/>
                <w:lang w:val="en"/>
              </w:rPr>
              <w:t xml:space="preserve">The Company took out a mortgage against the Suffolk properties, the Company’s only significant asset, most of which was paid by the Company to Flame for the benefit of the personal defendants. Subsequently, the Company sold the Suffolk properties. On completion of the sale, the mortgage was paid out from the proceeds. Ms. Amiri also sent Canex and Cube 4 revised financial statements for 2010 and 2011, which showed charges to the Company for management fees and interest and other changes. The effect of these financial restatements and the mortgage was to deprive Canex and Cube 4 of most of the value of their investment in the Company. Canex and Cube 4 immediately commenced proceedings against the Company, Ms. Amiri and Mr. Familamiri under the oppression remedy provisions of the </w:t>
            </w:r>
            <w:r w:rsidRPr="00B10752">
              <w:rPr>
                <w:i/>
                <w:sz w:val="20"/>
                <w:szCs w:val="20"/>
                <w:lang w:val="en-US"/>
              </w:rPr>
              <w:t>B</w:t>
            </w:r>
            <w:r w:rsidRPr="00B10752">
              <w:rPr>
                <w:i/>
                <w:sz w:val="20"/>
                <w:szCs w:val="20"/>
                <w:lang w:val="en"/>
              </w:rPr>
              <w:t>CA</w:t>
            </w:r>
            <w:r w:rsidRPr="00B10752">
              <w:rPr>
                <w:sz w:val="20"/>
                <w:szCs w:val="20"/>
                <w:lang w:val="en"/>
              </w:rPr>
              <w:t xml:space="preserve">. </w:t>
            </w:r>
            <w:r w:rsidRPr="00B10752">
              <w:rPr>
                <w:sz w:val="20"/>
                <w:szCs w:val="20"/>
                <w:lang w:val="en-US"/>
              </w:rPr>
              <w:t>The trial judge held that their actions were oppressive. She awarded Canex and Cube 4 damages in the amount they sought for the return of their investments. She declined to award punitive damages. Her decision regarding the oppression remedy was upheld. The Court of Appeal also awarded Canex and Cube 4 punitive damages in the amount of $100,000.</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lastRenderedPageBreak/>
              <w:t>August 22, 2019</w:t>
            </w:r>
          </w:p>
          <w:p w:rsidR="00E70281" w:rsidRPr="00B10752" w:rsidRDefault="00E70281" w:rsidP="0074582E">
            <w:pPr>
              <w:jc w:val="both"/>
              <w:rPr>
                <w:sz w:val="20"/>
              </w:rPr>
            </w:pPr>
            <w:r w:rsidRPr="00B10752">
              <w:rPr>
                <w:sz w:val="20"/>
              </w:rPr>
              <w:t>Supreme Court of British Columbia</w:t>
            </w:r>
          </w:p>
          <w:p w:rsidR="00E70281" w:rsidRPr="00B10752" w:rsidRDefault="00E70281" w:rsidP="0074582E">
            <w:pPr>
              <w:jc w:val="both"/>
              <w:rPr>
                <w:sz w:val="20"/>
              </w:rPr>
            </w:pPr>
            <w:r w:rsidRPr="00B10752">
              <w:rPr>
                <w:sz w:val="20"/>
              </w:rPr>
              <w:t>(Marzari J.)</w:t>
            </w:r>
          </w:p>
          <w:p w:rsidR="00E70281" w:rsidRPr="00B10752" w:rsidRDefault="00B10752" w:rsidP="0074582E">
            <w:pPr>
              <w:jc w:val="both"/>
              <w:rPr>
                <w:sz w:val="20"/>
              </w:rPr>
            </w:pPr>
            <w:hyperlink r:id="rId65" w:history="1">
              <w:r w:rsidR="00E70281" w:rsidRPr="00B10752">
                <w:rPr>
                  <w:rStyle w:val="Hyperlink"/>
                  <w:sz w:val="20"/>
                </w:rPr>
                <w:t>2019 BCSC 1414</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 xml:space="preserve">Respondents awarded damages under oppression remedy provisions of the </w:t>
            </w:r>
            <w:r w:rsidRPr="00B10752">
              <w:rPr>
                <w:i/>
                <w:sz w:val="20"/>
              </w:rPr>
              <w:t>Business Corporations Act</w:t>
            </w:r>
          </w:p>
          <w:p w:rsidR="00E70281" w:rsidRPr="00B10752" w:rsidRDefault="00E70281" w:rsidP="0074582E">
            <w:pPr>
              <w:jc w:val="both"/>
              <w:rPr>
                <w:sz w:val="20"/>
              </w:rPr>
            </w:pP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August 18, 2020</w:t>
            </w:r>
          </w:p>
          <w:p w:rsidR="00E70281" w:rsidRPr="00B10752" w:rsidRDefault="00E70281" w:rsidP="0074582E">
            <w:pPr>
              <w:jc w:val="both"/>
              <w:rPr>
                <w:sz w:val="20"/>
              </w:rPr>
            </w:pPr>
            <w:r w:rsidRPr="00B10752">
              <w:rPr>
                <w:sz w:val="20"/>
              </w:rPr>
              <w:t>Court of Appeal for British Columbia (Vancouver)</w:t>
            </w:r>
          </w:p>
          <w:p w:rsidR="00E70281" w:rsidRPr="00B10752" w:rsidRDefault="00E70281" w:rsidP="0074582E">
            <w:pPr>
              <w:jc w:val="both"/>
              <w:rPr>
                <w:sz w:val="20"/>
              </w:rPr>
            </w:pPr>
            <w:r w:rsidRPr="00B10752">
              <w:rPr>
                <w:sz w:val="20"/>
              </w:rPr>
              <w:t>(Bauman C.J., Harris and DeWitt</w:t>
            </w:r>
            <w:r w:rsidRPr="00B10752">
              <w:rPr>
                <w:sz w:val="20"/>
              </w:rPr>
              <w:noBreakHyphen/>
              <w:t>Van Oosten JJ.A.)</w:t>
            </w:r>
          </w:p>
          <w:p w:rsidR="00E70281" w:rsidRPr="00B10752" w:rsidRDefault="00B10752" w:rsidP="0074582E">
            <w:pPr>
              <w:jc w:val="both"/>
              <w:rPr>
                <w:sz w:val="20"/>
              </w:rPr>
            </w:pPr>
            <w:hyperlink r:id="rId66" w:history="1">
              <w:r w:rsidR="00E70281" w:rsidRPr="00B10752">
                <w:rPr>
                  <w:rStyle w:val="Hyperlink"/>
                  <w:sz w:val="20"/>
                </w:rPr>
                <w:t>2020 BCCA 231</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 xml:space="preserve">Applicants’ appeal dismissed; Respondents’ cross-appeal granted; Respondents awarded punitive damages in addition to damages under the </w:t>
            </w:r>
            <w:r w:rsidRPr="00B10752">
              <w:rPr>
                <w:i/>
                <w:sz w:val="20"/>
              </w:rPr>
              <w:t>Business Corporations Act</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November 13, 2020</w:t>
            </w:r>
          </w:p>
          <w:p w:rsidR="00E70281" w:rsidRPr="00B10752" w:rsidRDefault="00E70281" w:rsidP="0074582E">
            <w:pPr>
              <w:jc w:val="both"/>
              <w:rPr>
                <w:sz w:val="20"/>
              </w:rPr>
            </w:pPr>
            <w:r w:rsidRPr="00B10752">
              <w:rPr>
                <w:sz w:val="20"/>
              </w:rPr>
              <w:t>Supreme Court of Canada</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Motion for extension of time in which to serve and file application for leave to appeal and application for leave to appeal filed</w:t>
            </w: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71"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39419</w:t>
            </w:r>
          </w:p>
        </w:tc>
        <w:tc>
          <w:tcPr>
            <w:tcW w:w="4457" w:type="pct"/>
          </w:tcPr>
          <w:p w:rsidR="00E70281" w:rsidRPr="00B10752" w:rsidRDefault="00E70281" w:rsidP="0074582E">
            <w:pPr>
              <w:pStyle w:val="SCCLsocParty"/>
              <w:jc w:val="both"/>
              <w:rPr>
                <w:b/>
                <w:sz w:val="20"/>
                <w:szCs w:val="20"/>
              </w:rPr>
            </w:pPr>
            <w:r w:rsidRPr="00B10752">
              <w:rPr>
                <w:b/>
                <w:sz w:val="20"/>
                <w:szCs w:val="20"/>
              </w:rPr>
              <w:t>0799701 B.C. Ltd., Ramona Rina Amiri</w:t>
            </w:r>
            <w:r w:rsidR="00BA1B00" w:rsidRPr="00B10752">
              <w:rPr>
                <w:b/>
                <w:sz w:val="20"/>
                <w:szCs w:val="20"/>
              </w:rPr>
              <w:t xml:space="preserve"> et</w:t>
            </w:r>
            <w:r w:rsidRPr="00B10752">
              <w:rPr>
                <w:b/>
                <w:sz w:val="20"/>
                <w:szCs w:val="20"/>
              </w:rPr>
              <w:t xml:space="preserve"> Sirus Familamiri c. </w:t>
            </w:r>
            <w:r w:rsidR="00BA1B00" w:rsidRPr="00B10752">
              <w:rPr>
                <w:b/>
                <w:sz w:val="20"/>
                <w:szCs w:val="20"/>
              </w:rPr>
              <w:t>Canex Investment Corporation et Cube 4 Construction &amp; Design Ltd.</w:t>
            </w:r>
          </w:p>
          <w:p w:rsidR="00E70281" w:rsidRPr="00B10752" w:rsidRDefault="00E70281" w:rsidP="0074582E">
            <w:pPr>
              <w:jc w:val="both"/>
              <w:rPr>
                <w:sz w:val="20"/>
                <w:lang w:val="fr-CA"/>
              </w:rPr>
            </w:pPr>
            <w:r w:rsidRPr="00B10752">
              <w:rPr>
                <w:sz w:val="20"/>
                <w:lang w:val="fr-CA"/>
              </w:rPr>
              <w:t>(C.</w:t>
            </w:r>
            <w:r w:rsidRPr="00B10752">
              <w:rPr>
                <w:sz w:val="20"/>
                <w:lang w:val="fr-CA"/>
              </w:rPr>
              <w:noBreakHyphen/>
              <w:t>B.) (Civile) (Sur autorisation)</w:t>
            </w:r>
          </w:p>
        </w:tc>
      </w:tr>
      <w:tr w:rsidR="00E70281" w:rsidRPr="00B10752" w:rsidTr="0074582E">
        <w:tc>
          <w:tcPr>
            <w:tcW w:w="5000" w:type="pct"/>
            <w:gridSpan w:val="2"/>
          </w:tcPr>
          <w:p w:rsidR="00E70281" w:rsidRPr="00B10752" w:rsidRDefault="00BA1B00" w:rsidP="0074582E">
            <w:pPr>
              <w:jc w:val="both"/>
              <w:rPr>
                <w:sz w:val="20"/>
                <w:szCs w:val="20"/>
                <w:lang w:val="fr-CA"/>
              </w:rPr>
            </w:pPr>
            <w:r w:rsidRPr="00B10752">
              <w:rPr>
                <w:sz w:val="20"/>
                <w:szCs w:val="20"/>
                <w:lang w:val="fr-CA"/>
              </w:rPr>
              <w:t>La requête pour joindre deux dossiers de la Cour d’appel de la Colombie-Britannique dans une seule demande d’autorisation d’appel est accueillie. La requête en prorogation du délai de signification et de dépôt de la demande d’autorisation d’appel est accueillie. La demande d’autorisation d’appel de l’arrêt de la Cour d’appel de la Colombie-Britannique (Vancouver), numéros CA46363 et CA46364, 2020 BCCA 231, daté du 18 août 2020, est rejetée.</w:t>
            </w:r>
          </w:p>
          <w:p w:rsidR="00BA1B00" w:rsidRPr="00B10752" w:rsidRDefault="00BA1B00" w:rsidP="0074582E">
            <w:pPr>
              <w:jc w:val="both"/>
              <w:rPr>
                <w:sz w:val="20"/>
                <w:lang w:val="fr-CA"/>
              </w:rPr>
            </w:pPr>
          </w:p>
        </w:tc>
      </w:tr>
      <w:tr w:rsidR="00E70281" w:rsidRPr="00B10752" w:rsidTr="0074582E">
        <w:tc>
          <w:tcPr>
            <w:tcW w:w="5000" w:type="pct"/>
            <w:gridSpan w:val="2"/>
          </w:tcPr>
          <w:p w:rsidR="00E70281" w:rsidRPr="00B10752" w:rsidRDefault="00E70281" w:rsidP="0074582E">
            <w:pPr>
              <w:jc w:val="both"/>
              <w:rPr>
                <w:sz w:val="20"/>
                <w:lang w:val="fr-CA"/>
              </w:rPr>
            </w:pPr>
            <w:r w:rsidRPr="00B10752">
              <w:rPr>
                <w:sz w:val="20"/>
                <w:lang w:val="fr-CA"/>
              </w:rPr>
              <w:t>Droit commercial — Sociétés par actions — Coentreprise — Recours pour abus — Dommages-intérêts punitifs — Les tribunaux inférieurs ont conclu que les intimées avaient droit à des dommages</w:t>
            </w:r>
            <w:r w:rsidRPr="00B10752">
              <w:rPr>
                <w:sz w:val="20"/>
                <w:lang w:val="fr-CA"/>
              </w:rPr>
              <w:noBreakHyphen/>
              <w:t>intérêts, dont des dommages</w:t>
            </w:r>
            <w:r w:rsidRPr="00B10752">
              <w:rPr>
                <w:sz w:val="20"/>
                <w:lang w:val="fr-CA"/>
              </w:rPr>
              <w:noBreakHyphen/>
              <w:t>intérêts punitifs à titre de réparation suite à la conduite abusive des demandeurs — Convient-il d’accorder des dommages</w:t>
            </w:r>
            <w:r w:rsidRPr="00B10752">
              <w:rPr>
                <w:sz w:val="20"/>
                <w:lang w:val="fr-CA"/>
              </w:rPr>
              <w:noBreakHyphen/>
              <w:t>intérêts punitifs à titre de réparation dans le cadre d’un recours pour abus? — Quelle distinction convient</w:t>
            </w:r>
            <w:r w:rsidRPr="00B10752">
              <w:rPr>
                <w:sz w:val="20"/>
                <w:lang w:val="fr-CA"/>
              </w:rPr>
              <w:noBreakHyphen/>
              <w:t>il de faire entre le recours pour abus et les actions obliques? — Dans quelles circonstances les réparations peuvent</w:t>
            </w:r>
            <w:r w:rsidRPr="00B10752">
              <w:rPr>
                <w:sz w:val="20"/>
                <w:lang w:val="fr-CA"/>
              </w:rPr>
              <w:noBreakHyphen/>
              <w:t>elles se chevaucher et dans quels cas s’excluent</w:t>
            </w:r>
            <w:r w:rsidRPr="00B10752">
              <w:rPr>
                <w:sz w:val="20"/>
                <w:lang w:val="fr-CA"/>
              </w:rPr>
              <w:noBreakHyphen/>
              <w:t>elles mutuellement? — Après avoir établi qu’il y a eu abus à l’égard d’une partie en sa qualité d’actionnaire, le tribunal peut</w:t>
            </w:r>
            <w:r w:rsidRPr="00B10752">
              <w:rPr>
                <w:sz w:val="20"/>
                <w:lang w:val="fr-CA"/>
              </w:rPr>
              <w:noBreakHyphen/>
              <w:t>il lui accorder une réparation en sa qualité de créancier?</w:t>
            </w:r>
          </w:p>
        </w:tc>
      </w:tr>
      <w:tr w:rsidR="00E70281" w:rsidRPr="00B10752" w:rsidTr="0074582E">
        <w:tc>
          <w:tcPr>
            <w:tcW w:w="5000" w:type="pct"/>
            <w:gridSpan w:val="2"/>
          </w:tcPr>
          <w:p w:rsidR="00E70281" w:rsidRPr="00B10752" w:rsidRDefault="00E70281" w:rsidP="0074582E">
            <w:pPr>
              <w:jc w:val="both"/>
              <w:rPr>
                <w:sz w:val="20"/>
                <w:lang w:val="fr-CA"/>
              </w:rPr>
            </w:pPr>
          </w:p>
        </w:tc>
      </w:tr>
    </w:tbl>
    <w:p w:rsidR="00D90258" w:rsidRPr="00B10752" w:rsidRDefault="00D90258">
      <w:pPr>
        <w:rPr>
          <w:lang w:val="fr-CA"/>
        </w:rPr>
      </w:pPr>
      <w:r w:rsidRPr="00B1075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5000" w:type="pct"/>
            <w:gridSpan w:val="3"/>
          </w:tcPr>
          <w:p w:rsidR="00E70281" w:rsidRPr="00B10752" w:rsidRDefault="00E70281" w:rsidP="0074582E">
            <w:pPr>
              <w:pStyle w:val="SCCLsocParty"/>
              <w:jc w:val="both"/>
              <w:rPr>
                <w:sz w:val="20"/>
                <w:szCs w:val="20"/>
              </w:rPr>
            </w:pPr>
            <w:r w:rsidRPr="00B10752">
              <w:rPr>
                <w:sz w:val="20"/>
                <w:szCs w:val="20"/>
              </w:rPr>
              <w:lastRenderedPageBreak/>
              <w:t>La demanderesse, 0799701 B.C. Ltd., est une société (la « société ») qui a été mise sur pied en 2007 par l’actionnaire majoritaire et l’administrateur M. Familamiri, conjointement avec les actionnaires minoritaires, Canex Investment Corporation (« Canex ») et Cube 4 Construction &amp; Design Ltd. (« Cube 4 ») dans le but d’acheter et d’aménager une parcelle de terrain à Port Coquitlam, en Colombie</w:t>
            </w:r>
            <w:r w:rsidRPr="00B10752">
              <w:rPr>
                <w:sz w:val="20"/>
                <w:szCs w:val="20"/>
              </w:rPr>
              <w:noBreakHyphen/>
              <w:t>Britannique (« terrains Suffolk »). M. Familamiri et Mme Amiri (les « particuliers défendeurs ») sont père et fille, et ils détiennent et contrôlent également la société familiale à capital fermé, Flame Engineering and Construction (« Flame »), qui fournit des services de gestion et autres à l’appui des projets de M. Familamiri, y compris des services pour le compte de la société. Mme Amiri s’occupait des dossiers financiers de la société et de Flame, en plus d’agir à titre d’administratrice de la société.</w:t>
            </w:r>
          </w:p>
          <w:p w:rsidR="00E70281" w:rsidRPr="00B10752" w:rsidRDefault="00E70281" w:rsidP="0074582E">
            <w:pPr>
              <w:pStyle w:val="SCCLsocParty"/>
              <w:jc w:val="both"/>
              <w:rPr>
                <w:sz w:val="20"/>
                <w:szCs w:val="20"/>
              </w:rPr>
            </w:pPr>
          </w:p>
          <w:p w:rsidR="00E70281" w:rsidRPr="00B10752" w:rsidRDefault="00E70281" w:rsidP="0074582E">
            <w:pPr>
              <w:pStyle w:val="SCCLsocParty"/>
              <w:jc w:val="both"/>
              <w:rPr>
                <w:sz w:val="20"/>
                <w:szCs w:val="20"/>
              </w:rPr>
            </w:pPr>
            <w:r w:rsidRPr="00B10752">
              <w:rPr>
                <w:sz w:val="20"/>
                <w:szCs w:val="20"/>
              </w:rPr>
              <w:t xml:space="preserve">Les dirigeants de Canex et de Cube 4, M. Baikoghli et M. Sohrabi, ont investi dans la société aux fins de leurs participations respectives. En juillet 2010, M. Familamiri, Mme Amiri et Flame ont commencé à poser une série de gestes qui ont amené Canex et Cube 4, de concert avec leurs dirigeants, à intenter des recours pour abus en vertu de la </w:t>
            </w:r>
            <w:r w:rsidRPr="00B10752">
              <w:rPr>
                <w:i/>
                <w:sz w:val="20"/>
                <w:szCs w:val="20"/>
              </w:rPr>
              <w:t>Business Corporations Act</w:t>
            </w:r>
            <w:r w:rsidRPr="00B10752">
              <w:rPr>
                <w:sz w:val="20"/>
                <w:szCs w:val="20"/>
              </w:rPr>
              <w:t>, S.B.C. 2002, c. 57 (« </w:t>
            </w:r>
            <w:r w:rsidRPr="00B10752">
              <w:rPr>
                <w:i/>
                <w:sz w:val="20"/>
                <w:szCs w:val="20"/>
              </w:rPr>
              <w:t>BCA</w:t>
            </w:r>
            <w:r w:rsidRPr="00B10752">
              <w:rPr>
                <w:sz w:val="20"/>
                <w:szCs w:val="20"/>
              </w:rPr>
              <w:t xml:space="preserve"> »). La société a contracté une hypothèque sur les terrains Suffolk, le seul actif important de la société, dont la majeure partie a été payée par la société à Flame au profit des particuliers défendeurs. La société a subséquemment vendu les terrains Suffolk. Une fois la vente conclue, l’hypothèque a été payée à même le produit de la vente. Mme Amiri a également envoyé, à Canex et à Cube 4, des états financiers révisés pour les années 2010 et 2011, qui faisaient état de frais de gestion et d'intérêts facturés à la société ainsi que d’autres changements. Le retraitement des états financiers et l’hypothèque ont eu pour effet de priver Canex et Cube 4 de la majeure partie de la valeur de leur investissement dans la société. Canex et Cube 4 ont immédiatement intenté des actions contre la société, Mme Amiri et M. Familamiri, en vertu des dispositions relatives au recours pour abus sous le régime de la </w:t>
            </w:r>
            <w:r w:rsidRPr="00B10752">
              <w:rPr>
                <w:i/>
                <w:sz w:val="20"/>
                <w:szCs w:val="20"/>
              </w:rPr>
              <w:t>BCA</w:t>
            </w:r>
            <w:r w:rsidRPr="00B10752">
              <w:rPr>
                <w:sz w:val="20"/>
                <w:szCs w:val="20"/>
              </w:rPr>
              <w:t>. La juge de première instance a conclu au caractère abusif de leur conduite. À titre de dommages-intérêts, elle a accordé, à Canex et à Cube 4, la somme qu’elles avaient sollicitée correspondant à la restitution de leurs investissements. Elle a refusé d’accorder des dommages-intérêts punitifs. La décision de cette dernière a été confirmée à l’égard du recours pour abus. La Cour d’appel a en outre accordé la somme de 100 000 $ à titre de dommages-intérêts punitifs à Canex et à Cube 4.</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22 août 2019</w:t>
            </w:r>
          </w:p>
          <w:p w:rsidR="00E70281" w:rsidRPr="00B10752" w:rsidRDefault="00E70281" w:rsidP="0074582E">
            <w:pPr>
              <w:jc w:val="both"/>
              <w:rPr>
                <w:sz w:val="20"/>
                <w:lang w:val="fr-CA"/>
              </w:rPr>
            </w:pPr>
            <w:r w:rsidRPr="00B10752">
              <w:rPr>
                <w:sz w:val="20"/>
                <w:lang w:val="fr-CA"/>
              </w:rPr>
              <w:t>Cour suprême de la Colombie</w:t>
            </w:r>
            <w:r w:rsidRPr="00B10752">
              <w:rPr>
                <w:sz w:val="20"/>
                <w:lang w:val="fr-CA"/>
              </w:rPr>
              <w:noBreakHyphen/>
              <w:t>Britannique</w:t>
            </w:r>
          </w:p>
          <w:p w:rsidR="00E70281" w:rsidRPr="00B10752" w:rsidRDefault="00E70281" w:rsidP="0074582E">
            <w:pPr>
              <w:jc w:val="both"/>
              <w:rPr>
                <w:sz w:val="20"/>
                <w:lang w:val="fr-CA"/>
              </w:rPr>
            </w:pPr>
            <w:r w:rsidRPr="00B10752">
              <w:rPr>
                <w:sz w:val="20"/>
                <w:lang w:val="fr-CA"/>
              </w:rPr>
              <w:t>(Juge Marzari)</w:t>
            </w:r>
          </w:p>
          <w:p w:rsidR="00E70281" w:rsidRPr="00B10752" w:rsidRDefault="00B10752" w:rsidP="0074582E">
            <w:pPr>
              <w:jc w:val="both"/>
              <w:rPr>
                <w:sz w:val="20"/>
                <w:lang w:val="fr-CA"/>
              </w:rPr>
            </w:pPr>
            <w:hyperlink r:id="rId67" w:history="1">
              <w:r w:rsidR="00E70281" w:rsidRPr="00B10752">
                <w:rPr>
                  <w:rStyle w:val="Hyperlink"/>
                  <w:sz w:val="20"/>
                  <w:lang w:val="fr-CA"/>
                </w:rPr>
                <w:t>2019 BCSC 1414</w:t>
              </w:r>
            </w:hyperlink>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 xml:space="preserve">Des dommages-intérêts sont accordés aux intimées en vertu des dispositions relatives au recours pour abus sous le régime de la </w:t>
            </w:r>
            <w:r w:rsidRPr="00B10752">
              <w:rPr>
                <w:i/>
                <w:sz w:val="20"/>
                <w:lang w:val="fr-CA"/>
              </w:rPr>
              <w:t>Business Corporations Act</w:t>
            </w:r>
            <w:r w:rsidRPr="00B10752">
              <w:rPr>
                <w:sz w:val="20"/>
                <w:lang w:val="fr-CA"/>
              </w:rPr>
              <w:t>.</w:t>
            </w:r>
          </w:p>
          <w:p w:rsidR="00E70281" w:rsidRPr="00B10752" w:rsidRDefault="00E70281" w:rsidP="0074582E">
            <w:pPr>
              <w:jc w:val="both"/>
              <w:rPr>
                <w:sz w:val="20"/>
                <w:lang w:val="fr-CA"/>
              </w:rPr>
            </w:pP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18 août 2020</w:t>
            </w:r>
          </w:p>
          <w:p w:rsidR="00E70281" w:rsidRPr="00B10752" w:rsidRDefault="00E70281" w:rsidP="0074582E">
            <w:pPr>
              <w:jc w:val="both"/>
              <w:rPr>
                <w:sz w:val="20"/>
                <w:lang w:val="fr-CA"/>
              </w:rPr>
            </w:pPr>
            <w:r w:rsidRPr="00B10752">
              <w:rPr>
                <w:sz w:val="20"/>
                <w:lang w:val="fr-CA"/>
              </w:rPr>
              <w:t>Cour d’appel de la Colombie</w:t>
            </w:r>
            <w:r w:rsidRPr="00B10752">
              <w:rPr>
                <w:sz w:val="20"/>
                <w:lang w:val="fr-CA"/>
              </w:rPr>
              <w:noBreakHyphen/>
              <w:t>Britannique (Vancouver)</w:t>
            </w:r>
          </w:p>
          <w:p w:rsidR="00E70281" w:rsidRPr="00B10752" w:rsidRDefault="00E70281" w:rsidP="0074582E">
            <w:pPr>
              <w:jc w:val="both"/>
              <w:rPr>
                <w:sz w:val="20"/>
                <w:lang w:val="fr-CA"/>
              </w:rPr>
            </w:pPr>
            <w:r w:rsidRPr="00B10752">
              <w:rPr>
                <w:sz w:val="20"/>
                <w:lang w:val="fr-CA"/>
              </w:rPr>
              <w:t>(Juge en chef Bauman et juges Harris et DeWitt</w:t>
            </w:r>
            <w:r w:rsidRPr="00B10752">
              <w:rPr>
                <w:sz w:val="20"/>
                <w:lang w:val="fr-CA"/>
              </w:rPr>
              <w:noBreakHyphen/>
              <w:t>Van Oosten)</w:t>
            </w:r>
          </w:p>
          <w:p w:rsidR="00E70281" w:rsidRPr="00B10752" w:rsidRDefault="00B10752" w:rsidP="0074582E">
            <w:pPr>
              <w:jc w:val="both"/>
              <w:rPr>
                <w:sz w:val="20"/>
                <w:lang w:val="fr-CA"/>
              </w:rPr>
            </w:pPr>
            <w:hyperlink r:id="rId68" w:history="1">
              <w:r w:rsidR="00E70281" w:rsidRPr="00B10752">
                <w:rPr>
                  <w:rStyle w:val="Hyperlink"/>
                  <w:sz w:val="20"/>
                  <w:lang w:val="fr-CA"/>
                </w:rPr>
                <w:t>2020 BCCA 231</w:t>
              </w:r>
            </w:hyperlink>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L’appel des demandeurs est rejeté; l’appel incident des intimées est accueilli; des dommages</w:t>
            </w:r>
            <w:r w:rsidRPr="00B10752">
              <w:rPr>
                <w:sz w:val="20"/>
                <w:lang w:val="fr-CA"/>
              </w:rPr>
              <w:noBreakHyphen/>
              <w:t>intérêts punitifs sont accordés aux intimées en plus des dommages</w:t>
            </w:r>
            <w:r w:rsidRPr="00B10752">
              <w:rPr>
                <w:sz w:val="20"/>
                <w:lang w:val="fr-CA"/>
              </w:rPr>
              <w:noBreakHyphen/>
              <w:t xml:space="preserve">intérêts accordés en vertu de la </w:t>
            </w:r>
            <w:r w:rsidRPr="00B10752">
              <w:rPr>
                <w:i/>
                <w:sz w:val="20"/>
                <w:lang w:val="fr-CA"/>
              </w:rPr>
              <w:t>Business Corporations Act</w:t>
            </w:r>
            <w:r w:rsidRPr="00B10752">
              <w:rPr>
                <w:sz w:val="20"/>
                <w:lang w:val="fr-CA"/>
              </w:rPr>
              <w:t>.</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13 novembre 2020</w:t>
            </w:r>
          </w:p>
          <w:p w:rsidR="00E70281" w:rsidRPr="00B10752" w:rsidRDefault="00E70281" w:rsidP="0074582E">
            <w:pPr>
              <w:jc w:val="both"/>
              <w:rPr>
                <w:sz w:val="20"/>
                <w:lang w:val="fr-CA"/>
              </w:rPr>
            </w:pPr>
            <w:r w:rsidRPr="00B10752">
              <w:rPr>
                <w:sz w:val="20"/>
                <w:lang w:val="fr-CA"/>
              </w:rPr>
              <w:t>Cour suprême du Canada</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requête en prorogation du délai de signification et de dépôt de la demande d’autorisation d’appel et la demande d’autorisation d’appel sont présentées.</w:t>
            </w: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72"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39465</w:t>
            </w:r>
          </w:p>
        </w:tc>
        <w:tc>
          <w:tcPr>
            <w:tcW w:w="4457" w:type="pct"/>
          </w:tcPr>
          <w:p w:rsidR="00E70281" w:rsidRPr="00B10752" w:rsidRDefault="00E70281" w:rsidP="0074582E">
            <w:pPr>
              <w:pStyle w:val="SCCLsocParty"/>
              <w:jc w:val="both"/>
              <w:rPr>
                <w:b/>
                <w:sz w:val="20"/>
                <w:szCs w:val="20"/>
                <w:lang w:val="en-US"/>
              </w:rPr>
            </w:pPr>
            <w:r w:rsidRPr="00B10752">
              <w:rPr>
                <w:b/>
                <w:sz w:val="20"/>
                <w:szCs w:val="20"/>
                <w:lang w:val="en-US"/>
              </w:rPr>
              <w:t xml:space="preserve">Ahasanullah Chowdhury v. </w:t>
            </w:r>
            <w:r w:rsidR="00BA1B00" w:rsidRPr="00B10752">
              <w:rPr>
                <w:b/>
                <w:sz w:val="20"/>
                <w:szCs w:val="20"/>
                <w:lang w:val="en-US"/>
              </w:rPr>
              <w:t>City of Toronto, Toronto Police Services Board, Toronto Community Housing Corporation and Bangladeshi-Canadian Community Services</w:t>
            </w:r>
          </w:p>
          <w:p w:rsidR="00E70281" w:rsidRPr="00B10752" w:rsidRDefault="00E70281" w:rsidP="0074582E">
            <w:pPr>
              <w:jc w:val="both"/>
              <w:rPr>
                <w:sz w:val="20"/>
              </w:rPr>
            </w:pPr>
            <w:r w:rsidRPr="00B10752">
              <w:rPr>
                <w:sz w:val="20"/>
              </w:rPr>
              <w:t>(Ont.) (Civil) (By Leave)</w:t>
            </w:r>
          </w:p>
        </w:tc>
      </w:tr>
      <w:tr w:rsidR="00E70281" w:rsidRPr="00B10752" w:rsidTr="0074582E">
        <w:tc>
          <w:tcPr>
            <w:tcW w:w="5000" w:type="pct"/>
            <w:gridSpan w:val="2"/>
          </w:tcPr>
          <w:p w:rsidR="00BA1B00" w:rsidRPr="00B10752" w:rsidRDefault="00BA1B00" w:rsidP="00BA1B00">
            <w:pPr>
              <w:jc w:val="both"/>
              <w:rPr>
                <w:sz w:val="20"/>
                <w:szCs w:val="20"/>
              </w:rPr>
            </w:pPr>
            <w:r w:rsidRPr="00B10752">
              <w:rPr>
                <w:sz w:val="20"/>
                <w:szCs w:val="20"/>
              </w:rPr>
              <w:t>The application for leave to appeal from the judgment of the Court of Appeal for Ontario, Number C67560, 2020 ONCA 539, dated August 31, 2020, is dismissed with costs to the respondent, Toronto Community Housing Corporation.</w:t>
            </w:r>
          </w:p>
          <w:p w:rsidR="00E70281" w:rsidRPr="00B10752" w:rsidRDefault="00E70281" w:rsidP="0074582E">
            <w:pPr>
              <w:jc w:val="both"/>
              <w:rPr>
                <w:sz w:val="20"/>
              </w:rPr>
            </w:pPr>
          </w:p>
        </w:tc>
      </w:tr>
      <w:tr w:rsidR="00E70281" w:rsidRPr="00B10752" w:rsidTr="0074582E">
        <w:tc>
          <w:tcPr>
            <w:tcW w:w="5000" w:type="pct"/>
            <w:gridSpan w:val="2"/>
          </w:tcPr>
          <w:p w:rsidR="00E70281" w:rsidRPr="00B10752" w:rsidRDefault="00E70281" w:rsidP="0074582E">
            <w:pPr>
              <w:jc w:val="both"/>
              <w:rPr>
                <w:sz w:val="20"/>
              </w:rPr>
            </w:pPr>
            <w:r w:rsidRPr="00B10752">
              <w:rPr>
                <w:sz w:val="20"/>
              </w:rPr>
              <w:t>Civil procedure — Motion to strike — Whether the decision of the Court of Appeal was made in error?</w:t>
            </w:r>
          </w:p>
          <w:tbl>
            <w:tblPr>
              <w:tblW w:w="5000" w:type="pct"/>
              <w:tblLayout w:type="fixed"/>
              <w:tblCellMar>
                <w:left w:w="0" w:type="dxa"/>
                <w:bottom w:w="99" w:type="dxa"/>
                <w:right w:w="0" w:type="dxa"/>
              </w:tblCellMar>
              <w:tblLook w:val="04A0" w:firstRow="1" w:lastRow="0" w:firstColumn="1" w:lastColumn="0" w:noHBand="0" w:noVBand="1"/>
            </w:tblPr>
            <w:tblGrid>
              <w:gridCol w:w="4581"/>
              <w:gridCol w:w="459"/>
              <w:gridCol w:w="4487"/>
            </w:tblGrid>
            <w:tr w:rsidR="00E70281" w:rsidRPr="00B10752" w:rsidTr="0074582E">
              <w:tc>
                <w:tcPr>
                  <w:tcW w:w="5000" w:type="pct"/>
                  <w:gridSpan w:val="3"/>
                </w:tcPr>
                <w:p w:rsidR="00E70281" w:rsidRPr="00B10752" w:rsidRDefault="00E70281" w:rsidP="0074582E">
                  <w:pPr>
                    <w:jc w:val="both"/>
                    <w:rPr>
                      <w:sz w:val="20"/>
                    </w:rPr>
                  </w:pPr>
                </w:p>
                <w:p w:rsidR="00E70281" w:rsidRPr="00B10752" w:rsidRDefault="00E70281" w:rsidP="0074582E">
                  <w:pPr>
                    <w:ind w:right="56"/>
                    <w:jc w:val="both"/>
                    <w:rPr>
                      <w:sz w:val="20"/>
                    </w:rPr>
                  </w:pPr>
                  <w:r w:rsidRPr="00B10752">
                    <w:rPr>
                      <w:sz w:val="20"/>
                    </w:rPr>
                    <w:lastRenderedPageBreak/>
                    <w:t xml:space="preserve">Toronto Community Housing Corporation is a corporation providing residential rental accommodation in the city of Toronto. The corporation is owned by the city of Toronto. Ahasanullah Chowdhury is a tenant of Toronto Community Housing Corporation. Mr. Chowdhury commenced an action in 2014 against the same respondents named in this application that was dismissed (including subsequent appeals). Mr. Chowdhury filed a statement of claim for these proceedings in 2019. The respondents filed a motion to dismiss under Rule 21.011(b) of Ontario’s </w:t>
                  </w:r>
                  <w:r w:rsidRPr="00B10752">
                    <w:rPr>
                      <w:i/>
                      <w:sz w:val="20"/>
                    </w:rPr>
                    <w:t>Rules of Civil Procedure</w:t>
                  </w:r>
                  <w:r w:rsidRPr="00B10752">
                    <w:rPr>
                      <w:sz w:val="20"/>
                    </w:rPr>
                    <w:t>, RRO 1990, Reg 194. The motion’s judge granted the motion to strike on the basis that it plead no recognized legal action and was an abuse of process. The subsequent appeal to the Ontario Court of Appeal was dismissed.</w:t>
                  </w:r>
                </w:p>
              </w:tc>
            </w:tr>
            <w:tr w:rsidR="00E70281" w:rsidRPr="00B10752" w:rsidTr="0074582E">
              <w:tc>
                <w:tcPr>
                  <w:tcW w:w="5000" w:type="pct"/>
                  <w:gridSpan w:val="3"/>
                </w:tcPr>
                <w:p w:rsidR="00E70281" w:rsidRPr="00B10752" w:rsidRDefault="00E70281" w:rsidP="0074582E">
                  <w:pPr>
                    <w:jc w:val="both"/>
                    <w:rPr>
                      <w:sz w:val="20"/>
                    </w:rPr>
                  </w:pPr>
                </w:p>
              </w:tc>
            </w:tr>
            <w:tr w:rsidR="00E70281" w:rsidRPr="00B10752" w:rsidTr="0074582E">
              <w:tc>
                <w:tcPr>
                  <w:tcW w:w="2404" w:type="pct"/>
                </w:tcPr>
                <w:p w:rsidR="00E70281" w:rsidRPr="00B10752" w:rsidRDefault="00E70281" w:rsidP="0074582E">
                  <w:pPr>
                    <w:jc w:val="both"/>
                    <w:rPr>
                      <w:sz w:val="20"/>
                    </w:rPr>
                  </w:pPr>
                  <w:r w:rsidRPr="00B10752">
                    <w:rPr>
                      <w:sz w:val="20"/>
                    </w:rPr>
                    <w:t>September 25, 2019</w:t>
                  </w:r>
                </w:p>
                <w:p w:rsidR="00E70281" w:rsidRPr="00B10752" w:rsidRDefault="00E70281" w:rsidP="0074582E">
                  <w:pPr>
                    <w:jc w:val="both"/>
                    <w:rPr>
                      <w:sz w:val="20"/>
                    </w:rPr>
                  </w:pPr>
                  <w:r w:rsidRPr="00B10752">
                    <w:rPr>
                      <w:sz w:val="20"/>
                    </w:rPr>
                    <w:t>Ontario Superior Court of Justice</w:t>
                  </w:r>
                </w:p>
                <w:p w:rsidR="00E70281" w:rsidRPr="00B10752" w:rsidRDefault="00E70281" w:rsidP="0074582E">
                  <w:pPr>
                    <w:jc w:val="both"/>
                    <w:rPr>
                      <w:sz w:val="20"/>
                    </w:rPr>
                  </w:pPr>
                  <w:r w:rsidRPr="00B10752">
                    <w:rPr>
                      <w:sz w:val="20"/>
                    </w:rPr>
                    <w:t>(Faieta J.)</w:t>
                  </w:r>
                </w:p>
                <w:p w:rsidR="00E70281" w:rsidRPr="00B10752" w:rsidRDefault="00E70281" w:rsidP="0074582E">
                  <w:pPr>
                    <w:jc w:val="both"/>
                    <w:rPr>
                      <w:sz w:val="20"/>
                    </w:rPr>
                  </w:pPr>
                  <w:r w:rsidRPr="00B10752">
                    <w:rPr>
                      <w:sz w:val="20"/>
                    </w:rPr>
                    <w:t>Unreported file #CV</w:t>
                  </w:r>
                  <w:r w:rsidRPr="00B10752">
                    <w:rPr>
                      <w:sz w:val="20"/>
                    </w:rPr>
                    <w:noBreakHyphen/>
                    <w:t>19</w:t>
                  </w:r>
                  <w:r w:rsidRPr="00B10752">
                    <w:rPr>
                      <w:sz w:val="20"/>
                    </w:rPr>
                    <w:noBreakHyphen/>
                    <w:t>00619186</w:t>
                  </w:r>
                </w:p>
                <w:p w:rsidR="00E70281" w:rsidRPr="00B10752" w:rsidRDefault="00E70281" w:rsidP="0074582E">
                  <w:pPr>
                    <w:jc w:val="both"/>
                    <w:rPr>
                      <w:sz w:val="20"/>
                    </w:rPr>
                  </w:pPr>
                </w:p>
              </w:tc>
              <w:tc>
                <w:tcPr>
                  <w:tcW w:w="241" w:type="pct"/>
                </w:tcPr>
                <w:p w:rsidR="00E70281" w:rsidRPr="00B10752" w:rsidRDefault="00E70281" w:rsidP="0074582E">
                  <w:pPr>
                    <w:jc w:val="both"/>
                    <w:rPr>
                      <w:sz w:val="20"/>
                    </w:rPr>
                  </w:pPr>
                </w:p>
              </w:tc>
              <w:tc>
                <w:tcPr>
                  <w:tcW w:w="2355" w:type="pct"/>
                </w:tcPr>
                <w:p w:rsidR="00E70281" w:rsidRPr="00B10752" w:rsidRDefault="00E70281" w:rsidP="0074582E">
                  <w:pPr>
                    <w:jc w:val="both"/>
                    <w:rPr>
                      <w:sz w:val="20"/>
                    </w:rPr>
                  </w:pPr>
                  <w:r w:rsidRPr="00B10752">
                    <w:rPr>
                      <w:sz w:val="20"/>
                    </w:rPr>
                    <w:t>Motion to strike statement of claim granted</w:t>
                  </w:r>
                </w:p>
                <w:p w:rsidR="00E70281" w:rsidRPr="00B10752" w:rsidRDefault="00E70281" w:rsidP="0074582E">
                  <w:pPr>
                    <w:jc w:val="both"/>
                    <w:rPr>
                      <w:sz w:val="20"/>
                    </w:rPr>
                  </w:pPr>
                </w:p>
              </w:tc>
            </w:tr>
            <w:tr w:rsidR="00E70281" w:rsidRPr="00B10752" w:rsidTr="0074582E">
              <w:tc>
                <w:tcPr>
                  <w:tcW w:w="2404" w:type="pct"/>
                </w:tcPr>
                <w:p w:rsidR="00E70281" w:rsidRPr="00B10752" w:rsidRDefault="00E70281" w:rsidP="0074582E">
                  <w:pPr>
                    <w:jc w:val="both"/>
                    <w:rPr>
                      <w:sz w:val="20"/>
                    </w:rPr>
                  </w:pPr>
                  <w:r w:rsidRPr="00B10752">
                    <w:rPr>
                      <w:sz w:val="20"/>
                    </w:rPr>
                    <w:t>August 31, 2020</w:t>
                  </w:r>
                </w:p>
                <w:p w:rsidR="00E70281" w:rsidRPr="00B10752" w:rsidRDefault="00E70281" w:rsidP="0074582E">
                  <w:pPr>
                    <w:jc w:val="both"/>
                    <w:rPr>
                      <w:sz w:val="20"/>
                    </w:rPr>
                  </w:pPr>
                  <w:r w:rsidRPr="00B10752">
                    <w:rPr>
                      <w:sz w:val="20"/>
                    </w:rPr>
                    <w:t>Court of Appeal for Ontario</w:t>
                  </w:r>
                </w:p>
                <w:p w:rsidR="00E70281" w:rsidRPr="00B10752" w:rsidRDefault="00E70281" w:rsidP="0074582E">
                  <w:pPr>
                    <w:jc w:val="both"/>
                    <w:rPr>
                      <w:sz w:val="20"/>
                    </w:rPr>
                  </w:pPr>
                  <w:r w:rsidRPr="00B10752">
                    <w:rPr>
                      <w:sz w:val="20"/>
                    </w:rPr>
                    <w:t>(Lauwers, Brown and Nordheimer JJ.A.)</w:t>
                  </w:r>
                </w:p>
                <w:p w:rsidR="00E70281" w:rsidRPr="00B10752" w:rsidRDefault="00B10752" w:rsidP="0074582E">
                  <w:pPr>
                    <w:jc w:val="both"/>
                    <w:rPr>
                      <w:sz w:val="20"/>
                    </w:rPr>
                  </w:pPr>
                  <w:hyperlink r:id="rId69" w:history="1">
                    <w:r w:rsidR="00E70281" w:rsidRPr="00B10752">
                      <w:rPr>
                        <w:rStyle w:val="Hyperlink"/>
                        <w:sz w:val="20"/>
                      </w:rPr>
                      <w:t>2020 ONCA 539</w:t>
                    </w:r>
                  </w:hyperlink>
                </w:p>
                <w:p w:rsidR="00E70281" w:rsidRPr="00B10752" w:rsidRDefault="00E70281" w:rsidP="0074582E">
                  <w:pPr>
                    <w:jc w:val="both"/>
                    <w:rPr>
                      <w:sz w:val="20"/>
                    </w:rPr>
                  </w:pPr>
                </w:p>
              </w:tc>
              <w:tc>
                <w:tcPr>
                  <w:tcW w:w="241" w:type="pct"/>
                </w:tcPr>
                <w:p w:rsidR="00E70281" w:rsidRPr="00B10752" w:rsidRDefault="00E70281" w:rsidP="0074582E">
                  <w:pPr>
                    <w:jc w:val="both"/>
                    <w:rPr>
                      <w:sz w:val="20"/>
                    </w:rPr>
                  </w:pPr>
                </w:p>
              </w:tc>
              <w:tc>
                <w:tcPr>
                  <w:tcW w:w="2355" w:type="pct"/>
                </w:tcPr>
                <w:p w:rsidR="00E70281" w:rsidRPr="00B10752" w:rsidRDefault="00E70281" w:rsidP="0074582E">
                  <w:pPr>
                    <w:jc w:val="both"/>
                    <w:rPr>
                      <w:sz w:val="20"/>
                    </w:rPr>
                  </w:pPr>
                  <w:r w:rsidRPr="00B10752">
                    <w:rPr>
                      <w:sz w:val="20"/>
                    </w:rPr>
                    <w:t>Appeal dismissed</w:t>
                  </w:r>
                </w:p>
                <w:p w:rsidR="00E70281" w:rsidRPr="00B10752" w:rsidRDefault="00E70281" w:rsidP="0074582E">
                  <w:pPr>
                    <w:jc w:val="both"/>
                    <w:rPr>
                      <w:sz w:val="20"/>
                    </w:rPr>
                  </w:pPr>
                </w:p>
              </w:tc>
            </w:tr>
            <w:tr w:rsidR="00E70281" w:rsidRPr="00B10752" w:rsidTr="0074582E">
              <w:tc>
                <w:tcPr>
                  <w:tcW w:w="2404" w:type="pct"/>
                </w:tcPr>
                <w:p w:rsidR="00E70281" w:rsidRPr="00B10752" w:rsidRDefault="00E70281" w:rsidP="0074582E">
                  <w:pPr>
                    <w:jc w:val="both"/>
                    <w:rPr>
                      <w:sz w:val="20"/>
                    </w:rPr>
                  </w:pPr>
                  <w:r w:rsidRPr="00B10752">
                    <w:rPr>
                      <w:sz w:val="20"/>
                    </w:rPr>
                    <w:t>October 23, 2020</w:t>
                  </w:r>
                </w:p>
                <w:p w:rsidR="00E70281" w:rsidRPr="00B10752" w:rsidRDefault="00E70281" w:rsidP="0074582E">
                  <w:pPr>
                    <w:jc w:val="both"/>
                    <w:rPr>
                      <w:sz w:val="20"/>
                    </w:rPr>
                  </w:pPr>
                  <w:r w:rsidRPr="00B10752">
                    <w:rPr>
                      <w:sz w:val="20"/>
                    </w:rPr>
                    <w:t>Supreme Court of Canada</w:t>
                  </w:r>
                </w:p>
              </w:tc>
              <w:tc>
                <w:tcPr>
                  <w:tcW w:w="241" w:type="pct"/>
                </w:tcPr>
                <w:p w:rsidR="00E70281" w:rsidRPr="00B10752" w:rsidRDefault="00E70281" w:rsidP="0074582E">
                  <w:pPr>
                    <w:jc w:val="both"/>
                    <w:rPr>
                      <w:sz w:val="20"/>
                    </w:rPr>
                  </w:pPr>
                </w:p>
              </w:tc>
              <w:tc>
                <w:tcPr>
                  <w:tcW w:w="2355"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73"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39465</w:t>
            </w:r>
          </w:p>
        </w:tc>
        <w:tc>
          <w:tcPr>
            <w:tcW w:w="4457" w:type="pct"/>
          </w:tcPr>
          <w:p w:rsidR="00E70281" w:rsidRPr="00B10752" w:rsidRDefault="00E70281" w:rsidP="0074582E">
            <w:pPr>
              <w:pStyle w:val="SCCLsocParty"/>
              <w:jc w:val="both"/>
              <w:rPr>
                <w:b/>
                <w:sz w:val="20"/>
                <w:szCs w:val="20"/>
                <w:lang w:val="en-US"/>
              </w:rPr>
            </w:pPr>
            <w:r w:rsidRPr="00B10752">
              <w:rPr>
                <w:b/>
                <w:sz w:val="20"/>
                <w:szCs w:val="20"/>
                <w:lang w:val="en-US"/>
              </w:rPr>
              <w:t xml:space="preserve">Ahasanullah Chowdhury c. </w:t>
            </w:r>
            <w:r w:rsidR="00BA1B00" w:rsidRPr="00B10752">
              <w:rPr>
                <w:b/>
                <w:sz w:val="20"/>
                <w:szCs w:val="20"/>
                <w:lang w:val="en-US"/>
              </w:rPr>
              <w:t>Ville de Toronto, Toronto Police Services Board, Toronto Community Housing Corporation et Bangladeshi-Canadian Community Services</w:t>
            </w:r>
          </w:p>
          <w:p w:rsidR="00E70281" w:rsidRPr="00B10752" w:rsidRDefault="00E70281" w:rsidP="0074582E">
            <w:pPr>
              <w:jc w:val="both"/>
              <w:rPr>
                <w:sz w:val="20"/>
                <w:lang w:val="fr-CA"/>
              </w:rPr>
            </w:pPr>
            <w:r w:rsidRPr="00B10752">
              <w:rPr>
                <w:sz w:val="20"/>
                <w:lang w:val="fr-CA"/>
              </w:rPr>
              <w:t>(Ont.) (Civile) (Sur autorisation)</w:t>
            </w:r>
          </w:p>
        </w:tc>
      </w:tr>
      <w:tr w:rsidR="00E70281" w:rsidRPr="00B10752" w:rsidTr="0074582E">
        <w:tc>
          <w:tcPr>
            <w:tcW w:w="5000" w:type="pct"/>
            <w:gridSpan w:val="2"/>
          </w:tcPr>
          <w:p w:rsidR="00E70281" w:rsidRPr="00B10752" w:rsidRDefault="00BA1B00" w:rsidP="0074582E">
            <w:pPr>
              <w:jc w:val="both"/>
              <w:rPr>
                <w:sz w:val="20"/>
                <w:szCs w:val="20"/>
                <w:lang w:val="fr-CA"/>
              </w:rPr>
            </w:pPr>
            <w:r w:rsidRPr="00B10752">
              <w:rPr>
                <w:sz w:val="20"/>
                <w:szCs w:val="20"/>
                <w:lang w:val="fr-CA"/>
              </w:rPr>
              <w:t>La demande d’autorisation d’appel de l’arrêt de la Cour d’appel de l’Ontario, numéro C67560, 2020 ONCA 539, daté du 31 août 2020, est rejetée avec dépens en faveur de l’intimée, Toronto Community Housing Corporation.</w:t>
            </w:r>
          </w:p>
          <w:p w:rsidR="00BA1B00" w:rsidRPr="00B10752" w:rsidRDefault="00BA1B00" w:rsidP="0074582E">
            <w:pPr>
              <w:jc w:val="both"/>
              <w:rPr>
                <w:sz w:val="20"/>
                <w:lang w:val="fr-CA"/>
              </w:rPr>
            </w:pPr>
          </w:p>
        </w:tc>
      </w:tr>
      <w:tr w:rsidR="00E70281" w:rsidRPr="00B10752" w:rsidTr="0074582E">
        <w:tc>
          <w:tcPr>
            <w:tcW w:w="5000" w:type="pct"/>
            <w:gridSpan w:val="2"/>
          </w:tcPr>
          <w:p w:rsidR="00E70281" w:rsidRPr="00B10752" w:rsidRDefault="00E70281" w:rsidP="0074582E">
            <w:pPr>
              <w:jc w:val="both"/>
              <w:rPr>
                <w:sz w:val="20"/>
                <w:lang w:val="fr-CA"/>
              </w:rPr>
            </w:pPr>
            <w:r w:rsidRPr="00B10752">
              <w:rPr>
                <w:sz w:val="20"/>
                <w:lang w:val="fr-CA"/>
              </w:rPr>
              <w:t>Procédure civile — Motion en radiation — La décision de la Cour d’appel était</w:t>
            </w:r>
            <w:r w:rsidRPr="00B10752">
              <w:rPr>
                <w:sz w:val="20"/>
                <w:lang w:val="fr-CA"/>
              </w:rPr>
              <w:noBreakHyphen/>
              <w:t>elle erronée?</w:t>
            </w:r>
          </w:p>
          <w:tbl>
            <w:tblPr>
              <w:tblW w:w="5000" w:type="pct"/>
              <w:tblLayout w:type="fixed"/>
              <w:tblCellMar>
                <w:left w:w="0" w:type="dxa"/>
                <w:bottom w:w="99" w:type="dxa"/>
                <w:right w:w="0" w:type="dxa"/>
              </w:tblCellMar>
              <w:tblLook w:val="04A0" w:firstRow="1" w:lastRow="0" w:firstColumn="1" w:lastColumn="0" w:noHBand="0" w:noVBand="1"/>
            </w:tblPr>
            <w:tblGrid>
              <w:gridCol w:w="4581"/>
              <w:gridCol w:w="459"/>
              <w:gridCol w:w="4487"/>
            </w:tblGrid>
            <w:tr w:rsidR="00E70281" w:rsidRPr="00B10752" w:rsidTr="0074582E">
              <w:tc>
                <w:tcPr>
                  <w:tcW w:w="5000" w:type="pct"/>
                  <w:gridSpan w:val="3"/>
                </w:tcPr>
                <w:p w:rsidR="00E70281" w:rsidRPr="00B10752" w:rsidRDefault="00E70281" w:rsidP="0074582E">
                  <w:pPr>
                    <w:jc w:val="both"/>
                    <w:rPr>
                      <w:sz w:val="20"/>
                      <w:lang w:val="fr-CA"/>
                    </w:rPr>
                  </w:pPr>
                </w:p>
                <w:p w:rsidR="00E70281" w:rsidRPr="00B10752" w:rsidRDefault="00E70281" w:rsidP="0074582E">
                  <w:pPr>
                    <w:ind w:right="56"/>
                    <w:jc w:val="both"/>
                    <w:rPr>
                      <w:sz w:val="20"/>
                      <w:lang w:val="fr-CA"/>
                    </w:rPr>
                  </w:pPr>
                  <w:r w:rsidRPr="00B10752">
                    <w:rPr>
                      <w:sz w:val="20"/>
                      <w:lang w:val="fr-CA"/>
                    </w:rPr>
                    <w:t xml:space="preserve">La Toronto Community Housing Corporation est une personne morale qui fournit des logements à louer dans la ville de Toronto. Cette personne morale appartient à la ville de Toronto. Ahasanullah Chowdhury est un locataire de la Toronto Community Housing Corporation. M. Chowdhury a intenté une action en 2014 contre les mêmes parties intimées nommées dans la présente demande, qui a été rejetée (ainsi que les appels subséquents). M. Chowdhury a déposé une déclaration dans le cadre de la présente instance en 2019. Les parties intimées ont présenté une motion en radiation en vertu de l’alinéa 21.01(1)b) des </w:t>
                  </w:r>
                  <w:r w:rsidRPr="00B10752">
                    <w:rPr>
                      <w:i/>
                      <w:sz w:val="20"/>
                      <w:lang w:val="fr-CA"/>
                    </w:rPr>
                    <w:t>Règles de procédure civile</w:t>
                  </w:r>
                  <w:r w:rsidRPr="00B10752">
                    <w:rPr>
                      <w:sz w:val="20"/>
                      <w:lang w:val="fr-CA"/>
                    </w:rPr>
                    <w:t xml:space="preserve"> de l’Ontario, RRO 1990, Règl. 194. Le juge saisi de la motion a accueilli la motion en radiation au motif que la déclaration ne relevait aucune cause d’action reconnue et constituait un recours abusif au tribunal. L’appel subséquemment interjeté devant la Cour d’appel de l’Ontario a été rejeté.</w:t>
                  </w:r>
                </w:p>
              </w:tc>
            </w:tr>
            <w:tr w:rsidR="00E70281" w:rsidRPr="00B10752" w:rsidTr="0074582E">
              <w:tc>
                <w:tcPr>
                  <w:tcW w:w="5000" w:type="pct"/>
                  <w:gridSpan w:val="3"/>
                </w:tcPr>
                <w:p w:rsidR="00E70281" w:rsidRPr="00B10752" w:rsidRDefault="00E70281" w:rsidP="0074582E">
                  <w:pPr>
                    <w:jc w:val="both"/>
                    <w:rPr>
                      <w:sz w:val="20"/>
                      <w:lang w:val="fr-CA"/>
                    </w:rPr>
                  </w:pPr>
                </w:p>
              </w:tc>
            </w:tr>
            <w:tr w:rsidR="00E70281" w:rsidRPr="00B10752" w:rsidTr="0074582E">
              <w:tc>
                <w:tcPr>
                  <w:tcW w:w="2404" w:type="pct"/>
                </w:tcPr>
                <w:p w:rsidR="00E70281" w:rsidRPr="00B10752" w:rsidRDefault="00E70281" w:rsidP="0074582E">
                  <w:pPr>
                    <w:jc w:val="both"/>
                    <w:rPr>
                      <w:sz w:val="20"/>
                      <w:lang w:val="fr-CA"/>
                    </w:rPr>
                  </w:pPr>
                  <w:r w:rsidRPr="00B10752">
                    <w:rPr>
                      <w:sz w:val="20"/>
                      <w:lang w:val="fr-CA"/>
                    </w:rPr>
                    <w:t>25 septembre 2019</w:t>
                  </w:r>
                </w:p>
                <w:p w:rsidR="00E70281" w:rsidRPr="00B10752" w:rsidRDefault="00E70281" w:rsidP="0074582E">
                  <w:pPr>
                    <w:jc w:val="both"/>
                    <w:rPr>
                      <w:sz w:val="20"/>
                      <w:lang w:val="fr-CA"/>
                    </w:rPr>
                  </w:pPr>
                  <w:r w:rsidRPr="00B10752">
                    <w:rPr>
                      <w:sz w:val="20"/>
                      <w:lang w:val="fr-CA"/>
                    </w:rPr>
                    <w:t>Cour supérieure de justice de l’Ontario</w:t>
                  </w:r>
                </w:p>
                <w:p w:rsidR="00E70281" w:rsidRPr="00B10752" w:rsidRDefault="00E70281" w:rsidP="0074582E">
                  <w:pPr>
                    <w:jc w:val="both"/>
                    <w:rPr>
                      <w:sz w:val="20"/>
                      <w:lang w:val="fr-CA"/>
                    </w:rPr>
                  </w:pPr>
                  <w:r w:rsidRPr="00B10752">
                    <w:rPr>
                      <w:sz w:val="20"/>
                      <w:lang w:val="fr-CA"/>
                    </w:rPr>
                    <w:t>(Juge Faieta)</w:t>
                  </w:r>
                </w:p>
                <w:p w:rsidR="00E70281" w:rsidRPr="00B10752" w:rsidRDefault="00E70281" w:rsidP="0074582E">
                  <w:pPr>
                    <w:jc w:val="both"/>
                    <w:rPr>
                      <w:sz w:val="20"/>
                      <w:lang w:val="fr-CA"/>
                    </w:rPr>
                  </w:pPr>
                  <w:r w:rsidRPr="00B10752">
                    <w:rPr>
                      <w:sz w:val="20"/>
                      <w:lang w:val="fr-CA"/>
                    </w:rPr>
                    <w:t>Dossier non publié n</w:t>
                  </w:r>
                  <w:r w:rsidRPr="00B10752">
                    <w:rPr>
                      <w:sz w:val="20"/>
                      <w:vertAlign w:val="superscript"/>
                      <w:lang w:val="fr-CA"/>
                    </w:rPr>
                    <w:t>o</w:t>
                  </w:r>
                  <w:r w:rsidRPr="00B10752">
                    <w:rPr>
                      <w:sz w:val="20"/>
                      <w:lang w:val="fr-CA"/>
                    </w:rPr>
                    <w:t xml:space="preserve"> CV</w:t>
                  </w:r>
                  <w:r w:rsidRPr="00B10752">
                    <w:rPr>
                      <w:sz w:val="20"/>
                      <w:lang w:val="fr-CA"/>
                    </w:rPr>
                    <w:noBreakHyphen/>
                    <w:t>19</w:t>
                  </w:r>
                  <w:r w:rsidRPr="00B10752">
                    <w:rPr>
                      <w:sz w:val="20"/>
                      <w:lang w:val="fr-CA"/>
                    </w:rPr>
                    <w:noBreakHyphen/>
                    <w:t>00619186</w:t>
                  </w:r>
                </w:p>
                <w:p w:rsidR="00E70281" w:rsidRPr="00B10752" w:rsidRDefault="00E70281" w:rsidP="0074582E">
                  <w:pPr>
                    <w:jc w:val="both"/>
                    <w:rPr>
                      <w:sz w:val="20"/>
                      <w:lang w:val="fr-CA"/>
                    </w:rPr>
                  </w:pPr>
                </w:p>
              </w:tc>
              <w:tc>
                <w:tcPr>
                  <w:tcW w:w="241" w:type="pct"/>
                </w:tcPr>
                <w:p w:rsidR="00E70281" w:rsidRPr="00B10752" w:rsidRDefault="00E70281" w:rsidP="0074582E">
                  <w:pPr>
                    <w:jc w:val="both"/>
                    <w:rPr>
                      <w:sz w:val="20"/>
                      <w:lang w:val="fr-CA"/>
                    </w:rPr>
                  </w:pPr>
                </w:p>
              </w:tc>
              <w:tc>
                <w:tcPr>
                  <w:tcW w:w="2355" w:type="pct"/>
                </w:tcPr>
                <w:p w:rsidR="00E70281" w:rsidRPr="00B10752" w:rsidRDefault="00E70281" w:rsidP="0074582E">
                  <w:pPr>
                    <w:jc w:val="both"/>
                    <w:rPr>
                      <w:sz w:val="20"/>
                      <w:lang w:val="fr-CA"/>
                    </w:rPr>
                  </w:pPr>
                  <w:r w:rsidRPr="00B10752">
                    <w:rPr>
                      <w:sz w:val="20"/>
                      <w:lang w:val="fr-CA"/>
                    </w:rPr>
                    <w:t xml:space="preserve">La motion en radiation de la déclaration est accueillie. </w:t>
                  </w:r>
                </w:p>
                <w:p w:rsidR="00E70281" w:rsidRPr="00B10752" w:rsidRDefault="00E70281" w:rsidP="0074582E">
                  <w:pPr>
                    <w:jc w:val="both"/>
                    <w:rPr>
                      <w:sz w:val="20"/>
                      <w:lang w:val="fr-CA"/>
                    </w:rPr>
                  </w:pPr>
                </w:p>
              </w:tc>
            </w:tr>
            <w:tr w:rsidR="00E70281" w:rsidRPr="00B10752" w:rsidTr="0074582E">
              <w:tc>
                <w:tcPr>
                  <w:tcW w:w="2404" w:type="pct"/>
                </w:tcPr>
                <w:p w:rsidR="00E70281" w:rsidRPr="00B10752" w:rsidRDefault="00E70281" w:rsidP="0074582E">
                  <w:pPr>
                    <w:jc w:val="both"/>
                    <w:rPr>
                      <w:sz w:val="20"/>
                      <w:lang w:val="fr-CA"/>
                    </w:rPr>
                  </w:pPr>
                  <w:r w:rsidRPr="00B10752">
                    <w:rPr>
                      <w:sz w:val="20"/>
                      <w:lang w:val="fr-CA"/>
                    </w:rPr>
                    <w:t>31 août 2020</w:t>
                  </w:r>
                </w:p>
                <w:p w:rsidR="00E70281" w:rsidRPr="00B10752" w:rsidRDefault="00E70281" w:rsidP="0074582E">
                  <w:pPr>
                    <w:jc w:val="both"/>
                    <w:rPr>
                      <w:sz w:val="20"/>
                      <w:lang w:val="fr-CA"/>
                    </w:rPr>
                  </w:pPr>
                  <w:r w:rsidRPr="00B10752">
                    <w:rPr>
                      <w:sz w:val="20"/>
                      <w:lang w:val="fr-CA"/>
                    </w:rPr>
                    <w:t>Cour d’appel de l’Ontario</w:t>
                  </w:r>
                </w:p>
                <w:p w:rsidR="00E70281" w:rsidRPr="00B10752" w:rsidRDefault="00E70281" w:rsidP="0074582E">
                  <w:pPr>
                    <w:jc w:val="both"/>
                    <w:rPr>
                      <w:sz w:val="20"/>
                      <w:lang w:val="fr-CA"/>
                    </w:rPr>
                  </w:pPr>
                  <w:r w:rsidRPr="00B10752">
                    <w:rPr>
                      <w:sz w:val="20"/>
                      <w:lang w:val="fr-CA"/>
                    </w:rPr>
                    <w:t>(Juges Lauwers, Brown et Nordheimer)</w:t>
                  </w:r>
                </w:p>
                <w:p w:rsidR="00E70281" w:rsidRPr="00B10752" w:rsidRDefault="00B10752" w:rsidP="0074582E">
                  <w:pPr>
                    <w:jc w:val="both"/>
                    <w:rPr>
                      <w:sz w:val="20"/>
                      <w:lang w:val="fr-CA"/>
                    </w:rPr>
                  </w:pPr>
                  <w:hyperlink r:id="rId70" w:history="1">
                    <w:r w:rsidR="00E70281" w:rsidRPr="00B10752">
                      <w:rPr>
                        <w:rStyle w:val="Hyperlink"/>
                        <w:sz w:val="20"/>
                        <w:lang w:val="fr-CA"/>
                      </w:rPr>
                      <w:t>2020 ONCA 539</w:t>
                    </w:r>
                  </w:hyperlink>
                </w:p>
                <w:p w:rsidR="00E70281" w:rsidRPr="00B10752" w:rsidRDefault="00E70281" w:rsidP="0074582E">
                  <w:pPr>
                    <w:jc w:val="both"/>
                    <w:rPr>
                      <w:sz w:val="20"/>
                      <w:lang w:val="fr-CA"/>
                    </w:rPr>
                  </w:pPr>
                </w:p>
              </w:tc>
              <w:tc>
                <w:tcPr>
                  <w:tcW w:w="241" w:type="pct"/>
                </w:tcPr>
                <w:p w:rsidR="00E70281" w:rsidRPr="00B10752" w:rsidRDefault="00E70281" w:rsidP="0074582E">
                  <w:pPr>
                    <w:jc w:val="both"/>
                    <w:rPr>
                      <w:sz w:val="20"/>
                      <w:lang w:val="fr-CA"/>
                    </w:rPr>
                  </w:pPr>
                </w:p>
              </w:tc>
              <w:tc>
                <w:tcPr>
                  <w:tcW w:w="2355" w:type="pct"/>
                </w:tcPr>
                <w:p w:rsidR="00E70281" w:rsidRPr="00B10752" w:rsidRDefault="00E70281" w:rsidP="0074582E">
                  <w:pPr>
                    <w:jc w:val="both"/>
                    <w:rPr>
                      <w:sz w:val="20"/>
                      <w:lang w:val="fr-CA"/>
                    </w:rPr>
                  </w:pPr>
                  <w:r w:rsidRPr="00B10752">
                    <w:rPr>
                      <w:sz w:val="20"/>
                      <w:lang w:val="fr-CA"/>
                    </w:rPr>
                    <w:t>L’appel est rejeté.</w:t>
                  </w:r>
                </w:p>
                <w:p w:rsidR="00E70281" w:rsidRPr="00B10752" w:rsidRDefault="00E70281" w:rsidP="0074582E">
                  <w:pPr>
                    <w:jc w:val="both"/>
                    <w:rPr>
                      <w:sz w:val="20"/>
                      <w:lang w:val="fr-CA"/>
                    </w:rPr>
                  </w:pPr>
                </w:p>
              </w:tc>
            </w:tr>
            <w:tr w:rsidR="00E70281" w:rsidRPr="00B10752" w:rsidTr="0074582E">
              <w:tc>
                <w:tcPr>
                  <w:tcW w:w="2404" w:type="pct"/>
                </w:tcPr>
                <w:p w:rsidR="00E70281" w:rsidRPr="00B10752" w:rsidRDefault="00E70281" w:rsidP="0074582E">
                  <w:pPr>
                    <w:jc w:val="both"/>
                    <w:rPr>
                      <w:sz w:val="20"/>
                      <w:lang w:val="fr-CA"/>
                    </w:rPr>
                  </w:pPr>
                  <w:r w:rsidRPr="00B10752">
                    <w:rPr>
                      <w:sz w:val="20"/>
                      <w:lang w:val="fr-CA"/>
                    </w:rPr>
                    <w:t>23 octobre 2020</w:t>
                  </w:r>
                </w:p>
                <w:p w:rsidR="00E70281" w:rsidRPr="00B10752" w:rsidRDefault="00E70281" w:rsidP="0074582E">
                  <w:pPr>
                    <w:jc w:val="both"/>
                    <w:rPr>
                      <w:sz w:val="20"/>
                      <w:lang w:val="fr-CA"/>
                    </w:rPr>
                  </w:pPr>
                  <w:r w:rsidRPr="00B10752">
                    <w:rPr>
                      <w:sz w:val="20"/>
                      <w:lang w:val="fr-CA"/>
                    </w:rPr>
                    <w:t>Cour suprême du Canada</w:t>
                  </w:r>
                </w:p>
              </w:tc>
              <w:tc>
                <w:tcPr>
                  <w:tcW w:w="241" w:type="pct"/>
                </w:tcPr>
                <w:p w:rsidR="00E70281" w:rsidRPr="00B10752" w:rsidRDefault="00E70281" w:rsidP="0074582E">
                  <w:pPr>
                    <w:jc w:val="both"/>
                    <w:rPr>
                      <w:sz w:val="20"/>
                      <w:lang w:val="fr-CA"/>
                    </w:rPr>
                  </w:pPr>
                </w:p>
              </w:tc>
              <w:tc>
                <w:tcPr>
                  <w:tcW w:w="2355" w:type="pct"/>
                </w:tcPr>
                <w:p w:rsidR="00E70281" w:rsidRPr="00B10752" w:rsidRDefault="00E70281" w:rsidP="0074582E">
                  <w:pPr>
                    <w:jc w:val="both"/>
                    <w:rPr>
                      <w:sz w:val="20"/>
                      <w:lang w:val="fr-CA"/>
                    </w:rPr>
                  </w:pPr>
                  <w:r w:rsidRPr="00B10752">
                    <w:rPr>
                      <w:sz w:val="20"/>
                      <w:lang w:val="fr-CA"/>
                    </w:rPr>
                    <w:t>La demande d’autorisation d’appel est présentée.</w:t>
                  </w:r>
                </w:p>
                <w:p w:rsidR="00E70281" w:rsidRPr="00B10752" w:rsidRDefault="00E70281" w:rsidP="0074582E">
                  <w:pPr>
                    <w:jc w:val="both"/>
                    <w:rPr>
                      <w:sz w:val="20"/>
                      <w:lang w:val="fr-CA"/>
                    </w:rPr>
                  </w:pPr>
                </w:p>
              </w:tc>
            </w:tr>
          </w:tbl>
          <w:p w:rsidR="00E70281" w:rsidRPr="00B10752" w:rsidRDefault="00E70281" w:rsidP="0074582E">
            <w:pPr>
              <w:jc w:val="both"/>
              <w:rPr>
                <w:sz w:val="20"/>
                <w:lang w:val="fr-CA"/>
              </w:rPr>
            </w:pPr>
          </w:p>
        </w:tc>
      </w:tr>
    </w:tbl>
    <w:p w:rsidR="00E70281" w:rsidRPr="00B10752" w:rsidRDefault="00E70281" w:rsidP="00E70281">
      <w:pPr>
        <w:jc w:val="both"/>
        <w:rPr>
          <w:sz w:val="20"/>
          <w:lang w:val="fr-CA"/>
        </w:rPr>
      </w:pPr>
    </w:p>
    <w:p w:rsidR="00E70281" w:rsidRPr="00B10752" w:rsidRDefault="00B10752" w:rsidP="00E70281">
      <w:pPr>
        <w:widowControl w:val="0"/>
        <w:jc w:val="both"/>
        <w:rPr>
          <w:sz w:val="20"/>
          <w:lang w:val="fr-CA"/>
        </w:rPr>
      </w:pPr>
      <w:r w:rsidRPr="00B10752">
        <w:rPr>
          <w:sz w:val="20"/>
        </w:rPr>
        <w:pict>
          <v:rect id="_x0000_i1074"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39470</w:t>
            </w:r>
          </w:p>
        </w:tc>
        <w:tc>
          <w:tcPr>
            <w:tcW w:w="4457" w:type="pct"/>
            <w:gridSpan w:val="3"/>
          </w:tcPr>
          <w:p w:rsidR="00E70281" w:rsidRPr="00B10752" w:rsidRDefault="00E70281" w:rsidP="0074582E">
            <w:pPr>
              <w:pStyle w:val="SCCLsocParty"/>
              <w:jc w:val="both"/>
              <w:rPr>
                <w:b/>
                <w:sz w:val="20"/>
                <w:szCs w:val="20"/>
                <w:lang w:val="en-US"/>
              </w:rPr>
            </w:pPr>
            <w:r w:rsidRPr="00B10752">
              <w:rPr>
                <w:b/>
                <w:sz w:val="20"/>
                <w:szCs w:val="20"/>
                <w:lang w:val="en-US"/>
              </w:rPr>
              <w:t xml:space="preserve">Volodymyr Hrabovskyy v. </w:t>
            </w:r>
            <w:r w:rsidR="00BA1B00" w:rsidRPr="00B10752">
              <w:rPr>
                <w:b/>
                <w:sz w:val="20"/>
                <w:szCs w:val="20"/>
                <w:lang w:val="en-US"/>
              </w:rPr>
              <w:t>DAS Legal Protection Inc., ASEQ/Studentcare and Desjardins Financial Security Life Assurance Company</w:t>
            </w:r>
          </w:p>
          <w:p w:rsidR="00E70281" w:rsidRPr="00B10752" w:rsidRDefault="00E70281" w:rsidP="0074582E">
            <w:pPr>
              <w:jc w:val="both"/>
              <w:rPr>
                <w:sz w:val="20"/>
              </w:rPr>
            </w:pPr>
            <w:r w:rsidRPr="00B10752">
              <w:rPr>
                <w:sz w:val="20"/>
              </w:rPr>
              <w:t>(Que.) (Civil) (By Leave)</w:t>
            </w:r>
          </w:p>
        </w:tc>
      </w:tr>
      <w:tr w:rsidR="00E70281" w:rsidRPr="00B10752" w:rsidTr="0074582E">
        <w:tc>
          <w:tcPr>
            <w:tcW w:w="5000" w:type="pct"/>
            <w:gridSpan w:val="4"/>
          </w:tcPr>
          <w:p w:rsidR="00BA1B00" w:rsidRPr="00B10752" w:rsidRDefault="00BA1B00" w:rsidP="00BA1B00">
            <w:pPr>
              <w:jc w:val="both"/>
              <w:rPr>
                <w:sz w:val="20"/>
                <w:szCs w:val="20"/>
              </w:rPr>
            </w:pPr>
            <w:r w:rsidRPr="00B10752">
              <w:rPr>
                <w:sz w:val="20"/>
                <w:szCs w:val="20"/>
              </w:rPr>
              <w:t>The miscellaneous motions are dismissed. The application for leave to appeal from the judgment of the Court of Appeal of Quebec (Montréal), Number 500</w:t>
            </w:r>
            <w:r w:rsidRPr="00B10752">
              <w:rPr>
                <w:sz w:val="20"/>
                <w:szCs w:val="20"/>
              </w:rPr>
              <w:noBreakHyphen/>
              <w:t>09</w:t>
            </w:r>
            <w:r w:rsidRPr="00B10752">
              <w:rPr>
                <w:sz w:val="20"/>
                <w:szCs w:val="20"/>
              </w:rPr>
              <w:noBreakHyphen/>
              <w:t>028844</w:t>
            </w:r>
            <w:r w:rsidRPr="00B10752">
              <w:rPr>
                <w:sz w:val="20"/>
                <w:szCs w:val="20"/>
              </w:rPr>
              <w:noBreakHyphen/>
              <w:t>207, 2020 QCCA 956, dated June 15, 2020, is dismissed with costs.</w:t>
            </w:r>
          </w:p>
          <w:p w:rsidR="00E70281" w:rsidRPr="00B10752" w:rsidRDefault="00E70281" w:rsidP="0074582E">
            <w:pPr>
              <w:tabs>
                <w:tab w:val="left" w:pos="939"/>
              </w:tabs>
              <w:jc w:val="both"/>
              <w:rPr>
                <w:sz w:val="20"/>
              </w:rPr>
            </w:pPr>
          </w:p>
        </w:tc>
      </w:tr>
      <w:tr w:rsidR="00E70281" w:rsidRPr="00B10752" w:rsidTr="0074582E">
        <w:tc>
          <w:tcPr>
            <w:tcW w:w="5000" w:type="pct"/>
            <w:gridSpan w:val="4"/>
          </w:tcPr>
          <w:p w:rsidR="00E70281" w:rsidRPr="00B10752" w:rsidRDefault="00E70281" w:rsidP="0074582E">
            <w:pPr>
              <w:tabs>
                <w:tab w:val="left" w:pos="939"/>
              </w:tabs>
              <w:jc w:val="both"/>
              <w:rPr>
                <w:sz w:val="20"/>
              </w:rPr>
            </w:pPr>
            <w:r w:rsidRPr="00B10752">
              <w:rPr>
                <w:sz w:val="20"/>
              </w:rPr>
              <w:t>Civil procedure — Appeals — Power to impose sanctions for abuse of procedure — Application dismissed on the ground that it was unfounded in law — Appeal dismissed and declared abusive — Whether application for leave to appeal raises any issues of public importance.</w:t>
            </w:r>
          </w:p>
        </w:tc>
      </w:tr>
      <w:tr w:rsidR="00E70281" w:rsidRPr="00B10752" w:rsidTr="0074582E">
        <w:tc>
          <w:tcPr>
            <w:tcW w:w="5000" w:type="pct"/>
            <w:gridSpan w:val="4"/>
          </w:tcPr>
          <w:p w:rsidR="00E70281" w:rsidRPr="00B10752" w:rsidRDefault="00E70281" w:rsidP="0074582E">
            <w:pPr>
              <w:jc w:val="both"/>
              <w:rPr>
                <w:sz w:val="20"/>
              </w:rPr>
            </w:pPr>
          </w:p>
          <w:p w:rsidR="00E70281" w:rsidRPr="00B10752" w:rsidRDefault="00E70281" w:rsidP="0074582E">
            <w:pPr>
              <w:jc w:val="both"/>
              <w:rPr>
                <w:sz w:val="20"/>
              </w:rPr>
            </w:pPr>
            <w:r w:rsidRPr="00B10752">
              <w:rPr>
                <w:sz w:val="20"/>
              </w:rPr>
              <w:t>The applicant claims he was covered by a legal protection insurance contract while he was a student. He asks the defendants to pay his legal fees, to represent him in his proceedings against his university, and to pay various indemnities. The Superior Court dismissed the applicant’s claim on the ground that it was unfounded in law and declared it abusive. The Court of Appeal dismissed the applicant’s appeal and declare it abusive.</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February 11, 2020</w:t>
            </w:r>
          </w:p>
          <w:p w:rsidR="00E70281" w:rsidRPr="00B10752" w:rsidRDefault="00E70281" w:rsidP="0074582E">
            <w:pPr>
              <w:jc w:val="both"/>
              <w:rPr>
                <w:sz w:val="20"/>
              </w:rPr>
            </w:pPr>
            <w:r w:rsidRPr="00B10752">
              <w:rPr>
                <w:sz w:val="20"/>
              </w:rPr>
              <w:t>Superior Court of Quebec</w:t>
            </w:r>
          </w:p>
          <w:p w:rsidR="00E70281" w:rsidRPr="00B10752" w:rsidRDefault="00E70281" w:rsidP="0074582E">
            <w:pPr>
              <w:jc w:val="both"/>
              <w:rPr>
                <w:sz w:val="20"/>
              </w:rPr>
            </w:pPr>
            <w:r w:rsidRPr="00B10752">
              <w:rPr>
                <w:sz w:val="20"/>
              </w:rPr>
              <w:t>(Perreault J.)</w:t>
            </w:r>
          </w:p>
          <w:p w:rsidR="00E70281" w:rsidRPr="00B10752" w:rsidRDefault="00E70281" w:rsidP="0074582E">
            <w:pPr>
              <w:jc w:val="both"/>
              <w:rPr>
                <w:sz w:val="20"/>
              </w:rPr>
            </w:pPr>
            <w:r w:rsidRPr="00B10752">
              <w:rPr>
                <w:sz w:val="20"/>
              </w:rPr>
              <w:t>500</w:t>
            </w:r>
            <w:r w:rsidRPr="00B10752">
              <w:rPr>
                <w:sz w:val="20"/>
              </w:rPr>
              <w:noBreakHyphen/>
              <w:t>17</w:t>
            </w:r>
            <w:r w:rsidRPr="00B10752">
              <w:rPr>
                <w:sz w:val="20"/>
              </w:rPr>
              <w:noBreakHyphen/>
              <w:t>107563</w:t>
            </w:r>
            <w:r w:rsidRPr="00B10752">
              <w:rPr>
                <w:sz w:val="20"/>
              </w:rPr>
              <w:noBreakHyphen/>
              <w:t>192</w:t>
            </w:r>
          </w:p>
          <w:p w:rsidR="00E70281" w:rsidRPr="00B10752" w:rsidRDefault="00B10752" w:rsidP="0074582E">
            <w:pPr>
              <w:jc w:val="both"/>
              <w:rPr>
                <w:sz w:val="20"/>
              </w:rPr>
            </w:pPr>
            <w:hyperlink r:id="rId71" w:history="1">
              <w:r w:rsidR="00E70281" w:rsidRPr="00B10752">
                <w:rPr>
                  <w:rStyle w:val="Hyperlink"/>
                  <w:sz w:val="20"/>
                </w:rPr>
                <w:t>2020 QCCS 393</w:t>
              </w:r>
            </w:hyperlink>
            <w:r w:rsidR="00E70281" w:rsidRPr="00B10752">
              <w:rPr>
                <w:sz w:val="20"/>
              </w:rPr>
              <w:t xml:space="preserve"> </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dismissed and declared abusive</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June 15, 2020</w:t>
            </w:r>
          </w:p>
          <w:p w:rsidR="00E70281" w:rsidRPr="00B10752" w:rsidRDefault="00E70281" w:rsidP="0074582E">
            <w:pPr>
              <w:jc w:val="both"/>
              <w:rPr>
                <w:sz w:val="20"/>
              </w:rPr>
            </w:pPr>
            <w:r w:rsidRPr="00B10752">
              <w:rPr>
                <w:sz w:val="20"/>
              </w:rPr>
              <w:t>Court of Appeal of Quebec (Montréal)</w:t>
            </w:r>
          </w:p>
          <w:p w:rsidR="00E70281" w:rsidRPr="00B10752" w:rsidRDefault="00E70281" w:rsidP="0074582E">
            <w:pPr>
              <w:jc w:val="both"/>
              <w:rPr>
                <w:sz w:val="20"/>
                <w:lang w:val="fr-CA"/>
              </w:rPr>
            </w:pPr>
            <w:r w:rsidRPr="00B10752">
              <w:rPr>
                <w:sz w:val="20"/>
                <w:lang w:val="fr-CA"/>
              </w:rPr>
              <w:t>(Gagnon, Lévesque, Sansfaçon JJ.A.)</w:t>
            </w:r>
          </w:p>
          <w:p w:rsidR="00E70281" w:rsidRPr="00B10752" w:rsidRDefault="00E70281" w:rsidP="0074582E">
            <w:pPr>
              <w:jc w:val="both"/>
              <w:rPr>
                <w:sz w:val="20"/>
                <w:lang w:val="fr-CA"/>
              </w:rPr>
            </w:pPr>
            <w:r w:rsidRPr="00B10752">
              <w:rPr>
                <w:sz w:val="20"/>
                <w:lang w:val="fr-CA"/>
              </w:rPr>
              <w:t>500</w:t>
            </w:r>
            <w:r w:rsidRPr="00B10752">
              <w:rPr>
                <w:sz w:val="20"/>
                <w:lang w:val="fr-CA"/>
              </w:rPr>
              <w:noBreakHyphen/>
              <w:t>09</w:t>
            </w:r>
            <w:r w:rsidRPr="00B10752">
              <w:rPr>
                <w:sz w:val="20"/>
                <w:lang w:val="fr-CA"/>
              </w:rPr>
              <w:noBreakHyphen/>
              <w:t>028844</w:t>
            </w:r>
            <w:r w:rsidRPr="00B10752">
              <w:rPr>
                <w:sz w:val="20"/>
                <w:lang w:val="fr-CA"/>
              </w:rPr>
              <w:noBreakHyphen/>
              <w:t>207</w:t>
            </w:r>
          </w:p>
          <w:p w:rsidR="00E70281" w:rsidRPr="00B10752" w:rsidRDefault="00B10752" w:rsidP="0074582E">
            <w:pPr>
              <w:jc w:val="both"/>
              <w:rPr>
                <w:sz w:val="20"/>
                <w:lang w:val="fr-CA"/>
              </w:rPr>
            </w:pPr>
            <w:hyperlink r:id="rId72" w:history="1">
              <w:r w:rsidR="00E70281" w:rsidRPr="00B10752">
                <w:rPr>
                  <w:rStyle w:val="Hyperlink"/>
                  <w:sz w:val="20"/>
                  <w:lang w:val="fr-CA"/>
                </w:rPr>
                <w:t>2020 QCCA 956</w:t>
              </w:r>
            </w:hyperlink>
            <w:r w:rsidR="00E70281" w:rsidRPr="00B10752">
              <w:rPr>
                <w:sz w:val="20"/>
                <w:lang w:val="fr-CA"/>
              </w:rPr>
              <w:t xml:space="preserve"> </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rPr>
            </w:pPr>
            <w:r w:rsidRPr="00B10752">
              <w:rPr>
                <w:sz w:val="20"/>
              </w:rPr>
              <w:t>Appeal dismissed and declared abusive</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August 13, 2020</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75"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39470</w:t>
            </w:r>
          </w:p>
        </w:tc>
        <w:tc>
          <w:tcPr>
            <w:tcW w:w="4457" w:type="pct"/>
            <w:gridSpan w:val="3"/>
          </w:tcPr>
          <w:p w:rsidR="00E70281" w:rsidRPr="00B10752" w:rsidRDefault="00E70281" w:rsidP="00BA1B00">
            <w:pPr>
              <w:pStyle w:val="SCCLsocParty"/>
              <w:jc w:val="both"/>
              <w:rPr>
                <w:b/>
                <w:sz w:val="20"/>
                <w:szCs w:val="20"/>
              </w:rPr>
            </w:pPr>
            <w:r w:rsidRPr="00B10752">
              <w:rPr>
                <w:b/>
                <w:sz w:val="20"/>
                <w:szCs w:val="20"/>
              </w:rPr>
              <w:t xml:space="preserve">Volodymyr Hrabovskyy c. </w:t>
            </w:r>
            <w:r w:rsidR="00BA1B00" w:rsidRPr="00B10752">
              <w:rPr>
                <w:b/>
                <w:sz w:val="20"/>
                <w:szCs w:val="20"/>
              </w:rPr>
              <w:t>DAS Protection Juridique inc., ASEQ/Studentcare et Desjardins Sécurité financière, compagnie d’assurance vie</w:t>
            </w:r>
          </w:p>
          <w:p w:rsidR="00E70281" w:rsidRPr="00B10752" w:rsidRDefault="00E70281" w:rsidP="0074582E">
            <w:pPr>
              <w:jc w:val="both"/>
              <w:rPr>
                <w:sz w:val="20"/>
                <w:lang w:val="fr-CA"/>
              </w:rPr>
            </w:pPr>
            <w:r w:rsidRPr="00B10752">
              <w:rPr>
                <w:sz w:val="20"/>
                <w:lang w:val="fr-CA"/>
              </w:rPr>
              <w:t>(Qc) (Civile) (Sur autorisation)</w:t>
            </w:r>
          </w:p>
        </w:tc>
      </w:tr>
      <w:tr w:rsidR="00E70281" w:rsidRPr="00B10752" w:rsidTr="0074582E">
        <w:tc>
          <w:tcPr>
            <w:tcW w:w="5000" w:type="pct"/>
            <w:gridSpan w:val="4"/>
          </w:tcPr>
          <w:p w:rsidR="00E70281" w:rsidRPr="00B10752" w:rsidRDefault="00BA1B00" w:rsidP="0074582E">
            <w:pPr>
              <w:tabs>
                <w:tab w:val="left" w:pos="939"/>
              </w:tabs>
              <w:jc w:val="both"/>
              <w:rPr>
                <w:sz w:val="20"/>
                <w:szCs w:val="20"/>
                <w:lang w:val="fr-CA"/>
              </w:rPr>
            </w:pPr>
            <w:r w:rsidRPr="00B10752">
              <w:rPr>
                <w:sz w:val="20"/>
                <w:szCs w:val="20"/>
                <w:lang w:val="fr-CA"/>
              </w:rPr>
              <w:t>Les requêtes diverses sont rejetées. La demande d’autorisation d’appel de l’arrêt de la Cour d’appel du Québec (Montréal), numéro 500</w:t>
            </w:r>
            <w:r w:rsidRPr="00B10752">
              <w:rPr>
                <w:sz w:val="20"/>
                <w:szCs w:val="20"/>
                <w:lang w:val="fr-CA"/>
              </w:rPr>
              <w:noBreakHyphen/>
              <w:t>09</w:t>
            </w:r>
            <w:r w:rsidRPr="00B10752">
              <w:rPr>
                <w:sz w:val="20"/>
                <w:szCs w:val="20"/>
                <w:lang w:val="fr-CA"/>
              </w:rPr>
              <w:noBreakHyphen/>
              <w:t>028844</w:t>
            </w:r>
            <w:r w:rsidRPr="00B10752">
              <w:rPr>
                <w:sz w:val="20"/>
                <w:szCs w:val="20"/>
                <w:lang w:val="fr-CA"/>
              </w:rPr>
              <w:noBreakHyphen/>
              <w:t>207, 2020 QCCA 956, daté du 15 juin 2020, est rejetée avec dépens.</w:t>
            </w:r>
          </w:p>
          <w:p w:rsidR="00BA1B00" w:rsidRPr="00B10752" w:rsidRDefault="00BA1B00" w:rsidP="0074582E">
            <w:pPr>
              <w:tabs>
                <w:tab w:val="left" w:pos="939"/>
              </w:tabs>
              <w:jc w:val="both"/>
              <w:rPr>
                <w:sz w:val="20"/>
                <w:lang w:val="fr-CA"/>
              </w:rPr>
            </w:pPr>
          </w:p>
        </w:tc>
      </w:tr>
      <w:tr w:rsidR="00E70281" w:rsidRPr="00B10752" w:rsidTr="0074582E">
        <w:tc>
          <w:tcPr>
            <w:tcW w:w="5000" w:type="pct"/>
            <w:gridSpan w:val="4"/>
          </w:tcPr>
          <w:p w:rsidR="00E70281" w:rsidRPr="00B10752" w:rsidRDefault="00E70281" w:rsidP="0074582E">
            <w:pPr>
              <w:tabs>
                <w:tab w:val="left" w:pos="939"/>
              </w:tabs>
              <w:jc w:val="both"/>
              <w:rPr>
                <w:sz w:val="20"/>
                <w:lang w:val="fr-CA"/>
              </w:rPr>
            </w:pPr>
            <w:r w:rsidRPr="00B10752">
              <w:rPr>
                <w:sz w:val="20"/>
                <w:lang w:val="fr-CA"/>
              </w:rPr>
              <w:t>Procédure civile — Appels — Pouvoir d’imposer des sanctions en cas d’abus de procédure — La demande est rejetée au motif qu’elle n’est pas fondée en droit — L’appel est rejeté et déclaré comme étant abusif — La demande d’autorisation d’appel soulève</w:t>
            </w:r>
            <w:r w:rsidRPr="00B10752">
              <w:rPr>
                <w:sz w:val="20"/>
                <w:lang w:val="fr-CA"/>
              </w:rPr>
              <w:noBreakHyphen/>
              <w:t>t</w:t>
            </w:r>
            <w:r w:rsidRPr="00B10752">
              <w:rPr>
                <w:sz w:val="20"/>
                <w:lang w:val="fr-CA"/>
              </w:rPr>
              <w:noBreakHyphen/>
              <w:t>elle des questions d’importance pour le public?</w:t>
            </w:r>
          </w:p>
        </w:tc>
      </w:tr>
      <w:tr w:rsidR="00E70281" w:rsidRPr="00B10752" w:rsidTr="0074582E">
        <w:tc>
          <w:tcPr>
            <w:tcW w:w="5000" w:type="pct"/>
            <w:gridSpan w:val="4"/>
          </w:tcPr>
          <w:p w:rsidR="00E70281" w:rsidRPr="00B10752" w:rsidRDefault="00E70281" w:rsidP="0074582E">
            <w:pPr>
              <w:jc w:val="both"/>
              <w:rPr>
                <w:sz w:val="20"/>
                <w:lang w:val="fr-CA"/>
              </w:rPr>
            </w:pPr>
          </w:p>
          <w:p w:rsidR="00E70281" w:rsidRPr="00B10752" w:rsidRDefault="00E70281" w:rsidP="0074582E">
            <w:pPr>
              <w:jc w:val="both"/>
              <w:rPr>
                <w:sz w:val="20"/>
                <w:lang w:val="fr-CA"/>
              </w:rPr>
            </w:pPr>
            <w:r w:rsidRPr="00B10752">
              <w:rPr>
                <w:sz w:val="20"/>
                <w:lang w:val="fr-CA"/>
              </w:rPr>
              <w:lastRenderedPageBreak/>
              <w:t>Le demandeur soutient qu’il était couvert par un contrat d’assurance « protection juridique » pendant qu’il était étudiant. Il demande que les défenderesses paient ses frais juridiques, le représentent dans le cadre d’un recours institué contre son université, et lui versent de multiples indemnités. La Cour supérieure a rejeté la demande du demandeur au motif qu’elle n’était pas fondée en droit et l’a déclarée comme étant abusive. La Cour d’appel a rejeté l’appel du demandeur et a déclaré ce recours comme étant abusif.</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lastRenderedPageBreak/>
              <w:t>11 février 2020</w:t>
            </w:r>
          </w:p>
          <w:p w:rsidR="00E70281" w:rsidRPr="00B10752" w:rsidRDefault="00E70281" w:rsidP="0074582E">
            <w:pPr>
              <w:jc w:val="both"/>
              <w:rPr>
                <w:sz w:val="20"/>
                <w:lang w:val="fr-CA"/>
              </w:rPr>
            </w:pPr>
            <w:r w:rsidRPr="00B10752">
              <w:rPr>
                <w:sz w:val="20"/>
                <w:lang w:val="fr-CA"/>
              </w:rPr>
              <w:t>Cour supérieure du Québec</w:t>
            </w:r>
          </w:p>
          <w:p w:rsidR="00E70281" w:rsidRPr="00B10752" w:rsidRDefault="00E70281" w:rsidP="0074582E">
            <w:pPr>
              <w:jc w:val="both"/>
              <w:rPr>
                <w:sz w:val="20"/>
                <w:lang w:val="fr-CA"/>
              </w:rPr>
            </w:pPr>
            <w:r w:rsidRPr="00B10752">
              <w:rPr>
                <w:sz w:val="20"/>
                <w:lang w:val="fr-CA"/>
              </w:rPr>
              <w:t>(Juge Perreault)</w:t>
            </w:r>
          </w:p>
          <w:p w:rsidR="00E70281" w:rsidRPr="00B10752" w:rsidRDefault="00E70281" w:rsidP="0074582E">
            <w:pPr>
              <w:jc w:val="both"/>
              <w:rPr>
                <w:sz w:val="20"/>
                <w:lang w:val="fr-CA"/>
              </w:rPr>
            </w:pPr>
            <w:r w:rsidRPr="00B10752">
              <w:rPr>
                <w:sz w:val="20"/>
                <w:lang w:val="fr-CA"/>
              </w:rPr>
              <w:t>500</w:t>
            </w:r>
            <w:r w:rsidRPr="00B10752">
              <w:rPr>
                <w:sz w:val="20"/>
                <w:lang w:val="fr-CA"/>
              </w:rPr>
              <w:noBreakHyphen/>
              <w:t>17</w:t>
            </w:r>
            <w:r w:rsidRPr="00B10752">
              <w:rPr>
                <w:sz w:val="20"/>
                <w:lang w:val="fr-CA"/>
              </w:rPr>
              <w:noBreakHyphen/>
              <w:t>107563</w:t>
            </w:r>
            <w:r w:rsidRPr="00B10752">
              <w:rPr>
                <w:sz w:val="20"/>
                <w:lang w:val="fr-CA"/>
              </w:rPr>
              <w:noBreakHyphen/>
              <w:t>192</w:t>
            </w:r>
          </w:p>
          <w:p w:rsidR="00E70281" w:rsidRPr="00B10752" w:rsidRDefault="00B10752" w:rsidP="0074582E">
            <w:pPr>
              <w:jc w:val="both"/>
              <w:rPr>
                <w:sz w:val="20"/>
                <w:lang w:val="fr-CA"/>
              </w:rPr>
            </w:pPr>
            <w:hyperlink r:id="rId73" w:history="1">
              <w:r w:rsidR="00E70281" w:rsidRPr="00B10752">
                <w:rPr>
                  <w:rStyle w:val="Hyperlink"/>
                  <w:sz w:val="20"/>
                  <w:lang w:val="fr-CA"/>
                </w:rPr>
                <w:t>2020 QCCS 393</w:t>
              </w:r>
            </w:hyperlink>
            <w:r w:rsidR="00E70281" w:rsidRPr="00B10752">
              <w:rPr>
                <w:sz w:val="20"/>
                <w:lang w:val="fr-CA"/>
              </w:rPr>
              <w:t xml:space="preserve"> </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est rejetée et déclarée comme étant abusive.</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15 juin 2020</w:t>
            </w:r>
          </w:p>
          <w:p w:rsidR="00E70281" w:rsidRPr="00B10752" w:rsidRDefault="00E70281" w:rsidP="0074582E">
            <w:pPr>
              <w:jc w:val="both"/>
              <w:rPr>
                <w:sz w:val="20"/>
                <w:lang w:val="fr-CA"/>
              </w:rPr>
            </w:pPr>
            <w:r w:rsidRPr="00B10752">
              <w:rPr>
                <w:sz w:val="20"/>
                <w:lang w:val="fr-CA"/>
              </w:rPr>
              <w:t>Cour d’appel du Québec (Montréal)</w:t>
            </w:r>
          </w:p>
          <w:p w:rsidR="00E70281" w:rsidRPr="00B10752" w:rsidRDefault="00E70281" w:rsidP="0074582E">
            <w:pPr>
              <w:jc w:val="both"/>
              <w:rPr>
                <w:sz w:val="20"/>
                <w:lang w:val="fr-CA"/>
              </w:rPr>
            </w:pPr>
            <w:r w:rsidRPr="00B10752">
              <w:rPr>
                <w:sz w:val="20"/>
                <w:lang w:val="fr-CA"/>
              </w:rPr>
              <w:t>(Juges Gagnon, Lévesque, Sansfaçon)</w:t>
            </w:r>
          </w:p>
          <w:p w:rsidR="00E70281" w:rsidRPr="00B10752" w:rsidRDefault="00E70281" w:rsidP="0074582E">
            <w:pPr>
              <w:jc w:val="both"/>
              <w:rPr>
                <w:sz w:val="20"/>
                <w:lang w:val="fr-CA"/>
              </w:rPr>
            </w:pPr>
            <w:r w:rsidRPr="00B10752">
              <w:rPr>
                <w:sz w:val="20"/>
                <w:lang w:val="fr-CA"/>
              </w:rPr>
              <w:t>500</w:t>
            </w:r>
            <w:r w:rsidRPr="00B10752">
              <w:rPr>
                <w:sz w:val="20"/>
                <w:lang w:val="fr-CA"/>
              </w:rPr>
              <w:noBreakHyphen/>
              <w:t>09</w:t>
            </w:r>
            <w:r w:rsidRPr="00B10752">
              <w:rPr>
                <w:sz w:val="20"/>
                <w:lang w:val="fr-CA"/>
              </w:rPr>
              <w:noBreakHyphen/>
              <w:t>028844</w:t>
            </w:r>
            <w:r w:rsidRPr="00B10752">
              <w:rPr>
                <w:sz w:val="20"/>
                <w:lang w:val="fr-CA"/>
              </w:rPr>
              <w:noBreakHyphen/>
              <w:t>207</w:t>
            </w:r>
          </w:p>
          <w:p w:rsidR="00E70281" w:rsidRPr="00B10752" w:rsidRDefault="00B10752" w:rsidP="0074582E">
            <w:pPr>
              <w:jc w:val="both"/>
              <w:rPr>
                <w:sz w:val="20"/>
                <w:lang w:val="fr-CA"/>
              </w:rPr>
            </w:pPr>
            <w:hyperlink r:id="rId74" w:history="1">
              <w:r w:rsidR="00E70281" w:rsidRPr="00B10752">
                <w:rPr>
                  <w:rStyle w:val="Hyperlink"/>
                  <w:sz w:val="20"/>
                  <w:lang w:val="fr-CA"/>
                </w:rPr>
                <w:t>2020 QCCA 956</w:t>
              </w:r>
            </w:hyperlink>
            <w:r w:rsidR="00E70281" w:rsidRPr="00B10752">
              <w:rPr>
                <w:sz w:val="20"/>
                <w:lang w:val="fr-CA"/>
              </w:rPr>
              <w:t xml:space="preserve"> </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L’appel est rejeté et déclaré comme étant abusif.</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13 août 2020</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d’appel est présentée.</w:t>
            </w:r>
          </w:p>
          <w:p w:rsidR="00E70281" w:rsidRPr="00B10752" w:rsidRDefault="00E70281" w:rsidP="0074582E">
            <w:pPr>
              <w:jc w:val="both"/>
              <w:rPr>
                <w:sz w:val="20"/>
                <w:lang w:val="fr-CA"/>
              </w:rPr>
            </w:pP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76"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39472</w:t>
            </w:r>
          </w:p>
        </w:tc>
        <w:tc>
          <w:tcPr>
            <w:tcW w:w="4457" w:type="pct"/>
            <w:gridSpan w:val="3"/>
          </w:tcPr>
          <w:p w:rsidR="00E70281" w:rsidRPr="00B10752" w:rsidRDefault="00E70281" w:rsidP="0074582E">
            <w:pPr>
              <w:pStyle w:val="SCCLsocParty"/>
              <w:jc w:val="both"/>
              <w:rPr>
                <w:b/>
                <w:sz w:val="20"/>
                <w:szCs w:val="20"/>
                <w:lang w:val="en-US"/>
              </w:rPr>
            </w:pPr>
            <w:r w:rsidRPr="00B10752">
              <w:rPr>
                <w:b/>
                <w:sz w:val="20"/>
                <w:szCs w:val="20"/>
                <w:lang w:val="en-US"/>
              </w:rPr>
              <w:t xml:space="preserve">Volodymyr Hrabovskyy v. </w:t>
            </w:r>
            <w:r w:rsidR="00BA1B00" w:rsidRPr="00B10752">
              <w:rPr>
                <w:b/>
                <w:sz w:val="20"/>
                <w:szCs w:val="20"/>
                <w:lang w:val="en-US"/>
              </w:rPr>
              <w:t>Chubb European Group SE and Chubb Insurance Company of Canada</w:t>
            </w:r>
          </w:p>
          <w:p w:rsidR="00E70281" w:rsidRPr="00B10752" w:rsidRDefault="00E70281" w:rsidP="0074582E">
            <w:pPr>
              <w:jc w:val="both"/>
              <w:rPr>
                <w:sz w:val="20"/>
              </w:rPr>
            </w:pPr>
            <w:r w:rsidRPr="00B10752">
              <w:rPr>
                <w:sz w:val="20"/>
              </w:rPr>
              <w:t>(Que.) (Civil) (By Leave)</w:t>
            </w:r>
          </w:p>
        </w:tc>
      </w:tr>
      <w:tr w:rsidR="00E70281" w:rsidRPr="00B10752" w:rsidTr="0074582E">
        <w:tc>
          <w:tcPr>
            <w:tcW w:w="5000" w:type="pct"/>
            <w:gridSpan w:val="4"/>
          </w:tcPr>
          <w:p w:rsidR="00BA1B00" w:rsidRPr="00B10752" w:rsidRDefault="00BA1B00" w:rsidP="00BA1B00">
            <w:pPr>
              <w:jc w:val="both"/>
              <w:rPr>
                <w:sz w:val="20"/>
                <w:szCs w:val="20"/>
              </w:rPr>
            </w:pPr>
            <w:r w:rsidRPr="00B10752">
              <w:rPr>
                <w:sz w:val="20"/>
                <w:szCs w:val="20"/>
              </w:rPr>
              <w:t>The application for leave to appeal from the judgment of the Court of Appeal of Quebec (Montréal), Number 500-09-029003-209, 2020 QCCA 1348, dated October 19, 2020, is dismissed with costs.</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Civil procedure — Appeals — Power to impose sanctions for abuse of procedure — Statement of claim dismissed and declared abusive — Application for leave to appeal dismissed by the Court of Appeal for lack of reasonable chance of success — Whether application for leave to appeal raises any issues of public importance.</w:t>
            </w:r>
          </w:p>
        </w:tc>
      </w:tr>
      <w:tr w:rsidR="00E70281" w:rsidRPr="00B10752" w:rsidTr="0074582E">
        <w:tc>
          <w:tcPr>
            <w:tcW w:w="5000" w:type="pct"/>
            <w:gridSpan w:val="4"/>
          </w:tcPr>
          <w:p w:rsidR="00E70281" w:rsidRPr="00B10752" w:rsidRDefault="00E70281" w:rsidP="0074582E">
            <w:pPr>
              <w:jc w:val="both"/>
              <w:rPr>
                <w:sz w:val="20"/>
              </w:rPr>
            </w:pPr>
          </w:p>
          <w:p w:rsidR="00E70281" w:rsidRPr="00B10752" w:rsidRDefault="00E70281" w:rsidP="0074582E">
            <w:pPr>
              <w:jc w:val="both"/>
              <w:rPr>
                <w:sz w:val="20"/>
              </w:rPr>
            </w:pPr>
            <w:r w:rsidRPr="00B10752">
              <w:rPr>
                <w:sz w:val="20"/>
              </w:rPr>
              <w:t xml:space="preserve">The applicant sued the respondents under a travel insurance policy. The Superior Court dismissed the applicant statement of claim and declared it abusive. The Court of Appeal dismissed the application for leave to appeal, holding that the proposed appeal had no reasonable chance of success. </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July 8, 2020</w:t>
            </w:r>
          </w:p>
          <w:p w:rsidR="00E70281" w:rsidRPr="00B10752" w:rsidRDefault="00E70281" w:rsidP="0074582E">
            <w:pPr>
              <w:jc w:val="both"/>
              <w:rPr>
                <w:sz w:val="20"/>
              </w:rPr>
            </w:pPr>
            <w:r w:rsidRPr="00B10752">
              <w:rPr>
                <w:sz w:val="20"/>
              </w:rPr>
              <w:t>Superior Court of Quebec</w:t>
            </w:r>
          </w:p>
          <w:p w:rsidR="00E70281" w:rsidRPr="00B10752" w:rsidRDefault="00E70281" w:rsidP="0074582E">
            <w:pPr>
              <w:jc w:val="both"/>
              <w:rPr>
                <w:sz w:val="20"/>
              </w:rPr>
            </w:pPr>
            <w:r w:rsidRPr="00B10752">
              <w:rPr>
                <w:sz w:val="20"/>
              </w:rPr>
              <w:t>(St-Pierre J.)</w:t>
            </w:r>
          </w:p>
          <w:p w:rsidR="00E70281" w:rsidRPr="00B10752" w:rsidRDefault="00E70281" w:rsidP="0074582E">
            <w:pPr>
              <w:jc w:val="both"/>
              <w:rPr>
                <w:sz w:val="20"/>
              </w:rPr>
            </w:pPr>
            <w:r w:rsidRPr="00B10752">
              <w:rPr>
                <w:sz w:val="20"/>
              </w:rPr>
              <w:t>500</w:t>
            </w:r>
            <w:r w:rsidRPr="00B10752">
              <w:rPr>
                <w:sz w:val="20"/>
              </w:rPr>
              <w:noBreakHyphen/>
              <w:t>17</w:t>
            </w:r>
            <w:r w:rsidRPr="00B10752">
              <w:rPr>
                <w:sz w:val="20"/>
              </w:rPr>
              <w:noBreakHyphen/>
              <w:t>110369</w:t>
            </w:r>
            <w:r w:rsidRPr="00B10752">
              <w:rPr>
                <w:sz w:val="20"/>
              </w:rPr>
              <w:noBreakHyphen/>
              <w:t>199</w:t>
            </w:r>
          </w:p>
          <w:p w:rsidR="00E70281" w:rsidRPr="00B10752" w:rsidRDefault="00B10752" w:rsidP="0074582E">
            <w:pPr>
              <w:jc w:val="both"/>
              <w:rPr>
                <w:sz w:val="20"/>
              </w:rPr>
            </w:pPr>
            <w:hyperlink r:id="rId75" w:history="1">
              <w:r w:rsidR="00E70281" w:rsidRPr="00B10752">
                <w:rPr>
                  <w:rStyle w:val="Hyperlink"/>
                  <w:sz w:val="20"/>
                </w:rPr>
                <w:t>2020 QCCS 3453</w:t>
              </w:r>
            </w:hyperlink>
            <w:r w:rsidR="00E70281" w:rsidRPr="00B10752">
              <w:rPr>
                <w:sz w:val="20"/>
              </w:rPr>
              <w:t xml:space="preserve"> </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Statement of claim declared abusive and dismissed with costs</w:t>
            </w:r>
          </w:p>
        </w:tc>
      </w:tr>
      <w:tr w:rsidR="00E70281" w:rsidRPr="00B10752" w:rsidTr="0074582E">
        <w:tc>
          <w:tcPr>
            <w:tcW w:w="2427" w:type="pct"/>
            <w:gridSpan w:val="2"/>
          </w:tcPr>
          <w:p w:rsidR="00E70281" w:rsidRPr="00B10752" w:rsidRDefault="00E70281" w:rsidP="0074582E">
            <w:pPr>
              <w:jc w:val="both"/>
              <w:rPr>
                <w:sz w:val="20"/>
              </w:rPr>
            </w:pPr>
            <w:r w:rsidRPr="00B10752">
              <w:rPr>
                <w:sz w:val="20"/>
              </w:rPr>
              <w:t>October 19, 2020</w:t>
            </w:r>
          </w:p>
          <w:p w:rsidR="00E70281" w:rsidRPr="00B10752" w:rsidRDefault="00E70281" w:rsidP="0074582E">
            <w:pPr>
              <w:jc w:val="both"/>
              <w:rPr>
                <w:sz w:val="20"/>
              </w:rPr>
            </w:pPr>
            <w:r w:rsidRPr="00B10752">
              <w:rPr>
                <w:sz w:val="20"/>
              </w:rPr>
              <w:t>Court of Appeal of Quebec (Montréal)</w:t>
            </w:r>
          </w:p>
          <w:p w:rsidR="00E70281" w:rsidRPr="00B10752" w:rsidRDefault="00E70281" w:rsidP="0074582E">
            <w:pPr>
              <w:jc w:val="both"/>
              <w:rPr>
                <w:sz w:val="20"/>
                <w:lang w:val="fr-CA"/>
              </w:rPr>
            </w:pPr>
            <w:r w:rsidRPr="00B10752">
              <w:rPr>
                <w:sz w:val="20"/>
                <w:lang w:val="fr-CA"/>
              </w:rPr>
              <w:t>(Mainville J.A.)</w:t>
            </w:r>
          </w:p>
          <w:p w:rsidR="00E70281" w:rsidRPr="00B10752" w:rsidRDefault="00E70281" w:rsidP="0074582E">
            <w:pPr>
              <w:jc w:val="both"/>
              <w:rPr>
                <w:sz w:val="20"/>
                <w:lang w:val="fr-CA"/>
              </w:rPr>
            </w:pPr>
            <w:r w:rsidRPr="00B10752">
              <w:rPr>
                <w:sz w:val="20"/>
                <w:lang w:val="fr-CA"/>
              </w:rPr>
              <w:t>500</w:t>
            </w:r>
            <w:r w:rsidRPr="00B10752">
              <w:rPr>
                <w:sz w:val="20"/>
                <w:lang w:val="fr-CA"/>
              </w:rPr>
              <w:noBreakHyphen/>
              <w:t>09</w:t>
            </w:r>
            <w:r w:rsidRPr="00B10752">
              <w:rPr>
                <w:sz w:val="20"/>
                <w:lang w:val="fr-CA"/>
              </w:rPr>
              <w:noBreakHyphen/>
              <w:t>029003</w:t>
            </w:r>
            <w:r w:rsidRPr="00B10752">
              <w:rPr>
                <w:sz w:val="20"/>
                <w:lang w:val="fr-CA"/>
              </w:rPr>
              <w:noBreakHyphen/>
              <w:t>209</w:t>
            </w:r>
          </w:p>
          <w:p w:rsidR="00E70281" w:rsidRPr="00B10752" w:rsidRDefault="00B10752" w:rsidP="0074582E">
            <w:pPr>
              <w:jc w:val="both"/>
              <w:rPr>
                <w:sz w:val="20"/>
                <w:lang w:val="fr-CA"/>
              </w:rPr>
            </w:pPr>
            <w:hyperlink r:id="rId76" w:history="1">
              <w:r w:rsidR="00E70281" w:rsidRPr="00B10752">
                <w:rPr>
                  <w:rStyle w:val="Hyperlink"/>
                  <w:sz w:val="20"/>
                  <w:lang w:val="fr-CA"/>
                </w:rPr>
                <w:t>2020 QCCA 1348</w:t>
              </w:r>
            </w:hyperlink>
            <w:r w:rsidR="00E70281" w:rsidRPr="00B10752">
              <w:rPr>
                <w:sz w:val="20"/>
                <w:lang w:val="fr-CA"/>
              </w:rPr>
              <w:t xml:space="preserve"> </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dismissed with costs</w:t>
            </w:r>
          </w:p>
        </w:tc>
      </w:tr>
      <w:tr w:rsidR="00E70281" w:rsidRPr="00B10752" w:rsidTr="0074582E">
        <w:tc>
          <w:tcPr>
            <w:tcW w:w="2427" w:type="pct"/>
            <w:gridSpan w:val="2"/>
          </w:tcPr>
          <w:p w:rsidR="00E70281" w:rsidRPr="00B10752" w:rsidRDefault="00E70281" w:rsidP="0074582E">
            <w:pPr>
              <w:jc w:val="both"/>
              <w:rPr>
                <w:sz w:val="20"/>
              </w:rPr>
            </w:pPr>
            <w:r w:rsidRPr="00B10752">
              <w:rPr>
                <w:sz w:val="20"/>
              </w:rPr>
              <w:t>October 28, 2020</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lastRenderedPageBreak/>
        <w:pict>
          <v:rect id="_x0000_i1077"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39472</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 xml:space="preserve">Volodymyr Hrabovskyy c. </w:t>
            </w:r>
            <w:r w:rsidR="00BA1B00" w:rsidRPr="00B10752">
              <w:rPr>
                <w:b/>
                <w:sz w:val="20"/>
                <w:szCs w:val="20"/>
              </w:rPr>
              <w:t>Chubb European Group SE et Chubb du Canada Compagnie d’assurance</w:t>
            </w:r>
          </w:p>
          <w:p w:rsidR="00E70281" w:rsidRPr="00B10752" w:rsidRDefault="00E70281" w:rsidP="0074582E">
            <w:pPr>
              <w:jc w:val="both"/>
              <w:rPr>
                <w:sz w:val="20"/>
                <w:lang w:val="fr-CA"/>
              </w:rPr>
            </w:pPr>
            <w:r w:rsidRPr="00B10752">
              <w:rPr>
                <w:sz w:val="20"/>
                <w:lang w:val="fr-CA"/>
              </w:rPr>
              <w:t>(Qc) (Civile) (Sur autorisation)</w:t>
            </w:r>
          </w:p>
        </w:tc>
      </w:tr>
      <w:tr w:rsidR="00E70281" w:rsidRPr="00B10752" w:rsidTr="0074582E">
        <w:tc>
          <w:tcPr>
            <w:tcW w:w="5000" w:type="pct"/>
            <w:gridSpan w:val="4"/>
          </w:tcPr>
          <w:p w:rsidR="00E70281" w:rsidRPr="00B10752" w:rsidRDefault="00BA1B00" w:rsidP="0074582E">
            <w:pPr>
              <w:jc w:val="both"/>
              <w:rPr>
                <w:sz w:val="20"/>
                <w:szCs w:val="20"/>
                <w:lang w:val="fr-CA"/>
              </w:rPr>
            </w:pPr>
            <w:r w:rsidRPr="00B10752">
              <w:rPr>
                <w:sz w:val="20"/>
                <w:szCs w:val="20"/>
                <w:lang w:val="fr-CA"/>
              </w:rPr>
              <w:t>La demande d’autorisation d’appel de l’arrêt de la Cour d’appel du Québec (Montréal), numéro 500-09-029003-209, 2020 QCCA 1348, daté du 19 octobre 2020, est rejetée avec dépens.</w:t>
            </w:r>
          </w:p>
          <w:p w:rsidR="00BA1B00" w:rsidRPr="00B10752" w:rsidRDefault="00BA1B00"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Procédure civile — Appels — Pouvoir d'imposer des sanctions en cas d'abus de procédure — La déclaration est rejetée et déclarée comme étant abusive — La demande d’autorisation d'appel est rejetée par la Cour d’appel parce qu’elle n’a aucune chance raisonnable de succès — La demande d’autorisation d’appel soulève</w:t>
            </w:r>
            <w:r w:rsidRPr="00B10752">
              <w:rPr>
                <w:sz w:val="20"/>
                <w:lang w:val="fr-CA"/>
              </w:rPr>
              <w:noBreakHyphen/>
              <w:t>t</w:t>
            </w:r>
            <w:r w:rsidRPr="00B10752">
              <w:rPr>
                <w:sz w:val="20"/>
                <w:lang w:val="fr-CA"/>
              </w:rPr>
              <w:noBreakHyphen/>
              <w:t>elle des questions d’importance pour le public?</w:t>
            </w:r>
          </w:p>
        </w:tc>
      </w:tr>
      <w:tr w:rsidR="00E70281" w:rsidRPr="00B10752" w:rsidTr="0074582E">
        <w:tc>
          <w:tcPr>
            <w:tcW w:w="5000" w:type="pct"/>
            <w:gridSpan w:val="4"/>
          </w:tcPr>
          <w:p w:rsidR="00E70281" w:rsidRPr="00B10752" w:rsidRDefault="00E70281" w:rsidP="0074582E">
            <w:pPr>
              <w:jc w:val="both"/>
              <w:rPr>
                <w:sz w:val="20"/>
                <w:lang w:val="fr-CA"/>
              </w:rPr>
            </w:pPr>
          </w:p>
          <w:p w:rsidR="00E70281" w:rsidRPr="00B10752" w:rsidRDefault="00E70281" w:rsidP="0074582E">
            <w:pPr>
              <w:jc w:val="both"/>
              <w:rPr>
                <w:sz w:val="20"/>
                <w:lang w:val="fr-CA"/>
              </w:rPr>
            </w:pPr>
            <w:r w:rsidRPr="00B10752">
              <w:rPr>
                <w:sz w:val="20"/>
                <w:lang w:val="fr-CA"/>
              </w:rPr>
              <w:t xml:space="preserve">Le demandeur a intenté des poursuites contre les intimées en vertu d’une police d’assurance voyage. La Cour supérieure a rejeté la déclaration du demandeur et l’a déclarée comme étant abusive. La Cour d’appel a rejeté la demande d’autorisation d'appel, après avoir conclu que l’appel proposé n’avait aucune chance raisonnable de succès. </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8 juillet 2020</w:t>
            </w:r>
          </w:p>
          <w:p w:rsidR="00E70281" w:rsidRPr="00B10752" w:rsidRDefault="00E70281" w:rsidP="0074582E">
            <w:pPr>
              <w:jc w:val="both"/>
              <w:rPr>
                <w:sz w:val="20"/>
                <w:lang w:val="fr-CA"/>
              </w:rPr>
            </w:pPr>
            <w:r w:rsidRPr="00B10752">
              <w:rPr>
                <w:sz w:val="20"/>
                <w:lang w:val="fr-CA"/>
              </w:rPr>
              <w:t>Cour supérieure du Québec</w:t>
            </w:r>
          </w:p>
          <w:p w:rsidR="00E70281" w:rsidRPr="00B10752" w:rsidRDefault="00E70281" w:rsidP="0074582E">
            <w:pPr>
              <w:jc w:val="both"/>
              <w:rPr>
                <w:sz w:val="20"/>
                <w:lang w:val="fr-CA"/>
              </w:rPr>
            </w:pPr>
            <w:r w:rsidRPr="00B10752">
              <w:rPr>
                <w:sz w:val="20"/>
                <w:lang w:val="fr-CA"/>
              </w:rPr>
              <w:t>(Juge St-Pierre)</w:t>
            </w:r>
          </w:p>
          <w:p w:rsidR="00E70281" w:rsidRPr="00B10752" w:rsidRDefault="00E70281" w:rsidP="0074582E">
            <w:pPr>
              <w:jc w:val="both"/>
              <w:rPr>
                <w:sz w:val="20"/>
                <w:lang w:val="fr-CA"/>
              </w:rPr>
            </w:pPr>
            <w:r w:rsidRPr="00B10752">
              <w:rPr>
                <w:sz w:val="20"/>
                <w:lang w:val="fr-CA"/>
              </w:rPr>
              <w:t>500</w:t>
            </w:r>
            <w:r w:rsidRPr="00B10752">
              <w:rPr>
                <w:sz w:val="20"/>
                <w:lang w:val="fr-CA"/>
              </w:rPr>
              <w:noBreakHyphen/>
              <w:t>17</w:t>
            </w:r>
            <w:r w:rsidRPr="00B10752">
              <w:rPr>
                <w:sz w:val="20"/>
                <w:lang w:val="fr-CA"/>
              </w:rPr>
              <w:noBreakHyphen/>
              <w:t>110369</w:t>
            </w:r>
            <w:r w:rsidRPr="00B10752">
              <w:rPr>
                <w:sz w:val="20"/>
                <w:lang w:val="fr-CA"/>
              </w:rPr>
              <w:noBreakHyphen/>
              <w:t>199</w:t>
            </w:r>
          </w:p>
          <w:p w:rsidR="00E70281" w:rsidRPr="00B10752" w:rsidRDefault="00B10752" w:rsidP="0074582E">
            <w:pPr>
              <w:jc w:val="both"/>
              <w:rPr>
                <w:sz w:val="20"/>
                <w:lang w:val="fr-CA"/>
              </w:rPr>
            </w:pPr>
            <w:hyperlink r:id="rId77" w:history="1">
              <w:r w:rsidR="00E70281" w:rsidRPr="00B10752">
                <w:rPr>
                  <w:rStyle w:val="Hyperlink"/>
                  <w:sz w:val="20"/>
                  <w:lang w:val="fr-CA"/>
                </w:rPr>
                <w:t>2020 QCCS 3453</w:t>
              </w:r>
            </w:hyperlink>
            <w:r w:rsidR="00E70281" w:rsidRPr="00B10752">
              <w:rPr>
                <w:sz w:val="20"/>
                <w:lang w:val="fr-CA"/>
              </w:rPr>
              <w:t xml:space="preserve"> </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déclaration est déclarée comme étant abusive et est rejetée avec dépens.</w:t>
            </w: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19 octobre 2020</w:t>
            </w:r>
          </w:p>
          <w:p w:rsidR="00E70281" w:rsidRPr="00B10752" w:rsidRDefault="00E70281" w:rsidP="0074582E">
            <w:pPr>
              <w:jc w:val="both"/>
              <w:rPr>
                <w:sz w:val="20"/>
                <w:lang w:val="fr-CA"/>
              </w:rPr>
            </w:pPr>
            <w:r w:rsidRPr="00B10752">
              <w:rPr>
                <w:sz w:val="20"/>
                <w:lang w:val="fr-CA"/>
              </w:rPr>
              <w:t>Cour d’appel du Québec (Montréal)</w:t>
            </w:r>
          </w:p>
          <w:p w:rsidR="00E70281" w:rsidRPr="00B10752" w:rsidRDefault="00E70281" w:rsidP="0074582E">
            <w:pPr>
              <w:jc w:val="both"/>
              <w:rPr>
                <w:sz w:val="20"/>
                <w:lang w:val="fr-CA"/>
              </w:rPr>
            </w:pPr>
            <w:r w:rsidRPr="00B10752">
              <w:rPr>
                <w:sz w:val="20"/>
                <w:lang w:val="fr-CA"/>
              </w:rPr>
              <w:t>(Juge Mainville)</w:t>
            </w:r>
          </w:p>
          <w:p w:rsidR="00E70281" w:rsidRPr="00B10752" w:rsidRDefault="00E70281" w:rsidP="0074582E">
            <w:pPr>
              <w:jc w:val="both"/>
              <w:rPr>
                <w:sz w:val="20"/>
                <w:lang w:val="fr-CA"/>
              </w:rPr>
            </w:pPr>
            <w:r w:rsidRPr="00B10752">
              <w:rPr>
                <w:sz w:val="20"/>
                <w:lang w:val="fr-CA"/>
              </w:rPr>
              <w:t>500</w:t>
            </w:r>
            <w:r w:rsidRPr="00B10752">
              <w:rPr>
                <w:sz w:val="20"/>
                <w:lang w:val="fr-CA"/>
              </w:rPr>
              <w:noBreakHyphen/>
              <w:t>09</w:t>
            </w:r>
            <w:r w:rsidRPr="00B10752">
              <w:rPr>
                <w:sz w:val="20"/>
                <w:lang w:val="fr-CA"/>
              </w:rPr>
              <w:noBreakHyphen/>
              <w:t>029003</w:t>
            </w:r>
            <w:r w:rsidRPr="00B10752">
              <w:rPr>
                <w:sz w:val="20"/>
                <w:lang w:val="fr-CA"/>
              </w:rPr>
              <w:noBreakHyphen/>
              <w:t>209</w:t>
            </w:r>
          </w:p>
          <w:p w:rsidR="00E70281" w:rsidRPr="00B10752" w:rsidRDefault="00B10752" w:rsidP="0074582E">
            <w:pPr>
              <w:jc w:val="both"/>
              <w:rPr>
                <w:sz w:val="20"/>
                <w:lang w:val="fr-CA"/>
              </w:rPr>
            </w:pPr>
            <w:hyperlink r:id="rId78" w:history="1">
              <w:r w:rsidR="00E70281" w:rsidRPr="00B10752">
                <w:rPr>
                  <w:rStyle w:val="Hyperlink"/>
                  <w:sz w:val="20"/>
                  <w:lang w:val="fr-CA"/>
                </w:rPr>
                <w:t>2020 QCCA 1348</w:t>
              </w:r>
            </w:hyperlink>
            <w:r w:rsidR="00E70281" w:rsidRPr="00B10752">
              <w:rPr>
                <w:sz w:val="20"/>
                <w:lang w:val="fr-CA"/>
              </w:rPr>
              <w:t xml:space="preserve"> </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d’appel est rejetée avec dépens.</w:t>
            </w: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28 octobre 2020</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d’appel est présentée.</w:t>
            </w:r>
          </w:p>
          <w:p w:rsidR="00E70281" w:rsidRPr="00B10752" w:rsidRDefault="00E70281" w:rsidP="0074582E">
            <w:pPr>
              <w:jc w:val="both"/>
              <w:rPr>
                <w:sz w:val="20"/>
                <w:lang w:val="fr-CA"/>
              </w:rPr>
            </w:pP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78"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39500</w:t>
            </w:r>
          </w:p>
        </w:tc>
        <w:tc>
          <w:tcPr>
            <w:tcW w:w="4457" w:type="pct"/>
          </w:tcPr>
          <w:p w:rsidR="00E70281" w:rsidRPr="00B10752" w:rsidRDefault="00E70281" w:rsidP="0074582E">
            <w:pPr>
              <w:pStyle w:val="SCCLsocParty"/>
              <w:jc w:val="both"/>
              <w:rPr>
                <w:b/>
                <w:sz w:val="20"/>
                <w:szCs w:val="20"/>
                <w:lang w:val="en-US"/>
              </w:rPr>
            </w:pPr>
            <w:r w:rsidRPr="00B10752">
              <w:rPr>
                <w:b/>
                <w:sz w:val="20"/>
                <w:szCs w:val="20"/>
                <w:lang w:val="en-US"/>
              </w:rPr>
              <w:t>Benjamin Mossman</w:t>
            </w:r>
            <w:r w:rsidR="00360F3B" w:rsidRPr="00B10752">
              <w:rPr>
                <w:b/>
                <w:sz w:val="20"/>
                <w:szCs w:val="20"/>
                <w:lang w:val="en-US"/>
              </w:rPr>
              <w:t xml:space="preserve"> and Dirk Meckert</w:t>
            </w:r>
            <w:r w:rsidRPr="00B10752">
              <w:rPr>
                <w:b/>
                <w:sz w:val="20"/>
                <w:szCs w:val="20"/>
                <w:lang w:val="en-US"/>
              </w:rPr>
              <w:t xml:space="preserve"> v. Her Majesty the Queen</w:t>
            </w:r>
          </w:p>
          <w:p w:rsidR="00E70281" w:rsidRPr="00B10752" w:rsidRDefault="00E70281" w:rsidP="0074582E">
            <w:pPr>
              <w:jc w:val="both"/>
              <w:rPr>
                <w:sz w:val="20"/>
              </w:rPr>
            </w:pPr>
            <w:r w:rsidRPr="00B10752">
              <w:rPr>
                <w:sz w:val="20"/>
              </w:rPr>
              <w:t>(B.C.) (Civil) (By Leave)</w:t>
            </w:r>
          </w:p>
        </w:tc>
      </w:tr>
      <w:tr w:rsidR="00E70281" w:rsidRPr="00B10752" w:rsidTr="0074582E">
        <w:tc>
          <w:tcPr>
            <w:tcW w:w="5000" w:type="pct"/>
            <w:gridSpan w:val="2"/>
          </w:tcPr>
          <w:p w:rsidR="00360F3B" w:rsidRPr="00B10752" w:rsidRDefault="00360F3B" w:rsidP="00360F3B">
            <w:pPr>
              <w:jc w:val="both"/>
              <w:rPr>
                <w:sz w:val="20"/>
                <w:szCs w:val="20"/>
              </w:rPr>
            </w:pPr>
            <w:r w:rsidRPr="00B10752">
              <w:rPr>
                <w:sz w:val="20"/>
                <w:szCs w:val="20"/>
              </w:rPr>
              <w:t>The motion to join two Court of Appeal for British Columbia files in a single application for leave to appeal is granted. The motion for an extension of time to serve and file the reply is granted. The application for leave to appeal from the judgment of the Court of Appeal for British Columbia (Vancouver), Numbers CA46744 and CA46745, 2020 BCCA 299, dated October 29, 2020, is dismissed without costs.</w:t>
            </w:r>
          </w:p>
          <w:p w:rsidR="00E70281" w:rsidRPr="00B10752" w:rsidRDefault="00E70281" w:rsidP="0074582E">
            <w:pPr>
              <w:jc w:val="both"/>
              <w:rPr>
                <w:sz w:val="20"/>
              </w:rPr>
            </w:pPr>
          </w:p>
        </w:tc>
      </w:tr>
      <w:tr w:rsidR="00E70281" w:rsidRPr="00B10752" w:rsidTr="0074582E">
        <w:tc>
          <w:tcPr>
            <w:tcW w:w="5000" w:type="pct"/>
            <w:gridSpan w:val="2"/>
          </w:tcPr>
          <w:p w:rsidR="00E70281" w:rsidRPr="00B10752" w:rsidRDefault="00E70281" w:rsidP="0074582E">
            <w:pPr>
              <w:jc w:val="both"/>
              <w:rPr>
                <w:sz w:val="20"/>
              </w:rPr>
            </w:pPr>
            <w:r w:rsidRPr="00B10752">
              <w:rPr>
                <w:i/>
                <w:sz w:val="20"/>
              </w:rPr>
              <w:t>Charter of Rights</w:t>
            </w:r>
            <w:r w:rsidRPr="00B10752">
              <w:rPr>
                <w:sz w:val="20"/>
              </w:rPr>
              <w:t xml:space="preserve"> — Environmental law — Offences — Test to apply to govern admissibility of statements — Whether </w:t>
            </w:r>
            <w:r w:rsidRPr="00B10752">
              <w:rPr>
                <w:sz w:val="20"/>
                <w:lang w:val="en"/>
              </w:rPr>
              <w:t xml:space="preserve">applicants’ </w:t>
            </w:r>
            <w:r w:rsidRPr="00B10752">
              <w:rPr>
                <w:i/>
                <w:iCs/>
                <w:sz w:val="20"/>
                <w:lang w:val="en"/>
              </w:rPr>
              <w:t>Charter</w:t>
            </w:r>
            <w:r w:rsidRPr="00B10752">
              <w:rPr>
                <w:sz w:val="20"/>
                <w:lang w:val="en"/>
              </w:rPr>
              <w:t xml:space="preserve"> rights under s. 7 (right to life, liberty and security of the person) and s. 8 (unreasonable search and seizure) were violated </w:t>
            </w:r>
            <w:r w:rsidRPr="00B10752">
              <w:rPr>
                <w:sz w:val="20"/>
              </w:rPr>
              <w:t xml:space="preserve">— </w:t>
            </w:r>
            <w:r w:rsidRPr="00B10752">
              <w:rPr>
                <w:color w:val="000000"/>
                <w:sz w:val="20"/>
              </w:rPr>
              <w:t xml:space="preserve">Whether the approach adopted by the courts in British Columbia is a misinterpretation of this Court’s decision in </w:t>
            </w:r>
            <w:r w:rsidRPr="00B10752">
              <w:rPr>
                <w:i/>
                <w:iCs/>
                <w:sz w:val="20"/>
                <w:lang w:val="en"/>
              </w:rPr>
              <w:t>R. v. Nolet</w:t>
            </w:r>
            <w:r w:rsidRPr="00B10752">
              <w:rPr>
                <w:sz w:val="20"/>
                <w:lang w:val="en"/>
              </w:rPr>
              <w:t>, 2010 SCC 24</w:t>
            </w:r>
            <w:r w:rsidRPr="00B10752">
              <w:rPr>
                <w:i/>
                <w:color w:val="000000"/>
                <w:sz w:val="20"/>
              </w:rPr>
              <w:t xml:space="preserve"> </w:t>
            </w:r>
            <w:r w:rsidRPr="00B10752">
              <w:rPr>
                <w:color w:val="000000"/>
                <w:sz w:val="20"/>
              </w:rPr>
              <w:t>— Whether there is confusion in the law that needs to be resolved by this Court — Whether there is an issue of public importance raised.</w:t>
            </w:r>
          </w:p>
        </w:tc>
      </w:tr>
      <w:tr w:rsidR="00E70281" w:rsidRPr="00B10752" w:rsidTr="0074582E">
        <w:tc>
          <w:tcPr>
            <w:tcW w:w="5000" w:type="pct"/>
            <w:gridSpan w:val="2"/>
          </w:tcPr>
          <w:p w:rsidR="00E70281" w:rsidRPr="00B10752" w:rsidRDefault="00E70281" w:rsidP="0074582E">
            <w:pPr>
              <w:jc w:val="both"/>
              <w:rPr>
                <w:sz w:val="20"/>
              </w:rPr>
            </w:pPr>
          </w:p>
        </w:tc>
      </w:tr>
    </w:tbl>
    <w:p w:rsidR="00D90258" w:rsidRPr="00B10752" w:rsidRDefault="00D90258">
      <w:r w:rsidRPr="00B1075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5000" w:type="pct"/>
            <w:gridSpan w:val="3"/>
          </w:tcPr>
          <w:p w:rsidR="00E70281" w:rsidRPr="00B10752" w:rsidRDefault="00E70281" w:rsidP="0074582E">
            <w:pPr>
              <w:jc w:val="both"/>
              <w:rPr>
                <w:sz w:val="20"/>
                <w:lang w:val="en"/>
              </w:rPr>
            </w:pPr>
            <w:r w:rsidRPr="00B10752">
              <w:rPr>
                <w:color w:val="000000"/>
                <w:spacing w:val="-2"/>
                <w:sz w:val="20"/>
              </w:rPr>
              <w:lastRenderedPageBreak/>
              <w:t xml:space="preserve">In response to a significant discharge of mine waste into the environment, the applicants, as operators of the corporate defendant, Banks Island Gold, were charged along with the corporation and others, with contraventions of both provincial and federal environmental legislation. </w:t>
            </w:r>
            <w:r w:rsidRPr="00B10752">
              <w:rPr>
                <w:sz w:val="20"/>
              </w:rPr>
              <w:t>F</w:t>
            </w:r>
            <w:r w:rsidRPr="00B10752">
              <w:rPr>
                <w:sz w:val="20"/>
                <w:lang w:val="en"/>
              </w:rPr>
              <w:t xml:space="preserve">our officers flew over the relevant sites, confirming that spills had occurred at each. After landing, they visited the two sites, obtained samples, and then took a joint statement from the applicants, Mr. Meckert and Mr. Mossman. A </w:t>
            </w:r>
            <w:r w:rsidRPr="00B10752">
              <w:rPr>
                <w:i/>
                <w:iCs/>
                <w:sz w:val="20"/>
                <w:lang w:val="en"/>
              </w:rPr>
              <w:t>voir dire</w:t>
            </w:r>
            <w:r w:rsidRPr="00B10752">
              <w:rPr>
                <w:sz w:val="20"/>
                <w:lang w:val="en"/>
              </w:rPr>
              <w:t xml:space="preserve"> was held to determine whether the observational evidence gathered on the visit, the Spill Report, and the statements taken on two occasions should be excluded on the basis that they had been obtained in breach of the applicants’ </w:t>
            </w:r>
            <w:r w:rsidRPr="00B10752">
              <w:rPr>
                <w:i/>
                <w:iCs/>
                <w:sz w:val="20"/>
                <w:lang w:val="en"/>
              </w:rPr>
              <w:t>Charter</w:t>
            </w:r>
            <w:r w:rsidRPr="00B10752">
              <w:rPr>
                <w:sz w:val="20"/>
                <w:lang w:val="en"/>
              </w:rPr>
              <w:t xml:space="preserve"> rights. The trial judge applied a contextual approach consistent with </w:t>
            </w:r>
            <w:r w:rsidRPr="00B10752">
              <w:rPr>
                <w:i/>
                <w:iCs/>
                <w:sz w:val="20"/>
                <w:lang w:val="en"/>
              </w:rPr>
              <w:t>R. v. Nolet</w:t>
            </w:r>
            <w:r w:rsidRPr="00B10752">
              <w:rPr>
                <w:sz w:val="20"/>
                <w:lang w:val="en"/>
              </w:rPr>
              <w:t xml:space="preserve">, 2010 SCC 24, to determine whether </w:t>
            </w:r>
            <w:r w:rsidRPr="00B10752">
              <w:rPr>
                <w:i/>
                <w:iCs/>
                <w:sz w:val="20"/>
                <w:lang w:val="en"/>
              </w:rPr>
              <w:t xml:space="preserve">Charter </w:t>
            </w:r>
            <w:r w:rsidRPr="00B10752">
              <w:rPr>
                <w:sz w:val="20"/>
                <w:lang w:val="en"/>
              </w:rPr>
              <w:t xml:space="preserve">breaches had occurred, and concluded that some of the evidence was admissible. </w:t>
            </w:r>
            <w:r w:rsidRPr="00B10752">
              <w:rPr>
                <w:iCs/>
                <w:sz w:val="20"/>
                <w:lang w:val="en"/>
              </w:rPr>
              <w:t xml:space="preserve">Mr. Mossman was convicted on two counts. Mr. Meckert was acquitted on all counts. </w:t>
            </w:r>
            <w:r w:rsidRPr="00B10752">
              <w:rPr>
                <w:color w:val="000000"/>
                <w:spacing w:val="-2"/>
                <w:sz w:val="20"/>
              </w:rPr>
              <w:t>On summary conviction appeal, the Crown was successful and most of the applicants’ claims were rejected however, they were partially successful in having the verdicts set aside and a new trial ordered.</w:t>
            </w:r>
            <w:r w:rsidRPr="00B10752">
              <w:rPr>
                <w:color w:val="000000"/>
                <w:spacing w:val="-2"/>
                <w:sz w:val="20"/>
                <w:vertAlign w:val="superscript"/>
              </w:rPr>
              <w:t xml:space="preserve"> </w:t>
            </w:r>
            <w:r w:rsidRPr="00B10752">
              <w:rPr>
                <w:sz w:val="20"/>
                <w:lang w:val="en"/>
              </w:rPr>
              <w:t xml:space="preserve">The judge hearing the appeal to the BC Supreme Court agreed with the contextual framework used by the trial judge to assess </w:t>
            </w:r>
            <w:r w:rsidRPr="00B10752">
              <w:rPr>
                <w:i/>
                <w:iCs/>
                <w:sz w:val="20"/>
                <w:lang w:val="en"/>
              </w:rPr>
              <w:t>Charter</w:t>
            </w:r>
            <w:r w:rsidRPr="00B10752">
              <w:rPr>
                <w:sz w:val="20"/>
                <w:lang w:val="en"/>
              </w:rPr>
              <w:t xml:space="preserve"> breaches, and found he had correctly admitted the observational evidence and the Spill Report. However, the appeal judge found that the trial judge erred in admitting portions of the first statement, and that the second statement should have been admitted. </w:t>
            </w:r>
            <w:r w:rsidRPr="00B10752">
              <w:rPr>
                <w:color w:val="000000"/>
                <w:spacing w:val="-2"/>
                <w:sz w:val="20"/>
              </w:rPr>
              <w:t>The applicants sought further review by the Court of Appeal, but leave to appeal was denied.</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July 13, 2018</w:t>
            </w:r>
          </w:p>
          <w:p w:rsidR="00E70281" w:rsidRPr="00B10752" w:rsidRDefault="00E70281" w:rsidP="0074582E">
            <w:pPr>
              <w:jc w:val="both"/>
              <w:rPr>
                <w:sz w:val="20"/>
              </w:rPr>
            </w:pPr>
            <w:r w:rsidRPr="00B10752">
              <w:rPr>
                <w:sz w:val="20"/>
              </w:rPr>
              <w:t>Provincial Court of British Columbia</w:t>
            </w:r>
          </w:p>
          <w:p w:rsidR="00E70281" w:rsidRPr="00B10752" w:rsidRDefault="00E70281" w:rsidP="0074582E">
            <w:pPr>
              <w:jc w:val="both"/>
              <w:rPr>
                <w:sz w:val="20"/>
              </w:rPr>
            </w:pPr>
            <w:r w:rsidRPr="00B10752">
              <w:rPr>
                <w:sz w:val="20"/>
              </w:rPr>
              <w:t>(Stewart P.C.J.)</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lang w:val="en"/>
              </w:rPr>
              <w:t xml:space="preserve">Mossman convicted of: failing to report a spill under </w:t>
            </w:r>
            <w:hyperlink r:id="rId79" w:anchor="sec79subsec5_smooth" w:history="1">
              <w:r w:rsidRPr="00B10752">
                <w:rPr>
                  <w:color w:val="0000FF"/>
                  <w:sz w:val="20"/>
                  <w:u w:val="single"/>
                  <w:lang w:val="en"/>
                </w:rPr>
                <w:t>s. 79(5)</w:t>
              </w:r>
            </w:hyperlink>
            <w:r w:rsidRPr="00B10752">
              <w:rPr>
                <w:sz w:val="20"/>
                <w:lang w:val="en"/>
              </w:rPr>
              <w:t xml:space="preserve"> of the </w:t>
            </w:r>
            <w:hyperlink r:id="rId80" w:history="1">
              <w:r w:rsidRPr="00B10752">
                <w:rPr>
                  <w:i/>
                  <w:iCs/>
                  <w:color w:val="0000FF"/>
                  <w:sz w:val="20"/>
                  <w:u w:val="single"/>
                  <w:lang w:val="en"/>
                </w:rPr>
                <w:t>Environmental Management Act</w:t>
              </w:r>
            </w:hyperlink>
            <w:r w:rsidRPr="00B10752">
              <w:rPr>
                <w:sz w:val="20"/>
                <w:lang w:val="en"/>
              </w:rPr>
              <w:t xml:space="preserve"> and failing to report the deposit of a deleterious substance out of the normal course of events under </w:t>
            </w:r>
            <w:hyperlink r:id="rId81" w:anchor="sec38subsec5_smooth" w:history="1">
              <w:r w:rsidRPr="00B10752">
                <w:rPr>
                  <w:color w:val="0000FF"/>
                  <w:sz w:val="20"/>
                  <w:u w:val="single"/>
                  <w:lang w:val="en"/>
                </w:rPr>
                <w:t>s. 38(5)</w:t>
              </w:r>
            </w:hyperlink>
            <w:r w:rsidRPr="00B10752">
              <w:rPr>
                <w:sz w:val="20"/>
                <w:lang w:val="en"/>
              </w:rPr>
              <w:t xml:space="preserve"> of the </w:t>
            </w:r>
            <w:hyperlink r:id="rId82" w:history="1">
              <w:r w:rsidRPr="00B10752">
                <w:rPr>
                  <w:i/>
                  <w:iCs/>
                  <w:color w:val="0000FF"/>
                  <w:sz w:val="20"/>
                  <w:u w:val="single"/>
                  <w:lang w:val="en"/>
                </w:rPr>
                <w:t>Fisheries Act</w:t>
              </w:r>
            </w:hyperlink>
            <w:r w:rsidRPr="00B10752">
              <w:rPr>
                <w:sz w:val="20"/>
                <w:lang w:val="en"/>
              </w:rPr>
              <w:t xml:space="preserve">; </w:t>
            </w:r>
            <w:r w:rsidRPr="00B10752">
              <w:rPr>
                <w:iCs/>
                <w:sz w:val="20"/>
                <w:lang w:val="en"/>
              </w:rPr>
              <w:t xml:space="preserve">Meckert acquitted </w:t>
            </w:r>
          </w:p>
          <w:p w:rsidR="00E70281" w:rsidRPr="00B10752" w:rsidRDefault="00E70281" w:rsidP="0074582E">
            <w:pPr>
              <w:jc w:val="both"/>
              <w:rPr>
                <w:sz w:val="20"/>
              </w:rPr>
            </w:pPr>
          </w:p>
        </w:tc>
      </w:tr>
      <w:tr w:rsidR="00E70281" w:rsidRPr="00B10752" w:rsidTr="0074582E">
        <w:tc>
          <w:tcPr>
            <w:tcW w:w="2427" w:type="pct"/>
          </w:tcPr>
          <w:p w:rsidR="00E70281" w:rsidRPr="00B10752" w:rsidRDefault="00E70281" w:rsidP="0074582E">
            <w:pPr>
              <w:jc w:val="both"/>
              <w:rPr>
                <w:sz w:val="20"/>
              </w:rPr>
            </w:pPr>
            <w:r w:rsidRPr="00B10752">
              <w:rPr>
                <w:sz w:val="20"/>
              </w:rPr>
              <w:t>February 11, 2020</w:t>
            </w:r>
          </w:p>
          <w:p w:rsidR="00E70281" w:rsidRPr="00B10752" w:rsidRDefault="00E70281" w:rsidP="0074582E">
            <w:pPr>
              <w:jc w:val="both"/>
              <w:rPr>
                <w:sz w:val="20"/>
              </w:rPr>
            </w:pPr>
            <w:r w:rsidRPr="00B10752">
              <w:rPr>
                <w:sz w:val="20"/>
              </w:rPr>
              <w:t>Supreme Court of British Columbia</w:t>
            </w:r>
          </w:p>
          <w:p w:rsidR="00E70281" w:rsidRPr="00B10752" w:rsidRDefault="00E70281" w:rsidP="0074582E">
            <w:pPr>
              <w:jc w:val="both"/>
              <w:rPr>
                <w:sz w:val="20"/>
              </w:rPr>
            </w:pPr>
            <w:r w:rsidRPr="00B10752">
              <w:rPr>
                <w:sz w:val="20"/>
              </w:rPr>
              <w:t>(Punnett J.)</w:t>
            </w:r>
          </w:p>
          <w:p w:rsidR="00E70281" w:rsidRPr="00B10752" w:rsidRDefault="00B10752" w:rsidP="0074582E">
            <w:pPr>
              <w:jc w:val="both"/>
              <w:rPr>
                <w:sz w:val="20"/>
              </w:rPr>
            </w:pPr>
            <w:hyperlink r:id="rId83" w:history="1">
              <w:r w:rsidR="00E70281" w:rsidRPr="00B10752">
                <w:rPr>
                  <w:rStyle w:val="Hyperlink"/>
                  <w:sz w:val="20"/>
                </w:rPr>
                <w:t>2020 BCSC 167</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New trial ordered</w:t>
            </w:r>
          </w:p>
        </w:tc>
      </w:tr>
      <w:tr w:rsidR="00E70281" w:rsidRPr="00B10752" w:rsidTr="0074582E">
        <w:tc>
          <w:tcPr>
            <w:tcW w:w="2427" w:type="pct"/>
          </w:tcPr>
          <w:p w:rsidR="00E70281" w:rsidRPr="00B10752" w:rsidRDefault="00E70281" w:rsidP="0074582E">
            <w:pPr>
              <w:jc w:val="both"/>
              <w:rPr>
                <w:sz w:val="20"/>
              </w:rPr>
            </w:pPr>
            <w:r w:rsidRPr="00B10752">
              <w:rPr>
                <w:sz w:val="20"/>
              </w:rPr>
              <w:t>October 29, 2020</w:t>
            </w:r>
          </w:p>
          <w:p w:rsidR="00E70281" w:rsidRPr="00B10752" w:rsidRDefault="00E70281" w:rsidP="0074582E">
            <w:pPr>
              <w:jc w:val="both"/>
              <w:rPr>
                <w:sz w:val="20"/>
              </w:rPr>
            </w:pPr>
            <w:r w:rsidRPr="00B10752">
              <w:rPr>
                <w:sz w:val="20"/>
              </w:rPr>
              <w:t>Court of Appeal for British Columbia</w:t>
            </w:r>
          </w:p>
          <w:p w:rsidR="00E70281" w:rsidRPr="00B10752" w:rsidRDefault="00E70281" w:rsidP="0074582E">
            <w:pPr>
              <w:jc w:val="both"/>
              <w:rPr>
                <w:sz w:val="20"/>
                <w:lang w:val="fr-CA"/>
              </w:rPr>
            </w:pPr>
            <w:r w:rsidRPr="00B10752">
              <w:rPr>
                <w:sz w:val="20"/>
                <w:lang w:val="fr-CA"/>
              </w:rPr>
              <w:t>(Vancouver)</w:t>
            </w:r>
          </w:p>
          <w:p w:rsidR="00E70281" w:rsidRPr="00B10752" w:rsidRDefault="00E70281" w:rsidP="0074582E">
            <w:pPr>
              <w:jc w:val="both"/>
              <w:rPr>
                <w:sz w:val="20"/>
                <w:lang w:val="fr-CA"/>
              </w:rPr>
            </w:pPr>
            <w:r w:rsidRPr="00B10752">
              <w:rPr>
                <w:sz w:val="20"/>
                <w:lang w:val="fr-CA"/>
              </w:rPr>
              <w:t>(Felon J.A.)</w:t>
            </w:r>
          </w:p>
          <w:p w:rsidR="00E70281" w:rsidRPr="00B10752" w:rsidRDefault="00B10752" w:rsidP="0074582E">
            <w:pPr>
              <w:jc w:val="both"/>
              <w:rPr>
                <w:sz w:val="20"/>
                <w:lang w:val="fr-CA"/>
              </w:rPr>
            </w:pPr>
            <w:hyperlink r:id="rId84" w:history="1">
              <w:r w:rsidR="00E70281" w:rsidRPr="00B10752">
                <w:rPr>
                  <w:rStyle w:val="Hyperlink"/>
                  <w:sz w:val="20"/>
                  <w:lang w:val="fr-CA"/>
                </w:rPr>
                <w:t>2020 BCCA 299</w:t>
              </w:r>
            </w:hyperlink>
            <w:r w:rsidR="00E70281" w:rsidRPr="00B10752">
              <w:rPr>
                <w:sz w:val="20"/>
                <w:lang w:val="fr-CA"/>
              </w:rPr>
              <w:t>; CA46744, CA46745</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Leave to appeal denied</w:t>
            </w:r>
          </w:p>
        </w:tc>
      </w:tr>
      <w:tr w:rsidR="00E70281" w:rsidRPr="00B10752" w:rsidTr="0074582E">
        <w:tc>
          <w:tcPr>
            <w:tcW w:w="2427" w:type="pct"/>
          </w:tcPr>
          <w:p w:rsidR="00E70281" w:rsidRPr="00B10752" w:rsidRDefault="00E70281" w:rsidP="0074582E">
            <w:pPr>
              <w:jc w:val="both"/>
              <w:rPr>
                <w:sz w:val="20"/>
              </w:rPr>
            </w:pPr>
            <w:r w:rsidRPr="00B10752">
              <w:rPr>
                <w:sz w:val="20"/>
              </w:rPr>
              <w:t>December 22, 2020</w:t>
            </w:r>
          </w:p>
          <w:p w:rsidR="00E70281" w:rsidRPr="00B10752" w:rsidRDefault="00E70281" w:rsidP="0074582E">
            <w:pPr>
              <w:jc w:val="both"/>
              <w:rPr>
                <w:sz w:val="20"/>
              </w:rPr>
            </w:pPr>
            <w:r w:rsidRPr="00B10752">
              <w:rPr>
                <w:sz w:val="20"/>
              </w:rPr>
              <w:t>Supreme Court of Canada</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Motion to join and application for leave to appeal filed</w:t>
            </w:r>
          </w:p>
        </w:tc>
      </w:tr>
      <w:tr w:rsidR="00E70281" w:rsidRPr="00B10752" w:rsidTr="0074582E">
        <w:tc>
          <w:tcPr>
            <w:tcW w:w="2427" w:type="pct"/>
          </w:tcPr>
          <w:p w:rsidR="00E70281" w:rsidRPr="00B10752" w:rsidRDefault="00E70281" w:rsidP="0074582E">
            <w:pPr>
              <w:jc w:val="both"/>
              <w:rPr>
                <w:sz w:val="20"/>
              </w:rPr>
            </w:pPr>
            <w:r w:rsidRPr="00B10752">
              <w:rPr>
                <w:sz w:val="20"/>
              </w:rPr>
              <w:t>March 23, 2021</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Motion for an extension of time to serve and file the reply filed</w:t>
            </w: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79"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39500</w:t>
            </w:r>
          </w:p>
        </w:tc>
        <w:tc>
          <w:tcPr>
            <w:tcW w:w="4457" w:type="pct"/>
          </w:tcPr>
          <w:p w:rsidR="00E70281" w:rsidRPr="00B10752" w:rsidRDefault="00E70281" w:rsidP="0074582E">
            <w:pPr>
              <w:pStyle w:val="SCCLsocParty"/>
              <w:jc w:val="both"/>
              <w:rPr>
                <w:b/>
                <w:sz w:val="20"/>
                <w:szCs w:val="20"/>
              </w:rPr>
            </w:pPr>
            <w:r w:rsidRPr="00B10752">
              <w:rPr>
                <w:b/>
                <w:sz w:val="20"/>
                <w:szCs w:val="20"/>
              </w:rPr>
              <w:t>Benjamin Mossman</w:t>
            </w:r>
            <w:r w:rsidR="00360F3B" w:rsidRPr="00B10752">
              <w:rPr>
                <w:b/>
                <w:sz w:val="20"/>
                <w:szCs w:val="20"/>
              </w:rPr>
              <w:t xml:space="preserve"> et Dirk Meckert</w:t>
            </w:r>
            <w:r w:rsidRPr="00B10752">
              <w:rPr>
                <w:b/>
                <w:sz w:val="20"/>
                <w:szCs w:val="20"/>
              </w:rPr>
              <w:t xml:space="preserve"> c. Sa Majesté la Reine</w:t>
            </w:r>
          </w:p>
          <w:p w:rsidR="00E70281" w:rsidRPr="00B10752" w:rsidRDefault="00E70281" w:rsidP="00360F3B">
            <w:pPr>
              <w:pStyle w:val="SCCLsocSubfileSeparator0"/>
              <w:rPr>
                <w:sz w:val="20"/>
                <w:lang w:val="fr-CA"/>
              </w:rPr>
            </w:pPr>
            <w:r w:rsidRPr="00B10752">
              <w:rPr>
                <w:sz w:val="20"/>
                <w:lang w:val="fr-CA"/>
              </w:rPr>
              <w:t>(C.-B.) (Civile) (Sur autorisation)</w:t>
            </w:r>
          </w:p>
        </w:tc>
      </w:tr>
      <w:tr w:rsidR="00E70281" w:rsidRPr="00B10752" w:rsidTr="0074582E">
        <w:tc>
          <w:tcPr>
            <w:tcW w:w="5000" w:type="pct"/>
            <w:gridSpan w:val="2"/>
          </w:tcPr>
          <w:p w:rsidR="00E70281" w:rsidRPr="00B10752" w:rsidRDefault="00360F3B" w:rsidP="0074582E">
            <w:pPr>
              <w:jc w:val="both"/>
              <w:rPr>
                <w:sz w:val="20"/>
                <w:szCs w:val="20"/>
                <w:lang w:val="fr-CA"/>
              </w:rPr>
            </w:pPr>
            <w:r w:rsidRPr="00B10752">
              <w:rPr>
                <w:sz w:val="20"/>
                <w:szCs w:val="20"/>
                <w:lang w:val="fr-CA"/>
              </w:rPr>
              <w:t>La requête pour joindre deux dossiers de la Cour d’appel de la Colombie-Britannique dans une seule demande d’autorisation d’appel est accueillie. La requête en prorogation du délai de signification et de dépôt de la réplique est accueillie. La demande d’autorisation d’appel de l’arrêt de la Cour d’appel de la Colombie-Britannique (Vancouver), numéros CA46744 et CA46745, 2020 BCCA 299, daté du 29 octobre 2020, est rejetée sans dépens.</w:t>
            </w:r>
          </w:p>
          <w:p w:rsidR="00360F3B" w:rsidRPr="00B10752" w:rsidRDefault="00360F3B" w:rsidP="0074582E">
            <w:pPr>
              <w:jc w:val="both"/>
              <w:rPr>
                <w:sz w:val="20"/>
                <w:lang w:val="fr-CA"/>
              </w:rPr>
            </w:pPr>
          </w:p>
        </w:tc>
      </w:tr>
    </w:tbl>
    <w:p w:rsidR="00D90258" w:rsidRPr="00B10752" w:rsidRDefault="00D90258">
      <w:pPr>
        <w:rPr>
          <w:lang w:val="fr-CA"/>
        </w:rPr>
      </w:pPr>
      <w:r w:rsidRPr="00B1075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5000" w:type="pct"/>
            <w:gridSpan w:val="3"/>
          </w:tcPr>
          <w:p w:rsidR="00E70281" w:rsidRPr="00B10752" w:rsidRDefault="00E70281" w:rsidP="0074582E">
            <w:pPr>
              <w:jc w:val="both"/>
              <w:rPr>
                <w:sz w:val="20"/>
                <w:lang w:val="fr-CA"/>
              </w:rPr>
            </w:pPr>
            <w:r w:rsidRPr="00B10752">
              <w:rPr>
                <w:i/>
                <w:sz w:val="20"/>
                <w:lang w:val="fr-CA"/>
              </w:rPr>
              <w:lastRenderedPageBreak/>
              <w:t>Charte des droits</w:t>
            </w:r>
            <w:r w:rsidRPr="00B10752">
              <w:rPr>
                <w:sz w:val="20"/>
                <w:lang w:val="fr-CA"/>
              </w:rPr>
              <w:t xml:space="preserve"> — Droit de l’environnement — Infractions — Critère qu’il faut appliquer afin de régir l’admissibilité des déclarations — Les droits des demandeurs, qui leur sont garantis par l’art. 7 (droit à la vie, à la liberté et à la sécurité de la personne) et par l’art. 8 (fouilles, perquisitions et saisies abusives) de la </w:t>
            </w:r>
            <w:r w:rsidRPr="00B10752">
              <w:rPr>
                <w:i/>
                <w:iCs/>
                <w:sz w:val="20"/>
                <w:lang w:val="fr-CA"/>
              </w:rPr>
              <w:t>Charte,</w:t>
            </w:r>
            <w:r w:rsidRPr="00B10752">
              <w:rPr>
                <w:sz w:val="20"/>
                <w:lang w:val="fr-CA"/>
              </w:rPr>
              <w:t xml:space="preserve"> ont</w:t>
            </w:r>
            <w:r w:rsidRPr="00B10752">
              <w:rPr>
                <w:sz w:val="20"/>
                <w:lang w:val="fr-CA"/>
              </w:rPr>
              <w:noBreakHyphen/>
              <w:t>ils été violés? — L’</w:t>
            </w:r>
            <w:r w:rsidRPr="00B10752">
              <w:rPr>
                <w:color w:val="000000"/>
                <w:sz w:val="20"/>
                <w:lang w:val="fr-CA"/>
              </w:rPr>
              <w:t>approche adoptée par les tribunaux de la Colombie</w:t>
            </w:r>
            <w:r w:rsidRPr="00B10752">
              <w:rPr>
                <w:color w:val="000000"/>
                <w:sz w:val="20"/>
                <w:lang w:val="fr-CA"/>
              </w:rPr>
              <w:noBreakHyphen/>
              <w:t>Britannique constitue</w:t>
            </w:r>
            <w:r w:rsidRPr="00B10752">
              <w:rPr>
                <w:color w:val="000000"/>
                <w:sz w:val="20"/>
                <w:lang w:val="fr-CA"/>
              </w:rPr>
              <w:noBreakHyphen/>
              <w:t>t</w:t>
            </w:r>
            <w:r w:rsidRPr="00B10752">
              <w:rPr>
                <w:color w:val="000000"/>
                <w:sz w:val="20"/>
                <w:lang w:val="fr-CA"/>
              </w:rPr>
              <w:noBreakHyphen/>
              <w:t xml:space="preserve">elle une interprétation erronée de la décision rendue par la Cour dans l’arrêt </w:t>
            </w:r>
            <w:r w:rsidRPr="00B10752">
              <w:rPr>
                <w:i/>
                <w:iCs/>
                <w:sz w:val="20"/>
                <w:lang w:val="fr-CA"/>
              </w:rPr>
              <w:t>R. c. Nolet</w:t>
            </w:r>
            <w:r w:rsidRPr="00B10752">
              <w:rPr>
                <w:sz w:val="20"/>
                <w:lang w:val="fr-CA"/>
              </w:rPr>
              <w:t>, 2010 CSC 24?</w:t>
            </w:r>
            <w:r w:rsidRPr="00B10752">
              <w:rPr>
                <w:i/>
                <w:color w:val="000000"/>
                <w:sz w:val="20"/>
                <w:lang w:val="fr-CA"/>
              </w:rPr>
              <w:t xml:space="preserve"> </w:t>
            </w:r>
            <w:r w:rsidRPr="00B10752">
              <w:rPr>
                <w:color w:val="000000"/>
                <w:sz w:val="20"/>
                <w:lang w:val="fr-CA"/>
              </w:rPr>
              <w:t>— Existe</w:t>
            </w:r>
            <w:r w:rsidRPr="00B10752">
              <w:rPr>
                <w:color w:val="000000"/>
                <w:sz w:val="20"/>
                <w:lang w:val="fr-CA"/>
              </w:rPr>
              <w:noBreakHyphen/>
              <w:t>t</w:t>
            </w:r>
            <w:r w:rsidRPr="00B10752">
              <w:rPr>
                <w:color w:val="000000"/>
                <w:sz w:val="20"/>
                <w:lang w:val="fr-CA"/>
              </w:rPr>
              <w:noBreakHyphen/>
              <w:t>il de la confusion sur le plan juridique qui doit être dissipée par la Cour? —</w:t>
            </w:r>
            <w:r w:rsidRPr="00B10752">
              <w:rPr>
                <w:sz w:val="20"/>
                <w:lang w:val="fr-CA"/>
              </w:rPr>
              <w:t xml:space="preserve"> Le présent pourvoi s</w:t>
            </w:r>
            <w:r w:rsidRPr="00B10752">
              <w:rPr>
                <w:color w:val="000000"/>
                <w:sz w:val="20"/>
                <w:lang w:val="fr-CA"/>
              </w:rPr>
              <w:t>oulève</w:t>
            </w:r>
            <w:r w:rsidRPr="00B10752">
              <w:rPr>
                <w:color w:val="000000"/>
                <w:sz w:val="20"/>
                <w:lang w:val="fr-CA"/>
              </w:rPr>
              <w:noBreakHyphen/>
              <w:t>t</w:t>
            </w:r>
            <w:r w:rsidRPr="00B10752">
              <w:rPr>
                <w:color w:val="000000"/>
                <w:sz w:val="20"/>
                <w:lang w:val="fr-CA"/>
              </w:rPr>
              <w:noBreakHyphen/>
              <w:t>il une question d’importance pour le public?</w:t>
            </w:r>
          </w:p>
        </w:tc>
      </w:tr>
      <w:tr w:rsidR="00E70281" w:rsidRPr="00B10752" w:rsidTr="0074582E">
        <w:tc>
          <w:tcPr>
            <w:tcW w:w="5000" w:type="pct"/>
            <w:gridSpan w:val="3"/>
          </w:tcPr>
          <w:p w:rsidR="00E70281" w:rsidRPr="00B10752" w:rsidRDefault="00E70281" w:rsidP="0074582E">
            <w:pPr>
              <w:jc w:val="both"/>
              <w:rPr>
                <w:sz w:val="20"/>
                <w:lang w:val="fr-CA"/>
              </w:rPr>
            </w:pPr>
          </w:p>
        </w:tc>
      </w:tr>
      <w:tr w:rsidR="00E70281" w:rsidRPr="00B10752" w:rsidTr="0074582E">
        <w:tc>
          <w:tcPr>
            <w:tcW w:w="5000" w:type="pct"/>
            <w:gridSpan w:val="3"/>
          </w:tcPr>
          <w:p w:rsidR="00E70281" w:rsidRPr="00B10752" w:rsidRDefault="00E70281" w:rsidP="0074582E">
            <w:pPr>
              <w:jc w:val="both"/>
              <w:rPr>
                <w:sz w:val="20"/>
                <w:lang w:val="fr-CA"/>
              </w:rPr>
            </w:pPr>
            <w:r w:rsidRPr="00B10752">
              <w:rPr>
                <w:color w:val="000000"/>
                <w:spacing w:val="-2"/>
                <w:sz w:val="20"/>
                <w:lang w:val="fr-CA"/>
              </w:rPr>
              <w:t xml:space="preserve">En réponse à un important déversement de rejets miniers dans l’environnement, les demandeurs, en tant qu’exploitants de la société défenderesse, Banks Island Gold, ainsi que la société et d’autres personnes ont été accusés d’avoir violé la législation provinciale et fédérale en matière d’environnement. Quatre agents ont survolé les </w:t>
            </w:r>
            <w:r w:rsidRPr="00B10752">
              <w:rPr>
                <w:sz w:val="20"/>
                <w:lang w:val="fr-CA"/>
              </w:rPr>
              <w:t xml:space="preserve">sites en cause, confirmant que des déversements avaient eu lieu dans chacun d’entre eux. Après avoir atterri, ils ont visité les deux sites, ont obtenu des échantillons ainsi qu’une déclaration commune des demandeurs, M. Meckert et M. Mossman, par la suite. Un </w:t>
            </w:r>
            <w:r w:rsidRPr="00B10752">
              <w:rPr>
                <w:iCs/>
                <w:sz w:val="20"/>
                <w:lang w:val="fr-CA"/>
              </w:rPr>
              <w:t>voir</w:t>
            </w:r>
            <w:r w:rsidRPr="00B10752">
              <w:rPr>
                <w:iCs/>
                <w:sz w:val="20"/>
                <w:lang w:val="fr-CA"/>
              </w:rPr>
              <w:noBreakHyphen/>
              <w:t>dire</w:t>
            </w:r>
            <w:r w:rsidRPr="00B10752">
              <w:rPr>
                <w:sz w:val="20"/>
                <w:lang w:val="fr-CA"/>
              </w:rPr>
              <w:t xml:space="preserve"> a eu lieu afin de déterminer si la preuve recueillie d’après les observations faites lors de la visite du site, le rapport de déversement, et les déclarations faites à deux reprises, devraient être exclus au motif qu’ils avaient été obtenus par suite d’une violation des droits que la </w:t>
            </w:r>
            <w:r w:rsidRPr="00B10752">
              <w:rPr>
                <w:i/>
                <w:iCs/>
                <w:sz w:val="20"/>
                <w:lang w:val="fr-CA"/>
              </w:rPr>
              <w:t>Charte</w:t>
            </w:r>
            <w:r w:rsidRPr="00B10752">
              <w:rPr>
                <w:sz w:val="20"/>
                <w:lang w:val="fr-CA"/>
              </w:rPr>
              <w:t xml:space="preserve"> garantit aux demandeurs. Le juge de première instance a adopté une approche contextuelle compatible avec celle de l’arrêt </w:t>
            </w:r>
            <w:r w:rsidRPr="00B10752">
              <w:rPr>
                <w:i/>
                <w:iCs/>
                <w:sz w:val="20"/>
                <w:lang w:val="fr-CA"/>
              </w:rPr>
              <w:t>R. c. Nolet</w:t>
            </w:r>
            <w:r w:rsidRPr="00B10752">
              <w:rPr>
                <w:sz w:val="20"/>
                <w:lang w:val="fr-CA"/>
              </w:rPr>
              <w:t xml:space="preserve">, 2010 CSC 24, afin de déterminer s’il y avait eu violation des droits garantis par la </w:t>
            </w:r>
            <w:r w:rsidRPr="00B10752">
              <w:rPr>
                <w:i/>
                <w:iCs/>
                <w:sz w:val="20"/>
                <w:lang w:val="fr-CA"/>
              </w:rPr>
              <w:t>Charte</w:t>
            </w:r>
            <w:r w:rsidRPr="00B10752">
              <w:rPr>
                <w:sz w:val="20"/>
                <w:lang w:val="fr-CA"/>
              </w:rPr>
              <w:t xml:space="preserve">, et a conclu que certains éléments de preuve étaient admissibles. </w:t>
            </w:r>
            <w:r w:rsidRPr="00B10752">
              <w:rPr>
                <w:iCs/>
                <w:sz w:val="20"/>
                <w:lang w:val="fr-CA"/>
              </w:rPr>
              <w:t>M. Mossman a été déclaré coupable de deux chefs d’accusation. M. Meckert a été acquitté de tous les chefs d’accusation. Lors de l’appel de la déclaration de culpabilité par procédure sommaire, le ministère public a obtenu gain de cause et la plupart des prétentions des demandeurs ont été rejetées, par contre</w:t>
            </w:r>
            <w:r w:rsidRPr="00B10752">
              <w:rPr>
                <w:color w:val="000000"/>
                <w:spacing w:val="-2"/>
                <w:sz w:val="20"/>
                <w:lang w:val="fr-CA"/>
              </w:rPr>
              <w:t>, ils ont en partie obtenu gain de cause en réussissant à faire écarter les verdicts et à obtenir l’ordonnance d’un nouveau procès.</w:t>
            </w:r>
            <w:r w:rsidRPr="00B10752">
              <w:rPr>
                <w:color w:val="000000"/>
                <w:spacing w:val="-2"/>
                <w:sz w:val="20"/>
                <w:vertAlign w:val="superscript"/>
                <w:lang w:val="fr-CA"/>
              </w:rPr>
              <w:t xml:space="preserve"> </w:t>
            </w:r>
            <w:r w:rsidRPr="00B10752">
              <w:rPr>
                <w:sz w:val="20"/>
                <w:lang w:val="fr-CA"/>
              </w:rPr>
              <w:t xml:space="preserve">Le juge saisi de l’appel devant la Cour suprême de la C.-B. s’est dit d’accord avec le cadre contextuel adopté par le juge de première instance afin d’évaluer les violations de la </w:t>
            </w:r>
            <w:r w:rsidRPr="00B10752">
              <w:rPr>
                <w:i/>
                <w:iCs/>
                <w:sz w:val="20"/>
                <w:lang w:val="fr-CA"/>
              </w:rPr>
              <w:t>Charte</w:t>
            </w:r>
            <w:r w:rsidRPr="00B10752">
              <w:rPr>
                <w:sz w:val="20"/>
                <w:lang w:val="fr-CA"/>
              </w:rPr>
              <w:t xml:space="preserve">, et a conclu qu’il avait correctement admis la preuve recueillie d’après les observations faites et le rapport de déversement. Toutefois, il a conclu que le juge de première instance avait commis une erreur en admettant en preuve des portions de la première déclaration, et que la deuxième déclaration n’aurait pas dû être admise. Les demandeurs ont demandé le contrôle de la décision devant la </w:t>
            </w:r>
            <w:r w:rsidRPr="00B10752">
              <w:rPr>
                <w:color w:val="000000"/>
                <w:spacing w:val="-2"/>
                <w:sz w:val="20"/>
                <w:lang w:val="fr-CA"/>
              </w:rPr>
              <w:t>Cour d’appel, mais l’autorisation d’appel a été rejetée.</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13 juillet 2018</w:t>
            </w:r>
          </w:p>
          <w:p w:rsidR="00E70281" w:rsidRPr="00B10752" w:rsidRDefault="00E70281" w:rsidP="0074582E">
            <w:pPr>
              <w:jc w:val="both"/>
              <w:rPr>
                <w:sz w:val="20"/>
                <w:lang w:val="fr-CA"/>
              </w:rPr>
            </w:pPr>
            <w:r w:rsidRPr="00B10752">
              <w:rPr>
                <w:sz w:val="20"/>
                <w:lang w:val="fr-CA"/>
              </w:rPr>
              <w:t>Cour provinciale de la Colombie</w:t>
            </w:r>
            <w:r w:rsidRPr="00B10752">
              <w:rPr>
                <w:sz w:val="20"/>
                <w:lang w:val="fr-CA"/>
              </w:rPr>
              <w:noBreakHyphen/>
              <w:t>Britannique</w:t>
            </w:r>
          </w:p>
          <w:p w:rsidR="00E70281" w:rsidRPr="00B10752" w:rsidRDefault="00E70281" w:rsidP="0074582E">
            <w:pPr>
              <w:jc w:val="both"/>
              <w:rPr>
                <w:sz w:val="20"/>
                <w:lang w:val="fr-CA"/>
              </w:rPr>
            </w:pPr>
            <w:r w:rsidRPr="00B10752">
              <w:rPr>
                <w:sz w:val="20"/>
                <w:lang w:val="fr-CA"/>
              </w:rPr>
              <w:t>(Juge Stewart)</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 xml:space="preserve">M. Mossman est déclaré coupable de défaut de signaler un déversement en vertu de </w:t>
            </w:r>
            <w:hyperlink r:id="rId85" w:anchor="sec79subsec5_smooth" w:history="1">
              <w:r w:rsidRPr="00B10752">
                <w:rPr>
                  <w:color w:val="0000FF"/>
                  <w:sz w:val="20"/>
                  <w:u w:val="single"/>
                  <w:lang w:val="fr-CA"/>
                </w:rPr>
                <w:t>l’art. 79(5)</w:t>
              </w:r>
            </w:hyperlink>
            <w:r w:rsidRPr="00B10752">
              <w:rPr>
                <w:sz w:val="20"/>
                <w:lang w:val="fr-CA"/>
              </w:rPr>
              <w:t xml:space="preserve"> de la </w:t>
            </w:r>
            <w:hyperlink r:id="rId86" w:history="1">
              <w:r w:rsidRPr="00B10752">
                <w:rPr>
                  <w:i/>
                  <w:iCs/>
                  <w:color w:val="0000FF"/>
                  <w:sz w:val="20"/>
                  <w:u w:val="single"/>
                  <w:lang w:val="fr-CA"/>
                </w:rPr>
                <w:t>Environmental Management Act</w:t>
              </w:r>
            </w:hyperlink>
            <w:r w:rsidRPr="00B10752">
              <w:rPr>
                <w:sz w:val="20"/>
                <w:lang w:val="fr-CA"/>
              </w:rPr>
              <w:t xml:space="preserve"> et de défaut de signaler le rejet, ou l’immersion, irrégulier d’une substance nocive en vertu de </w:t>
            </w:r>
            <w:hyperlink r:id="rId87" w:anchor="art38par5_smooth" w:history="1">
              <w:r w:rsidRPr="00B10752">
                <w:rPr>
                  <w:color w:val="0000FF"/>
                  <w:sz w:val="20"/>
                  <w:u w:val="single"/>
                  <w:lang w:val="fr-CA"/>
                </w:rPr>
                <w:t>l’art. 38(5)</w:t>
              </w:r>
            </w:hyperlink>
            <w:r w:rsidRPr="00B10752">
              <w:rPr>
                <w:sz w:val="20"/>
                <w:lang w:val="fr-CA"/>
              </w:rPr>
              <w:t xml:space="preserve"> de la </w:t>
            </w:r>
            <w:hyperlink r:id="rId88" w:history="1">
              <w:r w:rsidRPr="00B10752">
                <w:rPr>
                  <w:i/>
                  <w:iCs/>
                  <w:color w:val="0000FF"/>
                  <w:sz w:val="20"/>
                  <w:u w:val="single"/>
                  <w:lang w:val="fr-CA"/>
                </w:rPr>
                <w:t>Loi sur les pêches</w:t>
              </w:r>
            </w:hyperlink>
            <w:r w:rsidRPr="00B10752">
              <w:rPr>
                <w:sz w:val="20"/>
                <w:lang w:val="fr-CA"/>
              </w:rPr>
              <w:t>; M. </w:t>
            </w:r>
            <w:r w:rsidRPr="00B10752">
              <w:rPr>
                <w:iCs/>
                <w:sz w:val="20"/>
                <w:lang w:val="fr-CA"/>
              </w:rPr>
              <w:t>Meckert est acquitté.</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11 février 2020</w:t>
            </w:r>
          </w:p>
          <w:p w:rsidR="00E70281" w:rsidRPr="00B10752" w:rsidRDefault="00E70281" w:rsidP="0074582E">
            <w:pPr>
              <w:jc w:val="both"/>
              <w:rPr>
                <w:sz w:val="20"/>
                <w:lang w:val="fr-CA"/>
              </w:rPr>
            </w:pPr>
            <w:r w:rsidRPr="00B10752">
              <w:rPr>
                <w:sz w:val="20"/>
                <w:lang w:val="fr-CA"/>
              </w:rPr>
              <w:t xml:space="preserve">Cour suprême de la </w:t>
            </w:r>
            <w:r w:rsidRPr="00B10752">
              <w:rPr>
                <w:color w:val="000000"/>
                <w:sz w:val="20"/>
                <w:lang w:val="fr-CA"/>
              </w:rPr>
              <w:t>Colombie</w:t>
            </w:r>
            <w:r w:rsidRPr="00B10752">
              <w:rPr>
                <w:color w:val="000000"/>
                <w:sz w:val="20"/>
                <w:lang w:val="fr-CA"/>
              </w:rPr>
              <w:noBreakHyphen/>
              <w:t>Britannique</w:t>
            </w:r>
          </w:p>
          <w:p w:rsidR="00E70281" w:rsidRPr="00B10752" w:rsidRDefault="00E70281" w:rsidP="0074582E">
            <w:pPr>
              <w:jc w:val="both"/>
              <w:rPr>
                <w:sz w:val="20"/>
                <w:lang w:val="fr-CA"/>
              </w:rPr>
            </w:pPr>
            <w:r w:rsidRPr="00B10752">
              <w:rPr>
                <w:sz w:val="20"/>
                <w:lang w:val="fr-CA"/>
              </w:rPr>
              <w:t>(Juge Punnett)</w:t>
            </w:r>
          </w:p>
          <w:p w:rsidR="00E70281" w:rsidRPr="00B10752" w:rsidRDefault="00B10752" w:rsidP="0074582E">
            <w:pPr>
              <w:jc w:val="both"/>
              <w:rPr>
                <w:sz w:val="20"/>
                <w:lang w:val="fr-CA"/>
              </w:rPr>
            </w:pPr>
            <w:hyperlink r:id="rId89" w:history="1">
              <w:r w:rsidR="00E70281" w:rsidRPr="00B10752">
                <w:rPr>
                  <w:rStyle w:val="Hyperlink"/>
                  <w:sz w:val="20"/>
                  <w:lang w:val="fr-CA"/>
                </w:rPr>
                <w:t>2020 BCSC 167</w:t>
              </w:r>
            </w:hyperlink>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tenue d’un nouveau procès est ordonnée.</w:t>
            </w: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29 octobre 2020</w:t>
            </w:r>
          </w:p>
          <w:p w:rsidR="00E70281" w:rsidRPr="00B10752" w:rsidRDefault="00E70281" w:rsidP="0074582E">
            <w:pPr>
              <w:jc w:val="both"/>
              <w:rPr>
                <w:sz w:val="20"/>
                <w:lang w:val="fr-CA"/>
              </w:rPr>
            </w:pPr>
            <w:r w:rsidRPr="00B10752">
              <w:rPr>
                <w:sz w:val="20"/>
                <w:lang w:val="fr-CA"/>
              </w:rPr>
              <w:t xml:space="preserve">Cour d’appel de la </w:t>
            </w:r>
            <w:r w:rsidRPr="00B10752">
              <w:rPr>
                <w:color w:val="000000"/>
                <w:sz w:val="20"/>
                <w:lang w:val="fr-CA"/>
              </w:rPr>
              <w:t>Colombie</w:t>
            </w:r>
            <w:r w:rsidRPr="00B10752">
              <w:rPr>
                <w:color w:val="000000"/>
                <w:sz w:val="20"/>
                <w:lang w:val="fr-CA"/>
              </w:rPr>
              <w:noBreakHyphen/>
              <w:t xml:space="preserve">Britannique </w:t>
            </w:r>
          </w:p>
          <w:p w:rsidR="00E70281" w:rsidRPr="00B10752" w:rsidRDefault="00E70281" w:rsidP="0074582E">
            <w:pPr>
              <w:jc w:val="both"/>
              <w:rPr>
                <w:sz w:val="20"/>
                <w:lang w:val="fr-CA"/>
              </w:rPr>
            </w:pPr>
            <w:r w:rsidRPr="00B10752">
              <w:rPr>
                <w:sz w:val="20"/>
                <w:lang w:val="fr-CA"/>
              </w:rPr>
              <w:t>(Vancouver)</w:t>
            </w:r>
          </w:p>
          <w:p w:rsidR="00E70281" w:rsidRPr="00B10752" w:rsidRDefault="00E70281" w:rsidP="0074582E">
            <w:pPr>
              <w:jc w:val="both"/>
              <w:rPr>
                <w:sz w:val="20"/>
                <w:lang w:val="fr-CA"/>
              </w:rPr>
            </w:pPr>
            <w:r w:rsidRPr="00B10752">
              <w:rPr>
                <w:sz w:val="20"/>
                <w:lang w:val="fr-CA"/>
              </w:rPr>
              <w:t>(Juge Felon)</w:t>
            </w:r>
          </w:p>
          <w:p w:rsidR="00E70281" w:rsidRPr="00B10752" w:rsidRDefault="00B10752" w:rsidP="0074582E">
            <w:pPr>
              <w:jc w:val="both"/>
              <w:rPr>
                <w:sz w:val="20"/>
                <w:lang w:val="fr-CA"/>
              </w:rPr>
            </w:pPr>
            <w:hyperlink r:id="rId90" w:history="1">
              <w:r w:rsidR="00E70281" w:rsidRPr="00B10752">
                <w:rPr>
                  <w:rStyle w:val="Hyperlink"/>
                  <w:sz w:val="20"/>
                  <w:lang w:val="fr-CA"/>
                </w:rPr>
                <w:t>2020 BCCA 299</w:t>
              </w:r>
            </w:hyperlink>
            <w:r w:rsidR="00E70281" w:rsidRPr="00B10752">
              <w:rPr>
                <w:sz w:val="20"/>
                <w:lang w:val="fr-CA"/>
              </w:rPr>
              <w:t>; CA46744, CA46745</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L’autorisation d’appel est rejetée.</w:t>
            </w: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22 décembre 2020</w:t>
            </w:r>
          </w:p>
          <w:p w:rsidR="00E70281" w:rsidRPr="00B10752" w:rsidRDefault="00E70281" w:rsidP="0074582E">
            <w:pPr>
              <w:jc w:val="both"/>
              <w:rPr>
                <w:sz w:val="20"/>
                <w:lang w:val="fr-CA"/>
              </w:rPr>
            </w:pPr>
            <w:r w:rsidRPr="00B10752">
              <w:rPr>
                <w:sz w:val="20"/>
                <w:lang w:val="fr-CA"/>
              </w:rPr>
              <w:t>Cour suprême du Canada</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requête en réunion des demandes et la demande d’autorisation d’appel sont présentées.</w:t>
            </w: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23 mars 2021</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 xml:space="preserve">La requête en prorogation du délai de signification et de dépôt de la réplique est présentée. </w:t>
            </w: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80"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39507</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Volodymyr Hrabovskyy v. Universit</w:t>
            </w:r>
            <w:r w:rsidR="00360F3B" w:rsidRPr="00B10752">
              <w:rPr>
                <w:b/>
                <w:sz w:val="20"/>
                <w:szCs w:val="20"/>
              </w:rPr>
              <w:t>é</w:t>
            </w:r>
            <w:r w:rsidRPr="00B10752">
              <w:rPr>
                <w:b/>
                <w:sz w:val="20"/>
                <w:szCs w:val="20"/>
              </w:rPr>
              <w:t xml:space="preserve"> </w:t>
            </w:r>
            <w:r w:rsidR="00360F3B" w:rsidRPr="00B10752">
              <w:rPr>
                <w:b/>
                <w:sz w:val="20"/>
                <w:szCs w:val="20"/>
              </w:rPr>
              <w:t>de</w:t>
            </w:r>
            <w:r w:rsidRPr="00B10752">
              <w:rPr>
                <w:b/>
                <w:sz w:val="20"/>
                <w:szCs w:val="20"/>
              </w:rPr>
              <w:t xml:space="preserve"> Montréal</w:t>
            </w:r>
          </w:p>
          <w:p w:rsidR="00E70281" w:rsidRPr="00B10752" w:rsidRDefault="00E70281" w:rsidP="0074582E">
            <w:pPr>
              <w:jc w:val="both"/>
              <w:rPr>
                <w:sz w:val="20"/>
              </w:rPr>
            </w:pPr>
            <w:r w:rsidRPr="00B10752">
              <w:rPr>
                <w:sz w:val="20"/>
              </w:rPr>
              <w:t>(Que.) (Civil) (By Leave)</w:t>
            </w:r>
          </w:p>
        </w:tc>
      </w:tr>
      <w:tr w:rsidR="00E70281" w:rsidRPr="00B10752" w:rsidTr="0074582E">
        <w:tc>
          <w:tcPr>
            <w:tcW w:w="5000" w:type="pct"/>
            <w:gridSpan w:val="4"/>
          </w:tcPr>
          <w:p w:rsidR="00360F3B" w:rsidRPr="00B10752" w:rsidRDefault="00360F3B" w:rsidP="00360F3B">
            <w:pPr>
              <w:jc w:val="both"/>
              <w:rPr>
                <w:sz w:val="20"/>
                <w:szCs w:val="20"/>
              </w:rPr>
            </w:pPr>
            <w:r w:rsidRPr="00B10752">
              <w:rPr>
                <w:sz w:val="20"/>
                <w:szCs w:val="20"/>
              </w:rPr>
              <w:t>The miscellaneous motions are dismissed. The application for leave to appeal from the judgment of the Court of Appeal of Quebec (Montréal), Number 500-09-029025-202, 2020 QCCA 1571, dated November 16, 2020, is dismissed with costs.</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Civil procedure — Appeals — Applicant expelled from University by a disciplinary committee — Application for judicial review dismissed on the ground that the decisions were reasonable, well</w:t>
            </w:r>
            <w:r w:rsidRPr="00B10752">
              <w:rPr>
                <w:sz w:val="20"/>
              </w:rPr>
              <w:noBreakHyphen/>
              <w:t>motivated and applied the relevant disciplinary by</w:t>
            </w:r>
            <w:r w:rsidRPr="00B10752">
              <w:rPr>
                <w:sz w:val="20"/>
              </w:rPr>
              <w:noBreakHyphen/>
              <w:t>law — Motion for leave to appeal dismissed — Whether application for leave to appeal raises any issues of public importance.</w:t>
            </w:r>
          </w:p>
        </w:tc>
      </w:tr>
      <w:tr w:rsidR="00E70281" w:rsidRPr="00B10752" w:rsidTr="0074582E">
        <w:tc>
          <w:tcPr>
            <w:tcW w:w="5000" w:type="pct"/>
            <w:gridSpan w:val="4"/>
          </w:tcPr>
          <w:p w:rsidR="00E70281" w:rsidRPr="00B10752" w:rsidRDefault="00E70281" w:rsidP="0074582E">
            <w:pPr>
              <w:jc w:val="both"/>
              <w:rPr>
                <w:sz w:val="20"/>
              </w:rPr>
            </w:pPr>
          </w:p>
          <w:p w:rsidR="00E70281" w:rsidRPr="00B10752" w:rsidRDefault="00E70281" w:rsidP="0074582E">
            <w:pPr>
              <w:jc w:val="both"/>
              <w:rPr>
                <w:sz w:val="20"/>
              </w:rPr>
            </w:pPr>
            <w:r w:rsidRPr="00B10752">
              <w:rPr>
                <w:sz w:val="20"/>
              </w:rPr>
              <w:t>While the applicant was a student at the respondent University of Montreal, a disciplinary committee found him guilty of various disciplinary offences and expelled him. The University’s Review Committee confirmed this decision. The Superior Court dismissed the applicant’s application for judicial review of both decisions. The judge found that the decisions were reasonable, well</w:t>
            </w:r>
            <w:r w:rsidRPr="00B10752">
              <w:rPr>
                <w:sz w:val="20"/>
              </w:rPr>
              <w:noBreakHyphen/>
              <w:t>motivated and applied the relevant disciplinary by</w:t>
            </w:r>
            <w:r w:rsidRPr="00B10752">
              <w:rPr>
                <w:sz w:val="20"/>
              </w:rPr>
              <w:noBreakHyphen/>
              <w:t>law of the University to the facts. The Court of Appeal dismissed his motion for leave to appeal.</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July 14, 2020</w:t>
            </w:r>
          </w:p>
          <w:p w:rsidR="00E70281" w:rsidRPr="00B10752" w:rsidRDefault="00E70281" w:rsidP="0074582E">
            <w:pPr>
              <w:jc w:val="both"/>
              <w:rPr>
                <w:sz w:val="20"/>
              </w:rPr>
            </w:pPr>
            <w:r w:rsidRPr="00B10752">
              <w:rPr>
                <w:sz w:val="20"/>
              </w:rPr>
              <w:t>Superior Court of Quebec</w:t>
            </w:r>
          </w:p>
          <w:p w:rsidR="00E70281" w:rsidRPr="00B10752" w:rsidRDefault="00E70281" w:rsidP="0074582E">
            <w:pPr>
              <w:jc w:val="both"/>
              <w:rPr>
                <w:sz w:val="20"/>
              </w:rPr>
            </w:pPr>
            <w:r w:rsidRPr="00B10752">
              <w:rPr>
                <w:sz w:val="20"/>
              </w:rPr>
              <w:t>(St-Pierre J.)</w:t>
            </w:r>
          </w:p>
          <w:p w:rsidR="00E70281" w:rsidRPr="00B10752" w:rsidRDefault="00E70281" w:rsidP="0074582E">
            <w:pPr>
              <w:jc w:val="both"/>
              <w:rPr>
                <w:sz w:val="20"/>
              </w:rPr>
            </w:pPr>
            <w:r w:rsidRPr="00B10752">
              <w:rPr>
                <w:sz w:val="20"/>
              </w:rPr>
              <w:t>500</w:t>
            </w:r>
            <w:r w:rsidRPr="00B10752">
              <w:rPr>
                <w:sz w:val="20"/>
              </w:rPr>
              <w:noBreakHyphen/>
              <w:t>17</w:t>
            </w:r>
            <w:r w:rsidRPr="00B10752">
              <w:rPr>
                <w:sz w:val="20"/>
              </w:rPr>
              <w:noBreakHyphen/>
              <w:t>106731</w:t>
            </w:r>
            <w:r w:rsidRPr="00B10752">
              <w:rPr>
                <w:sz w:val="20"/>
              </w:rPr>
              <w:noBreakHyphen/>
              <w:t>196</w:t>
            </w:r>
          </w:p>
          <w:p w:rsidR="00E70281" w:rsidRPr="00B10752" w:rsidRDefault="00E70281" w:rsidP="0074582E">
            <w:pPr>
              <w:jc w:val="both"/>
              <w:rPr>
                <w:sz w:val="20"/>
              </w:rPr>
            </w:pPr>
            <w:r w:rsidRPr="00B10752">
              <w:rPr>
                <w:sz w:val="20"/>
              </w:rPr>
              <w:t>Unreported</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Motion for judicial review dismissed</w:t>
            </w:r>
          </w:p>
        </w:tc>
      </w:tr>
      <w:tr w:rsidR="00E70281" w:rsidRPr="00B10752" w:rsidTr="0074582E">
        <w:tc>
          <w:tcPr>
            <w:tcW w:w="2427" w:type="pct"/>
            <w:gridSpan w:val="2"/>
          </w:tcPr>
          <w:p w:rsidR="00E70281" w:rsidRPr="00B10752" w:rsidRDefault="00E70281" w:rsidP="0074582E">
            <w:pPr>
              <w:jc w:val="both"/>
              <w:rPr>
                <w:sz w:val="20"/>
              </w:rPr>
            </w:pPr>
            <w:r w:rsidRPr="00B10752">
              <w:rPr>
                <w:sz w:val="20"/>
              </w:rPr>
              <w:t>September 14, 2020</w:t>
            </w:r>
          </w:p>
          <w:p w:rsidR="00E70281" w:rsidRPr="00B10752" w:rsidRDefault="00E70281" w:rsidP="0074582E">
            <w:pPr>
              <w:jc w:val="both"/>
              <w:rPr>
                <w:sz w:val="20"/>
              </w:rPr>
            </w:pPr>
            <w:r w:rsidRPr="00B10752">
              <w:rPr>
                <w:sz w:val="20"/>
              </w:rPr>
              <w:t>Court of Appeal of Quebec (Montréal)</w:t>
            </w:r>
            <w:bookmarkStart w:id="6" w:name="NomJuge1"/>
            <w:r w:rsidRPr="00B10752">
              <w:rPr>
                <w:sz w:val="20"/>
              </w:rPr>
              <w:t xml:space="preserve"> </w:t>
            </w:r>
          </w:p>
          <w:p w:rsidR="00E70281" w:rsidRPr="00B10752" w:rsidRDefault="00E70281" w:rsidP="0074582E">
            <w:pPr>
              <w:jc w:val="both"/>
              <w:rPr>
                <w:sz w:val="20"/>
              </w:rPr>
            </w:pPr>
            <w:r w:rsidRPr="00B10752">
              <w:rPr>
                <w:sz w:val="20"/>
              </w:rPr>
              <w:t>(Vauclair J.</w:t>
            </w:r>
            <w:bookmarkEnd w:id="6"/>
            <w:r w:rsidRPr="00B10752">
              <w:rPr>
                <w:sz w:val="20"/>
              </w:rPr>
              <w:t>A.)</w:t>
            </w:r>
          </w:p>
          <w:p w:rsidR="00E70281" w:rsidRPr="00B10752" w:rsidRDefault="00E70281" w:rsidP="0074582E">
            <w:pPr>
              <w:jc w:val="both"/>
              <w:rPr>
                <w:sz w:val="20"/>
              </w:rPr>
            </w:pPr>
            <w:r w:rsidRPr="00B10752">
              <w:rPr>
                <w:sz w:val="20"/>
              </w:rPr>
              <w:t>500</w:t>
            </w:r>
            <w:r w:rsidRPr="00B10752">
              <w:rPr>
                <w:sz w:val="20"/>
              </w:rPr>
              <w:noBreakHyphen/>
              <w:t>09</w:t>
            </w:r>
            <w:r w:rsidRPr="00B10752">
              <w:rPr>
                <w:sz w:val="20"/>
              </w:rPr>
              <w:noBreakHyphen/>
              <w:t>029025</w:t>
            </w:r>
            <w:r w:rsidRPr="00B10752">
              <w:rPr>
                <w:sz w:val="20"/>
              </w:rPr>
              <w:noBreakHyphen/>
              <w:t xml:space="preserve">202 </w:t>
            </w:r>
          </w:p>
          <w:p w:rsidR="00E70281" w:rsidRPr="00B10752" w:rsidRDefault="00B10752" w:rsidP="0074582E">
            <w:pPr>
              <w:jc w:val="both"/>
              <w:rPr>
                <w:sz w:val="20"/>
              </w:rPr>
            </w:pPr>
            <w:hyperlink r:id="rId91" w:history="1">
              <w:r w:rsidR="00E70281" w:rsidRPr="00B10752">
                <w:rPr>
                  <w:rStyle w:val="Hyperlink"/>
                  <w:sz w:val="20"/>
                </w:rPr>
                <w:t>2020 QCCA 1154</w:t>
              </w:r>
            </w:hyperlink>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rPr>
            </w:pPr>
            <w:r w:rsidRPr="00B10752">
              <w:rPr>
                <w:sz w:val="20"/>
              </w:rPr>
              <w:t>Motion for directives dismissed with costs</w:t>
            </w:r>
          </w:p>
        </w:tc>
      </w:tr>
      <w:tr w:rsidR="00E70281" w:rsidRPr="00B10752" w:rsidTr="0074582E">
        <w:tc>
          <w:tcPr>
            <w:tcW w:w="2427" w:type="pct"/>
            <w:gridSpan w:val="2"/>
          </w:tcPr>
          <w:p w:rsidR="00E70281" w:rsidRPr="00B10752" w:rsidRDefault="00E70281" w:rsidP="0074582E">
            <w:pPr>
              <w:jc w:val="both"/>
              <w:rPr>
                <w:sz w:val="20"/>
              </w:rPr>
            </w:pPr>
            <w:r w:rsidRPr="00B10752">
              <w:rPr>
                <w:sz w:val="20"/>
              </w:rPr>
              <w:t>November 16, 2020</w:t>
            </w:r>
          </w:p>
          <w:p w:rsidR="00E70281" w:rsidRPr="00B10752" w:rsidRDefault="00E70281" w:rsidP="0074582E">
            <w:pPr>
              <w:jc w:val="both"/>
              <w:rPr>
                <w:sz w:val="20"/>
              </w:rPr>
            </w:pPr>
            <w:r w:rsidRPr="00B10752">
              <w:rPr>
                <w:sz w:val="20"/>
              </w:rPr>
              <w:t>Court of Appeal of Quebec (Montréal)</w:t>
            </w:r>
          </w:p>
          <w:p w:rsidR="00E70281" w:rsidRPr="00B10752" w:rsidRDefault="00E70281" w:rsidP="0074582E">
            <w:pPr>
              <w:jc w:val="both"/>
              <w:rPr>
                <w:sz w:val="20"/>
                <w:lang w:val="fr-CA"/>
              </w:rPr>
            </w:pPr>
            <w:r w:rsidRPr="00B10752">
              <w:rPr>
                <w:sz w:val="20"/>
                <w:lang w:val="fr-CA"/>
              </w:rPr>
              <w:t>(Pelletier, Schrager, Hogue JJ.A.)</w:t>
            </w:r>
          </w:p>
          <w:p w:rsidR="00E70281" w:rsidRPr="00B10752" w:rsidRDefault="00E70281" w:rsidP="0074582E">
            <w:pPr>
              <w:jc w:val="both"/>
              <w:rPr>
                <w:sz w:val="20"/>
              </w:rPr>
            </w:pPr>
            <w:r w:rsidRPr="00B10752">
              <w:rPr>
                <w:sz w:val="20"/>
              </w:rPr>
              <w:t>500</w:t>
            </w:r>
            <w:r w:rsidRPr="00B10752">
              <w:rPr>
                <w:sz w:val="20"/>
              </w:rPr>
              <w:noBreakHyphen/>
              <w:t>09</w:t>
            </w:r>
            <w:r w:rsidRPr="00B10752">
              <w:rPr>
                <w:sz w:val="20"/>
              </w:rPr>
              <w:noBreakHyphen/>
              <w:t>029025</w:t>
            </w:r>
            <w:r w:rsidRPr="00B10752">
              <w:rPr>
                <w:sz w:val="20"/>
              </w:rPr>
              <w:noBreakHyphen/>
              <w:t xml:space="preserve">202 </w:t>
            </w:r>
          </w:p>
          <w:p w:rsidR="00E70281" w:rsidRPr="00B10752" w:rsidRDefault="00B10752" w:rsidP="0074582E">
            <w:pPr>
              <w:jc w:val="both"/>
              <w:rPr>
                <w:sz w:val="20"/>
              </w:rPr>
            </w:pPr>
            <w:hyperlink r:id="rId92" w:history="1">
              <w:r w:rsidR="00E70281" w:rsidRPr="00B10752">
                <w:rPr>
                  <w:rStyle w:val="Hyperlink"/>
                  <w:sz w:val="20"/>
                </w:rPr>
                <w:t>2020 QCCA 1571</w:t>
              </w:r>
            </w:hyperlink>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 xml:space="preserve">Motion for leave to appeal dismissed without costs </w:t>
            </w:r>
          </w:p>
        </w:tc>
      </w:tr>
      <w:tr w:rsidR="00E70281" w:rsidRPr="00B10752" w:rsidTr="0074582E">
        <w:tc>
          <w:tcPr>
            <w:tcW w:w="2427" w:type="pct"/>
            <w:gridSpan w:val="2"/>
          </w:tcPr>
          <w:p w:rsidR="00E70281" w:rsidRPr="00B10752" w:rsidRDefault="00E70281" w:rsidP="0074582E">
            <w:pPr>
              <w:jc w:val="both"/>
              <w:rPr>
                <w:sz w:val="20"/>
              </w:rPr>
            </w:pPr>
            <w:r w:rsidRPr="00B10752">
              <w:rPr>
                <w:sz w:val="20"/>
              </w:rPr>
              <w:t>December 29, 2020</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81"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39507</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Volodymyr Hrabovskyy c. Université de Montréal</w:t>
            </w:r>
          </w:p>
          <w:p w:rsidR="00E70281" w:rsidRPr="00B10752" w:rsidRDefault="00E70281" w:rsidP="0074582E">
            <w:pPr>
              <w:jc w:val="both"/>
              <w:rPr>
                <w:sz w:val="20"/>
                <w:lang w:val="fr-CA"/>
              </w:rPr>
            </w:pPr>
            <w:r w:rsidRPr="00B10752">
              <w:rPr>
                <w:sz w:val="20"/>
                <w:lang w:val="fr-CA"/>
              </w:rPr>
              <w:t>(Qc) (Civile) (Sur autorisation)</w:t>
            </w:r>
          </w:p>
        </w:tc>
      </w:tr>
      <w:tr w:rsidR="00E70281" w:rsidRPr="00B10752" w:rsidTr="0074582E">
        <w:tc>
          <w:tcPr>
            <w:tcW w:w="5000" w:type="pct"/>
            <w:gridSpan w:val="4"/>
          </w:tcPr>
          <w:p w:rsidR="00E70281" w:rsidRPr="00B10752" w:rsidRDefault="00360F3B" w:rsidP="0074582E">
            <w:pPr>
              <w:jc w:val="both"/>
              <w:rPr>
                <w:sz w:val="20"/>
                <w:szCs w:val="20"/>
                <w:lang w:val="fr-CA"/>
              </w:rPr>
            </w:pPr>
            <w:r w:rsidRPr="00B10752">
              <w:rPr>
                <w:sz w:val="20"/>
                <w:szCs w:val="20"/>
                <w:lang w:val="fr-CA"/>
              </w:rPr>
              <w:t>Les requêtes diverses sont rejetées. La demande d’autorisation d’appel de l’arrêt de la Cour d’appel du Québec (Montréal), numéro 500-09-029025-202, 2020 QCCA 1571, daté du 16 novembre 2020, est rejetée avec dépens.</w:t>
            </w:r>
          </w:p>
          <w:p w:rsidR="00360F3B" w:rsidRPr="00B10752" w:rsidRDefault="00360F3B"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Procédure civile — Appels — Le demandeur a été expulsé de l’Université par un comité disciplinaire — La demande de révision judiciaire a été rejetée au motif que les décisions étaient raisonnables, bien fondées et que le règlement pertinent sur la discipline y était appliqué — La requête en autorisation d’appel a été rejetée — La demande d’autorisation d’appel s</w:t>
            </w:r>
            <w:r w:rsidRPr="00B10752">
              <w:rPr>
                <w:color w:val="000000"/>
                <w:sz w:val="20"/>
                <w:lang w:val="fr-CA"/>
              </w:rPr>
              <w:t>oulève</w:t>
            </w:r>
            <w:r w:rsidRPr="00B10752">
              <w:rPr>
                <w:color w:val="000000"/>
                <w:sz w:val="20"/>
                <w:lang w:val="fr-CA"/>
              </w:rPr>
              <w:noBreakHyphen/>
              <w:t>t</w:t>
            </w:r>
            <w:r w:rsidRPr="00B10752">
              <w:rPr>
                <w:color w:val="000000"/>
                <w:sz w:val="20"/>
                <w:lang w:val="fr-CA"/>
              </w:rPr>
              <w:noBreakHyphen/>
              <w:t>elle une question d’importance pour le public?</w:t>
            </w:r>
          </w:p>
        </w:tc>
      </w:tr>
      <w:tr w:rsidR="00E70281" w:rsidRPr="00B10752" w:rsidTr="0074582E">
        <w:tc>
          <w:tcPr>
            <w:tcW w:w="5000" w:type="pct"/>
            <w:gridSpan w:val="4"/>
          </w:tcPr>
          <w:p w:rsidR="00E70281" w:rsidRPr="00B10752" w:rsidRDefault="00E70281" w:rsidP="0074582E">
            <w:pPr>
              <w:jc w:val="both"/>
              <w:rPr>
                <w:sz w:val="20"/>
                <w:lang w:val="fr-CA"/>
              </w:rPr>
            </w:pPr>
          </w:p>
          <w:p w:rsidR="00E70281" w:rsidRPr="00B10752" w:rsidRDefault="00E70281" w:rsidP="0074582E">
            <w:pPr>
              <w:jc w:val="both"/>
              <w:rPr>
                <w:sz w:val="20"/>
                <w:lang w:val="fr-CA"/>
              </w:rPr>
            </w:pPr>
            <w:r w:rsidRPr="00B10752">
              <w:rPr>
                <w:sz w:val="20"/>
                <w:lang w:val="fr-CA"/>
              </w:rPr>
              <w:t>Alors que le demandeur étudiait à l’Université de Montréal intimée, un comité disciplinaire l’a déclaré coupable de différentes infractions disciplinaires et l’a expulsé. Le comité d’examen de l’Université a confirmé cette décision. La Cour supérieure a rejeté la demande de révision judiciaire des deux décisions présentée par le demandeur. Le juge a conclu que les décisions étaient raisonnables, bien fondées, et que le règlement pertinent sur la discipline de l’Université avait été appliqué aux faits dans celles</w:t>
            </w:r>
            <w:r w:rsidRPr="00B10752">
              <w:rPr>
                <w:sz w:val="20"/>
                <w:lang w:val="fr-CA"/>
              </w:rPr>
              <w:noBreakHyphen/>
              <w:t>ci. La Cour d’appel a rejeté la requête en autorisation d’appel du demandeur.</w:t>
            </w:r>
          </w:p>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14 juillet 2020</w:t>
            </w:r>
          </w:p>
          <w:p w:rsidR="00E70281" w:rsidRPr="00B10752" w:rsidRDefault="00E70281" w:rsidP="0074582E">
            <w:pPr>
              <w:jc w:val="both"/>
              <w:rPr>
                <w:sz w:val="20"/>
                <w:lang w:val="fr-CA"/>
              </w:rPr>
            </w:pPr>
            <w:r w:rsidRPr="00B10752">
              <w:rPr>
                <w:sz w:val="20"/>
                <w:lang w:val="fr-CA"/>
              </w:rPr>
              <w:t>Cour supérieure du Québec</w:t>
            </w:r>
          </w:p>
          <w:p w:rsidR="00E70281" w:rsidRPr="00B10752" w:rsidRDefault="00E70281" w:rsidP="0074582E">
            <w:pPr>
              <w:jc w:val="both"/>
              <w:rPr>
                <w:sz w:val="20"/>
                <w:lang w:val="fr-CA"/>
              </w:rPr>
            </w:pPr>
            <w:r w:rsidRPr="00B10752">
              <w:rPr>
                <w:sz w:val="20"/>
                <w:lang w:val="fr-CA"/>
              </w:rPr>
              <w:t>(Juge St-Pierre)</w:t>
            </w:r>
          </w:p>
          <w:p w:rsidR="00E70281" w:rsidRPr="00B10752" w:rsidRDefault="00E70281" w:rsidP="0074582E">
            <w:pPr>
              <w:jc w:val="both"/>
              <w:rPr>
                <w:sz w:val="20"/>
                <w:lang w:val="fr-CA"/>
              </w:rPr>
            </w:pPr>
            <w:r w:rsidRPr="00B10752">
              <w:rPr>
                <w:sz w:val="20"/>
                <w:lang w:val="fr-CA"/>
              </w:rPr>
              <w:t>500</w:t>
            </w:r>
            <w:r w:rsidRPr="00B10752">
              <w:rPr>
                <w:sz w:val="20"/>
                <w:lang w:val="fr-CA"/>
              </w:rPr>
              <w:noBreakHyphen/>
              <w:t>17</w:t>
            </w:r>
            <w:r w:rsidRPr="00B10752">
              <w:rPr>
                <w:sz w:val="20"/>
                <w:lang w:val="fr-CA"/>
              </w:rPr>
              <w:noBreakHyphen/>
              <w:t>106731</w:t>
            </w:r>
            <w:r w:rsidRPr="00B10752">
              <w:rPr>
                <w:sz w:val="20"/>
                <w:lang w:val="fr-CA"/>
              </w:rPr>
              <w:noBreakHyphen/>
              <w:t>196</w:t>
            </w:r>
          </w:p>
          <w:p w:rsidR="00E70281" w:rsidRPr="00B10752" w:rsidRDefault="00E70281" w:rsidP="0074582E">
            <w:pPr>
              <w:jc w:val="both"/>
              <w:rPr>
                <w:sz w:val="20"/>
                <w:lang w:val="fr-CA"/>
              </w:rPr>
            </w:pPr>
            <w:r w:rsidRPr="00B10752">
              <w:rPr>
                <w:sz w:val="20"/>
                <w:lang w:val="fr-CA"/>
              </w:rPr>
              <w:t>Non publié</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de révision judiciaire est rejetée.</w:t>
            </w: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14 septembre 2020</w:t>
            </w:r>
          </w:p>
          <w:p w:rsidR="00E70281" w:rsidRPr="00B10752" w:rsidRDefault="00E70281" w:rsidP="0074582E">
            <w:pPr>
              <w:jc w:val="both"/>
              <w:rPr>
                <w:sz w:val="20"/>
                <w:lang w:val="fr-CA"/>
              </w:rPr>
            </w:pPr>
            <w:r w:rsidRPr="00B10752">
              <w:rPr>
                <w:sz w:val="20"/>
                <w:lang w:val="fr-CA"/>
              </w:rPr>
              <w:t xml:space="preserve">Cour d’appel du Québec (Montréal) </w:t>
            </w:r>
          </w:p>
          <w:p w:rsidR="00E70281" w:rsidRPr="00B10752" w:rsidRDefault="00E70281" w:rsidP="0074582E">
            <w:pPr>
              <w:jc w:val="both"/>
              <w:rPr>
                <w:sz w:val="20"/>
                <w:lang w:val="fr-CA"/>
              </w:rPr>
            </w:pPr>
            <w:r w:rsidRPr="00B10752">
              <w:rPr>
                <w:sz w:val="20"/>
                <w:lang w:val="fr-CA"/>
              </w:rPr>
              <w:t>(Juge Vauclair)</w:t>
            </w:r>
          </w:p>
          <w:p w:rsidR="00E70281" w:rsidRPr="00B10752" w:rsidRDefault="00E70281" w:rsidP="0074582E">
            <w:pPr>
              <w:jc w:val="both"/>
              <w:rPr>
                <w:sz w:val="20"/>
                <w:lang w:val="fr-CA"/>
              </w:rPr>
            </w:pPr>
            <w:r w:rsidRPr="00B10752">
              <w:rPr>
                <w:sz w:val="20"/>
                <w:lang w:val="fr-CA"/>
              </w:rPr>
              <w:t>500</w:t>
            </w:r>
            <w:r w:rsidRPr="00B10752">
              <w:rPr>
                <w:sz w:val="20"/>
                <w:lang w:val="fr-CA"/>
              </w:rPr>
              <w:noBreakHyphen/>
              <w:t>09</w:t>
            </w:r>
            <w:r w:rsidRPr="00B10752">
              <w:rPr>
                <w:sz w:val="20"/>
                <w:lang w:val="fr-CA"/>
              </w:rPr>
              <w:noBreakHyphen/>
              <w:t>029025</w:t>
            </w:r>
            <w:r w:rsidRPr="00B10752">
              <w:rPr>
                <w:sz w:val="20"/>
                <w:lang w:val="fr-CA"/>
              </w:rPr>
              <w:noBreakHyphen/>
              <w:t xml:space="preserve">202 </w:t>
            </w:r>
          </w:p>
          <w:p w:rsidR="00E70281" w:rsidRPr="00B10752" w:rsidRDefault="00B10752" w:rsidP="0074582E">
            <w:pPr>
              <w:jc w:val="both"/>
              <w:rPr>
                <w:sz w:val="20"/>
                <w:lang w:val="fr-CA"/>
              </w:rPr>
            </w:pPr>
            <w:hyperlink r:id="rId93" w:history="1">
              <w:r w:rsidR="00E70281" w:rsidRPr="00B10752">
                <w:rPr>
                  <w:rStyle w:val="Hyperlink"/>
                  <w:sz w:val="20"/>
                  <w:lang w:val="fr-CA"/>
                </w:rPr>
                <w:t>2020 QCCA 1154</w:t>
              </w:r>
            </w:hyperlink>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de directives par voie de requête est rejetée avec dépens.</w:t>
            </w: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16 novembre 2020</w:t>
            </w:r>
          </w:p>
          <w:p w:rsidR="00E70281" w:rsidRPr="00B10752" w:rsidRDefault="00E70281" w:rsidP="0074582E">
            <w:pPr>
              <w:jc w:val="both"/>
              <w:rPr>
                <w:sz w:val="20"/>
                <w:lang w:val="fr-CA"/>
              </w:rPr>
            </w:pPr>
            <w:r w:rsidRPr="00B10752">
              <w:rPr>
                <w:sz w:val="20"/>
                <w:lang w:val="fr-CA"/>
              </w:rPr>
              <w:t>Cour d’appel du Québec (Montréal)</w:t>
            </w:r>
          </w:p>
          <w:p w:rsidR="00E70281" w:rsidRPr="00B10752" w:rsidRDefault="00E70281" w:rsidP="0074582E">
            <w:pPr>
              <w:jc w:val="both"/>
              <w:rPr>
                <w:sz w:val="20"/>
                <w:lang w:val="fr-CA"/>
              </w:rPr>
            </w:pPr>
            <w:r w:rsidRPr="00B10752">
              <w:rPr>
                <w:sz w:val="20"/>
                <w:lang w:val="fr-CA"/>
              </w:rPr>
              <w:t>(Juges Pelletier, Schrager, Hogue)</w:t>
            </w:r>
          </w:p>
          <w:p w:rsidR="00E70281" w:rsidRPr="00B10752" w:rsidRDefault="00E70281" w:rsidP="0074582E">
            <w:pPr>
              <w:jc w:val="both"/>
              <w:rPr>
                <w:sz w:val="20"/>
                <w:lang w:val="fr-CA"/>
              </w:rPr>
            </w:pPr>
            <w:r w:rsidRPr="00B10752">
              <w:rPr>
                <w:sz w:val="20"/>
                <w:lang w:val="fr-CA"/>
              </w:rPr>
              <w:t>500</w:t>
            </w:r>
            <w:r w:rsidRPr="00B10752">
              <w:rPr>
                <w:sz w:val="20"/>
                <w:lang w:val="fr-CA"/>
              </w:rPr>
              <w:noBreakHyphen/>
              <w:t>09</w:t>
            </w:r>
            <w:r w:rsidRPr="00B10752">
              <w:rPr>
                <w:sz w:val="20"/>
                <w:lang w:val="fr-CA"/>
              </w:rPr>
              <w:noBreakHyphen/>
              <w:t>029025</w:t>
            </w:r>
            <w:r w:rsidRPr="00B10752">
              <w:rPr>
                <w:sz w:val="20"/>
                <w:lang w:val="fr-CA"/>
              </w:rPr>
              <w:noBreakHyphen/>
              <w:t xml:space="preserve">202 </w:t>
            </w:r>
          </w:p>
          <w:p w:rsidR="00E70281" w:rsidRPr="00B10752" w:rsidRDefault="00B10752" w:rsidP="0074582E">
            <w:pPr>
              <w:jc w:val="both"/>
              <w:rPr>
                <w:sz w:val="20"/>
                <w:lang w:val="fr-CA"/>
              </w:rPr>
            </w:pPr>
            <w:hyperlink r:id="rId94" w:history="1">
              <w:r w:rsidR="00E70281" w:rsidRPr="00B10752">
                <w:rPr>
                  <w:rStyle w:val="Hyperlink"/>
                  <w:sz w:val="20"/>
                  <w:lang w:val="fr-CA"/>
                </w:rPr>
                <w:t>2020 QCCA 1571</w:t>
              </w:r>
            </w:hyperlink>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 xml:space="preserve">La demande d’autorisation d’appel est rejetée sans dépens. </w:t>
            </w: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28 décembre 2020</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d’appel est présentée.</w:t>
            </w:r>
          </w:p>
        </w:tc>
      </w:tr>
    </w:tbl>
    <w:p w:rsidR="00E70281" w:rsidRPr="00B10752" w:rsidRDefault="00E70281" w:rsidP="00E70281">
      <w:pPr>
        <w:jc w:val="both"/>
        <w:rPr>
          <w:sz w:val="20"/>
          <w:lang w:val="fr-CA"/>
        </w:rPr>
      </w:pPr>
    </w:p>
    <w:p w:rsidR="00E70281" w:rsidRPr="00B10752" w:rsidRDefault="00B10752" w:rsidP="00E70281">
      <w:pPr>
        <w:jc w:val="both"/>
        <w:rPr>
          <w:sz w:val="20"/>
          <w:lang w:val="fr-CA"/>
        </w:rPr>
      </w:pPr>
      <w:r w:rsidRPr="00B10752">
        <w:rPr>
          <w:sz w:val="20"/>
        </w:rPr>
        <w:pict>
          <v:rect id="_x0000_i1082" style="width:2in;height:1pt" o:hrpct="0" o:hralign="center" o:hrstd="t" o:hrnoshade="t" o:hr="t" fillcolor="black [3213]" stroked="f"/>
        </w:pict>
      </w:r>
    </w:p>
    <w:p w:rsidR="00E70281" w:rsidRPr="00B10752" w:rsidRDefault="00E70281" w:rsidP="00E7028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rPr>
            </w:pPr>
            <w:r w:rsidRPr="00B10752">
              <w:rPr>
                <w:rStyle w:val="SCCFileNumberChar"/>
                <w:sz w:val="20"/>
                <w:szCs w:val="20"/>
              </w:rPr>
              <w:t>39511</w:t>
            </w:r>
          </w:p>
        </w:tc>
        <w:tc>
          <w:tcPr>
            <w:tcW w:w="4457" w:type="pct"/>
            <w:gridSpan w:val="3"/>
          </w:tcPr>
          <w:p w:rsidR="00E70281" w:rsidRPr="00B10752" w:rsidRDefault="00E70281" w:rsidP="0074582E">
            <w:pPr>
              <w:pStyle w:val="SCCLsocParty"/>
              <w:jc w:val="both"/>
              <w:rPr>
                <w:b/>
                <w:sz w:val="20"/>
                <w:szCs w:val="20"/>
                <w:lang w:val="en-US"/>
              </w:rPr>
            </w:pPr>
            <w:r w:rsidRPr="00B10752">
              <w:rPr>
                <w:b/>
                <w:sz w:val="20"/>
                <w:szCs w:val="20"/>
                <w:lang w:val="en-US"/>
              </w:rPr>
              <w:t>Shu He Huang v. Ancieto M. Braga and Public Guardian and Trustee</w:t>
            </w:r>
          </w:p>
          <w:p w:rsidR="00E70281" w:rsidRPr="00B10752" w:rsidRDefault="00E70281" w:rsidP="0074582E">
            <w:pPr>
              <w:jc w:val="both"/>
              <w:rPr>
                <w:sz w:val="20"/>
              </w:rPr>
            </w:pPr>
            <w:r w:rsidRPr="00B10752">
              <w:rPr>
                <w:sz w:val="20"/>
              </w:rPr>
              <w:t>(Ont.) (Civil) (By Leave)</w:t>
            </w:r>
          </w:p>
        </w:tc>
      </w:tr>
      <w:tr w:rsidR="00E70281" w:rsidRPr="00B10752" w:rsidTr="0074582E">
        <w:tc>
          <w:tcPr>
            <w:tcW w:w="5000" w:type="pct"/>
            <w:gridSpan w:val="4"/>
          </w:tcPr>
          <w:p w:rsidR="00D90258" w:rsidRPr="00B10752" w:rsidRDefault="00D90258" w:rsidP="00D90258">
            <w:pPr>
              <w:jc w:val="both"/>
              <w:rPr>
                <w:sz w:val="20"/>
                <w:szCs w:val="20"/>
              </w:rPr>
            </w:pPr>
            <w:r w:rsidRPr="00B10752">
              <w:rPr>
                <w:sz w:val="20"/>
                <w:szCs w:val="20"/>
              </w:rPr>
              <w:t>The application for leave to appeal from the judgment of the Court of Appeal for Ontario, Number M51687 (M49778), 2020 ONCA 645, dated October 27, 2020, is dismissed with costs to the respondents, Ancieto M. Braga and the Public Guardian and Trustee.</w:t>
            </w:r>
          </w:p>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 xml:space="preserve">Civil procedure — Litigation guardian — Whether rule 7.01(1) of the </w:t>
            </w:r>
            <w:r w:rsidRPr="00B10752">
              <w:rPr>
                <w:i/>
                <w:sz w:val="20"/>
              </w:rPr>
              <w:t>Rules of Civil Procedure</w:t>
            </w:r>
            <w:r w:rsidRPr="00B10752">
              <w:rPr>
                <w:sz w:val="20"/>
              </w:rPr>
              <w:t xml:space="preserve"> is inconsistent with s. 7 of the </w:t>
            </w:r>
            <w:r w:rsidRPr="00B10752">
              <w:rPr>
                <w:i/>
                <w:sz w:val="20"/>
              </w:rPr>
              <w:t>Canadian Charter of Rights and Freedoms</w:t>
            </w:r>
            <w:r w:rsidRPr="00B10752">
              <w:rPr>
                <w:sz w:val="20"/>
              </w:rPr>
              <w:t xml:space="preserve"> — Whether as a Crown corporation, the Public Guardian and Trustee violated the applicant’s s. 7 rights — What is the test to be applied under the discretionary power of an appellate court to grant leave to a party under a prohibition order and represented by a </w:t>
            </w:r>
            <w:r w:rsidRPr="00B10752">
              <w:rPr>
                <w:i/>
                <w:sz w:val="20"/>
              </w:rPr>
              <w:t>guardian ad litem</w:t>
            </w:r>
            <w:r w:rsidRPr="00B10752">
              <w:rPr>
                <w:sz w:val="20"/>
              </w:rPr>
              <w:t xml:space="preserve"> — </w:t>
            </w:r>
            <w:r w:rsidRPr="00B10752">
              <w:rPr>
                <w:i/>
                <w:sz w:val="20"/>
              </w:rPr>
              <w:t>Rules of Civil Procedure</w:t>
            </w:r>
            <w:r w:rsidRPr="00B10752">
              <w:rPr>
                <w:sz w:val="20"/>
              </w:rPr>
              <w:t>, R.R.O. 1990, Reg. 194, r. 7.</w:t>
            </w:r>
          </w:p>
        </w:tc>
      </w:tr>
      <w:tr w:rsidR="00E70281" w:rsidRPr="00B10752" w:rsidTr="0074582E">
        <w:tc>
          <w:tcPr>
            <w:tcW w:w="5000" w:type="pct"/>
            <w:gridSpan w:val="4"/>
          </w:tcPr>
          <w:p w:rsidR="00E70281" w:rsidRPr="00B10752" w:rsidRDefault="00E70281" w:rsidP="0074582E">
            <w:pPr>
              <w:jc w:val="both"/>
              <w:rPr>
                <w:sz w:val="20"/>
              </w:rPr>
            </w:pPr>
          </w:p>
        </w:tc>
      </w:tr>
      <w:tr w:rsidR="00E70281" w:rsidRPr="00B10752" w:rsidTr="0074582E">
        <w:tc>
          <w:tcPr>
            <w:tcW w:w="5000" w:type="pct"/>
            <w:gridSpan w:val="4"/>
          </w:tcPr>
          <w:p w:rsidR="00E70281" w:rsidRPr="00B10752" w:rsidRDefault="00E70281" w:rsidP="0074582E">
            <w:pPr>
              <w:jc w:val="both"/>
              <w:rPr>
                <w:sz w:val="20"/>
              </w:rPr>
            </w:pPr>
            <w:r w:rsidRPr="00B10752">
              <w:rPr>
                <w:sz w:val="20"/>
              </w:rPr>
              <w:t xml:space="preserve">The applicant was in a motor vehicle accident in 2000. She commenced three actions and the litigation has spanned many years. The trial was set to begin in October, 2016. Just prior to the trial date, a Certified Capacity Assessor concluded that the applicant lacked capacity to act for herself in the litigation and the Public Guardian and Trustee (“PGT”) was appointed as the applicant’s litigation guardian pursuant to rule 7.04(1)(b) of the </w:t>
            </w:r>
            <w:r w:rsidRPr="00B10752">
              <w:rPr>
                <w:i/>
                <w:sz w:val="20"/>
              </w:rPr>
              <w:t>Rules of Civil Procedure</w:t>
            </w:r>
            <w:r w:rsidRPr="00B10752">
              <w:rPr>
                <w:sz w:val="20"/>
              </w:rPr>
              <w:t>. The applicant brought six proceedings aimed at overturning the appointment of the PGT, but all were unsuccessful. In April, 2019, the respondent, Mr. Braga, successfully brought a motion for an order that the applicant be prohibited from bringing further motions or appeals without leave of the court. The PGT retained outside counsel to act on its behalf as litigation guardian and settled the applicant’s three original actions for $1 million. The settlement was approved by the court.</w:t>
            </w:r>
          </w:p>
          <w:p w:rsidR="00E70281" w:rsidRPr="00B10752" w:rsidRDefault="00E70281" w:rsidP="0074582E">
            <w:pPr>
              <w:jc w:val="both"/>
              <w:rPr>
                <w:sz w:val="20"/>
              </w:rPr>
            </w:pPr>
          </w:p>
          <w:p w:rsidR="00E70281" w:rsidRPr="00B10752" w:rsidRDefault="00E70281" w:rsidP="0074582E">
            <w:pPr>
              <w:jc w:val="both"/>
              <w:rPr>
                <w:sz w:val="20"/>
              </w:rPr>
            </w:pPr>
            <w:r w:rsidRPr="00B10752">
              <w:rPr>
                <w:sz w:val="20"/>
              </w:rPr>
              <w:t>The applicant sought leave of the Court of Appeal to allow her to appeal the order of the superior court approving the settlement.  The motion was dismissed.</w:t>
            </w:r>
          </w:p>
        </w:tc>
      </w:tr>
      <w:tr w:rsidR="00E70281" w:rsidRPr="00B10752" w:rsidTr="0074582E">
        <w:tc>
          <w:tcPr>
            <w:tcW w:w="2427" w:type="pct"/>
            <w:gridSpan w:val="2"/>
          </w:tcPr>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May 28, 2020</w:t>
            </w:r>
          </w:p>
          <w:p w:rsidR="00E70281" w:rsidRPr="00B10752" w:rsidRDefault="00E70281" w:rsidP="0074582E">
            <w:pPr>
              <w:jc w:val="both"/>
              <w:rPr>
                <w:sz w:val="20"/>
              </w:rPr>
            </w:pPr>
            <w:r w:rsidRPr="00B10752">
              <w:rPr>
                <w:sz w:val="20"/>
              </w:rPr>
              <w:t>Ontario Superior Court of Justice</w:t>
            </w:r>
          </w:p>
          <w:p w:rsidR="00E70281" w:rsidRPr="00B10752" w:rsidRDefault="00E70281" w:rsidP="0074582E">
            <w:pPr>
              <w:jc w:val="both"/>
              <w:rPr>
                <w:sz w:val="20"/>
              </w:rPr>
            </w:pPr>
            <w:r w:rsidRPr="00B10752">
              <w:rPr>
                <w:sz w:val="20"/>
              </w:rPr>
              <w:t>(Chalmers J.)</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Structured settlement approved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October 27, 2020</w:t>
            </w:r>
          </w:p>
          <w:p w:rsidR="00E70281" w:rsidRPr="00B10752" w:rsidRDefault="00E70281" w:rsidP="0074582E">
            <w:pPr>
              <w:jc w:val="both"/>
              <w:rPr>
                <w:sz w:val="20"/>
              </w:rPr>
            </w:pPr>
            <w:r w:rsidRPr="00B10752">
              <w:rPr>
                <w:sz w:val="20"/>
              </w:rPr>
              <w:t>Court of Appeal for Ontario</w:t>
            </w:r>
          </w:p>
          <w:p w:rsidR="00E70281" w:rsidRPr="00B10752" w:rsidRDefault="00E70281" w:rsidP="0074582E">
            <w:pPr>
              <w:jc w:val="both"/>
              <w:rPr>
                <w:sz w:val="20"/>
              </w:rPr>
            </w:pPr>
            <w:r w:rsidRPr="00B10752">
              <w:rPr>
                <w:sz w:val="20"/>
              </w:rPr>
              <w:t>(Pepall J.A.)</w:t>
            </w:r>
          </w:p>
          <w:p w:rsidR="00E70281" w:rsidRPr="00B10752" w:rsidRDefault="00B10752" w:rsidP="0074582E">
            <w:pPr>
              <w:jc w:val="both"/>
              <w:rPr>
                <w:sz w:val="20"/>
              </w:rPr>
            </w:pPr>
            <w:hyperlink r:id="rId95" w:history="1">
              <w:r w:rsidR="00E70281" w:rsidRPr="00B10752">
                <w:rPr>
                  <w:rStyle w:val="Hyperlink"/>
                  <w:sz w:val="20"/>
                </w:rPr>
                <w:t>2020 ONCA 645</w:t>
              </w:r>
            </w:hyperlink>
            <w:r w:rsidR="00E70281" w:rsidRPr="00B10752">
              <w:rPr>
                <w:sz w:val="20"/>
              </w:rPr>
              <w:t xml:space="preserve">; M51687 </w:t>
            </w:r>
          </w:p>
          <w:p w:rsidR="00E70281" w:rsidRPr="00B10752" w:rsidRDefault="00E70281" w:rsidP="0074582E">
            <w:pPr>
              <w:jc w:val="both"/>
              <w:rPr>
                <w:sz w:val="20"/>
              </w:rPr>
            </w:pP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Motion for leave to appeal dismissed</w:t>
            </w:r>
          </w:p>
          <w:p w:rsidR="00E70281" w:rsidRPr="00B10752" w:rsidRDefault="00E70281" w:rsidP="0074582E">
            <w:pPr>
              <w:jc w:val="both"/>
              <w:rPr>
                <w:sz w:val="20"/>
              </w:rPr>
            </w:pPr>
          </w:p>
        </w:tc>
      </w:tr>
      <w:tr w:rsidR="00E70281" w:rsidRPr="00B10752" w:rsidTr="0074582E">
        <w:tc>
          <w:tcPr>
            <w:tcW w:w="2427" w:type="pct"/>
            <w:gridSpan w:val="2"/>
          </w:tcPr>
          <w:p w:rsidR="00E70281" w:rsidRPr="00B10752" w:rsidRDefault="00E70281" w:rsidP="0074582E">
            <w:pPr>
              <w:jc w:val="both"/>
              <w:rPr>
                <w:sz w:val="20"/>
              </w:rPr>
            </w:pPr>
            <w:r w:rsidRPr="00B10752">
              <w:rPr>
                <w:sz w:val="20"/>
              </w:rPr>
              <w:t>December 29, 2020</w:t>
            </w:r>
          </w:p>
          <w:p w:rsidR="00E70281" w:rsidRPr="00B10752" w:rsidRDefault="00E70281" w:rsidP="0074582E">
            <w:pPr>
              <w:jc w:val="both"/>
              <w:rPr>
                <w:sz w:val="20"/>
              </w:rPr>
            </w:pPr>
            <w:r w:rsidRPr="00B10752">
              <w:rPr>
                <w:sz w:val="20"/>
              </w:rPr>
              <w:t>Supreme Court of Canada</w:t>
            </w:r>
          </w:p>
        </w:tc>
        <w:tc>
          <w:tcPr>
            <w:tcW w:w="243" w:type="pct"/>
          </w:tcPr>
          <w:p w:rsidR="00E70281" w:rsidRPr="00B10752" w:rsidRDefault="00E70281" w:rsidP="0074582E">
            <w:pPr>
              <w:jc w:val="both"/>
              <w:rPr>
                <w:sz w:val="20"/>
              </w:rPr>
            </w:pPr>
          </w:p>
        </w:tc>
        <w:tc>
          <w:tcPr>
            <w:tcW w:w="2330" w:type="pct"/>
          </w:tcPr>
          <w:p w:rsidR="00E70281" w:rsidRPr="00B10752" w:rsidRDefault="00E70281" w:rsidP="0074582E">
            <w:pPr>
              <w:jc w:val="both"/>
              <w:rPr>
                <w:sz w:val="20"/>
              </w:rPr>
            </w:pPr>
            <w:r w:rsidRPr="00B10752">
              <w:rPr>
                <w:sz w:val="20"/>
              </w:rPr>
              <w:t>Application for leave to appeal filed</w:t>
            </w:r>
          </w:p>
          <w:p w:rsidR="00E70281" w:rsidRPr="00B10752" w:rsidRDefault="00E70281" w:rsidP="0074582E">
            <w:pPr>
              <w:jc w:val="both"/>
              <w:rPr>
                <w:sz w:val="20"/>
              </w:rPr>
            </w:pPr>
          </w:p>
        </w:tc>
      </w:tr>
    </w:tbl>
    <w:p w:rsidR="00E70281" w:rsidRPr="00B10752" w:rsidRDefault="00E70281" w:rsidP="00E70281">
      <w:pPr>
        <w:jc w:val="both"/>
        <w:rPr>
          <w:sz w:val="20"/>
        </w:rPr>
      </w:pPr>
    </w:p>
    <w:p w:rsidR="00E70281" w:rsidRPr="00B10752" w:rsidRDefault="00B10752" w:rsidP="00E70281">
      <w:pPr>
        <w:jc w:val="both"/>
        <w:rPr>
          <w:sz w:val="20"/>
        </w:rPr>
      </w:pPr>
      <w:r w:rsidRPr="00B10752">
        <w:rPr>
          <w:sz w:val="20"/>
        </w:rPr>
        <w:pict>
          <v:rect id="_x0000_i1083" style="width:2in;height:1pt" o:hrpct="0" o:hralign="center" o:hrstd="t" o:hrnoshade="t" o:hr="t" fillcolor="black [3213]" stroked="f"/>
        </w:pict>
      </w:r>
    </w:p>
    <w:p w:rsidR="00E70281" w:rsidRPr="00B10752" w:rsidRDefault="00E70281" w:rsidP="00E702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70281" w:rsidRPr="00B10752" w:rsidTr="0074582E">
        <w:tc>
          <w:tcPr>
            <w:tcW w:w="543" w:type="pct"/>
          </w:tcPr>
          <w:p w:rsidR="00E70281" w:rsidRPr="00B10752" w:rsidRDefault="00E70281" w:rsidP="0074582E">
            <w:pPr>
              <w:jc w:val="both"/>
              <w:rPr>
                <w:sz w:val="20"/>
                <w:lang w:val="fr-CA"/>
              </w:rPr>
            </w:pPr>
            <w:r w:rsidRPr="00B10752">
              <w:rPr>
                <w:rStyle w:val="SCCFileNumberChar"/>
                <w:sz w:val="20"/>
                <w:szCs w:val="20"/>
                <w:lang w:val="fr-CA"/>
              </w:rPr>
              <w:t>39511</w:t>
            </w:r>
          </w:p>
        </w:tc>
        <w:tc>
          <w:tcPr>
            <w:tcW w:w="4457" w:type="pct"/>
            <w:gridSpan w:val="3"/>
          </w:tcPr>
          <w:p w:rsidR="00E70281" w:rsidRPr="00B10752" w:rsidRDefault="00E70281" w:rsidP="0074582E">
            <w:pPr>
              <w:pStyle w:val="SCCLsocParty"/>
              <w:jc w:val="both"/>
              <w:rPr>
                <w:b/>
                <w:sz w:val="20"/>
                <w:szCs w:val="20"/>
              </w:rPr>
            </w:pPr>
            <w:r w:rsidRPr="00B10752">
              <w:rPr>
                <w:b/>
                <w:sz w:val="20"/>
                <w:szCs w:val="20"/>
              </w:rPr>
              <w:t xml:space="preserve">Shu He Huang c. Ancieto M. Braga et </w:t>
            </w:r>
            <w:r w:rsidR="00D90258" w:rsidRPr="00B10752">
              <w:rPr>
                <w:b/>
                <w:sz w:val="20"/>
                <w:szCs w:val="20"/>
              </w:rPr>
              <w:t>Bureau du</w:t>
            </w:r>
            <w:r w:rsidRPr="00B10752">
              <w:rPr>
                <w:b/>
                <w:sz w:val="20"/>
                <w:szCs w:val="20"/>
              </w:rPr>
              <w:t xml:space="preserve"> Tuteur et curateur public</w:t>
            </w:r>
          </w:p>
          <w:p w:rsidR="00E70281" w:rsidRPr="00B10752" w:rsidRDefault="00E70281" w:rsidP="0074582E">
            <w:pPr>
              <w:jc w:val="both"/>
              <w:rPr>
                <w:sz w:val="20"/>
                <w:lang w:val="fr-CA"/>
              </w:rPr>
            </w:pPr>
            <w:r w:rsidRPr="00B10752">
              <w:rPr>
                <w:sz w:val="20"/>
                <w:lang w:val="fr-CA"/>
              </w:rPr>
              <w:t>(Ont.) (Civile) (Sur autorisation)</w:t>
            </w:r>
          </w:p>
        </w:tc>
      </w:tr>
      <w:tr w:rsidR="00E70281" w:rsidRPr="00B10752" w:rsidTr="0074582E">
        <w:tc>
          <w:tcPr>
            <w:tcW w:w="5000" w:type="pct"/>
            <w:gridSpan w:val="4"/>
          </w:tcPr>
          <w:p w:rsidR="00E70281" w:rsidRPr="00B10752" w:rsidRDefault="00D90258" w:rsidP="0074582E">
            <w:pPr>
              <w:jc w:val="both"/>
              <w:rPr>
                <w:sz w:val="20"/>
                <w:szCs w:val="20"/>
                <w:lang w:val="fr-CA"/>
              </w:rPr>
            </w:pPr>
            <w:r w:rsidRPr="00B10752">
              <w:rPr>
                <w:sz w:val="20"/>
                <w:szCs w:val="20"/>
                <w:lang w:val="fr-CA"/>
              </w:rPr>
              <w:t>La demande d’autorisation d’appel de l’arrêt de la Cour d’appel de l’Ontario, numéro M51687 (M49778), 2020 ONCA 645, daté du 27 octobre 2020, est rejetée avec dépens en faveur des intimés, Ancieto M. Braga et le Bureau du Tuteur et curateur public.</w:t>
            </w:r>
          </w:p>
          <w:p w:rsidR="00D90258" w:rsidRPr="00B10752" w:rsidRDefault="00D90258"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 xml:space="preserve">Procédure civile — Tuteur à l’instance — Le paragraphe 7.01(1) des </w:t>
            </w:r>
            <w:r w:rsidRPr="00B10752">
              <w:rPr>
                <w:i/>
                <w:sz w:val="20"/>
                <w:lang w:val="fr-CA"/>
              </w:rPr>
              <w:t xml:space="preserve">Règles de procédure civile </w:t>
            </w:r>
            <w:r w:rsidRPr="00B10752">
              <w:rPr>
                <w:sz w:val="20"/>
                <w:lang w:val="fr-CA"/>
              </w:rPr>
              <w:t>est</w:t>
            </w:r>
            <w:r w:rsidRPr="00B10752">
              <w:rPr>
                <w:sz w:val="20"/>
                <w:lang w:val="fr-CA"/>
              </w:rPr>
              <w:noBreakHyphen/>
              <w:t xml:space="preserve">il incompatible avec l’art. 7 de la </w:t>
            </w:r>
            <w:r w:rsidRPr="00B10752">
              <w:rPr>
                <w:i/>
                <w:sz w:val="20"/>
                <w:lang w:val="fr-CA"/>
              </w:rPr>
              <w:t>Charte canadienne des droits et libertés</w:t>
            </w:r>
            <w:r w:rsidRPr="00B10752">
              <w:rPr>
                <w:sz w:val="20"/>
                <w:lang w:val="fr-CA"/>
              </w:rPr>
              <w:t>? — Le Tuteur et curateur public, en tant que société d’État, a</w:t>
            </w:r>
            <w:r w:rsidRPr="00B10752">
              <w:rPr>
                <w:sz w:val="20"/>
                <w:lang w:val="fr-CA"/>
              </w:rPr>
              <w:noBreakHyphen/>
              <w:t>t</w:t>
            </w:r>
            <w:r w:rsidRPr="00B10752">
              <w:rPr>
                <w:sz w:val="20"/>
                <w:lang w:val="fr-CA"/>
              </w:rPr>
              <w:noBreakHyphen/>
              <w:t xml:space="preserve">il violé les droits de la demanderesse qui lui sont garantis par l’art. 7 de la </w:t>
            </w:r>
            <w:r w:rsidRPr="00B10752">
              <w:rPr>
                <w:i/>
                <w:sz w:val="20"/>
                <w:lang w:val="fr-CA"/>
              </w:rPr>
              <w:t>Charte</w:t>
            </w:r>
            <w:r w:rsidRPr="00B10752">
              <w:rPr>
                <w:sz w:val="20"/>
                <w:lang w:val="fr-CA"/>
              </w:rPr>
              <w:t xml:space="preserve">? — Quel est le critère applicable dans le cadre de l’exercice du pouvoir discrétionnaire d’une cour d’appel afin d’accorder l’autorisation d’appel à une partie qui fait l’objet d’une ordonnance d’interdiction et qui est représentée par un tuteur à l’instance? — </w:t>
            </w:r>
            <w:r w:rsidRPr="00B10752">
              <w:rPr>
                <w:i/>
                <w:sz w:val="20"/>
                <w:lang w:val="fr-CA"/>
              </w:rPr>
              <w:t>Règles de procédure civile,</w:t>
            </w:r>
            <w:r w:rsidRPr="00B10752">
              <w:rPr>
                <w:sz w:val="20"/>
                <w:lang w:val="fr-CA"/>
              </w:rPr>
              <w:t xml:space="preserve"> R.R.O. 1990, Règl. 194, art. 7</w:t>
            </w:r>
          </w:p>
        </w:tc>
      </w:tr>
      <w:tr w:rsidR="00E70281" w:rsidRPr="00B10752" w:rsidTr="0074582E">
        <w:tc>
          <w:tcPr>
            <w:tcW w:w="5000" w:type="pct"/>
            <w:gridSpan w:val="4"/>
          </w:tcPr>
          <w:p w:rsidR="00E70281" w:rsidRPr="00B10752" w:rsidRDefault="00E70281" w:rsidP="0074582E">
            <w:pPr>
              <w:jc w:val="both"/>
              <w:rPr>
                <w:sz w:val="20"/>
                <w:lang w:val="fr-CA"/>
              </w:rPr>
            </w:pPr>
          </w:p>
        </w:tc>
      </w:tr>
      <w:tr w:rsidR="00E70281" w:rsidRPr="00B10752" w:rsidTr="0074582E">
        <w:tc>
          <w:tcPr>
            <w:tcW w:w="5000" w:type="pct"/>
            <w:gridSpan w:val="4"/>
          </w:tcPr>
          <w:p w:rsidR="00E70281" w:rsidRPr="00B10752" w:rsidRDefault="00E70281" w:rsidP="0074582E">
            <w:pPr>
              <w:jc w:val="both"/>
              <w:rPr>
                <w:sz w:val="20"/>
                <w:lang w:val="fr-CA"/>
              </w:rPr>
            </w:pPr>
            <w:r w:rsidRPr="00B10752">
              <w:rPr>
                <w:sz w:val="20"/>
                <w:lang w:val="fr-CA"/>
              </w:rPr>
              <w:t xml:space="preserve">La demanderesse a été impliquée dans un accident de la route en 2000. Elle a intenté trois actions et le litige dure depuis plusieurs années. Le procès devait commencer en octobre 2016. Juste avant la date du procès, un évaluateur de la capacité agréé a conclu que la demanderesse n’avait pas la capacité d’agir en son propre nom dans le cadre du litige et le Tuteur et curateur public (« TCP ») a été nommé à titre de tuteur à l’instance de la demanderesse en vertu de l’al. 7.04(1)b) des </w:t>
            </w:r>
            <w:r w:rsidRPr="00B10752">
              <w:rPr>
                <w:i/>
                <w:sz w:val="20"/>
                <w:lang w:val="fr-CA"/>
              </w:rPr>
              <w:t>Règles de procédure civile</w:t>
            </w:r>
            <w:r w:rsidRPr="00B10752">
              <w:rPr>
                <w:sz w:val="20"/>
                <w:lang w:val="fr-CA"/>
              </w:rPr>
              <w:t>. La demanderesse a intenté six actions en vue d’infirmer la nomination du TCP, mais a été déboutée dans chaque cas. En avril 2019, l’intimé, M. Braga, a présenté avec succès une motion sollicitant une ordonnance interdisant à la demanderesse de présenter d’autres motions ou appels sans l’autorisation du tribunal. Le TCP a retenu les services d’une avocate externe pour agir en son nom à titre de tuteur à l’instance et les trois actions initiales intentées par la demanderesse ont été réglées pour la somme d’un million de dollars. Le règlement a été homologué par le tribunal.</w:t>
            </w:r>
          </w:p>
          <w:p w:rsidR="00E70281" w:rsidRPr="00B10752" w:rsidRDefault="00E70281" w:rsidP="0074582E">
            <w:pPr>
              <w:jc w:val="both"/>
              <w:rPr>
                <w:sz w:val="20"/>
                <w:lang w:val="fr-CA"/>
              </w:rPr>
            </w:pPr>
          </w:p>
          <w:p w:rsidR="00E70281" w:rsidRPr="00B10752" w:rsidRDefault="00E70281" w:rsidP="0074582E">
            <w:pPr>
              <w:jc w:val="both"/>
              <w:rPr>
                <w:sz w:val="20"/>
                <w:lang w:val="fr-CA"/>
              </w:rPr>
            </w:pPr>
            <w:r w:rsidRPr="00B10752">
              <w:rPr>
                <w:sz w:val="20"/>
                <w:lang w:val="fr-CA"/>
              </w:rPr>
              <w:t>La demanderesse a demandé l’autorisation de la Cour d’appel afin de lui permettre de faire appel de l’ordonnance rendue par la Cour supérieure homologuant le règlement. La motion a été rejetée.</w:t>
            </w:r>
          </w:p>
        </w:tc>
      </w:tr>
      <w:tr w:rsidR="00E70281" w:rsidRPr="00B10752" w:rsidTr="0074582E">
        <w:tc>
          <w:tcPr>
            <w:tcW w:w="2427" w:type="pct"/>
            <w:gridSpan w:val="2"/>
          </w:tcPr>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p>
        </w:tc>
      </w:tr>
      <w:tr w:rsidR="00E70281" w:rsidRPr="00B10752" w:rsidTr="0074582E">
        <w:tc>
          <w:tcPr>
            <w:tcW w:w="2427" w:type="pct"/>
            <w:gridSpan w:val="2"/>
          </w:tcPr>
          <w:p w:rsidR="00E70281" w:rsidRPr="00B10752" w:rsidRDefault="00E70281" w:rsidP="0074582E">
            <w:pPr>
              <w:jc w:val="both"/>
              <w:rPr>
                <w:sz w:val="20"/>
                <w:lang w:val="fr-CA"/>
              </w:rPr>
            </w:pPr>
            <w:r w:rsidRPr="00B10752">
              <w:rPr>
                <w:sz w:val="20"/>
                <w:lang w:val="fr-CA"/>
              </w:rPr>
              <w:t>28 mai 2020</w:t>
            </w:r>
          </w:p>
          <w:p w:rsidR="00E70281" w:rsidRPr="00B10752" w:rsidRDefault="00E70281" w:rsidP="0074582E">
            <w:pPr>
              <w:jc w:val="both"/>
              <w:rPr>
                <w:sz w:val="20"/>
                <w:lang w:val="fr-CA"/>
              </w:rPr>
            </w:pPr>
            <w:r w:rsidRPr="00B10752">
              <w:rPr>
                <w:sz w:val="20"/>
                <w:lang w:val="fr-CA"/>
              </w:rPr>
              <w:t>Cour supérieure de justice de l’Ontario</w:t>
            </w:r>
          </w:p>
          <w:p w:rsidR="00E70281" w:rsidRPr="00B10752" w:rsidRDefault="00E70281" w:rsidP="0074582E">
            <w:pPr>
              <w:jc w:val="both"/>
              <w:rPr>
                <w:sz w:val="20"/>
                <w:lang w:val="fr-CA"/>
              </w:rPr>
            </w:pPr>
            <w:r w:rsidRPr="00B10752">
              <w:rPr>
                <w:sz w:val="20"/>
                <w:lang w:val="fr-CA"/>
              </w:rPr>
              <w:t>(Juge Chalmers)</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Le règlement échelonné est homologué.</w:t>
            </w:r>
          </w:p>
          <w:p w:rsidR="00E70281" w:rsidRPr="00B10752" w:rsidRDefault="00E70281" w:rsidP="0074582E">
            <w:pPr>
              <w:jc w:val="both"/>
              <w:rPr>
                <w:sz w:val="20"/>
                <w:lang w:val="fr-CA"/>
              </w:rPr>
            </w:pPr>
          </w:p>
        </w:tc>
      </w:tr>
    </w:tbl>
    <w:p w:rsidR="00D90258" w:rsidRPr="00B10752" w:rsidRDefault="00D90258">
      <w:pPr>
        <w:rPr>
          <w:lang w:val="fr-CA"/>
        </w:rPr>
      </w:pPr>
      <w:r w:rsidRPr="00B1075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70281" w:rsidRPr="00B10752" w:rsidTr="0074582E">
        <w:tc>
          <w:tcPr>
            <w:tcW w:w="2427" w:type="pct"/>
          </w:tcPr>
          <w:p w:rsidR="00E70281" w:rsidRPr="00B10752" w:rsidRDefault="00E70281" w:rsidP="0074582E">
            <w:pPr>
              <w:jc w:val="both"/>
              <w:rPr>
                <w:sz w:val="20"/>
                <w:lang w:val="fr-CA"/>
              </w:rPr>
            </w:pPr>
            <w:r w:rsidRPr="00B10752">
              <w:rPr>
                <w:sz w:val="20"/>
                <w:lang w:val="fr-CA"/>
              </w:rPr>
              <w:lastRenderedPageBreak/>
              <w:t>27 octobre 2020</w:t>
            </w:r>
          </w:p>
          <w:p w:rsidR="00E70281" w:rsidRPr="00B10752" w:rsidRDefault="00E70281" w:rsidP="0074582E">
            <w:pPr>
              <w:jc w:val="both"/>
              <w:rPr>
                <w:sz w:val="20"/>
                <w:lang w:val="fr-CA"/>
              </w:rPr>
            </w:pPr>
            <w:r w:rsidRPr="00B10752">
              <w:rPr>
                <w:sz w:val="20"/>
                <w:lang w:val="fr-CA"/>
              </w:rPr>
              <w:t>Cour d’appel de l’Ontario</w:t>
            </w:r>
          </w:p>
          <w:p w:rsidR="00E70281" w:rsidRPr="00B10752" w:rsidRDefault="00E70281" w:rsidP="0074582E">
            <w:pPr>
              <w:jc w:val="both"/>
              <w:rPr>
                <w:sz w:val="20"/>
                <w:lang w:val="fr-CA"/>
              </w:rPr>
            </w:pPr>
            <w:r w:rsidRPr="00B10752">
              <w:rPr>
                <w:sz w:val="20"/>
                <w:lang w:val="fr-CA"/>
              </w:rPr>
              <w:t>(Juge Pepall)</w:t>
            </w:r>
          </w:p>
          <w:p w:rsidR="00E70281" w:rsidRPr="00B10752" w:rsidRDefault="00B10752" w:rsidP="0074582E">
            <w:pPr>
              <w:jc w:val="both"/>
              <w:rPr>
                <w:sz w:val="20"/>
                <w:lang w:val="fr-CA"/>
              </w:rPr>
            </w:pPr>
            <w:hyperlink r:id="rId96" w:history="1">
              <w:r w:rsidR="00E70281" w:rsidRPr="00B10752">
                <w:rPr>
                  <w:rStyle w:val="Hyperlink"/>
                  <w:sz w:val="20"/>
                  <w:lang w:val="fr-CA"/>
                </w:rPr>
                <w:t>2020 ONCA 645</w:t>
              </w:r>
            </w:hyperlink>
            <w:r w:rsidR="00E70281" w:rsidRPr="00B10752">
              <w:rPr>
                <w:sz w:val="20"/>
                <w:lang w:val="fr-CA"/>
              </w:rPr>
              <w:t xml:space="preserve">; M51687 </w:t>
            </w:r>
          </w:p>
          <w:p w:rsidR="00E70281" w:rsidRPr="00B10752" w:rsidRDefault="00E70281" w:rsidP="0074582E">
            <w:pPr>
              <w:jc w:val="both"/>
              <w:rPr>
                <w:sz w:val="20"/>
                <w:lang w:val="fr-CA"/>
              </w:rPr>
            </w:pP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motion en autorisation d’appel est rejetée.</w:t>
            </w:r>
          </w:p>
          <w:p w:rsidR="00E70281" w:rsidRPr="00B10752" w:rsidRDefault="00E70281" w:rsidP="0074582E">
            <w:pPr>
              <w:jc w:val="both"/>
              <w:rPr>
                <w:sz w:val="20"/>
                <w:lang w:val="fr-CA"/>
              </w:rPr>
            </w:pPr>
          </w:p>
        </w:tc>
      </w:tr>
      <w:tr w:rsidR="00E70281" w:rsidRPr="00B10752" w:rsidTr="0074582E">
        <w:tc>
          <w:tcPr>
            <w:tcW w:w="2427" w:type="pct"/>
          </w:tcPr>
          <w:p w:rsidR="00E70281" w:rsidRPr="00B10752" w:rsidRDefault="00E70281" w:rsidP="0074582E">
            <w:pPr>
              <w:jc w:val="both"/>
              <w:rPr>
                <w:sz w:val="20"/>
                <w:lang w:val="fr-CA"/>
              </w:rPr>
            </w:pPr>
            <w:r w:rsidRPr="00B10752">
              <w:rPr>
                <w:sz w:val="20"/>
                <w:lang w:val="fr-CA"/>
              </w:rPr>
              <w:t>29 décembre 2020</w:t>
            </w:r>
          </w:p>
          <w:p w:rsidR="00E70281" w:rsidRPr="00B10752" w:rsidRDefault="00E70281" w:rsidP="0074582E">
            <w:pPr>
              <w:jc w:val="both"/>
              <w:rPr>
                <w:sz w:val="20"/>
                <w:lang w:val="fr-CA"/>
              </w:rPr>
            </w:pPr>
            <w:r w:rsidRPr="00B10752">
              <w:rPr>
                <w:sz w:val="20"/>
                <w:lang w:val="fr-CA"/>
              </w:rPr>
              <w:t>Cour suprême du Canada</w:t>
            </w:r>
          </w:p>
        </w:tc>
        <w:tc>
          <w:tcPr>
            <w:tcW w:w="243" w:type="pct"/>
          </w:tcPr>
          <w:p w:rsidR="00E70281" w:rsidRPr="00B10752" w:rsidRDefault="00E70281" w:rsidP="0074582E">
            <w:pPr>
              <w:jc w:val="both"/>
              <w:rPr>
                <w:sz w:val="20"/>
                <w:lang w:val="fr-CA"/>
              </w:rPr>
            </w:pPr>
          </w:p>
        </w:tc>
        <w:tc>
          <w:tcPr>
            <w:tcW w:w="2330" w:type="pct"/>
          </w:tcPr>
          <w:p w:rsidR="00E70281" w:rsidRPr="00B10752" w:rsidRDefault="00E70281" w:rsidP="0074582E">
            <w:pPr>
              <w:jc w:val="both"/>
              <w:rPr>
                <w:sz w:val="20"/>
                <w:lang w:val="fr-CA"/>
              </w:rPr>
            </w:pPr>
            <w:r w:rsidRPr="00B10752">
              <w:rPr>
                <w:sz w:val="20"/>
                <w:lang w:val="fr-CA"/>
              </w:rPr>
              <w:t>La demande d’autorisation d’appel est présentée.</w:t>
            </w:r>
          </w:p>
          <w:p w:rsidR="00E70281" w:rsidRPr="00B10752" w:rsidRDefault="00E70281" w:rsidP="0074582E">
            <w:pPr>
              <w:jc w:val="both"/>
              <w:rPr>
                <w:sz w:val="20"/>
                <w:lang w:val="fr-CA"/>
              </w:rPr>
            </w:pPr>
          </w:p>
        </w:tc>
      </w:tr>
    </w:tbl>
    <w:p w:rsidR="004B2E86" w:rsidRPr="00B10752" w:rsidRDefault="004B2E86" w:rsidP="004B2E86">
      <w:pPr>
        <w:jc w:val="both"/>
        <w:rPr>
          <w:sz w:val="20"/>
          <w:szCs w:val="20"/>
          <w:lang w:val="fr-CA"/>
        </w:rPr>
      </w:pPr>
    </w:p>
    <w:p w:rsidR="00102792" w:rsidRPr="00B10752" w:rsidRDefault="00B10752" w:rsidP="004B2E86">
      <w:pPr>
        <w:jc w:val="both"/>
        <w:rPr>
          <w:sz w:val="20"/>
          <w:szCs w:val="20"/>
          <w:lang w:val="fr-CA"/>
        </w:rPr>
      </w:pPr>
      <w:r w:rsidRPr="00B10752">
        <w:rPr>
          <w:sz w:val="20"/>
          <w:szCs w:val="20"/>
        </w:rPr>
        <w:pict>
          <v:rect id="_x0000_i1084" style="width:2in;height:1pt" o:hrpct="0" o:hralign="center" o:hrstd="t" o:hrnoshade="t" o:hr="t" fillcolor="black" stroked="f"/>
        </w:pict>
      </w:r>
    </w:p>
    <w:p w:rsidR="00E06F20" w:rsidRPr="00B10752" w:rsidRDefault="00E06F20" w:rsidP="00102792">
      <w:pPr>
        <w:jc w:val="both"/>
        <w:rPr>
          <w:sz w:val="20"/>
          <w:lang w:val="fr-CA"/>
        </w:rPr>
      </w:pPr>
    </w:p>
    <w:p w:rsidR="00890FEB" w:rsidRPr="00B10752" w:rsidRDefault="00890FEB" w:rsidP="008D292F">
      <w:pPr>
        <w:rPr>
          <w:sz w:val="20"/>
          <w:szCs w:val="20"/>
          <w:lang w:val="fr-CA"/>
        </w:rPr>
      </w:pPr>
    </w:p>
    <w:p w:rsidR="00890FEB" w:rsidRPr="00B10752" w:rsidRDefault="00890FEB" w:rsidP="008D292F">
      <w:pPr>
        <w:rPr>
          <w:b/>
          <w:sz w:val="20"/>
          <w:szCs w:val="20"/>
          <w:lang w:val="fr-CA"/>
        </w:rPr>
        <w:sectPr w:rsidR="00890FEB" w:rsidRPr="00B10752" w:rsidSect="008D292F">
          <w:headerReference w:type="even" r:id="rId97"/>
          <w:headerReference w:type="default" r:id="rId98"/>
          <w:footerReference w:type="even" r:id="rId99"/>
          <w:footerReference w:type="default" r:id="rId100"/>
          <w:headerReference w:type="first" r:id="rId101"/>
          <w:footerReference w:type="first" r:id="rId102"/>
          <w:pgSz w:w="12240" w:h="15840"/>
          <w:pgMar w:top="720" w:right="965" w:bottom="1080" w:left="1656" w:header="720" w:footer="965" w:gutter="0"/>
          <w:cols w:space="720"/>
          <w:titlePg/>
          <w:docGrid w:linePitch="326"/>
        </w:sectPr>
      </w:pPr>
    </w:p>
    <w:p w:rsidR="00693C38" w:rsidRPr="00B10752" w:rsidRDefault="00DD0BDC" w:rsidP="00567602">
      <w:pPr>
        <w:pStyle w:val="Header1StyleE"/>
        <w:pBdr>
          <w:bottom w:val="single" w:sz="12" w:space="1" w:color="auto"/>
        </w:pBdr>
        <w:rPr>
          <w:lang w:val="fr-CA"/>
        </w:rPr>
      </w:pPr>
      <w:bookmarkStart w:id="7" w:name="_Toc71210437"/>
      <w:r w:rsidRPr="00B10752">
        <w:rPr>
          <w:lang w:val="fr-CA"/>
        </w:rPr>
        <w:lastRenderedPageBreak/>
        <w:t>Motions</w:t>
      </w:r>
      <w:r w:rsidR="00271E1E" w:rsidRPr="00B10752">
        <w:rPr>
          <w:lang w:val="fr-CA"/>
        </w:rPr>
        <w:t xml:space="preserve"> / </w:t>
      </w:r>
      <w:r w:rsidR="00693C38" w:rsidRPr="00B10752">
        <w:rPr>
          <w:lang w:val="fr-CA"/>
        </w:rPr>
        <w:br/>
      </w:r>
      <w:r w:rsidRPr="00B10752">
        <w:rPr>
          <w:lang w:val="fr-CA"/>
        </w:rPr>
        <w:t>Requêtes</w:t>
      </w:r>
      <w:bookmarkEnd w:id="7"/>
    </w:p>
    <w:p w:rsidR="00890FEB" w:rsidRPr="00B10752" w:rsidRDefault="00890FEB" w:rsidP="00890FEB">
      <w:pPr>
        <w:rPr>
          <w:sz w:val="20"/>
          <w:szCs w:val="20"/>
          <w:lang w:val="fr-CA"/>
        </w:rPr>
      </w:pPr>
    </w:p>
    <w:p w:rsidR="008859F1" w:rsidRPr="00B10752" w:rsidRDefault="00B53FFF" w:rsidP="008859F1">
      <w:pPr>
        <w:rPr>
          <w:b/>
          <w:sz w:val="20"/>
          <w:szCs w:val="20"/>
          <w:lang w:val="fr-CA"/>
        </w:rPr>
      </w:pPr>
      <w:r w:rsidRPr="00B10752">
        <w:rPr>
          <w:b/>
          <w:sz w:val="20"/>
          <w:szCs w:val="20"/>
          <w:lang w:val="fr-CA"/>
        </w:rPr>
        <w:t>MAY</w:t>
      </w:r>
      <w:r w:rsidR="008859F1" w:rsidRPr="00B10752">
        <w:rPr>
          <w:b/>
          <w:sz w:val="20"/>
          <w:szCs w:val="20"/>
          <w:lang w:val="fr-CA"/>
        </w:rPr>
        <w:t xml:space="preserve"> </w:t>
      </w:r>
      <w:r w:rsidRPr="00B10752">
        <w:rPr>
          <w:b/>
          <w:sz w:val="20"/>
          <w:szCs w:val="20"/>
          <w:lang w:val="fr-CA"/>
        </w:rPr>
        <w:t>5</w:t>
      </w:r>
      <w:r w:rsidR="008859F1" w:rsidRPr="00B10752">
        <w:rPr>
          <w:b/>
          <w:sz w:val="20"/>
          <w:szCs w:val="20"/>
          <w:lang w:val="fr-CA"/>
        </w:rPr>
        <w:t>, 20</w:t>
      </w:r>
      <w:r w:rsidR="005967EF" w:rsidRPr="00B10752">
        <w:rPr>
          <w:b/>
          <w:sz w:val="20"/>
          <w:szCs w:val="20"/>
          <w:lang w:val="fr-CA"/>
        </w:rPr>
        <w:t>2</w:t>
      </w:r>
      <w:r w:rsidR="009B36BA" w:rsidRPr="00B10752">
        <w:rPr>
          <w:b/>
          <w:sz w:val="20"/>
          <w:szCs w:val="20"/>
          <w:lang w:val="fr-CA"/>
        </w:rPr>
        <w:t>1</w:t>
      </w:r>
      <w:r w:rsidR="008859F1" w:rsidRPr="00B10752">
        <w:rPr>
          <w:b/>
          <w:sz w:val="20"/>
          <w:szCs w:val="20"/>
          <w:lang w:val="fr-CA"/>
        </w:rPr>
        <w:t xml:space="preserve"> / LE </w:t>
      </w:r>
      <w:r w:rsidRPr="00B10752">
        <w:rPr>
          <w:b/>
          <w:sz w:val="20"/>
          <w:szCs w:val="20"/>
          <w:lang w:val="fr-CA"/>
        </w:rPr>
        <w:t>5</w:t>
      </w:r>
      <w:r w:rsidR="008859F1" w:rsidRPr="00B10752">
        <w:rPr>
          <w:b/>
          <w:sz w:val="20"/>
          <w:szCs w:val="20"/>
          <w:lang w:val="fr-CA"/>
        </w:rPr>
        <w:t xml:space="preserve"> </w:t>
      </w:r>
      <w:r w:rsidRPr="00B10752">
        <w:rPr>
          <w:b/>
          <w:sz w:val="20"/>
          <w:szCs w:val="20"/>
          <w:lang w:val="fr-CA"/>
        </w:rPr>
        <w:t>MAI</w:t>
      </w:r>
      <w:r w:rsidR="008859F1" w:rsidRPr="00B10752">
        <w:rPr>
          <w:b/>
          <w:sz w:val="20"/>
          <w:szCs w:val="20"/>
          <w:lang w:val="fr-CA"/>
        </w:rPr>
        <w:t xml:space="preserve"> 20</w:t>
      </w:r>
      <w:r w:rsidR="005967EF" w:rsidRPr="00B10752">
        <w:rPr>
          <w:b/>
          <w:sz w:val="20"/>
          <w:szCs w:val="20"/>
          <w:lang w:val="fr-CA"/>
        </w:rPr>
        <w:t>2</w:t>
      </w:r>
      <w:r w:rsidR="009B36BA" w:rsidRPr="00B10752">
        <w:rPr>
          <w:b/>
          <w:sz w:val="20"/>
          <w:szCs w:val="20"/>
          <w:lang w:val="fr-CA"/>
        </w:rPr>
        <w:t>1</w:t>
      </w:r>
    </w:p>
    <w:p w:rsidR="00102792" w:rsidRPr="00B10752"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B10752" w:rsidTr="00691D1D">
        <w:tc>
          <w:tcPr>
            <w:tcW w:w="4410" w:type="dxa"/>
            <w:tcBorders>
              <w:top w:val="nil"/>
              <w:left w:val="nil"/>
              <w:bottom w:val="nil"/>
              <w:right w:val="nil"/>
            </w:tcBorders>
          </w:tcPr>
          <w:p w:rsidR="00D93A6C" w:rsidRPr="00B10752" w:rsidRDefault="00D93A6C" w:rsidP="00B53FFF">
            <w:pPr>
              <w:jc w:val="both"/>
              <w:rPr>
                <w:rFonts w:cs="Times New Roman"/>
                <w:b/>
                <w:bCs/>
                <w:sz w:val="20"/>
                <w:szCs w:val="20"/>
                <w:lang w:val="en-US"/>
              </w:rPr>
            </w:pPr>
            <w:r w:rsidRPr="00B10752">
              <w:rPr>
                <w:rFonts w:eastAsia="Times New Roman" w:cs="Times New Roman"/>
                <w:b/>
                <w:sz w:val="20"/>
                <w:szCs w:val="20"/>
                <w:lang w:val="en-US" w:eastAsia="en-CA"/>
              </w:rPr>
              <w:t xml:space="preserve">Motion to </w:t>
            </w:r>
            <w:r w:rsidR="00B53FFF" w:rsidRPr="00B10752">
              <w:rPr>
                <w:rFonts w:eastAsia="Times New Roman" w:cs="Times New Roman"/>
                <w:b/>
                <w:sz w:val="20"/>
                <w:szCs w:val="20"/>
                <w:lang w:val="en-US" w:eastAsia="en-CA"/>
              </w:rPr>
              <w:t>strike out</w:t>
            </w:r>
          </w:p>
        </w:tc>
        <w:tc>
          <w:tcPr>
            <w:tcW w:w="810" w:type="dxa"/>
            <w:tcBorders>
              <w:top w:val="nil"/>
              <w:left w:val="nil"/>
              <w:bottom w:val="nil"/>
              <w:right w:val="nil"/>
            </w:tcBorders>
          </w:tcPr>
          <w:p w:rsidR="00D93A6C" w:rsidRPr="00B10752"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B10752" w:rsidRDefault="00D93A6C" w:rsidP="00691D1D">
            <w:pPr>
              <w:jc w:val="both"/>
              <w:rPr>
                <w:rFonts w:cs="Times New Roman"/>
                <w:b/>
                <w:bCs/>
                <w:sz w:val="20"/>
                <w:szCs w:val="20"/>
                <w:lang w:val="fr-CA"/>
              </w:rPr>
            </w:pPr>
            <w:r w:rsidRPr="00B10752">
              <w:rPr>
                <w:rFonts w:eastAsia="Times New Roman" w:cs="Times New Roman"/>
                <w:b/>
                <w:sz w:val="20"/>
                <w:szCs w:val="20"/>
                <w:lang w:val="fr-CA" w:eastAsia="en-CA"/>
              </w:rPr>
              <w:t xml:space="preserve">Requête </w:t>
            </w:r>
            <w:r w:rsidR="00B53FFF" w:rsidRPr="00B10752">
              <w:rPr>
                <w:rFonts w:eastAsia="Times New Roman" w:cs="Times New Roman"/>
                <w:b/>
                <w:sz w:val="20"/>
                <w:szCs w:val="20"/>
                <w:lang w:val="fr-CA" w:eastAsia="en-CA"/>
              </w:rPr>
              <w:t>en radiation</w:t>
            </w:r>
          </w:p>
        </w:tc>
      </w:tr>
    </w:tbl>
    <w:p w:rsidR="00D93A6C" w:rsidRPr="00B10752" w:rsidRDefault="00D93A6C" w:rsidP="00102792">
      <w:pPr>
        <w:tabs>
          <w:tab w:val="left" w:pos="-1440"/>
          <w:tab w:val="left" w:pos="-720"/>
        </w:tabs>
        <w:jc w:val="both"/>
        <w:rPr>
          <w:rFonts w:eastAsia="Times New Roman" w:cs="Times New Roman"/>
          <w:sz w:val="20"/>
          <w:szCs w:val="20"/>
          <w:lang w:val="fr-CA" w:eastAsia="en-CA"/>
        </w:rPr>
      </w:pPr>
    </w:p>
    <w:p w:rsidR="00D93A6C" w:rsidRPr="00B10752" w:rsidRDefault="00D93A6C" w:rsidP="00102792">
      <w:pPr>
        <w:tabs>
          <w:tab w:val="left" w:pos="-1440"/>
          <w:tab w:val="left" w:pos="-720"/>
        </w:tabs>
        <w:jc w:val="both"/>
        <w:rPr>
          <w:rFonts w:eastAsia="Times New Roman" w:cs="Times New Roman"/>
          <w:sz w:val="20"/>
          <w:szCs w:val="20"/>
          <w:lang w:val="fr-CA" w:eastAsia="en-CA"/>
        </w:rPr>
      </w:pPr>
    </w:p>
    <w:p w:rsidR="00B53FFF" w:rsidRPr="00B10752" w:rsidRDefault="00B53FFF" w:rsidP="00B53FFF">
      <w:pPr>
        <w:rPr>
          <w:rFonts w:cs="Times New Roman"/>
          <w:b/>
          <w:bCs/>
          <w:caps/>
          <w:sz w:val="20"/>
          <w:szCs w:val="20"/>
        </w:rPr>
      </w:pPr>
      <w:r w:rsidRPr="00B10752">
        <w:rPr>
          <w:rFonts w:cs="Times New Roman"/>
          <w:b/>
          <w:bCs/>
          <w:caps/>
          <w:sz w:val="20"/>
          <w:szCs w:val="20"/>
        </w:rPr>
        <w:t>MERANDA LEIGH DINGWALL</w:t>
      </w:r>
      <w:r w:rsidRPr="00B10752">
        <w:rPr>
          <w:rFonts w:cs="Times New Roman"/>
          <w:b/>
          <w:bCs/>
          <w:sz w:val="20"/>
          <w:szCs w:val="20"/>
        </w:rPr>
        <w:t xml:space="preserve"> v. </w:t>
      </w:r>
      <w:r w:rsidRPr="00B10752">
        <w:rPr>
          <w:rFonts w:cs="Times New Roman"/>
          <w:b/>
          <w:bCs/>
          <w:caps/>
          <w:sz w:val="20"/>
          <w:szCs w:val="20"/>
        </w:rPr>
        <w:t>HER MAJESTY THE QUEEN</w:t>
      </w:r>
    </w:p>
    <w:p w:rsidR="00B53FFF" w:rsidRPr="00B10752" w:rsidRDefault="00B53FFF" w:rsidP="00B53FFF">
      <w:pPr>
        <w:rPr>
          <w:rFonts w:cs="Times New Roman"/>
          <w:bCs/>
          <w:caps/>
          <w:sz w:val="20"/>
          <w:szCs w:val="20"/>
        </w:rPr>
      </w:pPr>
    </w:p>
    <w:p w:rsidR="00B53FFF" w:rsidRPr="00B10752" w:rsidRDefault="00B53FFF" w:rsidP="00B53FFF">
      <w:pPr>
        <w:rPr>
          <w:rFonts w:cs="Times New Roman"/>
          <w:bCs/>
          <w:sz w:val="20"/>
          <w:szCs w:val="20"/>
        </w:rPr>
      </w:pPr>
      <w:r w:rsidRPr="00B10752">
        <w:rPr>
          <w:rFonts w:cs="Times New Roman"/>
          <w:bCs/>
          <w:sz w:val="20"/>
          <w:szCs w:val="20"/>
        </w:rPr>
        <w:t>- and -</w:t>
      </w:r>
    </w:p>
    <w:p w:rsidR="00B53FFF" w:rsidRPr="00B10752" w:rsidRDefault="00B53FFF" w:rsidP="00B53FFF">
      <w:pPr>
        <w:rPr>
          <w:rFonts w:cs="Times New Roman"/>
          <w:bCs/>
          <w:sz w:val="20"/>
          <w:szCs w:val="20"/>
        </w:rPr>
      </w:pPr>
    </w:p>
    <w:p w:rsidR="00B53FFF" w:rsidRPr="00B10752" w:rsidRDefault="00B53FFF" w:rsidP="00B53FFF">
      <w:pPr>
        <w:rPr>
          <w:rFonts w:cs="Times New Roman"/>
          <w:b/>
          <w:bCs/>
          <w:caps/>
          <w:sz w:val="20"/>
          <w:szCs w:val="20"/>
        </w:rPr>
      </w:pPr>
      <w:r w:rsidRPr="00B10752">
        <w:rPr>
          <w:rFonts w:cs="Times New Roman"/>
          <w:b/>
          <w:bCs/>
          <w:caps/>
          <w:sz w:val="20"/>
          <w:szCs w:val="20"/>
        </w:rPr>
        <w:t>CHRISTOPHER RYAN RUSSELL</w:t>
      </w:r>
      <w:r w:rsidRPr="00B10752">
        <w:rPr>
          <w:rFonts w:cs="Times New Roman"/>
          <w:b/>
          <w:bCs/>
          <w:sz w:val="20"/>
          <w:szCs w:val="20"/>
        </w:rPr>
        <w:t xml:space="preserve"> v. </w:t>
      </w:r>
      <w:r w:rsidRPr="00B10752">
        <w:rPr>
          <w:rFonts w:cs="Times New Roman"/>
          <w:b/>
          <w:bCs/>
          <w:caps/>
          <w:sz w:val="20"/>
          <w:szCs w:val="20"/>
        </w:rPr>
        <w:t>HER MAJESTY THE QUEEN</w:t>
      </w:r>
    </w:p>
    <w:p w:rsidR="00B53FFF" w:rsidRPr="00B10752" w:rsidRDefault="00B53FFF" w:rsidP="00B53FFF">
      <w:pPr>
        <w:rPr>
          <w:rFonts w:cs="Times New Roman"/>
          <w:bCs/>
          <w:sz w:val="20"/>
          <w:szCs w:val="20"/>
        </w:rPr>
      </w:pPr>
    </w:p>
    <w:p w:rsidR="00B53FFF" w:rsidRPr="00B10752" w:rsidRDefault="00B53FFF" w:rsidP="00B53FFF">
      <w:pPr>
        <w:rPr>
          <w:rFonts w:cs="Times New Roman"/>
          <w:bCs/>
          <w:sz w:val="20"/>
          <w:szCs w:val="20"/>
        </w:rPr>
      </w:pPr>
      <w:r w:rsidRPr="00B10752">
        <w:rPr>
          <w:rFonts w:cs="Times New Roman"/>
          <w:bCs/>
          <w:sz w:val="20"/>
          <w:szCs w:val="20"/>
        </w:rPr>
        <w:t>- and -</w:t>
      </w:r>
    </w:p>
    <w:p w:rsidR="00B53FFF" w:rsidRPr="00B10752" w:rsidRDefault="00B53FFF" w:rsidP="00B53FFF">
      <w:pPr>
        <w:rPr>
          <w:rFonts w:cs="Times New Roman"/>
          <w:bCs/>
          <w:sz w:val="20"/>
          <w:szCs w:val="20"/>
        </w:rPr>
      </w:pPr>
    </w:p>
    <w:p w:rsidR="00B53FFF" w:rsidRPr="00B10752" w:rsidRDefault="00B53FFF" w:rsidP="00B53FFF">
      <w:pPr>
        <w:rPr>
          <w:rFonts w:cs="Times New Roman"/>
          <w:b/>
          <w:bCs/>
          <w:caps/>
          <w:sz w:val="20"/>
          <w:szCs w:val="20"/>
        </w:rPr>
      </w:pPr>
      <w:r w:rsidRPr="00B10752">
        <w:rPr>
          <w:rFonts w:cs="Times New Roman"/>
          <w:b/>
          <w:bCs/>
          <w:caps/>
          <w:sz w:val="20"/>
          <w:szCs w:val="20"/>
        </w:rPr>
        <w:t>KELLY MICHAEL RICHET</w:t>
      </w:r>
      <w:r w:rsidRPr="00B10752">
        <w:rPr>
          <w:rFonts w:cs="Times New Roman"/>
          <w:b/>
          <w:bCs/>
          <w:sz w:val="20"/>
          <w:szCs w:val="20"/>
        </w:rPr>
        <w:t xml:space="preserve"> v. </w:t>
      </w:r>
      <w:r w:rsidRPr="00B10752">
        <w:rPr>
          <w:rFonts w:cs="Times New Roman"/>
          <w:b/>
          <w:bCs/>
          <w:caps/>
          <w:sz w:val="20"/>
          <w:szCs w:val="20"/>
        </w:rPr>
        <w:t>HER MAJESTY THE QUEEN</w:t>
      </w:r>
    </w:p>
    <w:p w:rsidR="00B53FFF" w:rsidRPr="00B10752" w:rsidRDefault="00B53FFF" w:rsidP="00B53FFF">
      <w:pPr>
        <w:rPr>
          <w:rFonts w:cs="Times New Roman"/>
          <w:bCs/>
          <w:sz w:val="20"/>
          <w:szCs w:val="20"/>
        </w:rPr>
      </w:pPr>
      <w:r w:rsidRPr="00B10752">
        <w:rPr>
          <w:rFonts w:cs="Times New Roman"/>
          <w:bCs/>
          <w:sz w:val="20"/>
          <w:szCs w:val="20"/>
        </w:rPr>
        <w:t xml:space="preserve">(B.C.) (39274) </w:t>
      </w:r>
    </w:p>
    <w:p w:rsidR="00B53FFF" w:rsidRPr="00B10752" w:rsidRDefault="00B53FFF" w:rsidP="00B53FFF">
      <w:pPr>
        <w:rPr>
          <w:rFonts w:cs="Times New Roman"/>
          <w:bCs/>
          <w:sz w:val="20"/>
          <w:szCs w:val="20"/>
        </w:rPr>
      </w:pPr>
    </w:p>
    <w:p w:rsidR="00B53FFF" w:rsidRPr="00B10752" w:rsidRDefault="00B53FFF" w:rsidP="00B53FFF">
      <w:pPr>
        <w:rPr>
          <w:rFonts w:cs="Times New Roman"/>
          <w:sz w:val="20"/>
          <w:szCs w:val="20"/>
        </w:rPr>
      </w:pPr>
      <w:r w:rsidRPr="00B10752">
        <w:rPr>
          <w:rFonts w:cs="Times New Roman"/>
          <w:b/>
          <w:bCs/>
          <w:sz w:val="20"/>
          <w:szCs w:val="20"/>
          <w:u w:val="single"/>
        </w:rPr>
        <w:t>ABELLA J.</w:t>
      </w:r>
      <w:r w:rsidRPr="00B10752">
        <w:rPr>
          <w:rFonts w:cs="Times New Roman"/>
          <w:b/>
          <w:bCs/>
          <w:sz w:val="20"/>
          <w:szCs w:val="20"/>
        </w:rPr>
        <w:t>:</w:t>
      </w:r>
    </w:p>
    <w:p w:rsidR="00B53FFF" w:rsidRPr="00B10752" w:rsidRDefault="00B53FFF" w:rsidP="00B53FFF">
      <w:pPr>
        <w:rPr>
          <w:rFonts w:cs="Times New Roman"/>
          <w:sz w:val="20"/>
          <w:szCs w:val="20"/>
        </w:rPr>
      </w:pPr>
    </w:p>
    <w:p w:rsidR="00B53FFF" w:rsidRPr="00B10752" w:rsidRDefault="00B53FFF" w:rsidP="00B53FFF">
      <w:pPr>
        <w:rPr>
          <w:rFonts w:eastAsia="Times New Roman" w:cs="Times New Roman"/>
          <w:i/>
          <w:sz w:val="20"/>
          <w:szCs w:val="20"/>
          <w:lang w:eastAsia="en-CA"/>
        </w:rPr>
      </w:pPr>
      <w:r w:rsidRPr="00B10752">
        <w:rPr>
          <w:rFonts w:eastAsia="Times New Roman" w:cs="Times New Roman"/>
          <w:b/>
          <w:bCs/>
          <w:sz w:val="20"/>
          <w:szCs w:val="20"/>
          <w:lang w:eastAsia="en-CA"/>
        </w:rPr>
        <w:t>UPON APPLICATION</w:t>
      </w:r>
      <w:r w:rsidRPr="00B10752">
        <w:rPr>
          <w:rFonts w:eastAsia="Times New Roman" w:cs="Times New Roman"/>
          <w:sz w:val="20"/>
          <w:szCs w:val="20"/>
          <w:lang w:eastAsia="en-CA"/>
        </w:rPr>
        <w:t xml:space="preserve"> by the respondent for an order striking portions of the appellants’ factum, and for an order staying the proceedings until the aforementioned motion has been disposed of, or alternatively, for an order extending the time to serve and file the respondent’s factum, record and book of authorities, if any;</w:t>
      </w:r>
    </w:p>
    <w:p w:rsidR="00B53FFF" w:rsidRPr="00B10752" w:rsidRDefault="00B53FFF" w:rsidP="00B53FFF">
      <w:pPr>
        <w:rPr>
          <w:rFonts w:eastAsia="Times New Roman" w:cs="Times New Roman"/>
          <w:i/>
          <w:sz w:val="20"/>
          <w:szCs w:val="20"/>
          <w:lang w:eastAsia="en-CA"/>
        </w:rPr>
      </w:pPr>
    </w:p>
    <w:p w:rsidR="00B53FFF" w:rsidRPr="00B10752" w:rsidRDefault="00B53FFF" w:rsidP="00B53FFF">
      <w:pPr>
        <w:spacing w:line="233" w:lineRule="auto"/>
        <w:rPr>
          <w:rFonts w:cs="Times New Roman"/>
          <w:sz w:val="20"/>
          <w:szCs w:val="20"/>
        </w:rPr>
      </w:pPr>
      <w:r w:rsidRPr="00B10752">
        <w:rPr>
          <w:rFonts w:cs="Times New Roman"/>
          <w:b/>
          <w:bCs/>
          <w:sz w:val="20"/>
          <w:szCs w:val="20"/>
        </w:rPr>
        <w:t>AND THE MATERIAL FILED</w:t>
      </w:r>
      <w:r w:rsidRPr="00B10752">
        <w:rPr>
          <w:rFonts w:cs="Times New Roman"/>
          <w:sz w:val="20"/>
          <w:szCs w:val="20"/>
        </w:rPr>
        <w:t xml:space="preserve"> having been read;</w:t>
      </w:r>
    </w:p>
    <w:p w:rsidR="00B53FFF" w:rsidRPr="00B10752" w:rsidRDefault="00B53FFF" w:rsidP="00B53FFF">
      <w:pPr>
        <w:spacing w:line="233" w:lineRule="auto"/>
        <w:rPr>
          <w:rFonts w:cs="Times New Roman"/>
          <w:sz w:val="20"/>
          <w:szCs w:val="20"/>
        </w:rPr>
      </w:pPr>
    </w:p>
    <w:p w:rsidR="00B53FFF" w:rsidRPr="00B10752" w:rsidRDefault="00B53FFF" w:rsidP="00B53FFF">
      <w:pPr>
        <w:spacing w:line="233" w:lineRule="auto"/>
        <w:rPr>
          <w:rFonts w:cs="Times New Roman"/>
          <w:b/>
          <w:bCs/>
          <w:sz w:val="20"/>
          <w:szCs w:val="20"/>
        </w:rPr>
      </w:pPr>
      <w:r w:rsidRPr="00B10752">
        <w:rPr>
          <w:rFonts w:eastAsia="Times New Roman" w:cs="Times New Roman"/>
          <w:b/>
          <w:bCs/>
          <w:sz w:val="20"/>
          <w:szCs w:val="20"/>
          <w:lang w:eastAsia="en-CA"/>
        </w:rPr>
        <w:t>IT IS HEREBY ORDERED THAT:</w:t>
      </w:r>
    </w:p>
    <w:p w:rsidR="00B53FFF" w:rsidRPr="00B10752" w:rsidRDefault="00B53FFF" w:rsidP="00B53FFF">
      <w:pPr>
        <w:spacing w:line="233" w:lineRule="auto"/>
        <w:rPr>
          <w:rFonts w:cs="Times New Roman"/>
          <w:sz w:val="20"/>
          <w:szCs w:val="20"/>
        </w:rPr>
      </w:pPr>
    </w:p>
    <w:p w:rsidR="00B53FFF" w:rsidRPr="00B10752" w:rsidRDefault="00B53FFF" w:rsidP="00B53FFF">
      <w:pPr>
        <w:spacing w:line="233" w:lineRule="auto"/>
        <w:rPr>
          <w:rFonts w:cs="Times New Roman"/>
          <w:sz w:val="20"/>
          <w:szCs w:val="20"/>
        </w:rPr>
      </w:pPr>
      <w:r w:rsidRPr="00B10752">
        <w:rPr>
          <w:rFonts w:cs="Times New Roman"/>
          <w:sz w:val="20"/>
          <w:szCs w:val="20"/>
        </w:rPr>
        <w:t>The motion to strike is granted in part.</w:t>
      </w:r>
    </w:p>
    <w:p w:rsidR="00B53FFF" w:rsidRPr="00B10752" w:rsidRDefault="00B53FFF" w:rsidP="00B53FFF">
      <w:pPr>
        <w:spacing w:line="233" w:lineRule="auto"/>
        <w:rPr>
          <w:rFonts w:cs="Times New Roman"/>
          <w:sz w:val="20"/>
          <w:szCs w:val="20"/>
        </w:rPr>
      </w:pPr>
    </w:p>
    <w:p w:rsidR="00B53FFF" w:rsidRPr="00B10752" w:rsidRDefault="00B53FFF" w:rsidP="00B53FFF">
      <w:pPr>
        <w:spacing w:line="233" w:lineRule="auto"/>
        <w:rPr>
          <w:rFonts w:cs="Times New Roman"/>
          <w:sz w:val="20"/>
          <w:szCs w:val="20"/>
        </w:rPr>
      </w:pPr>
      <w:r w:rsidRPr="00B10752">
        <w:rPr>
          <w:rFonts w:cs="Times New Roman"/>
          <w:sz w:val="20"/>
          <w:szCs w:val="20"/>
        </w:rPr>
        <w:t>Paragraphs 9-12, 72-88, 99, and 103-109 are struck from the appellants’ factum. All parties shall refrain from referring to the said paragraphs at the hearing of the appeal.</w:t>
      </w:r>
    </w:p>
    <w:p w:rsidR="00B53FFF" w:rsidRPr="00B10752" w:rsidRDefault="00B53FFF" w:rsidP="00B53FFF">
      <w:pPr>
        <w:spacing w:line="233" w:lineRule="auto"/>
        <w:rPr>
          <w:rFonts w:cs="Times New Roman"/>
          <w:sz w:val="20"/>
          <w:szCs w:val="20"/>
        </w:rPr>
      </w:pPr>
    </w:p>
    <w:p w:rsidR="00102792" w:rsidRPr="00B10752" w:rsidRDefault="00B53FFF" w:rsidP="00B53FFF">
      <w:pPr>
        <w:spacing w:line="228" w:lineRule="auto"/>
        <w:rPr>
          <w:sz w:val="20"/>
          <w:szCs w:val="20"/>
        </w:rPr>
      </w:pPr>
      <w:r w:rsidRPr="00B10752">
        <w:rPr>
          <w:rFonts w:cs="Times New Roman"/>
          <w:sz w:val="20"/>
          <w:szCs w:val="20"/>
        </w:rPr>
        <w:t>The respondent is permitted additional time to serve and file its factum, record and book of authorities, if any, and must do so on or before June 21, 2021.</w:t>
      </w:r>
    </w:p>
    <w:p w:rsidR="00102792" w:rsidRPr="00B10752" w:rsidRDefault="00102792" w:rsidP="00102792">
      <w:pPr>
        <w:spacing w:line="228" w:lineRule="auto"/>
        <w:rPr>
          <w:sz w:val="20"/>
          <w:szCs w:val="20"/>
        </w:rPr>
      </w:pPr>
    </w:p>
    <w:p w:rsidR="005967EF" w:rsidRPr="00B10752" w:rsidRDefault="005967EF" w:rsidP="00102792">
      <w:pPr>
        <w:spacing w:line="228" w:lineRule="auto"/>
        <w:rPr>
          <w:sz w:val="20"/>
          <w:szCs w:val="20"/>
        </w:rPr>
      </w:pPr>
    </w:p>
    <w:p w:rsidR="00B53FFF" w:rsidRPr="00B10752" w:rsidRDefault="00B53FFF" w:rsidP="00B53FFF">
      <w:pPr>
        <w:rPr>
          <w:rFonts w:eastAsia="Times New Roman" w:cs="Times New Roman"/>
          <w:bCs/>
          <w:sz w:val="20"/>
          <w:szCs w:val="20"/>
          <w:lang w:val="fr-CA" w:eastAsia="en-CA"/>
        </w:rPr>
      </w:pPr>
      <w:r w:rsidRPr="00B10752">
        <w:rPr>
          <w:rFonts w:eastAsia="Times New Roman" w:cs="Times New Roman"/>
          <w:b/>
          <w:bCs/>
          <w:sz w:val="20"/>
          <w:szCs w:val="20"/>
          <w:lang w:val="fr-CA" w:eastAsia="en-CA"/>
        </w:rPr>
        <w:t xml:space="preserve">À LA SUITE DE LA DEMANDE </w:t>
      </w:r>
      <w:r w:rsidRPr="00B10752">
        <w:rPr>
          <w:rFonts w:eastAsia="Times New Roman" w:cs="Times New Roman"/>
          <w:bCs/>
          <w:sz w:val="20"/>
          <w:szCs w:val="20"/>
          <w:lang w:val="fr-CA" w:eastAsia="en-CA"/>
        </w:rPr>
        <w:t>présentée par l’intimée en vue de la radiation de portions du mémoire des appelants, et en vue du prononcé du sursis des procédures jusqu’à ce que la requête mentionnée précédemment soit tranchée ou, subsidiairement, en vue de la prorogation du délai pour signifier et déposer le mémoire, le dossier et le recueil de sources de l’intimée, le cas échéant;</w:t>
      </w:r>
    </w:p>
    <w:p w:rsidR="00B53FFF" w:rsidRPr="00B10752" w:rsidRDefault="00B53FFF" w:rsidP="00B53FFF">
      <w:pPr>
        <w:rPr>
          <w:rFonts w:eastAsia="Times New Roman" w:cs="Times New Roman"/>
          <w:bCs/>
          <w:sz w:val="20"/>
          <w:szCs w:val="20"/>
          <w:lang w:val="fr-CA" w:eastAsia="en-CA"/>
        </w:rPr>
      </w:pPr>
    </w:p>
    <w:p w:rsidR="00B53FFF" w:rsidRPr="00B10752" w:rsidRDefault="00B53FFF" w:rsidP="00B53FFF">
      <w:pPr>
        <w:rPr>
          <w:rFonts w:eastAsia="Times New Roman" w:cs="Times New Roman"/>
          <w:bCs/>
          <w:sz w:val="20"/>
          <w:szCs w:val="20"/>
          <w:lang w:val="fr-CA" w:eastAsia="en-CA"/>
        </w:rPr>
      </w:pPr>
      <w:r w:rsidRPr="00B10752">
        <w:rPr>
          <w:rFonts w:eastAsia="Times New Roman" w:cs="Times New Roman"/>
          <w:b/>
          <w:bCs/>
          <w:sz w:val="20"/>
          <w:szCs w:val="20"/>
          <w:lang w:val="fr-CA" w:eastAsia="en-CA"/>
        </w:rPr>
        <w:t xml:space="preserve">ET APRÈS EXAMEN </w:t>
      </w:r>
      <w:r w:rsidRPr="00B10752">
        <w:rPr>
          <w:rFonts w:eastAsia="Times New Roman" w:cs="Times New Roman"/>
          <w:bCs/>
          <w:sz w:val="20"/>
          <w:szCs w:val="20"/>
          <w:lang w:val="fr-CA" w:eastAsia="en-CA"/>
        </w:rPr>
        <w:t>des documents déposés;</w:t>
      </w:r>
    </w:p>
    <w:p w:rsidR="00B53FFF" w:rsidRPr="00B10752" w:rsidRDefault="00B53FFF" w:rsidP="00B53FFF">
      <w:pPr>
        <w:rPr>
          <w:rFonts w:eastAsia="Times New Roman" w:cs="Times New Roman"/>
          <w:b/>
          <w:bCs/>
          <w:sz w:val="20"/>
          <w:szCs w:val="20"/>
          <w:lang w:val="fr-CA" w:eastAsia="en-CA"/>
        </w:rPr>
      </w:pPr>
    </w:p>
    <w:p w:rsidR="00B53FFF" w:rsidRPr="00B10752" w:rsidRDefault="00B53FFF" w:rsidP="00B53FFF">
      <w:pPr>
        <w:rPr>
          <w:rFonts w:eastAsia="Times New Roman" w:cs="Times New Roman"/>
          <w:b/>
          <w:bCs/>
          <w:sz w:val="20"/>
          <w:szCs w:val="20"/>
          <w:lang w:val="fr-CA" w:eastAsia="en-CA"/>
        </w:rPr>
      </w:pPr>
      <w:r w:rsidRPr="00B10752">
        <w:rPr>
          <w:rFonts w:eastAsia="Times New Roman" w:cs="Times New Roman"/>
          <w:b/>
          <w:bCs/>
          <w:sz w:val="20"/>
          <w:szCs w:val="20"/>
          <w:lang w:val="fr-CA" w:eastAsia="en-CA"/>
        </w:rPr>
        <w:t>IL EST ORDONNÉ CE QUI SUIT :</w:t>
      </w:r>
    </w:p>
    <w:p w:rsidR="00B53FFF" w:rsidRPr="00B10752" w:rsidRDefault="00B53FFF" w:rsidP="00B53FFF">
      <w:pPr>
        <w:rPr>
          <w:rFonts w:eastAsia="Times New Roman" w:cs="Times New Roman"/>
          <w:b/>
          <w:bCs/>
          <w:sz w:val="20"/>
          <w:szCs w:val="20"/>
          <w:lang w:val="fr-CA" w:eastAsia="en-CA"/>
        </w:rPr>
      </w:pPr>
    </w:p>
    <w:p w:rsidR="00B53FFF" w:rsidRPr="00B10752" w:rsidRDefault="00B53FFF" w:rsidP="00B53FFF">
      <w:pPr>
        <w:rPr>
          <w:rFonts w:eastAsia="Times New Roman" w:cs="Times New Roman"/>
          <w:bCs/>
          <w:sz w:val="20"/>
          <w:szCs w:val="20"/>
          <w:lang w:val="fr-CA" w:eastAsia="en-CA"/>
        </w:rPr>
      </w:pPr>
      <w:r w:rsidRPr="00B10752">
        <w:rPr>
          <w:rFonts w:eastAsia="Times New Roman" w:cs="Times New Roman"/>
          <w:bCs/>
          <w:sz w:val="20"/>
          <w:szCs w:val="20"/>
          <w:lang w:val="fr-CA" w:eastAsia="en-CA"/>
        </w:rPr>
        <w:t>La requête est accueillie en partie.</w:t>
      </w:r>
    </w:p>
    <w:p w:rsidR="00B53FFF" w:rsidRPr="00B10752" w:rsidRDefault="00B53FFF" w:rsidP="00B53FFF">
      <w:pPr>
        <w:rPr>
          <w:rFonts w:eastAsia="Times New Roman" w:cs="Times New Roman"/>
          <w:bCs/>
          <w:sz w:val="20"/>
          <w:szCs w:val="20"/>
          <w:lang w:val="fr-CA" w:eastAsia="en-CA"/>
        </w:rPr>
      </w:pPr>
    </w:p>
    <w:p w:rsidR="00B53FFF" w:rsidRPr="00B10752" w:rsidRDefault="00B53FFF" w:rsidP="00B53FFF">
      <w:pPr>
        <w:rPr>
          <w:rFonts w:eastAsia="Times New Roman" w:cs="Times New Roman"/>
          <w:bCs/>
          <w:sz w:val="20"/>
          <w:szCs w:val="20"/>
          <w:lang w:val="fr-CA" w:eastAsia="en-CA"/>
        </w:rPr>
      </w:pPr>
      <w:r w:rsidRPr="00B10752">
        <w:rPr>
          <w:rFonts w:eastAsia="Times New Roman" w:cs="Times New Roman"/>
          <w:bCs/>
          <w:sz w:val="20"/>
          <w:szCs w:val="20"/>
          <w:lang w:val="fr-CA" w:eastAsia="en-CA"/>
        </w:rPr>
        <w:t>Les paragraphes 9-12, 72-88, 99 et 103-109 sont radiés du mémoire des appelants. Toutes les parties s’abstiendront de faire référence aux paragraphes en question lors de l’audition de l’appel.</w:t>
      </w:r>
    </w:p>
    <w:p w:rsidR="00B53FFF" w:rsidRPr="00B10752" w:rsidRDefault="00B53FFF" w:rsidP="00B53FFF">
      <w:pPr>
        <w:rPr>
          <w:rFonts w:eastAsia="Times New Roman" w:cs="Times New Roman"/>
          <w:bCs/>
          <w:sz w:val="20"/>
          <w:szCs w:val="20"/>
          <w:lang w:val="fr-CA" w:eastAsia="en-CA"/>
        </w:rPr>
      </w:pPr>
    </w:p>
    <w:p w:rsidR="00B53FFF" w:rsidRPr="00B10752" w:rsidRDefault="00B53FFF" w:rsidP="00B53FFF">
      <w:pPr>
        <w:rPr>
          <w:rFonts w:eastAsia="Times New Roman" w:cs="Times New Roman"/>
          <w:bCs/>
          <w:sz w:val="20"/>
          <w:szCs w:val="20"/>
          <w:lang w:val="fr-CA" w:eastAsia="en-CA"/>
        </w:rPr>
      </w:pPr>
      <w:r w:rsidRPr="00B10752">
        <w:rPr>
          <w:rFonts w:eastAsia="Times New Roman" w:cs="Times New Roman"/>
          <w:bCs/>
          <w:sz w:val="20"/>
          <w:szCs w:val="20"/>
          <w:lang w:val="fr-CA" w:eastAsia="en-CA"/>
        </w:rPr>
        <w:t>L’intimée se voit accorder un délai supplémentaire pour signifier et déposer ses mémoire, dossier et recueil de sources, le cas échéant, et doit le faire au plus tard le 21 juin 2021.</w:t>
      </w:r>
    </w:p>
    <w:p w:rsidR="00102792" w:rsidRPr="00B10752" w:rsidRDefault="00102792" w:rsidP="00102792">
      <w:pPr>
        <w:spacing w:line="232" w:lineRule="auto"/>
        <w:rPr>
          <w:rFonts w:cs="Times New Roman"/>
          <w:sz w:val="20"/>
          <w:lang w:val="fr-CA"/>
        </w:rPr>
      </w:pPr>
    </w:p>
    <w:p w:rsidR="00F83237" w:rsidRPr="00B10752" w:rsidRDefault="00B10752" w:rsidP="00F83237">
      <w:pPr>
        <w:widowControl w:val="0"/>
        <w:rPr>
          <w:rFonts w:eastAsia="Times New Roman" w:cs="Times New Roman"/>
          <w:sz w:val="20"/>
          <w:szCs w:val="20"/>
          <w:lang w:val="fr-CA" w:eastAsia="en-CA"/>
        </w:rPr>
        <w:sectPr w:rsidR="00F83237" w:rsidRPr="00B10752" w:rsidSect="00F40249">
          <w:headerReference w:type="even" r:id="rId103"/>
          <w:headerReference w:type="default" r:id="rId104"/>
          <w:footerReference w:type="even" r:id="rId105"/>
          <w:footerReference w:type="default" r:id="rId106"/>
          <w:headerReference w:type="first" r:id="rId107"/>
          <w:footerReference w:type="first" r:id="rId108"/>
          <w:pgSz w:w="12240" w:h="15840"/>
          <w:pgMar w:top="720" w:right="965" w:bottom="1080" w:left="1656" w:header="720" w:footer="965" w:gutter="0"/>
          <w:cols w:space="720"/>
          <w:titlePg/>
          <w:docGrid w:linePitch="326"/>
        </w:sectPr>
      </w:pPr>
      <w:r w:rsidRPr="00B10752">
        <w:rPr>
          <w:rFonts w:eastAsia="Times New Roman" w:cs="Times New Roman"/>
          <w:sz w:val="20"/>
          <w:szCs w:val="20"/>
          <w:lang w:val="fr-CA" w:eastAsia="en-CA"/>
        </w:rPr>
        <w:pict>
          <v:rect id="_x0000_i1089" style="width:2in;height:1pt" o:hrpct="0" o:hralign="center" o:hrstd="t" o:hrnoshade="t" o:hr="t" fillcolor="black [3213]" stroked="f"/>
        </w:pict>
      </w:r>
    </w:p>
    <w:p w:rsidR="00F83237" w:rsidRPr="00B10752" w:rsidRDefault="00F83237" w:rsidP="00F83237">
      <w:pPr>
        <w:pStyle w:val="Header1StyleE"/>
        <w:pBdr>
          <w:bottom w:val="single" w:sz="12" w:space="1" w:color="auto"/>
        </w:pBdr>
        <w:rPr>
          <w:sz w:val="20"/>
          <w:lang w:val="en-US"/>
        </w:rPr>
      </w:pPr>
      <w:bookmarkStart w:id="8" w:name="_Toc71028946"/>
      <w:bookmarkStart w:id="9" w:name="_Toc71210438"/>
      <w:r w:rsidRPr="00B10752">
        <w:lastRenderedPageBreak/>
        <w:t xml:space="preserve">Notices of appeal filed since the last issue / </w:t>
      </w:r>
      <w:r w:rsidRPr="00B10752">
        <w:br/>
      </w:r>
      <w:r w:rsidRPr="00B10752">
        <w:rPr>
          <w:lang w:val="fr-CA"/>
        </w:rPr>
        <w:t>Avis d’appel déposés depuis la dernière parution</w:t>
      </w:r>
      <w:bookmarkEnd w:id="8"/>
      <w:bookmarkEnd w:id="9"/>
    </w:p>
    <w:p w:rsidR="00F83237" w:rsidRPr="00B10752" w:rsidRDefault="00F83237" w:rsidP="00F83237">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F83237" w:rsidRPr="00B10752" w:rsidTr="003D6FB2">
        <w:trPr>
          <w:cantSplit/>
        </w:trPr>
        <w:tc>
          <w:tcPr>
            <w:tcW w:w="2206" w:type="pct"/>
            <w:tcMar>
              <w:left w:w="0" w:type="dxa"/>
              <w:right w:w="0" w:type="dxa"/>
            </w:tcMar>
          </w:tcPr>
          <w:p w:rsidR="00F83237" w:rsidRPr="00B10752" w:rsidRDefault="00F83237" w:rsidP="003D6FB2">
            <w:pPr>
              <w:rPr>
                <w:sz w:val="20"/>
                <w:szCs w:val="20"/>
              </w:rPr>
            </w:pPr>
            <w:r w:rsidRPr="00B10752">
              <w:rPr>
                <w:sz w:val="20"/>
                <w:szCs w:val="20"/>
              </w:rPr>
              <w:t>April 26, 2021</w:t>
            </w:r>
          </w:p>
          <w:p w:rsidR="00F83237" w:rsidRPr="00B10752" w:rsidRDefault="00F83237" w:rsidP="003D6FB2">
            <w:pPr>
              <w:rPr>
                <w:sz w:val="20"/>
                <w:szCs w:val="20"/>
              </w:rPr>
            </w:pPr>
          </w:p>
          <w:p w:rsidR="00F83237" w:rsidRPr="00B10752" w:rsidRDefault="00F83237" w:rsidP="003D6FB2">
            <w:pPr>
              <w:rPr>
                <w:b/>
                <w:sz w:val="20"/>
                <w:szCs w:val="20"/>
              </w:rPr>
            </w:pPr>
            <w:r w:rsidRPr="00B10752">
              <w:rPr>
                <w:b/>
                <w:sz w:val="20"/>
                <w:szCs w:val="20"/>
              </w:rPr>
              <w:t>Syed Adeel Safdar, et al.</w:t>
            </w:r>
          </w:p>
          <w:p w:rsidR="00F83237" w:rsidRPr="00B10752" w:rsidRDefault="00F83237" w:rsidP="003D6FB2">
            <w:pPr>
              <w:rPr>
                <w:sz w:val="20"/>
                <w:szCs w:val="20"/>
              </w:rPr>
            </w:pPr>
          </w:p>
          <w:p w:rsidR="00F83237" w:rsidRPr="00B10752" w:rsidRDefault="00F83237" w:rsidP="003D6FB2">
            <w:pPr>
              <w:rPr>
                <w:b/>
                <w:sz w:val="20"/>
                <w:szCs w:val="20"/>
              </w:rPr>
            </w:pPr>
            <w:r w:rsidRPr="00B10752">
              <w:rPr>
                <w:b/>
                <w:sz w:val="20"/>
                <w:szCs w:val="20"/>
              </w:rPr>
              <w:tab/>
              <w:t>v. (39629)</w:t>
            </w:r>
          </w:p>
          <w:p w:rsidR="00F83237" w:rsidRPr="00B10752" w:rsidRDefault="00F83237" w:rsidP="003D6FB2">
            <w:pPr>
              <w:rPr>
                <w:sz w:val="20"/>
                <w:szCs w:val="20"/>
              </w:rPr>
            </w:pPr>
          </w:p>
          <w:p w:rsidR="00F83237" w:rsidRPr="00B10752" w:rsidRDefault="00F83237" w:rsidP="003D6FB2">
            <w:pPr>
              <w:rPr>
                <w:b/>
                <w:sz w:val="20"/>
                <w:szCs w:val="20"/>
              </w:rPr>
            </w:pPr>
            <w:r w:rsidRPr="00B10752">
              <w:rPr>
                <w:b/>
                <w:sz w:val="20"/>
                <w:szCs w:val="20"/>
              </w:rPr>
              <w:t>Her Majesty the Queen (Ont.)</w:t>
            </w:r>
          </w:p>
          <w:p w:rsidR="00F83237" w:rsidRPr="00B10752" w:rsidRDefault="00F83237" w:rsidP="003D6FB2">
            <w:pPr>
              <w:rPr>
                <w:sz w:val="20"/>
                <w:szCs w:val="20"/>
              </w:rPr>
            </w:pPr>
          </w:p>
          <w:p w:rsidR="00F83237" w:rsidRPr="00B10752" w:rsidRDefault="00F83237" w:rsidP="003D6FB2">
            <w:pPr>
              <w:rPr>
                <w:sz w:val="20"/>
                <w:szCs w:val="20"/>
              </w:rPr>
            </w:pPr>
            <w:r w:rsidRPr="00B10752">
              <w:rPr>
                <w:sz w:val="20"/>
                <w:szCs w:val="20"/>
              </w:rPr>
              <w:t>(As of Right)</w:t>
            </w:r>
          </w:p>
          <w:p w:rsidR="00F83237" w:rsidRPr="00B10752" w:rsidRDefault="00F83237" w:rsidP="003D6FB2">
            <w:pPr>
              <w:rPr>
                <w:sz w:val="20"/>
                <w:szCs w:val="20"/>
              </w:rPr>
            </w:pPr>
          </w:p>
          <w:p w:rsidR="00F83237" w:rsidRPr="00B10752" w:rsidRDefault="00B10752" w:rsidP="003D6FB2">
            <w:pPr>
              <w:rPr>
                <w:sz w:val="20"/>
                <w:szCs w:val="20"/>
                <w:lang w:val="fr-CA"/>
              </w:rPr>
            </w:pPr>
            <w:r w:rsidRPr="00B10752">
              <w:rPr>
                <w:sz w:val="20"/>
                <w:szCs w:val="20"/>
                <w:lang w:val="fr-CA"/>
              </w:rPr>
              <w:pict>
                <v:rect id="_x0000_i1090" style="width:106.1pt;height:1pt" o:hrpct="500" o:hrstd="t" o:hrnoshade="t" o:hr="t" fillcolor="black [3213]" stroked="f"/>
              </w:pict>
            </w:r>
          </w:p>
        </w:tc>
        <w:tc>
          <w:tcPr>
            <w:tcW w:w="588" w:type="pct"/>
          </w:tcPr>
          <w:p w:rsidR="00F83237" w:rsidRPr="00B10752" w:rsidRDefault="00F83237" w:rsidP="003D6FB2">
            <w:pPr>
              <w:jc w:val="center"/>
              <w:rPr>
                <w:sz w:val="20"/>
                <w:szCs w:val="20"/>
              </w:rPr>
            </w:pPr>
          </w:p>
          <w:p w:rsidR="00F83237" w:rsidRPr="00B10752" w:rsidRDefault="00F83237" w:rsidP="003D6FB2">
            <w:pPr>
              <w:jc w:val="center"/>
              <w:rPr>
                <w:sz w:val="20"/>
                <w:szCs w:val="20"/>
              </w:rPr>
            </w:pPr>
          </w:p>
          <w:p w:rsidR="00F83237" w:rsidRPr="00B10752" w:rsidRDefault="00F83237" w:rsidP="003D6FB2">
            <w:pPr>
              <w:jc w:val="center"/>
              <w:rPr>
                <w:sz w:val="20"/>
                <w:szCs w:val="20"/>
              </w:rPr>
            </w:pPr>
          </w:p>
          <w:p w:rsidR="00F83237" w:rsidRPr="00B10752" w:rsidRDefault="00F83237" w:rsidP="003D6FB2">
            <w:pPr>
              <w:jc w:val="center"/>
              <w:rPr>
                <w:sz w:val="20"/>
                <w:szCs w:val="20"/>
              </w:rPr>
            </w:pPr>
          </w:p>
          <w:p w:rsidR="00F83237" w:rsidRPr="00B10752" w:rsidRDefault="00F83237" w:rsidP="003D6FB2">
            <w:pPr>
              <w:jc w:val="center"/>
              <w:rPr>
                <w:sz w:val="20"/>
                <w:szCs w:val="20"/>
              </w:rPr>
            </w:pPr>
          </w:p>
          <w:p w:rsidR="00F83237" w:rsidRPr="00B10752" w:rsidRDefault="00F83237" w:rsidP="003D6FB2">
            <w:pPr>
              <w:jc w:val="center"/>
              <w:rPr>
                <w:sz w:val="20"/>
                <w:szCs w:val="20"/>
              </w:rPr>
            </w:pPr>
          </w:p>
          <w:p w:rsidR="00F83237" w:rsidRPr="00B10752" w:rsidRDefault="00F83237" w:rsidP="003D6FB2">
            <w:pPr>
              <w:jc w:val="center"/>
              <w:rPr>
                <w:sz w:val="20"/>
                <w:szCs w:val="20"/>
              </w:rPr>
            </w:pPr>
          </w:p>
          <w:p w:rsidR="00F83237" w:rsidRPr="00B10752" w:rsidRDefault="00F83237" w:rsidP="003D6FB2">
            <w:pPr>
              <w:jc w:val="center"/>
              <w:rPr>
                <w:sz w:val="20"/>
                <w:szCs w:val="20"/>
              </w:rPr>
            </w:pPr>
          </w:p>
          <w:p w:rsidR="00F83237" w:rsidRPr="00B10752" w:rsidRDefault="00F83237" w:rsidP="003D6FB2">
            <w:pPr>
              <w:jc w:val="center"/>
              <w:rPr>
                <w:sz w:val="20"/>
                <w:szCs w:val="20"/>
              </w:rPr>
            </w:pPr>
          </w:p>
          <w:p w:rsidR="00F83237" w:rsidRPr="00B10752" w:rsidRDefault="00F83237" w:rsidP="003D6FB2">
            <w:pPr>
              <w:jc w:val="center"/>
              <w:rPr>
                <w:sz w:val="20"/>
                <w:szCs w:val="20"/>
              </w:rPr>
            </w:pPr>
          </w:p>
          <w:p w:rsidR="00F83237" w:rsidRPr="00B10752" w:rsidRDefault="00F83237" w:rsidP="003D6FB2">
            <w:pPr>
              <w:jc w:val="center"/>
              <w:rPr>
                <w:sz w:val="20"/>
                <w:szCs w:val="20"/>
              </w:rPr>
            </w:pPr>
          </w:p>
          <w:p w:rsidR="00F83237" w:rsidRPr="00B10752" w:rsidRDefault="00F83237" w:rsidP="003D6FB2">
            <w:pPr>
              <w:jc w:val="center"/>
              <w:rPr>
                <w:sz w:val="20"/>
                <w:szCs w:val="20"/>
              </w:rPr>
            </w:pPr>
          </w:p>
        </w:tc>
        <w:tc>
          <w:tcPr>
            <w:tcW w:w="2206" w:type="pct"/>
          </w:tcPr>
          <w:p w:rsidR="00F83237" w:rsidRPr="00B10752" w:rsidRDefault="00F83237" w:rsidP="003D6FB2">
            <w:pPr>
              <w:rPr>
                <w:sz w:val="20"/>
                <w:szCs w:val="20"/>
              </w:rPr>
            </w:pPr>
          </w:p>
        </w:tc>
      </w:tr>
    </w:tbl>
    <w:p w:rsidR="00F83237" w:rsidRPr="00B10752" w:rsidRDefault="00F83237" w:rsidP="00F83237">
      <w:pPr>
        <w:rPr>
          <w:sz w:val="20"/>
          <w:szCs w:val="20"/>
        </w:rPr>
      </w:pPr>
    </w:p>
    <w:p w:rsidR="00F83237" w:rsidRPr="00B10752" w:rsidRDefault="00F83237" w:rsidP="00F83237">
      <w:pPr>
        <w:rPr>
          <w:sz w:val="20"/>
          <w:szCs w:val="20"/>
        </w:rPr>
      </w:pPr>
    </w:p>
    <w:p w:rsidR="00F83237" w:rsidRPr="00B10752" w:rsidRDefault="00F83237" w:rsidP="00F83237">
      <w:pPr>
        <w:jc w:val="both"/>
        <w:rPr>
          <w:sz w:val="20"/>
          <w:szCs w:val="20"/>
          <w:lang w:val="fr-CA"/>
        </w:rPr>
        <w:sectPr w:rsidR="00F83237" w:rsidRPr="00B10752" w:rsidSect="00831CA9">
          <w:headerReference w:type="even" r:id="rId109"/>
          <w:headerReference w:type="default" r:id="rId110"/>
          <w:footerReference w:type="even" r:id="rId111"/>
          <w:footerReference w:type="default" r:id="rId112"/>
          <w:headerReference w:type="first" r:id="rId113"/>
          <w:footerReference w:type="first" r:id="rId114"/>
          <w:pgSz w:w="12240" w:h="15840"/>
          <w:pgMar w:top="720" w:right="965" w:bottom="1080" w:left="1656" w:header="720" w:footer="965" w:gutter="0"/>
          <w:cols w:space="720"/>
          <w:titlePg/>
          <w:docGrid w:linePitch="326"/>
        </w:sectPr>
      </w:pPr>
    </w:p>
    <w:p w:rsidR="00567602" w:rsidRPr="00B10752" w:rsidRDefault="001434B9" w:rsidP="00567602">
      <w:pPr>
        <w:pStyle w:val="Header1StyleE"/>
        <w:pBdr>
          <w:bottom w:val="single" w:sz="12" w:space="1" w:color="auto"/>
        </w:pBdr>
        <w:rPr>
          <w:lang w:val="fr-CA"/>
        </w:rPr>
      </w:pPr>
      <w:bookmarkStart w:id="10" w:name="_Toc71210439"/>
      <w:r w:rsidRPr="00B10752">
        <w:rPr>
          <w:lang w:val="fr-CA"/>
        </w:rPr>
        <w:lastRenderedPageBreak/>
        <w:t>Pronouncements of reserved</w:t>
      </w:r>
      <w:r w:rsidR="00271E1E" w:rsidRPr="00B10752">
        <w:rPr>
          <w:lang w:val="fr-CA"/>
        </w:rPr>
        <w:t xml:space="preserve"> appeals / </w:t>
      </w:r>
      <w:r w:rsidR="00567602" w:rsidRPr="00B10752">
        <w:rPr>
          <w:lang w:val="fr-CA"/>
        </w:rPr>
        <w:br/>
      </w:r>
      <w:r w:rsidRPr="00B10752">
        <w:rPr>
          <w:lang w:val="fr-CA"/>
        </w:rPr>
        <w:t>Jugements rendus sur les appels en délibéré</w:t>
      </w:r>
      <w:bookmarkEnd w:id="10"/>
    </w:p>
    <w:p w:rsidR="00FF6EEC" w:rsidRPr="00B10752" w:rsidRDefault="00FF6EEC" w:rsidP="00FF6EEC">
      <w:pPr>
        <w:rPr>
          <w:sz w:val="20"/>
          <w:szCs w:val="20"/>
          <w:lang w:val="fr-CA"/>
        </w:rPr>
      </w:pPr>
    </w:p>
    <w:p w:rsidR="00102792" w:rsidRPr="00B10752" w:rsidRDefault="00223200" w:rsidP="00102792">
      <w:pPr>
        <w:rPr>
          <w:b/>
          <w:sz w:val="20"/>
          <w:szCs w:val="20"/>
          <w:lang w:val="en-US"/>
        </w:rPr>
      </w:pPr>
      <w:r w:rsidRPr="00B10752">
        <w:rPr>
          <w:b/>
          <w:sz w:val="20"/>
          <w:szCs w:val="20"/>
          <w:lang w:val="en-US"/>
        </w:rPr>
        <w:t>MAY</w:t>
      </w:r>
      <w:r w:rsidR="00102792" w:rsidRPr="00B10752">
        <w:rPr>
          <w:b/>
          <w:sz w:val="20"/>
          <w:szCs w:val="20"/>
          <w:lang w:val="en-US"/>
        </w:rPr>
        <w:t xml:space="preserve"> </w:t>
      </w:r>
      <w:r w:rsidRPr="00B10752">
        <w:rPr>
          <w:b/>
          <w:sz w:val="20"/>
          <w:szCs w:val="20"/>
          <w:lang w:val="en-US"/>
        </w:rPr>
        <w:t>7</w:t>
      </w:r>
      <w:r w:rsidR="00102792" w:rsidRPr="00B10752">
        <w:rPr>
          <w:b/>
          <w:sz w:val="20"/>
          <w:szCs w:val="20"/>
          <w:lang w:val="en-US"/>
        </w:rPr>
        <w:t xml:space="preserve">, </w:t>
      </w:r>
      <w:r w:rsidR="0034657E" w:rsidRPr="00B10752">
        <w:rPr>
          <w:b/>
          <w:sz w:val="20"/>
          <w:szCs w:val="20"/>
          <w:lang w:val="en-US"/>
        </w:rPr>
        <w:t>20</w:t>
      </w:r>
      <w:r w:rsidR="00172473" w:rsidRPr="00B10752">
        <w:rPr>
          <w:b/>
          <w:sz w:val="20"/>
          <w:szCs w:val="20"/>
          <w:lang w:val="en-US"/>
        </w:rPr>
        <w:t>2</w:t>
      </w:r>
      <w:r w:rsidR="009B36BA" w:rsidRPr="00B10752">
        <w:rPr>
          <w:b/>
          <w:sz w:val="20"/>
          <w:szCs w:val="20"/>
          <w:lang w:val="en-US"/>
        </w:rPr>
        <w:t>1</w:t>
      </w:r>
      <w:r w:rsidR="00102792" w:rsidRPr="00B10752">
        <w:rPr>
          <w:b/>
          <w:sz w:val="20"/>
          <w:szCs w:val="20"/>
          <w:lang w:val="en-US"/>
        </w:rPr>
        <w:t xml:space="preserve"> / LE </w:t>
      </w:r>
      <w:r w:rsidRPr="00B10752">
        <w:rPr>
          <w:b/>
          <w:sz w:val="20"/>
          <w:szCs w:val="20"/>
          <w:lang w:val="en-US"/>
        </w:rPr>
        <w:t>7</w:t>
      </w:r>
      <w:r w:rsidR="00102792" w:rsidRPr="00B10752">
        <w:rPr>
          <w:b/>
          <w:sz w:val="20"/>
          <w:szCs w:val="20"/>
          <w:lang w:val="en-US"/>
        </w:rPr>
        <w:t xml:space="preserve"> </w:t>
      </w:r>
      <w:r w:rsidRPr="00B10752">
        <w:rPr>
          <w:b/>
          <w:sz w:val="20"/>
          <w:szCs w:val="20"/>
          <w:lang w:val="en-US"/>
        </w:rPr>
        <w:t>MAI</w:t>
      </w:r>
      <w:r w:rsidR="00102792" w:rsidRPr="00B10752">
        <w:rPr>
          <w:b/>
          <w:sz w:val="20"/>
          <w:szCs w:val="20"/>
          <w:lang w:val="en-US"/>
        </w:rPr>
        <w:t xml:space="preserve"> </w:t>
      </w:r>
      <w:r w:rsidR="0034657E" w:rsidRPr="00B10752">
        <w:rPr>
          <w:b/>
          <w:sz w:val="20"/>
          <w:szCs w:val="20"/>
          <w:lang w:val="en-US"/>
        </w:rPr>
        <w:t>20</w:t>
      </w:r>
      <w:r w:rsidR="00172473" w:rsidRPr="00B10752">
        <w:rPr>
          <w:b/>
          <w:sz w:val="20"/>
          <w:szCs w:val="20"/>
          <w:lang w:val="en-US"/>
        </w:rPr>
        <w:t>2</w:t>
      </w:r>
      <w:r w:rsidR="009B36BA" w:rsidRPr="00B10752">
        <w:rPr>
          <w:b/>
          <w:sz w:val="20"/>
          <w:szCs w:val="20"/>
          <w:lang w:val="en-US"/>
        </w:rPr>
        <w:t>1</w:t>
      </w:r>
    </w:p>
    <w:p w:rsidR="00102792" w:rsidRPr="00B10752" w:rsidRDefault="00102792" w:rsidP="00102792">
      <w:pPr>
        <w:rPr>
          <w:sz w:val="20"/>
          <w:szCs w:val="20"/>
          <w:lang w:val="en-US"/>
        </w:rPr>
      </w:pPr>
    </w:p>
    <w:p w:rsidR="00102792" w:rsidRPr="00B10752" w:rsidRDefault="00102792" w:rsidP="00102792">
      <w:pPr>
        <w:ind w:left="1440" w:hanging="1440"/>
        <w:jc w:val="both"/>
        <w:rPr>
          <w:rFonts w:eastAsia="Times New Roman" w:cs="Times New Roman"/>
          <w:color w:val="000000"/>
          <w:sz w:val="20"/>
          <w:szCs w:val="20"/>
          <w:lang w:val="en-US"/>
        </w:rPr>
      </w:pPr>
      <w:r w:rsidRPr="00B10752">
        <w:rPr>
          <w:rFonts w:eastAsia="Times New Roman" w:cs="Times New Roman"/>
          <w:b/>
          <w:bCs/>
          <w:color w:val="000000"/>
          <w:sz w:val="20"/>
          <w:szCs w:val="20"/>
          <w:lang w:val="en-US"/>
        </w:rPr>
        <w:t>3</w:t>
      </w:r>
      <w:r w:rsidR="00435B01" w:rsidRPr="00B10752">
        <w:rPr>
          <w:rFonts w:eastAsia="Times New Roman" w:cs="Times New Roman"/>
          <w:b/>
          <w:bCs/>
          <w:color w:val="000000"/>
          <w:sz w:val="20"/>
          <w:szCs w:val="20"/>
          <w:lang w:val="en-US"/>
        </w:rPr>
        <w:t>8546</w:t>
      </w:r>
      <w:r w:rsidR="00172473" w:rsidRPr="00B10752">
        <w:rPr>
          <w:rFonts w:eastAsia="Times New Roman" w:cs="Times New Roman"/>
          <w:b/>
          <w:bCs/>
          <w:color w:val="000000"/>
          <w:sz w:val="20"/>
          <w:szCs w:val="20"/>
          <w:lang w:val="en-US"/>
        </w:rPr>
        <w:tab/>
      </w:r>
      <w:r w:rsidR="00435B01" w:rsidRPr="00B10752">
        <w:rPr>
          <w:rFonts w:eastAsia="Times New Roman" w:cs="Times New Roman"/>
          <w:b/>
          <w:bCs/>
          <w:color w:val="000000"/>
          <w:sz w:val="20"/>
          <w:szCs w:val="20"/>
          <w:lang w:val="en-US"/>
        </w:rPr>
        <w:t xml:space="preserve">C.P. v. Her Majesty The Queen - and - </w:t>
      </w:r>
      <w:r w:rsidR="004E16D6" w:rsidRPr="00B10752">
        <w:rPr>
          <w:rFonts w:eastAsia="Times New Roman" w:cs="Times New Roman"/>
          <w:b/>
          <w:bCs/>
          <w:color w:val="000000"/>
          <w:sz w:val="20"/>
          <w:szCs w:val="20"/>
          <w:lang w:val="en-US"/>
        </w:rPr>
        <w:t>Attorney General of Canada, Criminal Lawyers’ Association (Ontario), Justice for Children and Youth and British Columbia Civil Liberties Association</w:t>
      </w:r>
      <w:r w:rsidR="00281DA2" w:rsidRPr="00B10752">
        <w:rPr>
          <w:rFonts w:eastAsia="Times New Roman" w:cs="Times New Roman"/>
          <w:b/>
          <w:bCs/>
          <w:color w:val="000000"/>
          <w:sz w:val="20"/>
          <w:szCs w:val="20"/>
          <w:lang w:val="en-US"/>
        </w:rPr>
        <w:t xml:space="preserve"> </w:t>
      </w:r>
      <w:r w:rsidRPr="00B10752">
        <w:rPr>
          <w:rFonts w:eastAsia="Times New Roman" w:cs="Times New Roman"/>
          <w:color w:val="000000"/>
          <w:sz w:val="20"/>
          <w:szCs w:val="20"/>
          <w:lang w:val="en-US"/>
        </w:rPr>
        <w:t>(</w:t>
      </w:r>
      <w:r w:rsidR="00435B01" w:rsidRPr="00B10752">
        <w:rPr>
          <w:rFonts w:eastAsia="Times New Roman" w:cs="Times New Roman"/>
          <w:color w:val="000000"/>
          <w:sz w:val="20"/>
          <w:szCs w:val="20"/>
          <w:lang w:val="en-US"/>
        </w:rPr>
        <w:t>Ont</w:t>
      </w:r>
      <w:r w:rsidRPr="00B10752">
        <w:rPr>
          <w:rFonts w:eastAsia="Times New Roman" w:cs="Times New Roman"/>
          <w:color w:val="000000"/>
          <w:sz w:val="20"/>
          <w:szCs w:val="20"/>
          <w:lang w:val="en-US"/>
        </w:rPr>
        <w:t>.)</w:t>
      </w:r>
    </w:p>
    <w:p w:rsidR="00102792" w:rsidRPr="00B10752" w:rsidRDefault="00102792" w:rsidP="00102792">
      <w:pPr>
        <w:ind w:left="1440"/>
        <w:jc w:val="both"/>
        <w:rPr>
          <w:rFonts w:eastAsia="Times New Roman" w:cs="Times New Roman"/>
          <w:color w:val="000000"/>
          <w:sz w:val="20"/>
          <w:szCs w:val="20"/>
          <w:lang w:val="en-US"/>
        </w:rPr>
      </w:pPr>
      <w:r w:rsidRPr="00B10752">
        <w:rPr>
          <w:rFonts w:eastAsia="Times New Roman" w:cs="Times New Roman"/>
          <w:b/>
          <w:bCs/>
          <w:color w:val="000000"/>
          <w:sz w:val="20"/>
          <w:szCs w:val="20"/>
          <w:lang w:val="en-US"/>
        </w:rPr>
        <w:t>20</w:t>
      </w:r>
      <w:r w:rsidR="00172473" w:rsidRPr="00B10752">
        <w:rPr>
          <w:rFonts w:eastAsia="Times New Roman" w:cs="Times New Roman"/>
          <w:b/>
          <w:bCs/>
          <w:color w:val="000000"/>
          <w:sz w:val="20"/>
          <w:szCs w:val="20"/>
          <w:lang w:val="en-US"/>
        </w:rPr>
        <w:t>2</w:t>
      </w:r>
      <w:r w:rsidR="009B36BA" w:rsidRPr="00B10752">
        <w:rPr>
          <w:rFonts w:eastAsia="Times New Roman" w:cs="Times New Roman"/>
          <w:b/>
          <w:bCs/>
          <w:color w:val="000000"/>
          <w:sz w:val="20"/>
          <w:szCs w:val="20"/>
          <w:lang w:val="en-US"/>
        </w:rPr>
        <w:t>1</w:t>
      </w:r>
      <w:r w:rsidRPr="00B10752">
        <w:rPr>
          <w:rFonts w:eastAsia="Times New Roman" w:cs="Times New Roman"/>
          <w:b/>
          <w:bCs/>
          <w:color w:val="000000"/>
          <w:sz w:val="20"/>
          <w:szCs w:val="20"/>
          <w:lang w:val="en-US"/>
        </w:rPr>
        <w:t xml:space="preserve"> SCC </w:t>
      </w:r>
      <w:r w:rsidR="00172473" w:rsidRPr="00B10752">
        <w:rPr>
          <w:rFonts w:eastAsia="Times New Roman" w:cs="Times New Roman"/>
          <w:b/>
          <w:bCs/>
          <w:color w:val="000000"/>
          <w:sz w:val="20"/>
          <w:szCs w:val="20"/>
          <w:lang w:val="en-US"/>
        </w:rPr>
        <w:t>1</w:t>
      </w:r>
      <w:r w:rsidR="00435B01" w:rsidRPr="00B10752">
        <w:rPr>
          <w:rFonts w:eastAsia="Times New Roman" w:cs="Times New Roman"/>
          <w:b/>
          <w:bCs/>
          <w:color w:val="000000"/>
          <w:sz w:val="20"/>
          <w:szCs w:val="20"/>
          <w:lang w:val="en-US"/>
        </w:rPr>
        <w:t>9</w:t>
      </w:r>
      <w:r w:rsidRPr="00B10752">
        <w:rPr>
          <w:rFonts w:eastAsia="Times New Roman" w:cs="Times New Roman"/>
          <w:b/>
          <w:bCs/>
          <w:color w:val="000000"/>
          <w:sz w:val="20"/>
          <w:szCs w:val="20"/>
          <w:lang w:val="en-US"/>
        </w:rPr>
        <w:t xml:space="preserve"> / 20</w:t>
      </w:r>
      <w:r w:rsidR="00172473" w:rsidRPr="00B10752">
        <w:rPr>
          <w:rFonts w:eastAsia="Times New Roman" w:cs="Times New Roman"/>
          <w:b/>
          <w:bCs/>
          <w:color w:val="000000"/>
          <w:sz w:val="20"/>
          <w:szCs w:val="20"/>
          <w:lang w:val="en-US"/>
        </w:rPr>
        <w:t>2</w:t>
      </w:r>
      <w:r w:rsidR="009B36BA" w:rsidRPr="00B10752">
        <w:rPr>
          <w:rFonts w:eastAsia="Times New Roman" w:cs="Times New Roman"/>
          <w:b/>
          <w:bCs/>
          <w:color w:val="000000"/>
          <w:sz w:val="20"/>
          <w:szCs w:val="20"/>
          <w:lang w:val="en-US"/>
        </w:rPr>
        <w:t>1</w:t>
      </w:r>
      <w:r w:rsidRPr="00B10752">
        <w:rPr>
          <w:rFonts w:eastAsia="Times New Roman" w:cs="Times New Roman"/>
          <w:b/>
          <w:bCs/>
          <w:color w:val="000000"/>
          <w:sz w:val="20"/>
          <w:szCs w:val="20"/>
          <w:lang w:val="en-US"/>
        </w:rPr>
        <w:t xml:space="preserve"> CSC </w:t>
      </w:r>
      <w:r w:rsidR="00172473" w:rsidRPr="00B10752">
        <w:rPr>
          <w:rFonts w:eastAsia="Times New Roman" w:cs="Times New Roman"/>
          <w:b/>
          <w:bCs/>
          <w:color w:val="000000"/>
          <w:sz w:val="20"/>
          <w:szCs w:val="20"/>
          <w:lang w:val="en-US"/>
        </w:rPr>
        <w:t>1</w:t>
      </w:r>
      <w:r w:rsidR="00435B01" w:rsidRPr="00B10752">
        <w:rPr>
          <w:rFonts w:eastAsia="Times New Roman" w:cs="Times New Roman"/>
          <w:b/>
          <w:bCs/>
          <w:color w:val="000000"/>
          <w:sz w:val="20"/>
          <w:szCs w:val="20"/>
          <w:lang w:val="en-US"/>
        </w:rPr>
        <w:t>9</w:t>
      </w:r>
    </w:p>
    <w:p w:rsidR="00102792" w:rsidRPr="00B10752" w:rsidRDefault="00102792" w:rsidP="00102792">
      <w:pPr>
        <w:jc w:val="both"/>
        <w:rPr>
          <w:rFonts w:eastAsia="Times New Roman" w:cs="Times New Roman"/>
          <w:color w:val="000000"/>
          <w:sz w:val="20"/>
          <w:szCs w:val="20"/>
          <w:lang w:val="en-US"/>
        </w:rPr>
      </w:pPr>
    </w:p>
    <w:p w:rsidR="00102792" w:rsidRPr="00B10752" w:rsidRDefault="00172473" w:rsidP="00102792">
      <w:pPr>
        <w:ind w:left="1440" w:hanging="1440"/>
        <w:rPr>
          <w:rFonts w:eastAsia="Times New Roman" w:cs="Times New Roman"/>
          <w:color w:val="000000"/>
          <w:sz w:val="20"/>
          <w:szCs w:val="20"/>
          <w:lang w:val="en-US"/>
        </w:rPr>
      </w:pPr>
      <w:r w:rsidRPr="00B10752">
        <w:rPr>
          <w:rFonts w:eastAsia="Times New Roman" w:cs="Times New Roman"/>
          <w:color w:val="000000"/>
          <w:sz w:val="20"/>
          <w:szCs w:val="20"/>
          <w:lang w:val="en-US"/>
        </w:rPr>
        <w:t>Coram:</w:t>
      </w:r>
      <w:r w:rsidRPr="00B10752">
        <w:rPr>
          <w:rFonts w:eastAsia="Times New Roman" w:cs="Times New Roman"/>
          <w:color w:val="000000"/>
          <w:sz w:val="20"/>
          <w:szCs w:val="20"/>
          <w:lang w:val="en-US"/>
        </w:rPr>
        <w:tab/>
      </w:r>
      <w:r w:rsidR="00102792" w:rsidRPr="00B10752">
        <w:rPr>
          <w:rFonts w:eastAsia="Times New Roman" w:cs="Times New Roman"/>
          <w:color w:val="000000"/>
          <w:sz w:val="20"/>
          <w:szCs w:val="20"/>
          <w:lang w:val="en-US"/>
        </w:rPr>
        <w:t>Wagner C.J. and Abella, Moldaver, Karakatsanis, Côté, Brown, Rowe</w:t>
      </w:r>
      <w:r w:rsidRPr="00B10752">
        <w:rPr>
          <w:rFonts w:eastAsia="Times New Roman" w:cs="Times New Roman"/>
          <w:color w:val="000000"/>
          <w:sz w:val="20"/>
          <w:szCs w:val="20"/>
          <w:lang w:val="en-US"/>
        </w:rPr>
        <w:t xml:space="preserve">, </w:t>
      </w:r>
      <w:r w:rsidR="00102792" w:rsidRPr="00B10752">
        <w:rPr>
          <w:rFonts w:eastAsia="Times New Roman" w:cs="Times New Roman"/>
          <w:color w:val="000000"/>
          <w:sz w:val="20"/>
          <w:szCs w:val="20"/>
          <w:lang w:val="en-US"/>
        </w:rPr>
        <w:t>Martin</w:t>
      </w:r>
      <w:r w:rsidRPr="00B10752">
        <w:rPr>
          <w:rFonts w:eastAsia="Times New Roman" w:cs="Times New Roman"/>
          <w:color w:val="000000"/>
          <w:sz w:val="20"/>
          <w:szCs w:val="20"/>
          <w:lang w:val="en-US"/>
        </w:rPr>
        <w:t xml:space="preserve"> and Kasirer</w:t>
      </w:r>
      <w:r w:rsidR="00102792" w:rsidRPr="00B10752">
        <w:rPr>
          <w:rFonts w:eastAsia="Times New Roman" w:cs="Times New Roman"/>
          <w:color w:val="000000"/>
          <w:sz w:val="20"/>
          <w:szCs w:val="20"/>
          <w:lang w:val="en-US"/>
        </w:rPr>
        <w:t xml:space="preserve"> JJ.</w:t>
      </w:r>
    </w:p>
    <w:p w:rsidR="00102792" w:rsidRPr="00B10752" w:rsidRDefault="00102792" w:rsidP="00102792">
      <w:pPr>
        <w:ind w:left="1440" w:hanging="1440"/>
        <w:rPr>
          <w:rFonts w:eastAsia="Times New Roman" w:cs="Times New Roman"/>
          <w:color w:val="000000"/>
          <w:sz w:val="20"/>
          <w:szCs w:val="20"/>
          <w:lang w:val="en-US"/>
        </w:rPr>
      </w:pPr>
    </w:p>
    <w:p w:rsidR="004E16D6" w:rsidRPr="00B10752" w:rsidRDefault="004E16D6" w:rsidP="004E16D6">
      <w:pPr>
        <w:jc w:val="both"/>
        <w:rPr>
          <w:sz w:val="20"/>
          <w:szCs w:val="20"/>
          <w:lang w:val="fr-CA"/>
        </w:rPr>
      </w:pPr>
      <w:r w:rsidRPr="00B10752">
        <w:rPr>
          <w:sz w:val="20"/>
          <w:szCs w:val="20"/>
        </w:rPr>
        <w:t xml:space="preserve">The appeal from the judgment of the Court of Appeal for Ontario, Number C65441, 2019 ONCA 85, dated February 8, 2019, heard on November 10, 2020, is dismissed. </w:t>
      </w:r>
      <w:r w:rsidRPr="00B10752">
        <w:rPr>
          <w:sz w:val="20"/>
          <w:szCs w:val="20"/>
          <w:lang w:val="fr-CA"/>
        </w:rPr>
        <w:t>Côté J. dissents.</w:t>
      </w:r>
    </w:p>
    <w:p w:rsidR="00102792" w:rsidRPr="00B10752" w:rsidRDefault="00102792" w:rsidP="00102792">
      <w:pPr>
        <w:tabs>
          <w:tab w:val="left" w:pos="1440"/>
        </w:tabs>
        <w:jc w:val="both"/>
        <w:rPr>
          <w:rFonts w:eastAsia="Times New Roman" w:cs="Times New Roman"/>
          <w:color w:val="000000"/>
          <w:sz w:val="20"/>
          <w:szCs w:val="20"/>
          <w:lang w:val="fr-CA"/>
        </w:rPr>
      </w:pPr>
    </w:p>
    <w:p w:rsidR="004E16D6" w:rsidRPr="00B10752" w:rsidRDefault="004E16D6" w:rsidP="004E16D6">
      <w:pPr>
        <w:jc w:val="both"/>
        <w:rPr>
          <w:sz w:val="20"/>
          <w:szCs w:val="20"/>
          <w:lang w:val="fr-CA"/>
        </w:rPr>
      </w:pPr>
      <w:r w:rsidRPr="00B10752">
        <w:rPr>
          <w:sz w:val="20"/>
          <w:szCs w:val="20"/>
          <w:lang w:val="fr-CA"/>
        </w:rPr>
        <w:t>L’appel interjeté contre l’arrêt de la Cour d’appel de l’Ontario, numéro C65441, 2019 ONCA 85, daté du 8 février 2019, entendu le 10 novembre 2020, est rejet</w:t>
      </w:r>
      <w:r w:rsidRPr="00B10752">
        <w:rPr>
          <w:rFonts w:cs="Times New Roman"/>
          <w:sz w:val="20"/>
          <w:szCs w:val="20"/>
          <w:lang w:val="fr-CA"/>
        </w:rPr>
        <w:t>é</w:t>
      </w:r>
      <w:r w:rsidRPr="00B10752">
        <w:rPr>
          <w:sz w:val="20"/>
          <w:szCs w:val="20"/>
          <w:lang w:val="fr-CA"/>
        </w:rPr>
        <w:t>. La juge Côté est dissidente.</w:t>
      </w:r>
    </w:p>
    <w:p w:rsidR="00102792" w:rsidRPr="00B10752" w:rsidRDefault="00102792" w:rsidP="00102792">
      <w:pPr>
        <w:rPr>
          <w:sz w:val="20"/>
          <w:szCs w:val="20"/>
          <w:lang w:val="fr-CA"/>
        </w:rPr>
      </w:pPr>
    </w:p>
    <w:p w:rsidR="00102792" w:rsidRPr="00B10752" w:rsidRDefault="00B10752" w:rsidP="00102792">
      <w:pPr>
        <w:rPr>
          <w:sz w:val="20"/>
          <w:szCs w:val="20"/>
          <w:lang w:val="fr-CA"/>
        </w:rPr>
      </w:pPr>
      <w:hyperlink r:id="rId115" w:history="1">
        <w:r w:rsidR="00506BE1" w:rsidRPr="00B10752">
          <w:rPr>
            <w:rStyle w:val="Hyperlink"/>
            <w:sz w:val="20"/>
            <w:szCs w:val="20"/>
            <w:lang w:val="fr-CA"/>
          </w:rPr>
          <w:t xml:space="preserve">LINK TO </w:t>
        </w:r>
        <w:r w:rsidR="00D82BFF" w:rsidRPr="00B10752">
          <w:rPr>
            <w:rStyle w:val="Hyperlink"/>
            <w:sz w:val="20"/>
            <w:szCs w:val="20"/>
            <w:lang w:val="fr-CA"/>
          </w:rPr>
          <w:t>REASONS</w:t>
        </w:r>
      </w:hyperlink>
      <w:r w:rsidR="00102792" w:rsidRPr="00B10752">
        <w:rPr>
          <w:sz w:val="20"/>
          <w:szCs w:val="20"/>
          <w:lang w:val="fr-CA"/>
        </w:rPr>
        <w:t xml:space="preserve"> / </w:t>
      </w:r>
      <w:hyperlink r:id="rId116" w:history="1">
        <w:r w:rsidR="00D82BFF" w:rsidRPr="00B10752">
          <w:rPr>
            <w:rStyle w:val="Hyperlink"/>
            <w:sz w:val="20"/>
            <w:szCs w:val="20"/>
            <w:lang w:val="fr-CA"/>
          </w:rPr>
          <w:t>LIEN VERS LES MOTIFS</w:t>
        </w:r>
      </w:hyperlink>
    </w:p>
    <w:p w:rsidR="00102792" w:rsidRPr="00B10752" w:rsidRDefault="00102792" w:rsidP="00102792">
      <w:pPr>
        <w:rPr>
          <w:sz w:val="20"/>
          <w:szCs w:val="20"/>
          <w:lang w:val="fr-CA"/>
        </w:rPr>
      </w:pPr>
    </w:p>
    <w:p w:rsidR="00D004FC" w:rsidRPr="00B10752" w:rsidRDefault="00B10752" w:rsidP="00102792">
      <w:pPr>
        <w:jc w:val="both"/>
        <w:rPr>
          <w:rFonts w:cs="Times New Roman"/>
          <w:b/>
          <w:sz w:val="20"/>
          <w:szCs w:val="20"/>
        </w:rPr>
      </w:pPr>
      <w:r w:rsidRPr="00B10752">
        <w:rPr>
          <w:b/>
          <w:sz w:val="20"/>
          <w:szCs w:val="20"/>
        </w:rPr>
        <w:pict>
          <v:rect id="_x0000_i1093" style="width:144.3pt;height:1pt" o:hrpct="300" o:hralign="center" o:hrstd="t" o:hrnoshade="t" o:hr="t" fillcolor="black [3213]" stroked="f"/>
        </w:pict>
      </w:r>
    </w:p>
    <w:p w:rsidR="00D004FC" w:rsidRPr="00B10752" w:rsidRDefault="00D004FC" w:rsidP="00D004FC">
      <w:pPr>
        <w:jc w:val="both"/>
        <w:rPr>
          <w:rFonts w:cs="Times New Roman"/>
          <w:sz w:val="20"/>
          <w:szCs w:val="20"/>
        </w:rPr>
      </w:pPr>
    </w:p>
    <w:p w:rsidR="00281DA2" w:rsidRPr="00B10752" w:rsidRDefault="00281DA2" w:rsidP="00D004FC">
      <w:pPr>
        <w:jc w:val="both"/>
        <w:rPr>
          <w:rFonts w:cs="Times New Roman"/>
          <w:sz w:val="20"/>
          <w:szCs w:val="20"/>
        </w:rPr>
      </w:pPr>
    </w:p>
    <w:p w:rsidR="0056248C" w:rsidRPr="00B10752" w:rsidRDefault="0056248C" w:rsidP="00091BA6">
      <w:pPr>
        <w:rPr>
          <w:sz w:val="20"/>
          <w:szCs w:val="20"/>
          <w:lang w:val="fr-CA"/>
        </w:rPr>
      </w:pPr>
    </w:p>
    <w:p w:rsidR="00102926" w:rsidRPr="00B10752" w:rsidRDefault="00102926" w:rsidP="00782AE4">
      <w:pPr>
        <w:jc w:val="both"/>
        <w:rPr>
          <w:sz w:val="20"/>
          <w:szCs w:val="20"/>
        </w:rPr>
        <w:sectPr w:rsidR="00102926" w:rsidRPr="00B10752" w:rsidSect="00782AE4">
          <w:headerReference w:type="even" r:id="rId117"/>
          <w:headerReference w:type="default" r:id="rId118"/>
          <w:footerReference w:type="even" r:id="rId119"/>
          <w:footerReference w:type="default" r:id="rId120"/>
          <w:headerReference w:type="first" r:id="rId121"/>
          <w:footerReference w:type="first" r:id="rId122"/>
          <w:pgSz w:w="12240" w:h="15840"/>
          <w:pgMar w:top="720" w:right="965" w:bottom="1080" w:left="1656" w:header="576" w:footer="960" w:gutter="0"/>
          <w:cols w:space="720"/>
          <w:titlePg/>
          <w:docGrid w:linePitch="272"/>
        </w:sectPr>
      </w:pPr>
    </w:p>
    <w:p w:rsidR="00113336" w:rsidRPr="00B10752" w:rsidRDefault="00113336" w:rsidP="00113336">
      <w:pPr>
        <w:tabs>
          <w:tab w:val="center" w:pos="5220"/>
          <w:tab w:val="right" w:pos="10800"/>
        </w:tabs>
        <w:jc w:val="center"/>
        <w:rPr>
          <w:rFonts w:ascii="Arial" w:hAnsi="Arial" w:cs="Arial"/>
          <w:sz w:val="22"/>
          <w:lang w:val="fr-CA"/>
        </w:rPr>
      </w:pPr>
      <w:bookmarkStart w:id="11" w:name="1"/>
      <w:bookmarkStart w:id="12" w:name="QuickMark"/>
      <w:bookmarkEnd w:id="11"/>
      <w:bookmarkEnd w:id="12"/>
      <w:r w:rsidRPr="00B10752">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B10752"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DECEMBER – DÉCEMBRE</w:t>
            </w:r>
          </w:p>
        </w:tc>
      </w:tr>
      <w:tr w:rsidR="00113336" w:rsidRPr="00B10752"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4"/>
                <w:szCs w:val="14"/>
                <w:lang w:val="fr-FR"/>
              </w:rPr>
            </w:pPr>
            <w:r w:rsidRPr="00B10752">
              <w:rPr>
                <w:rFonts w:ascii="Arial" w:hAnsi="Arial" w:cs="Arial"/>
                <w:b/>
                <w:sz w:val="14"/>
                <w:szCs w:val="14"/>
                <w:lang w:val="fr-FR"/>
              </w:rPr>
              <w:t>S</w:t>
            </w:r>
          </w:p>
          <w:p w:rsidR="00113336" w:rsidRPr="00B10752" w:rsidRDefault="00113336" w:rsidP="009B36BA">
            <w:pPr>
              <w:tabs>
                <w:tab w:val="center" w:pos="5220"/>
                <w:tab w:val="right" w:pos="10440"/>
              </w:tabs>
              <w:jc w:val="center"/>
              <w:rPr>
                <w:rFonts w:ascii="Arial" w:hAnsi="Arial" w:cs="Arial"/>
                <w:b/>
                <w:sz w:val="14"/>
                <w:szCs w:val="14"/>
                <w:lang w:val="fr-FR"/>
              </w:rPr>
            </w:pPr>
            <w:r w:rsidRPr="00B10752">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M</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T</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W</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T</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F</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S</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S</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M</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T</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W</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T</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F</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S</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S</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M</w:t>
            </w:r>
          </w:p>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lang w:val="fr-FR"/>
              </w:rPr>
            </w:pPr>
            <w:r w:rsidRPr="00B10752">
              <w:rPr>
                <w:rFonts w:ascii="Arial" w:hAnsi="Arial" w:cs="Arial"/>
                <w:b/>
                <w:sz w:val="13"/>
                <w:szCs w:val="13"/>
                <w:lang w:val="fr-FR"/>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W</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F</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tc>
      </w:tr>
      <w:tr w:rsidR="00113336" w:rsidRPr="00B10752"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10752" w:rsidRDefault="00113336" w:rsidP="00113336">
            <w:pPr>
              <w:jc w:val="center"/>
              <w:rPr>
                <w:rFonts w:ascii="Arial" w:hAnsi="Arial" w:cs="Arial"/>
                <w:sz w:val="13"/>
                <w:szCs w:val="13"/>
              </w:rPr>
            </w:pPr>
            <w:r w:rsidRPr="00B10752">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10752" w:rsidRDefault="00113336" w:rsidP="00113336">
            <w:pPr>
              <w:jc w:val="center"/>
              <w:rPr>
                <w:rFonts w:ascii="Arial" w:hAnsi="Arial" w:cs="Arial"/>
                <w:sz w:val="13"/>
                <w:szCs w:val="13"/>
              </w:rPr>
            </w:pPr>
            <w:r w:rsidRPr="00B10752">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b/>
                <w:sz w:val="13"/>
                <w:szCs w:val="13"/>
              </w:rPr>
              <w:t>CC</w:t>
            </w:r>
            <w:r w:rsidRPr="00B10752">
              <w:rPr>
                <w:rFonts w:ascii="Arial" w:hAnsi="Arial" w:cs="Arial"/>
                <w:sz w:val="13"/>
                <w:szCs w:val="13"/>
              </w:rPr>
              <w:t xml:space="preserve"> </w:t>
            </w:r>
          </w:p>
          <w:p w:rsidR="00113336" w:rsidRPr="00B10752" w:rsidRDefault="00113336" w:rsidP="009B36BA">
            <w:pPr>
              <w:jc w:val="center"/>
              <w:rPr>
                <w:rFonts w:ascii="Arial" w:hAnsi="Arial" w:cs="Arial"/>
                <w:sz w:val="13"/>
                <w:szCs w:val="13"/>
              </w:rPr>
            </w:pPr>
            <w:r w:rsidRPr="00B10752">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5</w:t>
            </w:r>
          </w:p>
        </w:tc>
      </w:tr>
      <w:tr w:rsidR="00113336" w:rsidRPr="00B10752"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B10752" w:rsidRDefault="00113336" w:rsidP="00113336">
            <w:pPr>
              <w:jc w:val="center"/>
              <w:rPr>
                <w:rFonts w:ascii="Arial" w:hAnsi="Arial" w:cs="Arial"/>
                <w:sz w:val="13"/>
                <w:szCs w:val="13"/>
              </w:rPr>
            </w:pPr>
            <w:r w:rsidRPr="00B10752">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B10752" w:rsidRDefault="00113336" w:rsidP="009B36BA">
            <w:pPr>
              <w:jc w:val="center"/>
              <w:rPr>
                <w:rFonts w:ascii="Arial" w:hAnsi="Arial" w:cs="Arial"/>
                <w:b/>
                <w:sz w:val="13"/>
                <w:szCs w:val="13"/>
              </w:rPr>
            </w:pPr>
            <w:r w:rsidRPr="00B10752">
              <w:rPr>
                <w:rFonts w:ascii="Arial" w:hAnsi="Arial" w:cs="Arial"/>
                <w:b/>
                <w:sz w:val="13"/>
                <w:szCs w:val="13"/>
              </w:rPr>
              <w:t>CC</w:t>
            </w:r>
          </w:p>
          <w:p w:rsidR="00113336" w:rsidRPr="00B10752" w:rsidRDefault="00113336" w:rsidP="00113336">
            <w:pPr>
              <w:jc w:val="center"/>
              <w:rPr>
                <w:rFonts w:ascii="Arial" w:hAnsi="Arial" w:cs="Arial"/>
                <w:sz w:val="13"/>
                <w:szCs w:val="13"/>
              </w:rPr>
            </w:pPr>
            <w:r w:rsidRPr="00B10752">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B10752" w:rsidRDefault="00113336" w:rsidP="00113336">
            <w:pPr>
              <w:jc w:val="center"/>
              <w:rPr>
                <w:rFonts w:ascii="Arial" w:hAnsi="Arial" w:cs="Arial"/>
                <w:sz w:val="13"/>
                <w:szCs w:val="13"/>
              </w:rPr>
            </w:pPr>
            <w:r w:rsidRPr="00B10752">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10752" w:rsidRDefault="00113336" w:rsidP="00113336">
            <w:pPr>
              <w:jc w:val="center"/>
              <w:rPr>
                <w:rFonts w:ascii="Arial" w:hAnsi="Arial" w:cs="Arial"/>
                <w:sz w:val="13"/>
                <w:szCs w:val="13"/>
              </w:rPr>
            </w:pPr>
            <w:r w:rsidRPr="00B10752">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B10752" w:rsidRDefault="005B2EA9" w:rsidP="009B36BA">
            <w:pPr>
              <w:jc w:val="center"/>
              <w:rPr>
                <w:rFonts w:ascii="Arial" w:hAnsi="Arial" w:cs="Arial"/>
                <w:b/>
                <w:sz w:val="13"/>
                <w:szCs w:val="13"/>
              </w:rPr>
            </w:pPr>
            <w:r w:rsidRPr="00B10752">
              <w:rPr>
                <w:rFonts w:ascii="Arial" w:hAnsi="Arial" w:cs="Arial"/>
                <w:b/>
                <w:sz w:val="13"/>
                <w:szCs w:val="13"/>
              </w:rPr>
              <w:t>H</w:t>
            </w:r>
          </w:p>
          <w:p w:rsidR="00113336" w:rsidRPr="00B10752" w:rsidRDefault="00113336" w:rsidP="009B36BA">
            <w:pPr>
              <w:jc w:val="center"/>
              <w:rPr>
                <w:rFonts w:ascii="Arial" w:hAnsi="Arial" w:cs="Arial"/>
                <w:sz w:val="13"/>
                <w:szCs w:val="13"/>
              </w:rPr>
            </w:pPr>
            <w:r w:rsidRPr="00B10752">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113336">
            <w:pPr>
              <w:jc w:val="center"/>
              <w:rPr>
                <w:rFonts w:ascii="Arial" w:hAnsi="Arial" w:cs="Arial"/>
                <w:sz w:val="13"/>
                <w:szCs w:val="13"/>
              </w:rPr>
            </w:pPr>
            <w:r w:rsidRPr="00B1075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12</w:t>
            </w:r>
          </w:p>
        </w:tc>
      </w:tr>
      <w:tr w:rsidR="00B4618C" w:rsidRPr="00B10752"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B10752" w:rsidRDefault="00113336" w:rsidP="00113336">
            <w:pPr>
              <w:jc w:val="center"/>
              <w:rPr>
                <w:rFonts w:ascii="Arial" w:hAnsi="Arial" w:cs="Arial"/>
                <w:sz w:val="13"/>
                <w:szCs w:val="13"/>
              </w:rPr>
            </w:pPr>
            <w:r w:rsidRPr="00B10752">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B10752" w:rsidRDefault="00113336" w:rsidP="009B36BA">
            <w:pPr>
              <w:jc w:val="center"/>
              <w:rPr>
                <w:rFonts w:ascii="Arial" w:hAnsi="Arial" w:cs="Arial"/>
                <w:b/>
                <w:sz w:val="13"/>
                <w:szCs w:val="13"/>
              </w:rPr>
            </w:pPr>
            <w:r w:rsidRPr="00B10752">
              <w:rPr>
                <w:rFonts w:ascii="Arial" w:hAnsi="Arial" w:cs="Arial"/>
                <w:b/>
                <w:sz w:val="13"/>
                <w:szCs w:val="13"/>
              </w:rPr>
              <w:t>H</w:t>
            </w:r>
          </w:p>
          <w:p w:rsidR="00113336" w:rsidRPr="00B10752" w:rsidRDefault="00113336" w:rsidP="00113336">
            <w:pPr>
              <w:jc w:val="center"/>
              <w:rPr>
                <w:rFonts w:ascii="Arial" w:hAnsi="Arial" w:cs="Arial"/>
                <w:sz w:val="13"/>
                <w:szCs w:val="13"/>
              </w:rPr>
            </w:pPr>
            <w:r w:rsidRPr="00B10752">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B10752" w:rsidRDefault="00113336" w:rsidP="00113336">
            <w:pPr>
              <w:jc w:val="center"/>
              <w:rPr>
                <w:rFonts w:ascii="Arial" w:hAnsi="Arial" w:cs="Arial"/>
                <w:sz w:val="13"/>
                <w:szCs w:val="13"/>
              </w:rPr>
            </w:pPr>
            <w:r w:rsidRPr="00B10752">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10752" w:rsidRDefault="00113336" w:rsidP="00113336">
            <w:pPr>
              <w:jc w:val="center"/>
              <w:rPr>
                <w:rFonts w:ascii="Arial" w:hAnsi="Arial" w:cs="Arial"/>
                <w:sz w:val="13"/>
                <w:szCs w:val="13"/>
              </w:rPr>
            </w:pPr>
            <w:r w:rsidRPr="00B10752">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19</w:t>
            </w:r>
          </w:p>
        </w:tc>
      </w:tr>
      <w:tr w:rsidR="00113336" w:rsidRPr="00B10752"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10752" w:rsidRDefault="00113336" w:rsidP="00113336">
            <w:pPr>
              <w:jc w:val="center"/>
              <w:rPr>
                <w:rFonts w:ascii="Arial" w:hAnsi="Arial" w:cs="Arial"/>
                <w:sz w:val="13"/>
                <w:szCs w:val="13"/>
              </w:rPr>
            </w:pPr>
            <w:r w:rsidRPr="00B10752">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10752" w:rsidRDefault="00113336" w:rsidP="009B36BA">
            <w:pPr>
              <w:jc w:val="center"/>
              <w:rPr>
                <w:rFonts w:ascii="Arial" w:hAnsi="Arial" w:cs="Arial"/>
                <w:sz w:val="13"/>
                <w:szCs w:val="13"/>
              </w:rPr>
            </w:pPr>
            <w:r w:rsidRPr="00B1075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10752" w:rsidRDefault="00113336" w:rsidP="00113336">
            <w:pPr>
              <w:jc w:val="center"/>
              <w:rPr>
                <w:rFonts w:ascii="Arial" w:hAnsi="Arial" w:cs="Arial"/>
                <w:sz w:val="13"/>
                <w:szCs w:val="13"/>
              </w:rPr>
            </w:pPr>
            <w:r w:rsidRPr="00B10752">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B10752" w:rsidRDefault="00113336" w:rsidP="00113336">
            <w:pPr>
              <w:jc w:val="center"/>
              <w:rPr>
                <w:rFonts w:ascii="Arial" w:hAnsi="Arial" w:cs="Arial"/>
                <w:sz w:val="13"/>
                <w:szCs w:val="13"/>
              </w:rPr>
            </w:pPr>
            <w:r w:rsidRPr="00B10752">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B10752" w:rsidRDefault="005B2EA9" w:rsidP="009B36BA">
            <w:pPr>
              <w:jc w:val="center"/>
              <w:rPr>
                <w:rFonts w:ascii="Arial" w:hAnsi="Arial" w:cs="Arial"/>
                <w:b/>
                <w:sz w:val="13"/>
                <w:szCs w:val="13"/>
              </w:rPr>
            </w:pPr>
            <w:r w:rsidRPr="00B10752">
              <w:rPr>
                <w:rFonts w:ascii="Arial" w:hAnsi="Arial" w:cs="Arial"/>
                <w:b/>
                <w:sz w:val="13"/>
                <w:szCs w:val="13"/>
              </w:rPr>
              <w:t>H</w:t>
            </w:r>
          </w:p>
          <w:p w:rsidR="00113336" w:rsidRPr="00B10752" w:rsidRDefault="005B2EA9" w:rsidP="009B36BA">
            <w:pPr>
              <w:jc w:val="center"/>
              <w:rPr>
                <w:rFonts w:ascii="Arial" w:hAnsi="Arial" w:cs="Arial"/>
                <w:sz w:val="13"/>
                <w:szCs w:val="13"/>
              </w:rPr>
            </w:pPr>
            <w:r w:rsidRPr="00B10752">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26</w:t>
            </w:r>
          </w:p>
        </w:tc>
      </w:tr>
      <w:tr w:rsidR="00113336" w:rsidRPr="00B10752"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B10752" w:rsidRDefault="00113336" w:rsidP="00113336">
            <w:pPr>
              <w:jc w:val="center"/>
              <w:rPr>
                <w:rFonts w:ascii="Arial" w:hAnsi="Arial" w:cs="Arial"/>
                <w:sz w:val="13"/>
                <w:szCs w:val="13"/>
              </w:rPr>
            </w:pPr>
            <w:r w:rsidRPr="00B10752">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B10752" w:rsidRDefault="00113336" w:rsidP="00113336">
            <w:pPr>
              <w:jc w:val="center"/>
              <w:rPr>
                <w:rFonts w:ascii="Arial" w:hAnsi="Arial" w:cs="Arial"/>
                <w:sz w:val="13"/>
                <w:szCs w:val="13"/>
              </w:rPr>
            </w:pPr>
            <w:r w:rsidRPr="00B10752">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r w:rsidRPr="00B10752">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B10752" w:rsidRDefault="005B2EA9" w:rsidP="009B36BA">
            <w:pPr>
              <w:jc w:val="center"/>
              <w:rPr>
                <w:rFonts w:ascii="Arial" w:hAnsi="Arial" w:cs="Arial"/>
                <w:sz w:val="13"/>
                <w:szCs w:val="13"/>
              </w:rPr>
            </w:pPr>
            <w:r w:rsidRPr="00B10752">
              <w:rPr>
                <w:rFonts w:ascii="Arial" w:hAnsi="Arial" w:cs="Arial"/>
                <w:b/>
                <w:sz w:val="13"/>
                <w:szCs w:val="13"/>
              </w:rPr>
              <w:t>CC</w:t>
            </w:r>
          </w:p>
          <w:p w:rsidR="00113336" w:rsidRPr="00B10752" w:rsidRDefault="00113336" w:rsidP="009B36BA">
            <w:pPr>
              <w:jc w:val="center"/>
              <w:rPr>
                <w:rFonts w:ascii="Arial" w:hAnsi="Arial" w:cs="Arial"/>
                <w:sz w:val="13"/>
                <w:szCs w:val="13"/>
              </w:rPr>
            </w:pPr>
            <w:r w:rsidRPr="00B10752">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B10752" w:rsidRDefault="005B2EA9" w:rsidP="009B36BA">
            <w:pPr>
              <w:jc w:val="center"/>
              <w:rPr>
                <w:rFonts w:ascii="Arial" w:hAnsi="Arial" w:cs="Arial"/>
                <w:b/>
                <w:sz w:val="13"/>
                <w:szCs w:val="13"/>
              </w:rPr>
            </w:pPr>
            <w:r w:rsidRPr="00B10752">
              <w:rPr>
                <w:rFonts w:ascii="Arial" w:hAnsi="Arial" w:cs="Arial"/>
                <w:b/>
                <w:sz w:val="13"/>
                <w:szCs w:val="13"/>
              </w:rPr>
              <w:t>H</w:t>
            </w:r>
          </w:p>
          <w:p w:rsidR="00113336" w:rsidRPr="00B10752" w:rsidRDefault="005B2EA9" w:rsidP="009B36BA">
            <w:pPr>
              <w:jc w:val="center"/>
              <w:rPr>
                <w:rFonts w:ascii="Arial" w:hAnsi="Arial" w:cs="Arial"/>
                <w:sz w:val="13"/>
                <w:szCs w:val="13"/>
              </w:rPr>
            </w:pPr>
            <w:r w:rsidRPr="00B10752">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r>
    </w:tbl>
    <w:p w:rsidR="00113336" w:rsidRPr="00B10752" w:rsidRDefault="00113336" w:rsidP="00113336">
      <w:pPr>
        <w:tabs>
          <w:tab w:val="center" w:pos="5220"/>
          <w:tab w:val="right" w:pos="10440"/>
        </w:tabs>
        <w:jc w:val="center"/>
        <w:rPr>
          <w:rFonts w:ascii="Arial" w:hAnsi="Arial" w:cs="Arial"/>
          <w:sz w:val="22"/>
        </w:rPr>
      </w:pPr>
      <w:r w:rsidRPr="00B10752">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B10752"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MARCH – MARS</w:t>
            </w:r>
          </w:p>
        </w:tc>
      </w:tr>
      <w:tr w:rsidR="00113336" w:rsidRPr="00B10752"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W</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F</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W</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F</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W</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F</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tc>
      </w:tr>
      <w:tr w:rsidR="00113336" w:rsidRPr="00B10752"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B10752" w:rsidRDefault="005B2EA9" w:rsidP="009B36BA">
            <w:pPr>
              <w:jc w:val="center"/>
              <w:rPr>
                <w:rFonts w:ascii="Arial" w:hAnsi="Arial" w:cs="Arial"/>
                <w:b/>
                <w:sz w:val="13"/>
                <w:szCs w:val="13"/>
              </w:rPr>
            </w:pPr>
            <w:r w:rsidRPr="00B10752">
              <w:rPr>
                <w:rFonts w:ascii="Arial" w:hAnsi="Arial" w:cs="Arial"/>
                <w:b/>
                <w:sz w:val="13"/>
                <w:szCs w:val="13"/>
              </w:rPr>
              <w:t>H</w:t>
            </w:r>
          </w:p>
          <w:p w:rsidR="00113336" w:rsidRPr="00B10752" w:rsidRDefault="005B2EA9" w:rsidP="009B36BA">
            <w:pPr>
              <w:jc w:val="center"/>
              <w:rPr>
                <w:rFonts w:ascii="Arial" w:hAnsi="Arial" w:cs="Arial"/>
                <w:sz w:val="13"/>
                <w:szCs w:val="13"/>
              </w:rPr>
            </w:pPr>
            <w:r w:rsidRPr="00B10752">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6</w:t>
            </w:r>
          </w:p>
        </w:tc>
      </w:tr>
      <w:tr w:rsidR="00113336" w:rsidRPr="00B10752"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B10752" w:rsidRDefault="005B2EA9" w:rsidP="009B36BA">
            <w:pPr>
              <w:jc w:val="center"/>
              <w:rPr>
                <w:rFonts w:ascii="Arial" w:hAnsi="Arial" w:cs="Arial"/>
                <w:b/>
                <w:sz w:val="13"/>
                <w:szCs w:val="13"/>
              </w:rPr>
            </w:pPr>
            <w:r w:rsidRPr="00B10752">
              <w:rPr>
                <w:rFonts w:ascii="Arial" w:hAnsi="Arial" w:cs="Arial"/>
                <w:b/>
                <w:sz w:val="13"/>
                <w:szCs w:val="13"/>
              </w:rPr>
              <w:t>CC</w:t>
            </w:r>
          </w:p>
          <w:p w:rsidR="00113336" w:rsidRPr="00B10752" w:rsidRDefault="005B2EA9" w:rsidP="009B36BA">
            <w:pPr>
              <w:jc w:val="center"/>
              <w:rPr>
                <w:rFonts w:ascii="Arial" w:hAnsi="Arial" w:cs="Arial"/>
                <w:sz w:val="13"/>
                <w:szCs w:val="13"/>
              </w:rPr>
            </w:pPr>
            <w:r w:rsidRPr="00B10752">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13</w:t>
            </w:r>
          </w:p>
        </w:tc>
      </w:tr>
      <w:tr w:rsidR="00113336" w:rsidRPr="00B10752"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B10752" w:rsidRDefault="005B2EA9" w:rsidP="009B36BA">
            <w:pPr>
              <w:jc w:val="center"/>
              <w:rPr>
                <w:rFonts w:ascii="Arial" w:hAnsi="Arial" w:cs="Arial"/>
                <w:b/>
                <w:sz w:val="13"/>
                <w:szCs w:val="13"/>
              </w:rPr>
            </w:pPr>
            <w:r w:rsidRPr="00B10752">
              <w:rPr>
                <w:rFonts w:ascii="Arial" w:hAnsi="Arial" w:cs="Arial"/>
                <w:b/>
                <w:sz w:val="13"/>
                <w:szCs w:val="13"/>
              </w:rPr>
              <w:t>CC</w:t>
            </w:r>
          </w:p>
          <w:p w:rsidR="00113336" w:rsidRPr="00B10752" w:rsidRDefault="005B2EA9" w:rsidP="009B36BA">
            <w:pPr>
              <w:jc w:val="center"/>
              <w:rPr>
                <w:rFonts w:ascii="Arial" w:hAnsi="Arial" w:cs="Arial"/>
                <w:sz w:val="13"/>
                <w:szCs w:val="13"/>
              </w:rPr>
            </w:pPr>
            <w:r w:rsidRPr="00B10752">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10752" w:rsidRDefault="00D04577" w:rsidP="009B36BA">
            <w:pPr>
              <w:jc w:val="center"/>
              <w:rPr>
                <w:rFonts w:ascii="Arial" w:hAnsi="Arial" w:cs="Arial"/>
                <w:b/>
                <w:sz w:val="13"/>
                <w:szCs w:val="13"/>
              </w:rPr>
            </w:pPr>
            <w:r w:rsidRPr="00B10752">
              <w:rPr>
                <w:rFonts w:ascii="Arial" w:hAnsi="Arial" w:cs="Arial"/>
                <w:b/>
                <w:sz w:val="13"/>
                <w:szCs w:val="13"/>
              </w:rPr>
              <w:t>CC</w:t>
            </w:r>
          </w:p>
          <w:p w:rsidR="00113336" w:rsidRPr="00B10752" w:rsidRDefault="00D04577" w:rsidP="009B36BA">
            <w:pPr>
              <w:jc w:val="center"/>
              <w:rPr>
                <w:rFonts w:ascii="Arial" w:hAnsi="Arial" w:cs="Arial"/>
                <w:sz w:val="13"/>
                <w:szCs w:val="13"/>
              </w:rPr>
            </w:pPr>
            <w:r w:rsidRPr="00B10752">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20</w:t>
            </w:r>
          </w:p>
        </w:tc>
      </w:tr>
      <w:tr w:rsidR="00113336" w:rsidRPr="00B10752"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27</w:t>
            </w:r>
          </w:p>
        </w:tc>
      </w:tr>
      <w:tr w:rsidR="00113336" w:rsidRPr="00B10752"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B10752" w:rsidRDefault="005B2EA9" w:rsidP="005B2EA9">
            <w:pPr>
              <w:rPr>
                <w:rFonts w:ascii="Arial" w:hAnsi="Arial" w:cs="Arial"/>
                <w:sz w:val="13"/>
                <w:szCs w:val="13"/>
              </w:rPr>
            </w:pPr>
            <w:r w:rsidRPr="00B10752">
              <w:rPr>
                <w:rFonts w:ascii="Arial" w:hAnsi="Arial" w:cs="Arial"/>
                <w:sz w:val="13"/>
                <w:szCs w:val="13"/>
              </w:rPr>
              <w:t xml:space="preserve">24 </w:t>
            </w:r>
            <w:r w:rsidRPr="00B10752">
              <w:rPr>
                <w:rFonts w:ascii="Arial" w:hAnsi="Arial" w:cs="Arial"/>
                <w:sz w:val="13"/>
                <w:szCs w:val="13"/>
                <w:lang w:val="en-US"/>
              </w:rPr>
              <w:t>/</w:t>
            </w:r>
          </w:p>
          <w:p w:rsidR="00113336" w:rsidRPr="00B10752" w:rsidRDefault="005B2EA9" w:rsidP="005B2EA9">
            <w:pPr>
              <w:jc w:val="center"/>
              <w:rPr>
                <w:rFonts w:ascii="Arial" w:hAnsi="Arial" w:cs="Arial"/>
                <w:sz w:val="13"/>
                <w:szCs w:val="13"/>
              </w:rPr>
            </w:pPr>
            <w:r w:rsidRPr="00B10752">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10752" w:rsidRDefault="005B2EA9" w:rsidP="009B36BA">
            <w:pPr>
              <w:jc w:val="center"/>
              <w:rPr>
                <w:rFonts w:ascii="Arial" w:hAnsi="Arial" w:cs="Arial"/>
                <w:sz w:val="13"/>
                <w:szCs w:val="13"/>
              </w:rPr>
            </w:pPr>
            <w:r w:rsidRPr="00B10752">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r>
      <w:tr w:rsidR="00113336" w:rsidRPr="00B10752"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JUNE – JUIN</w:t>
            </w:r>
          </w:p>
        </w:tc>
      </w:tr>
      <w:tr w:rsidR="00113336" w:rsidRPr="00B10752"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W</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F</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W</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F</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W</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F</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tc>
      </w:tr>
      <w:tr w:rsidR="00113336" w:rsidRPr="00B10752"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B10752" w:rsidRDefault="00D04577" w:rsidP="009B36BA">
            <w:pPr>
              <w:jc w:val="center"/>
              <w:rPr>
                <w:rFonts w:ascii="Arial" w:hAnsi="Arial" w:cs="Arial"/>
                <w:b/>
                <w:sz w:val="13"/>
                <w:szCs w:val="13"/>
              </w:rPr>
            </w:pPr>
            <w:r w:rsidRPr="00B10752">
              <w:rPr>
                <w:rFonts w:ascii="Arial" w:hAnsi="Arial" w:cs="Arial"/>
                <w:b/>
                <w:sz w:val="13"/>
                <w:szCs w:val="13"/>
              </w:rPr>
              <w:t>H</w:t>
            </w:r>
          </w:p>
          <w:p w:rsidR="00113336" w:rsidRPr="00B10752" w:rsidRDefault="00D04577" w:rsidP="009B36BA">
            <w:pPr>
              <w:jc w:val="center"/>
              <w:rPr>
                <w:rFonts w:ascii="Arial" w:hAnsi="Arial" w:cs="Arial"/>
                <w:sz w:val="13"/>
                <w:szCs w:val="13"/>
              </w:rPr>
            </w:pPr>
            <w:r w:rsidRPr="00B10752">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5</w:t>
            </w:r>
          </w:p>
        </w:tc>
      </w:tr>
      <w:tr w:rsidR="00113336" w:rsidRPr="00B10752"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B10752" w:rsidRDefault="00D04577" w:rsidP="009B36BA">
            <w:pPr>
              <w:jc w:val="center"/>
              <w:rPr>
                <w:rFonts w:ascii="Arial" w:hAnsi="Arial" w:cs="Arial"/>
                <w:b/>
                <w:sz w:val="13"/>
                <w:szCs w:val="13"/>
              </w:rPr>
            </w:pPr>
            <w:r w:rsidRPr="00B10752">
              <w:rPr>
                <w:rFonts w:ascii="Arial" w:hAnsi="Arial" w:cs="Arial"/>
                <w:b/>
                <w:sz w:val="13"/>
                <w:szCs w:val="13"/>
              </w:rPr>
              <w:t>H</w:t>
            </w:r>
          </w:p>
          <w:p w:rsidR="00113336" w:rsidRPr="00B10752" w:rsidRDefault="00D04577" w:rsidP="009B36BA">
            <w:pPr>
              <w:jc w:val="center"/>
              <w:rPr>
                <w:rFonts w:ascii="Arial" w:hAnsi="Arial" w:cs="Arial"/>
                <w:sz w:val="13"/>
                <w:szCs w:val="13"/>
              </w:rPr>
            </w:pPr>
            <w:r w:rsidRPr="00B10752">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10752" w:rsidRDefault="00D04577" w:rsidP="009B36BA">
            <w:pPr>
              <w:jc w:val="center"/>
              <w:rPr>
                <w:rFonts w:ascii="Arial" w:hAnsi="Arial" w:cs="Arial"/>
                <w:b/>
                <w:sz w:val="13"/>
                <w:szCs w:val="13"/>
              </w:rPr>
            </w:pPr>
            <w:r w:rsidRPr="00B10752">
              <w:rPr>
                <w:rFonts w:ascii="Arial" w:hAnsi="Arial" w:cs="Arial"/>
                <w:b/>
                <w:sz w:val="13"/>
                <w:szCs w:val="13"/>
              </w:rPr>
              <w:t>CC</w:t>
            </w:r>
          </w:p>
          <w:p w:rsidR="00113336" w:rsidRPr="00B10752" w:rsidRDefault="00D04577" w:rsidP="009B36BA">
            <w:pPr>
              <w:jc w:val="center"/>
              <w:rPr>
                <w:rFonts w:ascii="Arial" w:hAnsi="Arial" w:cs="Arial"/>
                <w:sz w:val="13"/>
                <w:szCs w:val="13"/>
              </w:rPr>
            </w:pPr>
            <w:r w:rsidRPr="00B10752">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12</w:t>
            </w:r>
          </w:p>
        </w:tc>
      </w:tr>
      <w:tr w:rsidR="00113336" w:rsidRPr="00B10752"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B10752" w:rsidRDefault="00D04577" w:rsidP="009B36BA">
            <w:pPr>
              <w:jc w:val="center"/>
              <w:rPr>
                <w:rFonts w:ascii="Arial" w:hAnsi="Arial" w:cs="Arial"/>
                <w:b/>
                <w:sz w:val="13"/>
                <w:szCs w:val="13"/>
              </w:rPr>
            </w:pPr>
            <w:r w:rsidRPr="00B10752">
              <w:rPr>
                <w:rFonts w:ascii="Arial" w:hAnsi="Arial" w:cs="Arial"/>
                <w:b/>
                <w:sz w:val="13"/>
                <w:szCs w:val="13"/>
              </w:rPr>
              <w:t>CC</w:t>
            </w:r>
          </w:p>
          <w:p w:rsidR="00113336" w:rsidRPr="00B10752" w:rsidRDefault="00D04577" w:rsidP="009B36BA">
            <w:pPr>
              <w:jc w:val="center"/>
              <w:rPr>
                <w:rFonts w:ascii="Arial" w:hAnsi="Arial" w:cs="Arial"/>
                <w:sz w:val="13"/>
                <w:szCs w:val="13"/>
              </w:rPr>
            </w:pPr>
            <w:r w:rsidRPr="00B10752">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B10752" w:rsidRDefault="00D04577" w:rsidP="009B36BA">
            <w:pPr>
              <w:jc w:val="center"/>
              <w:rPr>
                <w:rFonts w:ascii="Arial" w:hAnsi="Arial" w:cs="Arial"/>
                <w:b/>
                <w:sz w:val="13"/>
                <w:szCs w:val="13"/>
              </w:rPr>
            </w:pPr>
            <w:r w:rsidRPr="00B10752">
              <w:rPr>
                <w:rFonts w:ascii="Arial" w:hAnsi="Arial" w:cs="Arial"/>
                <w:b/>
                <w:sz w:val="13"/>
                <w:szCs w:val="13"/>
              </w:rPr>
              <w:t>CC</w:t>
            </w:r>
          </w:p>
          <w:p w:rsidR="00113336" w:rsidRPr="00B10752" w:rsidRDefault="00D04577" w:rsidP="009B36BA">
            <w:pPr>
              <w:jc w:val="center"/>
              <w:rPr>
                <w:rFonts w:ascii="Arial" w:hAnsi="Arial" w:cs="Arial"/>
                <w:sz w:val="13"/>
                <w:szCs w:val="13"/>
              </w:rPr>
            </w:pPr>
            <w:r w:rsidRPr="00B1075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19</w:t>
            </w:r>
          </w:p>
        </w:tc>
      </w:tr>
      <w:tr w:rsidR="00113336" w:rsidRPr="00B10752"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26</w:t>
            </w:r>
          </w:p>
        </w:tc>
      </w:tr>
      <w:tr w:rsidR="00113336" w:rsidRPr="00B10752"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B10752" w:rsidRDefault="00D04577" w:rsidP="00D04577">
            <w:pPr>
              <w:jc w:val="center"/>
              <w:rPr>
                <w:rFonts w:ascii="Arial" w:hAnsi="Arial" w:cs="Arial"/>
                <w:b/>
                <w:sz w:val="13"/>
                <w:szCs w:val="13"/>
              </w:rPr>
            </w:pPr>
            <w:r w:rsidRPr="00B10752">
              <w:rPr>
                <w:rFonts w:ascii="Arial" w:hAnsi="Arial" w:cs="Arial"/>
                <w:b/>
                <w:sz w:val="13"/>
                <w:szCs w:val="13"/>
              </w:rPr>
              <w:t>H</w:t>
            </w:r>
          </w:p>
          <w:p w:rsidR="00113336" w:rsidRPr="00B10752" w:rsidRDefault="00D04577" w:rsidP="00D04577">
            <w:pPr>
              <w:jc w:val="center"/>
              <w:rPr>
                <w:rFonts w:ascii="Arial" w:hAnsi="Arial" w:cs="Arial"/>
                <w:sz w:val="13"/>
                <w:szCs w:val="13"/>
              </w:rPr>
            </w:pPr>
            <w:r w:rsidRPr="00B10752">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10752" w:rsidRDefault="00D04577" w:rsidP="00D04577">
            <w:pPr>
              <w:jc w:val="center"/>
              <w:rPr>
                <w:rFonts w:ascii="Arial" w:hAnsi="Arial" w:cs="Arial"/>
                <w:sz w:val="13"/>
                <w:szCs w:val="13"/>
              </w:rPr>
            </w:pPr>
            <w:r w:rsidRPr="00B10752">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D04577" w:rsidP="009B36BA">
            <w:pPr>
              <w:jc w:val="center"/>
              <w:rPr>
                <w:rFonts w:ascii="Arial" w:hAnsi="Arial" w:cs="Arial"/>
                <w:sz w:val="13"/>
                <w:szCs w:val="13"/>
              </w:rPr>
            </w:pPr>
            <w:r w:rsidRPr="00B10752">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r>
      <w:tr w:rsidR="00D04577" w:rsidRPr="00B10752"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10752"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10752"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B10752"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10752" w:rsidRDefault="00D04577" w:rsidP="00D04577">
            <w:pPr>
              <w:jc w:val="center"/>
              <w:rPr>
                <w:rFonts w:ascii="Arial" w:hAnsi="Arial" w:cs="Arial"/>
                <w:sz w:val="13"/>
                <w:szCs w:val="13"/>
              </w:rPr>
            </w:pPr>
            <w:r w:rsidRPr="00B10752">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B10752" w:rsidRDefault="00D04577" w:rsidP="00D04577">
            <w:pPr>
              <w:jc w:val="center"/>
              <w:rPr>
                <w:rFonts w:ascii="Arial" w:hAnsi="Arial" w:cs="Arial"/>
                <w:sz w:val="13"/>
                <w:szCs w:val="13"/>
              </w:rPr>
            </w:pPr>
            <w:r w:rsidRPr="00B10752">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10752"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B10752"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B1075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B10752"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B10752" w:rsidRDefault="00D04577" w:rsidP="009B36BA">
            <w:pPr>
              <w:jc w:val="center"/>
              <w:rPr>
                <w:rFonts w:ascii="Arial" w:hAnsi="Arial" w:cs="Arial"/>
                <w:sz w:val="13"/>
                <w:szCs w:val="13"/>
              </w:rPr>
            </w:pPr>
          </w:p>
        </w:tc>
      </w:tr>
      <w:tr w:rsidR="00113336" w:rsidRPr="00B10752"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SEPTEMBER – SEPTEMBRE</w:t>
            </w:r>
          </w:p>
        </w:tc>
      </w:tr>
      <w:tr w:rsidR="00113336" w:rsidRPr="00B10752"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6"/>
                <w:szCs w:val="16"/>
              </w:rPr>
            </w:pPr>
            <w:r w:rsidRPr="00B1075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W</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F</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W</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F</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B10752"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W</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T</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F</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p w:rsidR="00113336" w:rsidRPr="00B10752" w:rsidRDefault="00113336" w:rsidP="009B36BA">
            <w:pPr>
              <w:tabs>
                <w:tab w:val="center" w:pos="5220"/>
                <w:tab w:val="right" w:pos="10440"/>
              </w:tabs>
              <w:jc w:val="center"/>
              <w:rPr>
                <w:rFonts w:ascii="Arial" w:hAnsi="Arial" w:cs="Arial"/>
                <w:b/>
                <w:sz w:val="13"/>
                <w:szCs w:val="13"/>
              </w:rPr>
            </w:pPr>
            <w:r w:rsidRPr="00B10752">
              <w:rPr>
                <w:rFonts w:ascii="Arial" w:hAnsi="Arial" w:cs="Arial"/>
                <w:b/>
                <w:sz w:val="13"/>
                <w:szCs w:val="13"/>
              </w:rPr>
              <w:t>S</w:t>
            </w:r>
          </w:p>
        </w:tc>
      </w:tr>
      <w:tr w:rsidR="00113336" w:rsidRPr="00B10752"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10752" w:rsidRDefault="00A067B5" w:rsidP="009B36BA">
            <w:pPr>
              <w:jc w:val="center"/>
              <w:rPr>
                <w:rFonts w:ascii="Arial" w:hAnsi="Arial" w:cs="Arial"/>
                <w:b/>
                <w:sz w:val="13"/>
                <w:szCs w:val="13"/>
              </w:rPr>
            </w:pPr>
            <w:r w:rsidRPr="00B10752">
              <w:rPr>
                <w:rFonts w:ascii="Arial" w:hAnsi="Arial" w:cs="Arial"/>
                <w:b/>
                <w:sz w:val="13"/>
                <w:szCs w:val="13"/>
              </w:rPr>
              <w:t>H</w:t>
            </w:r>
          </w:p>
          <w:p w:rsidR="00113336" w:rsidRPr="00B10752" w:rsidRDefault="00A067B5" w:rsidP="009B36BA">
            <w:pPr>
              <w:jc w:val="center"/>
              <w:rPr>
                <w:rFonts w:ascii="Arial" w:hAnsi="Arial" w:cs="Arial"/>
                <w:sz w:val="13"/>
                <w:szCs w:val="13"/>
              </w:rPr>
            </w:pPr>
            <w:r w:rsidRPr="00B10752">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10752" w:rsidRDefault="00A067B5" w:rsidP="009B36BA">
            <w:pPr>
              <w:jc w:val="center"/>
              <w:rPr>
                <w:rFonts w:ascii="Arial" w:hAnsi="Arial" w:cs="Arial"/>
                <w:b/>
                <w:sz w:val="13"/>
                <w:szCs w:val="13"/>
              </w:rPr>
            </w:pPr>
            <w:r w:rsidRPr="00B10752">
              <w:rPr>
                <w:rFonts w:ascii="Arial" w:hAnsi="Arial" w:cs="Arial"/>
                <w:b/>
                <w:sz w:val="13"/>
                <w:szCs w:val="13"/>
              </w:rPr>
              <w:t>H</w:t>
            </w:r>
          </w:p>
          <w:p w:rsidR="00113336" w:rsidRPr="00B10752" w:rsidRDefault="00A067B5" w:rsidP="009B36BA">
            <w:pPr>
              <w:jc w:val="center"/>
              <w:rPr>
                <w:rFonts w:ascii="Arial" w:hAnsi="Arial" w:cs="Arial"/>
                <w:sz w:val="13"/>
                <w:szCs w:val="13"/>
              </w:rPr>
            </w:pPr>
            <w:r w:rsidRPr="00B10752">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4</w:t>
            </w:r>
          </w:p>
        </w:tc>
      </w:tr>
      <w:tr w:rsidR="00113336" w:rsidRPr="00B10752"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B10752" w:rsidRDefault="00A067B5" w:rsidP="009B36BA">
            <w:pPr>
              <w:jc w:val="center"/>
              <w:rPr>
                <w:rFonts w:ascii="Arial" w:hAnsi="Arial" w:cs="Arial"/>
                <w:b/>
                <w:sz w:val="13"/>
                <w:szCs w:val="13"/>
              </w:rPr>
            </w:pPr>
            <w:r w:rsidRPr="00B10752">
              <w:rPr>
                <w:rFonts w:ascii="Arial" w:hAnsi="Arial" w:cs="Arial"/>
                <w:b/>
                <w:sz w:val="13"/>
                <w:szCs w:val="13"/>
              </w:rPr>
              <w:t>H</w:t>
            </w:r>
          </w:p>
          <w:p w:rsidR="00113336" w:rsidRPr="00B10752" w:rsidRDefault="00A067B5" w:rsidP="009B36BA">
            <w:pPr>
              <w:jc w:val="center"/>
              <w:rPr>
                <w:rFonts w:ascii="Arial" w:hAnsi="Arial" w:cs="Arial"/>
                <w:sz w:val="13"/>
                <w:szCs w:val="13"/>
              </w:rPr>
            </w:pPr>
            <w:r w:rsidRPr="00B10752">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10752" w:rsidRDefault="00A067B5" w:rsidP="009B36BA">
            <w:pPr>
              <w:jc w:val="center"/>
              <w:rPr>
                <w:rFonts w:ascii="Arial" w:hAnsi="Arial" w:cs="Arial"/>
                <w:b/>
                <w:sz w:val="13"/>
                <w:szCs w:val="13"/>
              </w:rPr>
            </w:pPr>
            <w:r w:rsidRPr="00B10752">
              <w:rPr>
                <w:rFonts w:ascii="Arial" w:hAnsi="Arial" w:cs="Arial"/>
                <w:b/>
                <w:sz w:val="13"/>
                <w:szCs w:val="13"/>
              </w:rPr>
              <w:t>RH</w:t>
            </w:r>
          </w:p>
          <w:p w:rsidR="00113336" w:rsidRPr="00B10752" w:rsidRDefault="00A067B5" w:rsidP="009B36BA">
            <w:pPr>
              <w:jc w:val="center"/>
              <w:rPr>
                <w:rFonts w:ascii="Arial" w:hAnsi="Arial" w:cs="Arial"/>
                <w:sz w:val="13"/>
                <w:szCs w:val="13"/>
              </w:rPr>
            </w:pPr>
            <w:r w:rsidRPr="00B10752">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10752" w:rsidRDefault="00A067B5" w:rsidP="009B36BA">
            <w:pPr>
              <w:jc w:val="center"/>
              <w:rPr>
                <w:rFonts w:ascii="Arial" w:hAnsi="Arial" w:cs="Arial"/>
                <w:b/>
                <w:sz w:val="13"/>
                <w:szCs w:val="13"/>
              </w:rPr>
            </w:pPr>
            <w:r w:rsidRPr="00B10752">
              <w:rPr>
                <w:rFonts w:ascii="Arial" w:hAnsi="Arial" w:cs="Arial"/>
                <w:b/>
                <w:sz w:val="13"/>
                <w:szCs w:val="13"/>
              </w:rPr>
              <w:t>RH</w:t>
            </w:r>
          </w:p>
          <w:p w:rsidR="00113336" w:rsidRPr="00B10752" w:rsidRDefault="00A067B5" w:rsidP="009B36BA">
            <w:pPr>
              <w:jc w:val="center"/>
              <w:rPr>
                <w:rFonts w:ascii="Arial" w:hAnsi="Arial" w:cs="Arial"/>
                <w:sz w:val="13"/>
                <w:szCs w:val="13"/>
              </w:rPr>
            </w:pPr>
            <w:r w:rsidRPr="00B10752">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11</w:t>
            </w:r>
          </w:p>
        </w:tc>
      </w:tr>
      <w:tr w:rsidR="00113336" w:rsidRPr="00B10752"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B10752" w:rsidRDefault="00A067B5" w:rsidP="009B36BA">
            <w:pPr>
              <w:jc w:val="center"/>
              <w:rPr>
                <w:rFonts w:ascii="Arial" w:hAnsi="Arial" w:cs="Arial"/>
                <w:b/>
                <w:sz w:val="13"/>
                <w:szCs w:val="13"/>
              </w:rPr>
            </w:pPr>
            <w:r w:rsidRPr="00B10752">
              <w:rPr>
                <w:rFonts w:ascii="Arial" w:hAnsi="Arial" w:cs="Arial"/>
                <w:b/>
                <w:sz w:val="13"/>
                <w:szCs w:val="13"/>
              </w:rPr>
              <w:t>YK</w:t>
            </w:r>
          </w:p>
          <w:p w:rsidR="00113336" w:rsidRPr="00B10752" w:rsidRDefault="00A067B5" w:rsidP="009B36BA">
            <w:pPr>
              <w:jc w:val="center"/>
              <w:rPr>
                <w:rFonts w:ascii="Arial" w:hAnsi="Arial" w:cs="Arial"/>
                <w:sz w:val="13"/>
                <w:szCs w:val="13"/>
              </w:rPr>
            </w:pPr>
            <w:r w:rsidRPr="00B10752">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18</w:t>
            </w:r>
          </w:p>
        </w:tc>
      </w:tr>
      <w:tr w:rsidR="00113336" w:rsidRPr="00B10752"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25</w:t>
            </w:r>
          </w:p>
        </w:tc>
      </w:tr>
      <w:tr w:rsidR="00113336" w:rsidRPr="00B10752"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10752" w:rsidRDefault="00A067B5" w:rsidP="00A067B5">
            <w:pPr>
              <w:jc w:val="center"/>
              <w:rPr>
                <w:rFonts w:ascii="Arial" w:hAnsi="Arial" w:cs="Arial"/>
                <w:sz w:val="13"/>
                <w:szCs w:val="13"/>
              </w:rPr>
            </w:pPr>
            <w:r w:rsidRPr="00B10752">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A067B5">
            <w:pPr>
              <w:jc w:val="center"/>
              <w:rPr>
                <w:rFonts w:ascii="Arial" w:hAnsi="Arial" w:cs="Arial"/>
                <w:sz w:val="13"/>
                <w:szCs w:val="13"/>
              </w:rPr>
            </w:pPr>
            <w:r w:rsidRPr="00B10752">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A067B5">
            <w:pPr>
              <w:jc w:val="center"/>
              <w:rPr>
                <w:rFonts w:ascii="Arial" w:hAnsi="Arial" w:cs="Arial"/>
                <w:sz w:val="13"/>
                <w:szCs w:val="13"/>
              </w:rPr>
            </w:pPr>
            <w:r w:rsidRPr="00B10752">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10752"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B1075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A067B5" w:rsidP="009B36BA">
            <w:pPr>
              <w:jc w:val="center"/>
              <w:rPr>
                <w:rFonts w:ascii="Arial" w:hAnsi="Arial" w:cs="Arial"/>
                <w:sz w:val="13"/>
                <w:szCs w:val="13"/>
              </w:rPr>
            </w:pPr>
            <w:r w:rsidRPr="00B1075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B10752" w:rsidRDefault="00113336" w:rsidP="009B36BA">
            <w:pPr>
              <w:jc w:val="center"/>
              <w:rPr>
                <w:rFonts w:ascii="Arial" w:hAnsi="Arial" w:cs="Arial"/>
                <w:sz w:val="13"/>
                <w:szCs w:val="13"/>
              </w:rPr>
            </w:pPr>
          </w:p>
        </w:tc>
      </w:tr>
    </w:tbl>
    <w:p w:rsidR="00113336" w:rsidRPr="00B10752"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B10752" w:rsidTr="00B4618C">
        <w:trPr>
          <w:trHeight w:val="445"/>
        </w:trPr>
        <w:tc>
          <w:tcPr>
            <w:tcW w:w="1890" w:type="dxa"/>
            <w:tcBorders>
              <w:top w:val="nil"/>
              <w:left w:val="nil"/>
              <w:bottom w:val="nil"/>
              <w:right w:val="single" w:sz="4" w:space="0" w:color="000000" w:themeColor="text1"/>
            </w:tcBorders>
            <w:vAlign w:val="center"/>
            <w:hideMark/>
          </w:tcPr>
          <w:p w:rsidR="00113336" w:rsidRPr="00B10752" w:rsidRDefault="00113336" w:rsidP="009B36BA">
            <w:pPr>
              <w:rPr>
                <w:rFonts w:ascii="Arial" w:hAnsi="Arial" w:cs="Arial"/>
                <w:b/>
                <w:sz w:val="13"/>
                <w:szCs w:val="13"/>
              </w:rPr>
            </w:pPr>
            <w:r w:rsidRPr="00B10752">
              <w:rPr>
                <w:rFonts w:ascii="Arial" w:hAnsi="Arial" w:cs="Arial"/>
                <w:b/>
                <w:sz w:val="13"/>
                <w:szCs w:val="13"/>
              </w:rPr>
              <w:t>Sitting of the Court /</w:t>
            </w:r>
          </w:p>
          <w:p w:rsidR="00113336" w:rsidRPr="00B10752" w:rsidRDefault="00113336" w:rsidP="009B36BA">
            <w:pPr>
              <w:rPr>
                <w:rFonts w:ascii="Arial" w:hAnsi="Arial" w:cs="Arial"/>
                <w:b/>
                <w:sz w:val="13"/>
                <w:szCs w:val="13"/>
              </w:rPr>
            </w:pPr>
            <w:r w:rsidRPr="00B10752">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B10752"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B10752" w:rsidRDefault="00113336" w:rsidP="009B36BA">
            <w:pPr>
              <w:tabs>
                <w:tab w:val="left" w:pos="203"/>
              </w:tabs>
              <w:spacing w:after="120"/>
              <w:rPr>
                <w:rFonts w:ascii="Arial" w:hAnsi="Arial" w:cs="Arial"/>
                <w:b/>
                <w:sz w:val="13"/>
                <w:szCs w:val="13"/>
                <w:lang w:val="fr-CA"/>
              </w:rPr>
            </w:pPr>
            <w:r w:rsidRPr="00B10752">
              <w:rPr>
                <w:rFonts w:ascii="Arial" w:hAnsi="Arial" w:cs="Arial"/>
                <w:b/>
                <w:sz w:val="13"/>
                <w:szCs w:val="13"/>
                <w:lang w:val="fr-CA"/>
              </w:rPr>
              <w:t>18</w:t>
            </w:r>
            <w:r w:rsidRPr="00B10752">
              <w:rPr>
                <w:rFonts w:ascii="Arial" w:hAnsi="Arial" w:cs="Arial"/>
                <w:b/>
                <w:sz w:val="13"/>
                <w:szCs w:val="13"/>
                <w:lang w:val="fr-CA"/>
              </w:rPr>
              <w:tab/>
              <w:t xml:space="preserve"> sitting weeks / semaines séances de la Cour</w:t>
            </w:r>
          </w:p>
          <w:p w:rsidR="00113336" w:rsidRPr="00B10752" w:rsidRDefault="00113336" w:rsidP="00B4618C">
            <w:pPr>
              <w:tabs>
                <w:tab w:val="left" w:pos="203"/>
              </w:tabs>
              <w:rPr>
                <w:rFonts w:ascii="Arial" w:hAnsi="Arial" w:cs="Arial"/>
                <w:b/>
                <w:sz w:val="13"/>
                <w:szCs w:val="13"/>
                <w:lang w:val="fr-CA"/>
              </w:rPr>
            </w:pPr>
            <w:r w:rsidRPr="00B10752">
              <w:rPr>
                <w:rFonts w:ascii="Arial" w:hAnsi="Arial" w:cs="Arial"/>
                <w:b/>
                <w:sz w:val="13"/>
                <w:szCs w:val="13"/>
                <w:lang w:val="fr-CA"/>
              </w:rPr>
              <w:t>8</w:t>
            </w:r>
            <w:r w:rsidR="00B4618C" w:rsidRPr="00B10752">
              <w:rPr>
                <w:rFonts w:ascii="Arial" w:hAnsi="Arial" w:cs="Arial"/>
                <w:b/>
                <w:sz w:val="13"/>
                <w:szCs w:val="13"/>
                <w:lang w:val="fr-CA"/>
              </w:rPr>
              <w:t>8</w:t>
            </w:r>
            <w:r w:rsidRPr="00B10752">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B10752" w:rsidRDefault="00113336" w:rsidP="009B36BA">
            <w:pPr>
              <w:spacing w:after="120"/>
              <w:rPr>
                <w:rFonts w:ascii="Arial" w:hAnsi="Arial" w:cs="Arial"/>
                <w:b/>
                <w:sz w:val="13"/>
                <w:szCs w:val="13"/>
                <w:lang w:val="fr-FR"/>
              </w:rPr>
            </w:pPr>
            <w:r w:rsidRPr="00B10752">
              <w:rPr>
                <w:rFonts w:ascii="Arial" w:hAnsi="Arial" w:cs="Arial"/>
                <w:b/>
                <w:sz w:val="13"/>
                <w:szCs w:val="13"/>
                <w:lang w:val="fr-FR"/>
              </w:rPr>
              <w:t>Rosh Hashanah / Nouvel An juif</w:t>
            </w:r>
          </w:p>
          <w:p w:rsidR="00113336" w:rsidRPr="00B10752" w:rsidRDefault="00113336" w:rsidP="00B4618C">
            <w:pPr>
              <w:rPr>
                <w:rFonts w:ascii="Arial" w:hAnsi="Arial" w:cs="Arial"/>
                <w:b/>
                <w:sz w:val="13"/>
                <w:szCs w:val="13"/>
                <w:lang w:val="fr-CA"/>
              </w:rPr>
            </w:pPr>
            <w:r w:rsidRPr="00B10752">
              <w:rPr>
                <w:rFonts w:ascii="Arial" w:hAnsi="Arial" w:cs="Arial"/>
                <w:b/>
                <w:sz w:val="13"/>
                <w:szCs w:val="13"/>
                <w:lang w:val="fr-FR"/>
              </w:rPr>
              <w:t>Yom Kippur / Yom Kippour</w:t>
            </w:r>
          </w:p>
        </w:tc>
        <w:tc>
          <w:tcPr>
            <w:tcW w:w="567" w:type="dxa"/>
            <w:hideMark/>
          </w:tcPr>
          <w:p w:rsidR="00113336" w:rsidRPr="00B10752" w:rsidRDefault="00113336" w:rsidP="009B36BA">
            <w:pPr>
              <w:spacing w:after="120"/>
              <w:jc w:val="center"/>
              <w:rPr>
                <w:rFonts w:ascii="Arial" w:hAnsi="Arial" w:cs="Arial"/>
                <w:b/>
                <w:sz w:val="13"/>
                <w:szCs w:val="13"/>
                <w:lang w:val="fr-CA"/>
              </w:rPr>
            </w:pPr>
            <w:r w:rsidRPr="00B10752">
              <w:rPr>
                <w:rFonts w:ascii="Arial" w:hAnsi="Arial" w:cs="Arial"/>
                <w:b/>
                <w:sz w:val="13"/>
                <w:szCs w:val="13"/>
                <w:lang w:val="fr-CA"/>
              </w:rPr>
              <w:t>RH</w:t>
            </w:r>
          </w:p>
          <w:p w:rsidR="00113336" w:rsidRPr="00B10752" w:rsidRDefault="00113336" w:rsidP="009B36BA">
            <w:pPr>
              <w:jc w:val="center"/>
              <w:rPr>
                <w:rFonts w:ascii="Arial" w:hAnsi="Arial" w:cs="Arial"/>
                <w:b/>
                <w:sz w:val="13"/>
                <w:szCs w:val="13"/>
                <w:lang w:val="fr-CA"/>
              </w:rPr>
            </w:pPr>
            <w:r w:rsidRPr="00B10752">
              <w:rPr>
                <w:rFonts w:ascii="Arial" w:hAnsi="Arial" w:cs="Arial"/>
                <w:b/>
                <w:sz w:val="13"/>
                <w:szCs w:val="13"/>
                <w:lang w:val="fr-CA"/>
              </w:rPr>
              <w:t>YK</w:t>
            </w:r>
          </w:p>
        </w:tc>
      </w:tr>
      <w:tr w:rsidR="00113336" w:rsidRPr="00B10752" w:rsidTr="00B4618C">
        <w:trPr>
          <w:trHeight w:val="390"/>
        </w:trPr>
        <w:tc>
          <w:tcPr>
            <w:tcW w:w="1890" w:type="dxa"/>
            <w:tcBorders>
              <w:top w:val="nil"/>
              <w:left w:val="nil"/>
              <w:bottom w:val="nil"/>
              <w:right w:val="double" w:sz="4" w:space="0" w:color="auto"/>
            </w:tcBorders>
            <w:vAlign w:val="center"/>
            <w:hideMark/>
          </w:tcPr>
          <w:p w:rsidR="00113336" w:rsidRPr="00B10752" w:rsidRDefault="00113336" w:rsidP="009B36BA">
            <w:pPr>
              <w:spacing w:before="60"/>
              <w:rPr>
                <w:rFonts w:ascii="Arial" w:hAnsi="Arial" w:cs="Arial"/>
                <w:b/>
                <w:sz w:val="13"/>
                <w:szCs w:val="13"/>
                <w:lang w:val="fr-CA"/>
              </w:rPr>
            </w:pPr>
            <w:r w:rsidRPr="00B10752">
              <w:rPr>
                <w:rFonts w:ascii="Arial" w:hAnsi="Arial" w:cs="Arial"/>
                <w:b/>
                <w:sz w:val="13"/>
                <w:szCs w:val="13"/>
                <w:lang w:val="fr-CA"/>
              </w:rPr>
              <w:t>Court conference /</w:t>
            </w:r>
          </w:p>
          <w:p w:rsidR="00113336" w:rsidRPr="00B10752" w:rsidRDefault="00113336" w:rsidP="009B36BA">
            <w:pPr>
              <w:rPr>
                <w:rFonts w:ascii="Arial" w:hAnsi="Arial" w:cs="Arial"/>
                <w:b/>
                <w:sz w:val="13"/>
                <w:szCs w:val="13"/>
                <w:lang w:val="fr-CA"/>
              </w:rPr>
            </w:pPr>
            <w:r w:rsidRPr="00B10752">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B10752" w:rsidRDefault="00113336" w:rsidP="009B36BA">
            <w:pPr>
              <w:jc w:val="center"/>
              <w:rPr>
                <w:rFonts w:ascii="Arial" w:hAnsi="Arial" w:cs="Arial"/>
                <w:b/>
                <w:sz w:val="13"/>
                <w:szCs w:val="13"/>
                <w:lang w:val="fr-FR"/>
              </w:rPr>
            </w:pPr>
            <w:r w:rsidRPr="00B10752">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B10752" w:rsidRDefault="00113336" w:rsidP="009B36BA">
            <w:pPr>
              <w:tabs>
                <w:tab w:val="left" w:pos="203"/>
              </w:tabs>
              <w:spacing w:before="120"/>
              <w:rPr>
                <w:rFonts w:ascii="Arial" w:hAnsi="Arial" w:cs="Arial"/>
                <w:b/>
                <w:sz w:val="13"/>
                <w:szCs w:val="13"/>
                <w:lang w:val="fr-CA"/>
              </w:rPr>
            </w:pPr>
            <w:r w:rsidRPr="00B10752">
              <w:rPr>
                <w:rFonts w:ascii="Arial" w:hAnsi="Arial" w:cs="Arial"/>
                <w:b/>
                <w:sz w:val="13"/>
                <w:szCs w:val="13"/>
                <w:lang w:val="fr-CA"/>
              </w:rPr>
              <w:t>9</w:t>
            </w:r>
            <w:r w:rsidRPr="00B10752">
              <w:rPr>
                <w:rFonts w:ascii="Arial" w:hAnsi="Arial" w:cs="Arial"/>
                <w:b/>
                <w:sz w:val="13"/>
                <w:szCs w:val="13"/>
                <w:lang w:val="fr-CA"/>
              </w:rPr>
              <w:tab/>
              <w:t>Court conference days /</w:t>
            </w:r>
          </w:p>
          <w:p w:rsidR="00113336" w:rsidRPr="00B10752" w:rsidRDefault="00113336" w:rsidP="00B4618C">
            <w:pPr>
              <w:tabs>
                <w:tab w:val="left" w:pos="203"/>
              </w:tabs>
              <w:rPr>
                <w:rFonts w:ascii="Arial" w:hAnsi="Arial" w:cs="Arial"/>
                <w:b/>
                <w:sz w:val="13"/>
                <w:szCs w:val="13"/>
                <w:lang w:val="fr-CA"/>
              </w:rPr>
            </w:pPr>
            <w:r w:rsidRPr="00B10752">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B10752" w:rsidRDefault="00113336" w:rsidP="009B36BA">
            <w:pPr>
              <w:rPr>
                <w:rFonts w:ascii="Arial" w:hAnsi="Arial" w:cs="Arial"/>
                <w:b/>
                <w:sz w:val="13"/>
                <w:szCs w:val="13"/>
                <w:lang w:val="fr-CA"/>
              </w:rPr>
            </w:pPr>
          </w:p>
        </w:tc>
        <w:tc>
          <w:tcPr>
            <w:tcW w:w="567" w:type="dxa"/>
          </w:tcPr>
          <w:p w:rsidR="00113336" w:rsidRPr="00B10752"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B10752" w:rsidRDefault="00113336" w:rsidP="009B36BA">
            <w:pPr>
              <w:rPr>
                <w:rFonts w:ascii="Arial" w:hAnsi="Arial" w:cs="Arial"/>
                <w:b/>
                <w:sz w:val="13"/>
                <w:szCs w:val="13"/>
              </w:rPr>
            </w:pPr>
            <w:r w:rsidRPr="00B10752">
              <w:rPr>
                <w:rFonts w:ascii="Arial" w:hAnsi="Arial" w:cs="Arial"/>
                <w:b/>
                <w:sz w:val="13"/>
                <w:szCs w:val="13"/>
              </w:rPr>
              <w:t xml:space="preserve">Holiday / </w:t>
            </w:r>
            <w:r w:rsidRPr="00B10752">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B10752" w:rsidRDefault="00113336" w:rsidP="009B36BA">
            <w:pPr>
              <w:jc w:val="center"/>
              <w:rPr>
                <w:rFonts w:ascii="Arial" w:hAnsi="Arial" w:cs="Arial"/>
                <w:b/>
                <w:sz w:val="13"/>
                <w:szCs w:val="13"/>
              </w:rPr>
            </w:pPr>
            <w:r w:rsidRPr="00B10752">
              <w:rPr>
                <w:rFonts w:ascii="Arial" w:hAnsi="Arial" w:cs="Arial"/>
                <w:b/>
                <w:sz w:val="13"/>
                <w:szCs w:val="13"/>
              </w:rPr>
              <w:t>H</w:t>
            </w:r>
          </w:p>
        </w:tc>
        <w:tc>
          <w:tcPr>
            <w:tcW w:w="3524" w:type="dxa"/>
            <w:tcBorders>
              <w:top w:val="nil"/>
              <w:left w:val="double" w:sz="4" w:space="0" w:color="auto"/>
              <w:bottom w:val="nil"/>
              <w:right w:val="nil"/>
            </w:tcBorders>
            <w:hideMark/>
          </w:tcPr>
          <w:p w:rsidR="00113336" w:rsidRPr="00B10752" w:rsidRDefault="00B4618C" w:rsidP="009B36BA">
            <w:pPr>
              <w:tabs>
                <w:tab w:val="left" w:pos="203"/>
              </w:tabs>
              <w:spacing w:before="120"/>
              <w:rPr>
                <w:rFonts w:ascii="Arial" w:hAnsi="Arial" w:cs="Arial"/>
                <w:b/>
                <w:sz w:val="13"/>
                <w:szCs w:val="13"/>
              </w:rPr>
            </w:pPr>
            <w:r w:rsidRPr="00B10752">
              <w:rPr>
                <w:rFonts w:ascii="Arial" w:hAnsi="Arial" w:cs="Arial"/>
                <w:b/>
                <w:sz w:val="13"/>
                <w:szCs w:val="13"/>
              </w:rPr>
              <w:t>2</w:t>
            </w:r>
            <w:r w:rsidR="00113336" w:rsidRPr="00B10752">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B10752">
              <w:rPr>
                <w:rFonts w:ascii="Arial" w:hAnsi="Arial" w:cs="Arial"/>
                <w:b/>
                <w:sz w:val="13"/>
                <w:szCs w:val="13"/>
              </w:rPr>
              <w:tab/>
            </w:r>
            <w:r w:rsidRPr="00B10752">
              <w:rPr>
                <w:rFonts w:ascii="Arial" w:hAnsi="Arial" w:cs="Arial"/>
                <w:b/>
                <w:sz w:val="13"/>
                <w:szCs w:val="13"/>
                <w:lang w:val="fr-CA"/>
              </w:rPr>
              <w:t>jours fériés durant les séances</w:t>
            </w:r>
            <w:bookmarkStart w:id="13" w:name="_GoBack"/>
            <w:bookmarkEnd w:id="13"/>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123"/>
      <w:footerReference w:type="default" r:id="rId12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499" w:rsidRDefault="005E4499" w:rsidP="00A87207">
      <w:r>
        <w:separator/>
      </w:r>
    </w:p>
  </w:endnote>
  <w:endnote w:type="continuationSeparator" w:id="0">
    <w:p w:rsidR="005E4499" w:rsidRDefault="005E449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99" w:rsidRDefault="00B10752" w:rsidP="00A87207">
    <w:pPr>
      <w:pStyle w:val="Footer"/>
    </w:pPr>
    <w:r>
      <w:pict>
        <v:rect id="_x0000_i1033" style="width:480.95pt;height:1pt" o:hralign="center" o:hrstd="t" o:hrnoshade="t" o:hr="t" fillcolor="black [3213]" stroked="f"/>
      </w:pict>
    </w:r>
  </w:p>
  <w:p w:rsidR="005E4499" w:rsidRPr="00B7374B" w:rsidRDefault="005E449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10752">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37" w:rsidRDefault="00B10752" w:rsidP="00755F22">
    <w:pPr>
      <w:tabs>
        <w:tab w:val="left" w:pos="-1440"/>
        <w:tab w:val="left" w:pos="-720"/>
      </w:tabs>
    </w:pPr>
    <w:r>
      <w:pict>
        <v:rect id="_x0000_i1091" style="width:480.95pt;height:1pt" o:hralign="center" o:hrstd="t" o:hrnoshade="t" o:hr="t" fillcolor="black [3213]" stroked="f"/>
      </w:pict>
    </w:r>
  </w:p>
  <w:p w:rsidR="00F83237" w:rsidRDefault="00F83237" w:rsidP="00EB2B90">
    <w:pPr>
      <w:tabs>
        <w:tab w:val="center" w:pos="4680"/>
      </w:tabs>
    </w:pPr>
    <w:r>
      <w:tab/>
      <w:t xml:space="preserve">- </w:t>
    </w:r>
    <w:r>
      <w:fldChar w:fldCharType="begin"/>
    </w:r>
    <w:r>
      <w:instrText xml:space="preserve"> PAGE   \* MERGEFORMAT </w:instrText>
    </w:r>
    <w:r>
      <w:fldChar w:fldCharType="separate"/>
    </w:r>
    <w:r>
      <w:rPr>
        <w:noProof/>
      </w:rPr>
      <w:t>52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37" w:rsidRDefault="00B10752" w:rsidP="00EB2B90">
    <w:pPr>
      <w:tabs>
        <w:tab w:val="center" w:pos="4680"/>
      </w:tabs>
    </w:pPr>
    <w:r>
      <w:pict>
        <v:rect id="_x0000_i1092" style="width:480.95pt;height:1pt" o:hralign="center" o:hrstd="t" o:hrnoshade="t" o:hr="t" fillcolor="black [3213]" stroked="f"/>
      </w:pict>
    </w:r>
  </w:p>
  <w:p w:rsidR="00F83237" w:rsidRPr="0031432F" w:rsidRDefault="00F83237" w:rsidP="00EB2B90">
    <w:pPr>
      <w:tabs>
        <w:tab w:val="center" w:pos="4680"/>
      </w:tabs>
    </w:pPr>
    <w:r>
      <w:tab/>
      <w:t xml:space="preserve">- </w:t>
    </w:r>
    <w:r>
      <w:fldChar w:fldCharType="begin"/>
    </w:r>
    <w:r>
      <w:instrText xml:space="preserve"> PAGE   \* MERGEFORMAT </w:instrText>
    </w:r>
    <w:r>
      <w:fldChar w:fldCharType="separate"/>
    </w:r>
    <w:r w:rsidR="00B10752">
      <w:rPr>
        <w:noProof/>
      </w:rPr>
      <w:t>52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99" w:rsidRDefault="005E4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4499" w:rsidRDefault="005E4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4499" w:rsidRDefault="005E4499">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99" w:rsidRDefault="005E4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E4499" w:rsidRDefault="00B10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94" style="width:480.95pt;height:1pt" o:hralign="center" o:hrstd="t" o:hrnoshade="t" o:hr="t" fillcolor="black [3213]" stroked="f"/>
      </w:pict>
    </w:r>
  </w:p>
  <w:p w:rsidR="005E4499" w:rsidRDefault="005E449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F83237">
      <w:rPr>
        <w:noProof/>
        <w:szCs w:val="24"/>
      </w:rPr>
      <w:t>52</w:t>
    </w:r>
    <w:r w:rsidRPr="001775C1">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99" w:rsidRDefault="00B10752" w:rsidP="00782AE4">
    <w:pPr>
      <w:tabs>
        <w:tab w:val="center" w:pos="4680"/>
      </w:tabs>
    </w:pPr>
    <w:r>
      <w:pict>
        <v:rect id="_x0000_i1095" style="width:480.95pt;height:1pt" o:hralign="center" o:hrstd="t" o:hrnoshade="t" o:hr="t" fillcolor="black [3213]" stroked="f"/>
      </w:pict>
    </w:r>
  </w:p>
  <w:p w:rsidR="005E4499" w:rsidRDefault="005E4499"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10752">
      <w:rPr>
        <w:noProof/>
        <w:szCs w:val="24"/>
      </w:rPr>
      <w:t>53</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99" w:rsidRPr="00924065" w:rsidRDefault="005E4499"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99" w:rsidRDefault="00B10752" w:rsidP="00755F22">
    <w:pPr>
      <w:tabs>
        <w:tab w:val="left" w:pos="-1440"/>
        <w:tab w:val="left" w:pos="-720"/>
      </w:tabs>
    </w:pPr>
    <w:r>
      <w:pict>
        <v:rect id="_x0000_i1034" style="width:480.95pt;height:1pt" o:hralign="center" o:hrstd="t" o:hrnoshade="t" o:hr="t" fillcolor="black [3213]" stroked="f"/>
      </w:pict>
    </w:r>
  </w:p>
  <w:p w:rsidR="005E4499" w:rsidRPr="00954D22" w:rsidRDefault="005E4499"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10752">
      <w:rPr>
        <w:noProof/>
        <w:szCs w:val="24"/>
      </w:rPr>
      <w:t>1</w:t>
    </w:r>
    <w:r>
      <w:rPr>
        <w:szCs w:val="24"/>
      </w:rPr>
      <w:fldChar w:fldCharType="end"/>
    </w:r>
    <w:r w:rsidRPr="00954D22">
      <w:rPr>
        <w:szCs w:val="24"/>
      </w:rPr>
      <w:t xml:space="preserve"> -</w:t>
    </w:r>
  </w:p>
  <w:p w:rsidR="005E4499" w:rsidRDefault="005E4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99" w:rsidRDefault="005E4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E4499" w:rsidRDefault="005E4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E4499" w:rsidRDefault="005E4499">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99" w:rsidRDefault="00B10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5" style="width:480.95pt;height:1pt" o:hralign="center" o:hrstd="t" o:hrnoshade="t" o:hr="t" fillcolor="black [3213]" stroked="f"/>
      </w:pict>
    </w:r>
  </w:p>
  <w:p w:rsidR="005E4499" w:rsidRPr="0009648D" w:rsidRDefault="005E4499" w:rsidP="00ED7E83">
    <w:pPr>
      <w:tabs>
        <w:tab w:val="center" w:pos="4680"/>
      </w:tabs>
    </w:pPr>
    <w:r>
      <w:tab/>
    </w:r>
    <w:r w:rsidRPr="0009648D">
      <w:t xml:space="preserve">- </w:t>
    </w:r>
    <w:r>
      <w:fldChar w:fldCharType="begin"/>
    </w:r>
    <w:r>
      <w:instrText xml:space="preserve"> PAGE   \* MERGEFORMAT </w:instrText>
    </w:r>
    <w:r>
      <w:fldChar w:fldCharType="separate"/>
    </w:r>
    <w:r w:rsidR="00B10752">
      <w:rPr>
        <w:noProof/>
      </w:rPr>
      <w:t>18</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99" w:rsidRDefault="00B10752">
    <w:pPr>
      <w:pStyle w:val="Footer"/>
      <w:rPr>
        <w:lang w:val="fr-CA"/>
      </w:rPr>
    </w:pPr>
    <w:r>
      <w:rPr>
        <w:lang w:val="fr-CA"/>
      </w:rPr>
      <w:pict>
        <v:rect id="_x0000_i1086" style="width:480.95pt;height:1pt" o:hralign="center" o:hrstd="t" o:hrnoshade="t" o:hr="t" fillcolor="black [3213]" stroked="f"/>
      </w:pict>
    </w:r>
  </w:p>
  <w:p w:rsidR="005E4499" w:rsidRDefault="005E4499" w:rsidP="00245129">
    <w:pPr>
      <w:tabs>
        <w:tab w:val="center" w:pos="4680"/>
      </w:tabs>
    </w:pPr>
    <w:r>
      <w:tab/>
    </w:r>
    <w:r w:rsidRPr="0009648D">
      <w:t xml:space="preserve">- </w:t>
    </w:r>
    <w:r>
      <w:fldChar w:fldCharType="begin"/>
    </w:r>
    <w:r>
      <w:instrText xml:space="preserve"> PAGE   \* MERGEFORMAT </w:instrText>
    </w:r>
    <w:r>
      <w:fldChar w:fldCharType="separate"/>
    </w:r>
    <w:r w:rsidR="00B10752">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37" w:rsidRDefault="00F83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3237" w:rsidRDefault="00F83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3237" w:rsidRDefault="00F83237">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37" w:rsidRDefault="00B107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7" style="width:480.95pt;height:1pt" o:hralign="center" o:hrstd="t" o:hrnoshade="t" o:hr="t" fillcolor="black [3213]" stroked="f"/>
      </w:pict>
    </w:r>
  </w:p>
  <w:p w:rsidR="00F83237" w:rsidRDefault="00F83237" w:rsidP="00EB2B90">
    <w:pPr>
      <w:tabs>
        <w:tab w:val="center" w:pos="4680"/>
      </w:tabs>
    </w:pPr>
    <w:r>
      <w:tab/>
      <w:t xml:space="preserve">- </w:t>
    </w:r>
    <w:r>
      <w:fldChar w:fldCharType="begin"/>
    </w:r>
    <w:r>
      <w:instrText xml:space="preserve"> PAGE   \* MERGEFORMAT </w:instrText>
    </w:r>
    <w:r>
      <w:fldChar w:fldCharType="separate"/>
    </w:r>
    <w:r>
      <w:rPr>
        <w:noProof/>
      </w:rPr>
      <w:t>52</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37" w:rsidRDefault="00B10752">
    <w:pPr>
      <w:pStyle w:val="Footer"/>
      <w:rPr>
        <w:lang w:val="fr-CA"/>
      </w:rPr>
    </w:pPr>
    <w:r>
      <w:rPr>
        <w:lang w:val="fr-CA"/>
      </w:rPr>
      <w:pict>
        <v:rect id="_x0000_i1088" style="width:480.95pt;height:1pt" o:hralign="center" o:hrstd="t" o:hrnoshade="t" o:hr="t" fillcolor="black [3213]" stroked="f"/>
      </w:pict>
    </w:r>
  </w:p>
  <w:p w:rsidR="00F83237" w:rsidRDefault="00F83237" w:rsidP="00EB2B90">
    <w:pPr>
      <w:tabs>
        <w:tab w:val="center" w:pos="4680"/>
      </w:tabs>
    </w:pPr>
    <w:r>
      <w:tab/>
      <w:t xml:space="preserve">- </w:t>
    </w:r>
    <w:r>
      <w:fldChar w:fldCharType="begin"/>
    </w:r>
    <w:r>
      <w:instrText xml:space="preserve"> PAGE   \* MERGEFORMAT </w:instrText>
    </w:r>
    <w:r>
      <w:fldChar w:fldCharType="separate"/>
    </w:r>
    <w:r w:rsidR="00B10752">
      <w:rPr>
        <w:noProof/>
      </w:rPr>
      <w:t>51</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37" w:rsidRDefault="00F83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83237" w:rsidRDefault="00F83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83237" w:rsidRDefault="00F83237">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499" w:rsidRDefault="005E4499" w:rsidP="00A87207">
      <w:r>
        <w:separator/>
      </w:r>
    </w:p>
  </w:footnote>
  <w:footnote w:type="continuationSeparator" w:id="0">
    <w:p w:rsidR="005E4499" w:rsidRDefault="005E4499" w:rsidP="00A87207">
      <w:r>
        <w:continuationSeparator/>
      </w:r>
    </w:p>
  </w:footnote>
  <w:footnote w:id="1">
    <w:p w:rsidR="005E4499" w:rsidRPr="00BB3D7D" w:rsidRDefault="005E4499" w:rsidP="00E70281">
      <w:pPr>
        <w:pStyle w:val="FootnoteText"/>
        <w:rPr>
          <w:lang w:val="en-US"/>
        </w:rPr>
      </w:pPr>
      <w:r>
        <w:rPr>
          <w:rStyle w:val="FootnoteReference"/>
        </w:rPr>
        <w:footnoteRef/>
      </w:r>
      <w:r>
        <w:t xml:space="preserve"> </w:t>
      </w:r>
      <w:r>
        <w:rPr>
          <w:lang w:val="en-US"/>
        </w:rPr>
        <w:t>Actions in forced intervention by St. Paul Insurance Company (insurer of 9312</w:t>
      </w:r>
      <w:r>
        <w:rPr>
          <w:lang w:val="en-US"/>
        </w:rPr>
        <w:noBreakHyphen/>
        <w:t>1994 Qu</w:t>
      </w:r>
      <w:r w:rsidRPr="00BB3D7D">
        <w:rPr>
          <w:lang w:val="en-US"/>
        </w:rPr>
        <w:t>é</w:t>
      </w:r>
      <w:r>
        <w:rPr>
          <w:lang w:val="en-US"/>
        </w:rPr>
        <w:t xml:space="preserve">bec inc.) dismissed as against </w:t>
      </w:r>
      <w:r w:rsidRPr="00BB3D7D">
        <w:rPr>
          <w:lang w:val="en-US"/>
        </w:rPr>
        <w:t>Carrière B &amp; B inc</w:t>
      </w:r>
      <w:r>
        <w:rPr>
          <w:lang w:val="en-US"/>
        </w:rPr>
        <w:t>.</w:t>
      </w:r>
      <w:r w:rsidRPr="00BB3D7D">
        <w:rPr>
          <w:lang w:val="en-US"/>
        </w:rPr>
        <w:t xml:space="preserve"> and Béton</w:t>
      </w:r>
      <w:r>
        <w:rPr>
          <w:lang w:val="en-US"/>
        </w:rPr>
        <w:t xml:space="preserve"> Laurentide inc. but maintained against SNC</w:t>
      </w:r>
      <w:r>
        <w:rPr>
          <w:lang w:val="en-US"/>
        </w:rPr>
        <w:noBreakHyphen/>
        <w:t xml:space="preserve">Lavalin and Alain Blanchette, condemning them to reimburse certain amounts; Action in forced intervention by </w:t>
      </w:r>
      <w:r w:rsidRPr="00BB3D7D">
        <w:rPr>
          <w:lang w:val="en-US"/>
        </w:rPr>
        <w:t>Carrière B &amp; B inc</w:t>
      </w:r>
      <w:r>
        <w:rPr>
          <w:lang w:val="en-US"/>
        </w:rPr>
        <w:t>.</w:t>
      </w:r>
      <w:r w:rsidRPr="00BB3D7D">
        <w:rPr>
          <w:lang w:val="en-US"/>
        </w:rPr>
        <w:t xml:space="preserve"> </w:t>
      </w:r>
      <w:r>
        <w:rPr>
          <w:lang w:val="en-US"/>
        </w:rPr>
        <w:t>maintained against SNC</w:t>
      </w:r>
      <w:r>
        <w:rPr>
          <w:lang w:val="en-US"/>
        </w:rPr>
        <w:noBreakHyphen/>
        <w:t>Lavalin, condemning it to reimburse certain amounts; Actions in forced intervention by 9312</w:t>
      </w:r>
      <w:r>
        <w:rPr>
          <w:lang w:val="en-US"/>
        </w:rPr>
        <w:noBreakHyphen/>
        <w:t>1994 Qu</w:t>
      </w:r>
      <w:r w:rsidRPr="00BB3D7D">
        <w:rPr>
          <w:lang w:val="en-US"/>
        </w:rPr>
        <w:t>é</w:t>
      </w:r>
      <w:r>
        <w:rPr>
          <w:lang w:val="en-US"/>
        </w:rPr>
        <w:t xml:space="preserve">bec inc. dismissed as against </w:t>
      </w:r>
      <w:r w:rsidRPr="00BB3D7D">
        <w:rPr>
          <w:lang w:val="en-US"/>
        </w:rPr>
        <w:t>Carrière B &amp; B inc</w:t>
      </w:r>
      <w:r>
        <w:rPr>
          <w:lang w:val="en-US"/>
        </w:rPr>
        <w:t>.</w:t>
      </w:r>
      <w:r w:rsidRPr="00BB3D7D">
        <w:rPr>
          <w:lang w:val="en-US"/>
        </w:rPr>
        <w:t xml:space="preserve"> and Béton</w:t>
      </w:r>
      <w:r>
        <w:rPr>
          <w:lang w:val="en-US"/>
        </w:rPr>
        <w:t xml:space="preserve"> Laurentide inc. but maintained against SNC</w:t>
      </w:r>
      <w:r>
        <w:rPr>
          <w:lang w:val="en-US"/>
        </w:rPr>
        <w:noBreakHyphen/>
        <w:t>Lavalin and Alain Blanchette, condemning them to reimburse certain amounts.</w:t>
      </w:r>
    </w:p>
  </w:footnote>
  <w:footnote w:id="2">
    <w:p w:rsidR="005E4499" w:rsidRPr="005C0C45" w:rsidRDefault="005E4499" w:rsidP="00E70281">
      <w:pPr>
        <w:pStyle w:val="FootnoteText"/>
        <w:rPr>
          <w:lang w:val="fr-FR"/>
        </w:rPr>
      </w:pPr>
      <w:r w:rsidRPr="005C0C45">
        <w:rPr>
          <w:rStyle w:val="FootnoteReference"/>
        </w:rPr>
        <w:footnoteRef/>
      </w:r>
      <w:r w:rsidRPr="005C0C45">
        <w:rPr>
          <w:lang w:val="fr-CA"/>
        </w:rPr>
        <w:t xml:space="preserve"> Les actions en intervention forcée intentées par </w:t>
      </w:r>
      <w:r w:rsidRPr="005C0C45">
        <w:rPr>
          <w:lang w:val="fr-FR"/>
        </w:rPr>
        <w:t>La Compagnie d’assurance Saint-Paul (à titre d'assureur de</w:t>
      </w:r>
    </w:p>
    <w:p w:rsidR="005E4499" w:rsidRPr="005C0C45" w:rsidRDefault="005E4499" w:rsidP="00E70281">
      <w:pPr>
        <w:pStyle w:val="FootnoteText"/>
        <w:rPr>
          <w:lang w:val="fr-CA"/>
        </w:rPr>
      </w:pPr>
      <w:r w:rsidRPr="005C0C45">
        <w:rPr>
          <w:lang w:val="fr-CA"/>
        </w:rPr>
        <w:t xml:space="preserve"> 9312</w:t>
      </w:r>
      <w:r w:rsidRPr="005C0C45">
        <w:rPr>
          <w:lang w:val="fr-CA"/>
        </w:rPr>
        <w:noBreakHyphen/>
        <w:t>1994 Québec inc.) sont rejetées contre Carrière B &amp; B inc. et Béton Laurentide inc., mais accueillies contre SNC</w:t>
      </w:r>
      <w:r w:rsidRPr="005C0C45">
        <w:rPr>
          <w:lang w:val="fr-CA"/>
        </w:rPr>
        <w:noBreakHyphen/>
        <w:t>Lavalin et Alain Blanchette, les condamnant à rembourser certaines sommes; les actions en intervention forcée intentées par Carrière B &amp; B inc. sont accueillies contre SNC</w:t>
      </w:r>
      <w:r w:rsidRPr="005C0C45">
        <w:rPr>
          <w:lang w:val="fr-CA"/>
        </w:rPr>
        <w:noBreakHyphen/>
        <w:t>Lavalin, la condamnant à rembourser certaines sommes; les actions en intervention forcée intentées par 9312</w:t>
      </w:r>
      <w:r w:rsidRPr="005C0C45">
        <w:rPr>
          <w:lang w:val="fr-CA"/>
        </w:rPr>
        <w:noBreakHyphen/>
        <w:t>1994 Québec inc. sont rejetées contre Carrière B &amp; B inc. et Béton Laurentide inc., mais accueillies contre SNC</w:t>
      </w:r>
      <w:r w:rsidRPr="005C0C45">
        <w:rPr>
          <w:lang w:val="fr-CA"/>
        </w:rPr>
        <w:noBreakHyphen/>
        <w:t>Lavalin et Alain Blanchette, les condamnant à rembourser certaines sommes.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E4499" w:rsidRPr="0044776A" w:rsidTr="00245129">
      <w:tc>
        <w:tcPr>
          <w:tcW w:w="4290" w:type="dxa"/>
          <w:tcMar>
            <w:left w:w="0" w:type="dxa"/>
            <w:right w:w="0" w:type="dxa"/>
          </w:tcMar>
        </w:tcPr>
        <w:p w:rsidR="005E4499" w:rsidRPr="00D31809" w:rsidRDefault="005E4499" w:rsidP="00D31809">
          <w:pPr>
            <w:keepNext/>
            <w:keepLines/>
            <w:rPr>
              <w:sz w:val="20"/>
              <w:szCs w:val="20"/>
              <w:lang w:val="en-US"/>
            </w:rPr>
          </w:pPr>
          <w:r w:rsidRPr="00D31809">
            <w:rPr>
              <w:sz w:val="20"/>
              <w:szCs w:val="20"/>
              <w:lang w:val="en-US"/>
            </w:rPr>
            <w:t>Applications for leave to appeal filed</w:t>
          </w:r>
        </w:p>
        <w:p w:rsidR="005E4499" w:rsidRPr="00D31809" w:rsidRDefault="005E4499" w:rsidP="00D31809">
          <w:pPr>
            <w:keepNext/>
            <w:keepLines/>
            <w:rPr>
              <w:sz w:val="20"/>
              <w:szCs w:val="20"/>
            </w:rPr>
          </w:pPr>
        </w:p>
      </w:tc>
      <w:tc>
        <w:tcPr>
          <w:tcW w:w="1200" w:type="dxa"/>
          <w:tcMar>
            <w:left w:w="0" w:type="dxa"/>
            <w:right w:w="0" w:type="dxa"/>
          </w:tcMar>
        </w:tcPr>
        <w:p w:rsidR="005E4499" w:rsidRPr="00D31809" w:rsidRDefault="005E4499" w:rsidP="002E2327">
          <w:pPr>
            <w:keepNext/>
            <w:keepLines/>
            <w:tabs>
              <w:tab w:val="left" w:pos="-1440"/>
              <w:tab w:val="left" w:pos="-720"/>
            </w:tabs>
            <w:jc w:val="center"/>
            <w:rPr>
              <w:sz w:val="20"/>
              <w:szCs w:val="20"/>
            </w:rPr>
          </w:pPr>
        </w:p>
      </w:tc>
      <w:tc>
        <w:tcPr>
          <w:tcW w:w="4320" w:type="dxa"/>
          <w:tcMar>
            <w:left w:w="0" w:type="dxa"/>
            <w:right w:w="0" w:type="dxa"/>
          </w:tcMar>
        </w:tcPr>
        <w:p w:rsidR="005E4499" w:rsidRPr="00D31809" w:rsidRDefault="005E4499" w:rsidP="002E2327">
          <w:pPr>
            <w:keepLines/>
            <w:rPr>
              <w:sz w:val="20"/>
              <w:szCs w:val="20"/>
              <w:lang w:val="fr-CA"/>
            </w:rPr>
          </w:pPr>
          <w:r w:rsidRPr="00D31809">
            <w:rPr>
              <w:sz w:val="20"/>
              <w:szCs w:val="20"/>
              <w:lang w:val="fr-CA"/>
            </w:rPr>
            <w:t>Demandes d’autorisation d’appel déposées</w:t>
          </w:r>
        </w:p>
      </w:tc>
    </w:tr>
  </w:tbl>
  <w:p w:rsidR="005E4499" w:rsidRDefault="005E449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F83237" w:rsidRPr="00755F22" w:rsidTr="00245129">
      <w:tc>
        <w:tcPr>
          <w:tcW w:w="4230" w:type="dxa"/>
          <w:tcMar>
            <w:left w:w="0" w:type="dxa"/>
            <w:right w:w="0" w:type="dxa"/>
          </w:tcMar>
        </w:tcPr>
        <w:p w:rsidR="00F83237" w:rsidRPr="00755F22" w:rsidRDefault="00F83237" w:rsidP="00831CA9">
          <w:pPr>
            <w:keepNext/>
            <w:keepLines/>
            <w:rPr>
              <w:sz w:val="20"/>
              <w:szCs w:val="20"/>
            </w:rPr>
          </w:pPr>
          <w:r w:rsidRPr="00755F22">
            <w:rPr>
              <w:sz w:val="20"/>
              <w:szCs w:val="20"/>
            </w:rPr>
            <w:t>Motions</w:t>
          </w:r>
        </w:p>
      </w:tc>
      <w:tc>
        <w:tcPr>
          <w:tcW w:w="1170" w:type="dxa"/>
          <w:tcMar>
            <w:left w:w="0" w:type="dxa"/>
            <w:right w:w="0" w:type="dxa"/>
          </w:tcMar>
        </w:tcPr>
        <w:p w:rsidR="00F83237" w:rsidRPr="00755F22" w:rsidRDefault="00F83237" w:rsidP="00831CA9">
          <w:pPr>
            <w:keepLines/>
            <w:jc w:val="center"/>
            <w:rPr>
              <w:sz w:val="20"/>
              <w:szCs w:val="20"/>
            </w:rPr>
          </w:pPr>
        </w:p>
        <w:p w:rsidR="00F83237" w:rsidRPr="00755F22" w:rsidRDefault="00F83237" w:rsidP="00831CA9">
          <w:pPr>
            <w:keepLines/>
            <w:tabs>
              <w:tab w:val="left" w:pos="-1440"/>
              <w:tab w:val="left" w:pos="-720"/>
            </w:tabs>
            <w:jc w:val="center"/>
            <w:rPr>
              <w:sz w:val="20"/>
              <w:szCs w:val="20"/>
            </w:rPr>
          </w:pPr>
        </w:p>
      </w:tc>
      <w:tc>
        <w:tcPr>
          <w:tcW w:w="4080" w:type="dxa"/>
          <w:tcMar>
            <w:left w:w="0" w:type="dxa"/>
            <w:right w:w="0" w:type="dxa"/>
          </w:tcMar>
        </w:tcPr>
        <w:p w:rsidR="00F83237" w:rsidRPr="00BA6468" w:rsidRDefault="00F83237" w:rsidP="00BA6468">
          <w:pPr>
            <w:keepLines/>
            <w:rPr>
              <w:sz w:val="20"/>
              <w:szCs w:val="20"/>
              <w:lang w:val="fr-CA"/>
            </w:rPr>
          </w:pPr>
          <w:r w:rsidRPr="00BA6468">
            <w:rPr>
              <w:sz w:val="20"/>
              <w:szCs w:val="20"/>
              <w:lang w:val="fr-CA"/>
            </w:rPr>
            <w:t>Requêtes</w:t>
          </w:r>
        </w:p>
      </w:tc>
    </w:tr>
  </w:tbl>
  <w:p w:rsidR="00F83237" w:rsidRDefault="00F83237" w:rsidP="00831CA9">
    <w:pPr>
      <w:jc w:val="both"/>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37" w:rsidRDefault="00F8323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E4499">
      <w:tc>
        <w:tcPr>
          <w:tcW w:w="4230" w:type="dxa"/>
          <w:tcMar>
            <w:left w:w="0" w:type="dxa"/>
            <w:right w:w="0" w:type="dxa"/>
          </w:tcMar>
        </w:tcPr>
        <w:p w:rsidR="005E4499" w:rsidRDefault="005E44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E4499" w:rsidRDefault="005E44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E4499" w:rsidRDefault="005E44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E4499" w:rsidRDefault="005E44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4499" w:rsidRDefault="005E44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E4499" w:rsidRDefault="005E44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E4499" w:rsidRDefault="005E4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E4499" w:rsidRDefault="005E4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E4499" w:rsidRPr="00782AE4" w:rsidTr="00245129">
      <w:tc>
        <w:tcPr>
          <w:tcW w:w="4230" w:type="dxa"/>
          <w:tcMar>
            <w:left w:w="0" w:type="dxa"/>
            <w:right w:w="0" w:type="dxa"/>
          </w:tcMar>
        </w:tcPr>
        <w:p w:rsidR="005E4499" w:rsidRPr="00782AE4" w:rsidRDefault="005E4499" w:rsidP="00102926">
          <w:pPr>
            <w:keepNext/>
            <w:keepLines/>
            <w:tabs>
              <w:tab w:val="left" w:pos="-1440"/>
              <w:tab w:val="left" w:pos="-720"/>
            </w:tabs>
            <w:rPr>
              <w:sz w:val="20"/>
              <w:szCs w:val="20"/>
            </w:rPr>
          </w:pPr>
          <w:r w:rsidRPr="00782AE4">
            <w:rPr>
              <w:sz w:val="20"/>
              <w:szCs w:val="20"/>
            </w:rPr>
            <w:t xml:space="preserve">HEADNOTES OF RECENT </w:t>
          </w:r>
        </w:p>
        <w:p w:rsidR="005E4499" w:rsidRPr="00782AE4" w:rsidRDefault="005E44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E4499" w:rsidRDefault="005E4499" w:rsidP="00102926">
          <w:pPr>
            <w:keepNext/>
            <w:keepLines/>
            <w:tabs>
              <w:tab w:val="left" w:pos="-1440"/>
              <w:tab w:val="left" w:pos="-720"/>
            </w:tabs>
            <w:jc w:val="center"/>
            <w:rPr>
              <w:sz w:val="20"/>
              <w:szCs w:val="20"/>
            </w:rPr>
          </w:pPr>
        </w:p>
        <w:p w:rsidR="005E4499" w:rsidRDefault="005E4499" w:rsidP="00102926">
          <w:pPr>
            <w:keepNext/>
            <w:keepLines/>
            <w:tabs>
              <w:tab w:val="left" w:pos="-1440"/>
              <w:tab w:val="left" w:pos="-720"/>
            </w:tabs>
            <w:jc w:val="center"/>
            <w:rPr>
              <w:sz w:val="20"/>
              <w:szCs w:val="20"/>
            </w:rPr>
          </w:pPr>
        </w:p>
        <w:p w:rsidR="005E4499" w:rsidRPr="00782AE4" w:rsidRDefault="005E4499" w:rsidP="00102926">
          <w:pPr>
            <w:keepNext/>
            <w:keepLines/>
            <w:tabs>
              <w:tab w:val="left" w:pos="-1440"/>
              <w:tab w:val="left" w:pos="-720"/>
            </w:tabs>
            <w:jc w:val="center"/>
            <w:rPr>
              <w:sz w:val="20"/>
              <w:szCs w:val="20"/>
            </w:rPr>
          </w:pPr>
        </w:p>
      </w:tc>
      <w:tc>
        <w:tcPr>
          <w:tcW w:w="4080" w:type="dxa"/>
          <w:tcMar>
            <w:left w:w="0" w:type="dxa"/>
            <w:right w:w="0" w:type="dxa"/>
          </w:tcMar>
        </w:tcPr>
        <w:p w:rsidR="005E4499" w:rsidRPr="00102926" w:rsidRDefault="005E44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E4499" w:rsidRPr="00782AE4" w:rsidRDefault="005E4499" w:rsidP="00102926">
          <w:pPr>
            <w:keepLines/>
            <w:tabs>
              <w:tab w:val="left" w:pos="-1440"/>
              <w:tab w:val="left" w:pos="-720"/>
            </w:tabs>
            <w:rPr>
              <w:sz w:val="20"/>
              <w:szCs w:val="20"/>
            </w:rPr>
          </w:pPr>
          <w:r w:rsidRPr="00102926">
            <w:rPr>
              <w:sz w:val="20"/>
              <w:szCs w:val="20"/>
              <w:lang w:val="fr-CA"/>
            </w:rPr>
            <w:t>RÉCENTS</w:t>
          </w:r>
        </w:p>
      </w:tc>
    </w:tr>
  </w:tbl>
  <w:p w:rsidR="005E4499" w:rsidRDefault="005E4499"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99" w:rsidRDefault="005E449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99" w:rsidRDefault="005E4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99" w:rsidRDefault="005E4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E4499" w:rsidRPr="00B10752">
      <w:tc>
        <w:tcPr>
          <w:tcW w:w="4200" w:type="dxa"/>
          <w:tcMar>
            <w:left w:w="0" w:type="dxa"/>
            <w:right w:w="0" w:type="dxa"/>
          </w:tcMar>
        </w:tcPr>
        <w:p w:rsidR="005E4499" w:rsidRDefault="005E44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E4499" w:rsidRDefault="005E449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E4499" w:rsidRDefault="005E44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E4499" w:rsidRPr="00FF6BA5" w:rsidRDefault="005E44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E4499" w:rsidRPr="00FF6BA5" w:rsidRDefault="005E4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E4499" w:rsidRPr="00FF6BA5" w:rsidRDefault="005E4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E4499" w:rsidRPr="00FF6BA5" w:rsidRDefault="005E44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E4499" w:rsidRPr="00B10752" w:rsidTr="00245129">
      <w:tc>
        <w:tcPr>
          <w:tcW w:w="4200" w:type="dxa"/>
          <w:tcMar>
            <w:left w:w="0" w:type="dxa"/>
            <w:right w:w="0" w:type="dxa"/>
          </w:tcMar>
        </w:tcPr>
        <w:p w:rsidR="005E4499" w:rsidRPr="00634F42" w:rsidRDefault="005E4499"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5E4499" w:rsidRPr="00755F22" w:rsidRDefault="005E44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E4499" w:rsidRPr="00755F22" w:rsidRDefault="005E4499"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E4499" w:rsidRPr="00755F22" w:rsidRDefault="005E449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5E4499" w:rsidRPr="00FF6BA5" w:rsidRDefault="005E4499"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99" w:rsidRDefault="005E44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F83237" w:rsidRPr="00B10752">
      <w:tc>
        <w:tcPr>
          <w:tcW w:w="4200" w:type="dxa"/>
          <w:tcMar>
            <w:left w:w="0" w:type="dxa"/>
            <w:right w:w="0" w:type="dxa"/>
          </w:tcMar>
        </w:tcPr>
        <w:p w:rsidR="00F83237" w:rsidRDefault="00F8323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83237" w:rsidRDefault="00F8323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3237" w:rsidRPr="00B01A03" w:rsidRDefault="00F8323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83237" w:rsidRPr="00B01A03" w:rsidRDefault="00F83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83237" w:rsidRPr="00B01A03" w:rsidRDefault="00F83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83237" w:rsidRPr="00B10752" w:rsidTr="00245129">
      <w:tc>
        <w:tcPr>
          <w:tcW w:w="4200" w:type="dxa"/>
          <w:tcMar>
            <w:left w:w="0" w:type="dxa"/>
            <w:right w:w="0" w:type="dxa"/>
          </w:tcMar>
        </w:tcPr>
        <w:p w:rsidR="00F83237" w:rsidRPr="00F40249" w:rsidRDefault="00F8323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83237" w:rsidRDefault="00F83237" w:rsidP="00102926">
          <w:pPr>
            <w:keepNext/>
            <w:keepLines/>
            <w:tabs>
              <w:tab w:val="left" w:pos="-1440"/>
              <w:tab w:val="left" w:pos="-720"/>
            </w:tabs>
            <w:jc w:val="center"/>
            <w:rPr>
              <w:sz w:val="20"/>
              <w:szCs w:val="20"/>
            </w:rPr>
          </w:pPr>
        </w:p>
        <w:p w:rsidR="00F83237" w:rsidRDefault="00F83237" w:rsidP="00102926">
          <w:pPr>
            <w:keepNext/>
            <w:keepLines/>
            <w:tabs>
              <w:tab w:val="left" w:pos="-1440"/>
              <w:tab w:val="left" w:pos="-720"/>
            </w:tabs>
            <w:jc w:val="center"/>
            <w:rPr>
              <w:sz w:val="20"/>
              <w:szCs w:val="20"/>
            </w:rPr>
          </w:pPr>
        </w:p>
        <w:p w:rsidR="00F83237" w:rsidRPr="00F40249" w:rsidRDefault="00F83237" w:rsidP="00102926">
          <w:pPr>
            <w:keepNext/>
            <w:keepLines/>
            <w:tabs>
              <w:tab w:val="left" w:pos="-1440"/>
              <w:tab w:val="left" w:pos="-720"/>
            </w:tabs>
            <w:jc w:val="center"/>
            <w:rPr>
              <w:sz w:val="20"/>
              <w:szCs w:val="20"/>
            </w:rPr>
          </w:pPr>
        </w:p>
      </w:tc>
      <w:tc>
        <w:tcPr>
          <w:tcW w:w="4230" w:type="dxa"/>
          <w:tcMar>
            <w:left w:w="0" w:type="dxa"/>
            <w:right w:w="0" w:type="dxa"/>
          </w:tcMar>
        </w:tcPr>
        <w:p w:rsidR="00F83237" w:rsidRPr="00F40249" w:rsidRDefault="00F8323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83237" w:rsidRPr="00B01A03" w:rsidRDefault="00F8323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237" w:rsidRDefault="00F8323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F83237">
      <w:tc>
        <w:tcPr>
          <w:tcW w:w="4230" w:type="dxa"/>
          <w:tcMar>
            <w:left w:w="0" w:type="dxa"/>
            <w:right w:w="0" w:type="dxa"/>
          </w:tcMar>
        </w:tcPr>
        <w:p w:rsidR="00F83237" w:rsidRDefault="00F8323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83237" w:rsidRDefault="00F8323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83237" w:rsidRDefault="00F8323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83237">
      <w:trPr>
        <w:gridAfter w:val="2"/>
        <w:wAfter w:w="5250" w:type="dxa"/>
      </w:trPr>
      <w:tc>
        <w:tcPr>
          <w:tcW w:w="4230" w:type="dxa"/>
          <w:tcMar>
            <w:left w:w="0" w:type="dxa"/>
            <w:right w:w="0" w:type="dxa"/>
          </w:tcMar>
        </w:tcPr>
        <w:p w:rsidR="00F83237" w:rsidRDefault="00F83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83237" w:rsidRDefault="00F83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5"/>
  </w:num>
  <w:num w:numId="10">
    <w:abstractNumId w:val="3"/>
  </w:num>
  <w:num w:numId="11">
    <w:abstractNumId w:val="12"/>
  </w:num>
  <w:num w:numId="12">
    <w:abstractNumId w:val="20"/>
  </w:num>
  <w:num w:numId="13">
    <w:abstractNumId w:val="11"/>
  </w:num>
  <w:num w:numId="14">
    <w:abstractNumId w:val="15"/>
  </w:num>
  <w:num w:numId="15">
    <w:abstractNumId w:val="6"/>
  </w:num>
  <w:num w:numId="16">
    <w:abstractNumId w:val="0"/>
  </w:num>
  <w:num w:numId="17">
    <w:abstractNumId w:val="17"/>
  </w:num>
  <w:num w:numId="18">
    <w:abstractNumId w:val="9"/>
  </w:num>
  <w:num w:numId="19">
    <w:abstractNumId w:val="8"/>
  </w:num>
  <w:num w:numId="20">
    <w:abstractNumId w:val="7"/>
  </w:num>
  <w:num w:numId="21">
    <w:abstractNumId w:val="21"/>
  </w:num>
  <w:num w:numId="22">
    <w:abstractNumId w:val="14"/>
  </w:num>
  <w:num w:numId="23">
    <w:abstractNumId w:val="1"/>
  </w:num>
  <w:num w:numId="24">
    <w:abstractNumId w:val="2"/>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ttachedTemplate r:id="rId1"/>
  <w:defaultTabStop w:val="720"/>
  <w:drawingGridHorizontalSpacing w:val="120"/>
  <w:displayHorizontalDrawingGridEvery w:val="2"/>
  <w:characterSpacingControl w:val="doNotCompress"/>
  <w:hdrShapeDefaults>
    <o:shapedefaults v:ext="edit" spidmax="184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94"/>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C5F39"/>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00"/>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60F3B"/>
    <w:rsid w:val="003773F0"/>
    <w:rsid w:val="00382C47"/>
    <w:rsid w:val="00384384"/>
    <w:rsid w:val="003866AE"/>
    <w:rsid w:val="00393AB2"/>
    <w:rsid w:val="003B3977"/>
    <w:rsid w:val="003D49B1"/>
    <w:rsid w:val="003E1D4C"/>
    <w:rsid w:val="003E5F3E"/>
    <w:rsid w:val="00407C5D"/>
    <w:rsid w:val="0041245B"/>
    <w:rsid w:val="004137A0"/>
    <w:rsid w:val="00422D9A"/>
    <w:rsid w:val="004317DE"/>
    <w:rsid w:val="0043200D"/>
    <w:rsid w:val="00432989"/>
    <w:rsid w:val="004342A0"/>
    <w:rsid w:val="00435B01"/>
    <w:rsid w:val="00440B28"/>
    <w:rsid w:val="00440E24"/>
    <w:rsid w:val="0044776A"/>
    <w:rsid w:val="00460AFC"/>
    <w:rsid w:val="00462889"/>
    <w:rsid w:val="0047471F"/>
    <w:rsid w:val="004B195E"/>
    <w:rsid w:val="004B2E86"/>
    <w:rsid w:val="004B66B4"/>
    <w:rsid w:val="004B7F60"/>
    <w:rsid w:val="004C1AAC"/>
    <w:rsid w:val="004C1C35"/>
    <w:rsid w:val="004E12CE"/>
    <w:rsid w:val="004E16D6"/>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E4499"/>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481B"/>
    <w:rsid w:val="00717608"/>
    <w:rsid w:val="00727571"/>
    <w:rsid w:val="00732DB7"/>
    <w:rsid w:val="0074238B"/>
    <w:rsid w:val="0074582E"/>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16694"/>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2E9E"/>
    <w:rsid w:val="00A234E1"/>
    <w:rsid w:val="00A242F4"/>
    <w:rsid w:val="00A375D1"/>
    <w:rsid w:val="00A41D2B"/>
    <w:rsid w:val="00A51D10"/>
    <w:rsid w:val="00A52A83"/>
    <w:rsid w:val="00A61252"/>
    <w:rsid w:val="00A6552C"/>
    <w:rsid w:val="00A744AF"/>
    <w:rsid w:val="00A760C7"/>
    <w:rsid w:val="00A81DCF"/>
    <w:rsid w:val="00A87207"/>
    <w:rsid w:val="00A90CAC"/>
    <w:rsid w:val="00A935AA"/>
    <w:rsid w:val="00A956D3"/>
    <w:rsid w:val="00AB2201"/>
    <w:rsid w:val="00AC3CBD"/>
    <w:rsid w:val="00AD1D34"/>
    <w:rsid w:val="00AD3259"/>
    <w:rsid w:val="00AE043C"/>
    <w:rsid w:val="00AF1715"/>
    <w:rsid w:val="00AF3904"/>
    <w:rsid w:val="00B00A0B"/>
    <w:rsid w:val="00B010C0"/>
    <w:rsid w:val="00B10752"/>
    <w:rsid w:val="00B15CBE"/>
    <w:rsid w:val="00B40FD9"/>
    <w:rsid w:val="00B4618C"/>
    <w:rsid w:val="00B4740D"/>
    <w:rsid w:val="00B53FFF"/>
    <w:rsid w:val="00B61629"/>
    <w:rsid w:val="00B635E0"/>
    <w:rsid w:val="00B67395"/>
    <w:rsid w:val="00B7374B"/>
    <w:rsid w:val="00B90DC0"/>
    <w:rsid w:val="00BA116A"/>
    <w:rsid w:val="00BA1B00"/>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04C"/>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0258"/>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108DC"/>
    <w:rsid w:val="00E20A0A"/>
    <w:rsid w:val="00E240C2"/>
    <w:rsid w:val="00E356C7"/>
    <w:rsid w:val="00E414CA"/>
    <w:rsid w:val="00E41A5A"/>
    <w:rsid w:val="00E45FE4"/>
    <w:rsid w:val="00E64FA7"/>
    <w:rsid w:val="00E65960"/>
    <w:rsid w:val="00E664DA"/>
    <w:rsid w:val="00E670F7"/>
    <w:rsid w:val="00E70281"/>
    <w:rsid w:val="00E71254"/>
    <w:rsid w:val="00E75CFD"/>
    <w:rsid w:val="00E770CB"/>
    <w:rsid w:val="00E80D6C"/>
    <w:rsid w:val="00E8544A"/>
    <w:rsid w:val="00E903A1"/>
    <w:rsid w:val="00E91D43"/>
    <w:rsid w:val="00E92A37"/>
    <w:rsid w:val="00E940EB"/>
    <w:rsid w:val="00E942C2"/>
    <w:rsid w:val="00E9703F"/>
    <w:rsid w:val="00E97984"/>
    <w:rsid w:val="00EA38C0"/>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3237"/>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uiPriority w:val="99"/>
    <w:semiHidden/>
    <w:rsid w:val="008D292F"/>
    <w:rPr>
      <w:rFonts w:eastAsia="Times New Roman" w:cs="Times New Roman"/>
      <w:sz w:val="20"/>
      <w:szCs w:val="20"/>
      <w:lang w:val="en-CA" w:eastAsia="en-CA"/>
    </w:rPr>
  </w:style>
  <w:style w:type="paragraph" w:styleId="FootnoteText">
    <w:name w:val="footnote text"/>
    <w:basedOn w:val="Normal"/>
    <w:link w:val="FootnoteTextChar"/>
    <w:uiPriority w:val="99"/>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E70281"/>
    <w:pPr>
      <w:jc w:val="both"/>
    </w:pPr>
    <w:rPr>
      <w:rFonts w:eastAsia="Calibri" w:cs="Times New Roman"/>
      <w:smallCaps/>
    </w:rPr>
  </w:style>
  <w:style w:type="character" w:customStyle="1" w:styleId="SCCBanSummaryChar">
    <w:name w:val="SCC.BanSummary Char"/>
    <w:basedOn w:val="DefaultParagraphFont"/>
    <w:link w:val="SCCBanSummary0"/>
    <w:rsid w:val="00E70281"/>
    <w:rPr>
      <w:rFonts w:eastAsia="Calibri" w:cs="Times New Roman"/>
      <w:smallCaps/>
      <w:lang w:val="en-CA"/>
    </w:rPr>
  </w:style>
  <w:style w:type="paragraph" w:styleId="NoSpacing">
    <w:name w:val="No Spacing"/>
    <w:uiPriority w:val="1"/>
    <w:qFormat/>
    <w:rsid w:val="00E70281"/>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E70281"/>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E70281"/>
    <w:rPr>
      <w:rFonts w:ascii="Tahoma" w:eastAsia="Times New Roman" w:hAnsi="Tahoma" w:cs="Tahoma"/>
      <w:sz w:val="16"/>
      <w:szCs w:val="16"/>
    </w:rPr>
  </w:style>
  <w:style w:type="paragraph" w:customStyle="1" w:styleId="Style268435469">
    <w:name w:val="Style268435469"/>
    <w:rsid w:val="00E70281"/>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E70281"/>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E70281"/>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E70281"/>
    <w:rPr>
      <w:sz w:val="16"/>
      <w:szCs w:val="16"/>
    </w:rPr>
  </w:style>
  <w:style w:type="paragraph" w:styleId="CommentText">
    <w:name w:val="annotation text"/>
    <w:basedOn w:val="Normal"/>
    <w:link w:val="CommentTextChar"/>
    <w:uiPriority w:val="99"/>
    <w:semiHidden/>
    <w:unhideWhenUsed/>
    <w:rsid w:val="00E70281"/>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E7028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0281"/>
    <w:rPr>
      <w:b/>
      <w:bCs/>
    </w:rPr>
  </w:style>
  <w:style w:type="character" w:customStyle="1" w:styleId="CommentSubjectChar">
    <w:name w:val="Comment Subject Char"/>
    <w:basedOn w:val="CommentTextChar"/>
    <w:link w:val="CommentSubject"/>
    <w:uiPriority w:val="99"/>
    <w:semiHidden/>
    <w:rsid w:val="00E70281"/>
    <w:rPr>
      <w:rFonts w:eastAsia="Times New Roman" w:cs="Times New Roman"/>
      <w:b/>
      <w:bCs/>
      <w:sz w:val="20"/>
      <w:szCs w:val="20"/>
    </w:rPr>
  </w:style>
  <w:style w:type="paragraph" w:customStyle="1" w:styleId="mainparagraph1">
    <w:name w:val="mainparagraph1"/>
    <w:basedOn w:val="Normal"/>
    <w:rsid w:val="00E70281"/>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E70281"/>
    <w:pPr>
      <w:spacing w:before="120" w:after="120"/>
      <w:jc w:val="both"/>
    </w:pPr>
    <w:rPr>
      <w:rFonts w:ascii="Arial" w:eastAsia="Times New Roman" w:hAnsi="Arial" w:cs="Arial"/>
      <w:sz w:val="26"/>
      <w:szCs w:val="26"/>
      <w:lang w:val="en-US"/>
    </w:rPr>
  </w:style>
  <w:style w:type="paragraph" w:customStyle="1" w:styleId="number1">
    <w:name w:val="number1"/>
    <w:basedOn w:val="Normal"/>
    <w:rsid w:val="00E70281"/>
    <w:pPr>
      <w:jc w:val="both"/>
    </w:pPr>
    <w:rPr>
      <w:rFonts w:ascii="Tahoma" w:eastAsia="Times New Roman" w:hAnsi="Tahoma" w:cs="Tahoma"/>
      <w:szCs w:val="24"/>
      <w:lang w:val="en-US"/>
    </w:rPr>
  </w:style>
  <w:style w:type="character" w:customStyle="1" w:styleId="reflex3-block">
    <w:name w:val="reflex3-block"/>
    <w:basedOn w:val="DefaultParagraphFont"/>
    <w:rsid w:val="00E70281"/>
  </w:style>
  <w:style w:type="character" w:customStyle="1" w:styleId="reflex3-alt">
    <w:name w:val="reflex3-alt"/>
    <w:basedOn w:val="DefaultParagraphFont"/>
    <w:rsid w:val="00E70281"/>
  </w:style>
  <w:style w:type="paragraph" w:customStyle="1" w:styleId="scjnumber1">
    <w:name w:val="scjnumber1"/>
    <w:basedOn w:val="Normal"/>
    <w:rsid w:val="00E70281"/>
    <w:pPr>
      <w:spacing w:after="240"/>
    </w:pPr>
    <w:rPr>
      <w:rFonts w:ascii="Arial" w:eastAsia="Times New Roman" w:hAnsi="Arial" w:cs="Arial"/>
      <w:szCs w:val="24"/>
      <w:lang w:val="en-US"/>
    </w:rPr>
  </w:style>
  <w:style w:type="character" w:customStyle="1" w:styleId="reflex">
    <w:name w:val="reflex"/>
    <w:basedOn w:val="DefaultParagraphFont"/>
    <w:rsid w:val="00E70281"/>
  </w:style>
  <w:style w:type="paragraph" w:customStyle="1" w:styleId="paragraphe">
    <w:name w:val="paragraphe"/>
    <w:basedOn w:val="Normal"/>
    <w:rsid w:val="00E70281"/>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E70281"/>
  </w:style>
  <w:style w:type="paragraph" w:customStyle="1" w:styleId="SCCLsocSubfileSeparator0">
    <w:name w:val="SCC.Lsoc.SubfileSeparator"/>
    <w:basedOn w:val="Normal"/>
    <w:next w:val="Normal"/>
    <w:link w:val="SCCLsocSubfileSeparatorChar"/>
    <w:rsid w:val="00E70281"/>
    <w:pPr>
      <w:jc w:val="both"/>
    </w:pPr>
    <w:rPr>
      <w:rFonts w:cs="Times New Roman"/>
      <w:b/>
      <w:szCs w:val="24"/>
    </w:rPr>
  </w:style>
  <w:style w:type="character" w:customStyle="1" w:styleId="SCCLsocSubfileSeparatorChar">
    <w:name w:val="SCC.Lsoc.SubfileSeparator Char"/>
    <w:basedOn w:val="DefaultParagraphFont"/>
    <w:link w:val="SCCLsocSubfileSeparator0"/>
    <w:rsid w:val="00E70281"/>
    <w:rPr>
      <w:rFonts w:cs="Times New Roman"/>
      <w:b/>
      <w:szCs w:val="24"/>
      <w:lang w:val="en-CA"/>
    </w:rPr>
  </w:style>
  <w:style w:type="paragraph" w:customStyle="1" w:styleId="s3">
    <w:name w:val="s3"/>
    <w:basedOn w:val="Normal"/>
    <w:rsid w:val="00E70281"/>
    <w:pPr>
      <w:spacing w:before="100" w:beforeAutospacing="1" w:after="100" w:afterAutospacing="1"/>
    </w:pPr>
    <w:rPr>
      <w:rFonts w:cs="Times New Roman"/>
      <w:szCs w:val="24"/>
      <w:lang w:val="en-US"/>
    </w:rPr>
  </w:style>
  <w:style w:type="character" w:customStyle="1" w:styleId="s4">
    <w:name w:val="s4"/>
    <w:basedOn w:val="DefaultParagraphFont"/>
    <w:rsid w:val="00E70281"/>
  </w:style>
  <w:style w:type="character" w:customStyle="1" w:styleId="s5">
    <w:name w:val="s5"/>
    <w:basedOn w:val="DefaultParagraphFont"/>
    <w:rsid w:val="00E70281"/>
  </w:style>
  <w:style w:type="paragraph" w:customStyle="1" w:styleId="paragraphenumrot">
    <w:name w:val="paragraphenumrot"/>
    <w:basedOn w:val="Normal"/>
    <w:rsid w:val="00E70281"/>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E70281"/>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E70281"/>
  </w:style>
  <w:style w:type="paragraph" w:customStyle="1" w:styleId="aparanumbering">
    <w:name w:val="aparanumbering"/>
    <w:basedOn w:val="Normal"/>
    <w:rsid w:val="00E70281"/>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E70281"/>
  </w:style>
  <w:style w:type="paragraph" w:customStyle="1" w:styleId="scjnumber">
    <w:name w:val="scjnumber"/>
    <w:basedOn w:val="Normal"/>
    <w:rsid w:val="00E70281"/>
    <w:pPr>
      <w:spacing w:before="100" w:beforeAutospacing="1" w:after="100" w:afterAutospacing="1"/>
    </w:pPr>
    <w:rPr>
      <w:rFonts w:eastAsia="Times New Roman" w:cs="Times New Roman"/>
      <w:szCs w:val="24"/>
      <w:lang w:val="en-US"/>
    </w:rPr>
  </w:style>
  <w:style w:type="paragraph" w:customStyle="1" w:styleId="body">
    <w:name w:val="body"/>
    <w:basedOn w:val="Normal"/>
    <w:rsid w:val="00E70281"/>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E70281"/>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E70281"/>
  </w:style>
  <w:style w:type="paragraph" w:customStyle="1" w:styleId="mainparagraph">
    <w:name w:val="mainparagraph"/>
    <w:basedOn w:val="Normal"/>
    <w:rsid w:val="00E70281"/>
    <w:pPr>
      <w:spacing w:before="100" w:beforeAutospacing="1" w:after="100" w:afterAutospacing="1"/>
    </w:pPr>
    <w:rPr>
      <w:rFonts w:eastAsia="Times New Roman" w:cs="Times New Roman"/>
      <w:szCs w:val="24"/>
      <w:lang w:val="en-US"/>
    </w:rPr>
  </w:style>
  <w:style w:type="character" w:styleId="FootnoteReference">
    <w:name w:val="footnote reference"/>
    <w:basedOn w:val="Hyperlink"/>
    <w:uiPriority w:val="99"/>
    <w:unhideWhenUsed/>
    <w:rsid w:val="00E70281"/>
    <w:rPr>
      <w:rFonts w:eastAsiaTheme="minorHAnsi"/>
      <w:color w:val="0000FF"/>
      <w:u w:val="singl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anlii.ca/t/j8d0g" TargetMode="External"/><Relationship Id="rId117" Type="http://schemas.openxmlformats.org/officeDocument/2006/relationships/header" Target="header12.xml"/><Relationship Id="rId21" Type="http://schemas.openxmlformats.org/officeDocument/2006/relationships/hyperlink" Target="https://www.canlii.org/en/qc/qcca/doc/2020/2020qcca495/2020qcca495.html" TargetMode="External"/><Relationship Id="rId42" Type="http://schemas.openxmlformats.org/officeDocument/2006/relationships/hyperlink" Target="https://canlii.ca/t/j6mk9" TargetMode="External"/><Relationship Id="rId47" Type="http://schemas.openxmlformats.org/officeDocument/2006/relationships/hyperlink" Target="https://canlii.ca/t/j7xzm" TargetMode="External"/><Relationship Id="rId63" Type="http://schemas.openxmlformats.org/officeDocument/2006/relationships/hyperlink" Target="https://canlii.ca/t/j9j0b" TargetMode="External"/><Relationship Id="rId68" Type="http://schemas.openxmlformats.org/officeDocument/2006/relationships/hyperlink" Target="https://canlii.ca/t/j97fx" TargetMode="External"/><Relationship Id="rId84" Type="http://schemas.openxmlformats.org/officeDocument/2006/relationships/hyperlink" Target="https://canlii.ca/t/jb9m4" TargetMode="External"/><Relationship Id="rId89" Type="http://schemas.openxmlformats.org/officeDocument/2006/relationships/hyperlink" Target="https://canlii.ca/t/j56c5" TargetMode="External"/><Relationship Id="rId112" Type="http://schemas.openxmlformats.org/officeDocument/2006/relationships/footer" Target="footer10.xml"/><Relationship Id="rId16" Type="http://schemas.openxmlformats.org/officeDocument/2006/relationships/hyperlink" Target="https://www.canlii.org/fr/qc/qcca/doc/2020/2020qcca1378/2020qcca1378.html?resultIndex=2" TargetMode="External"/><Relationship Id="rId107" Type="http://schemas.openxmlformats.org/officeDocument/2006/relationships/header" Target="header8.xml"/><Relationship Id="rId11" Type="http://schemas.openxmlformats.org/officeDocument/2006/relationships/header" Target="header1.xml"/><Relationship Id="rId32" Type="http://schemas.openxmlformats.org/officeDocument/2006/relationships/hyperlink" Target="https://www.canlii.org/en/sk/skca/doc/2020/2020skca131/2020skca131.html?resultIndex=1" TargetMode="External"/><Relationship Id="rId37" Type="http://schemas.openxmlformats.org/officeDocument/2006/relationships/hyperlink" Target="https://canlii.ca/t/j07c2" TargetMode="External"/><Relationship Id="rId53" Type="http://schemas.openxmlformats.org/officeDocument/2006/relationships/hyperlink" Target="https://www.canlii.org/fr/qc/qccq/doc/2018/2018qccq5692/2018qccq5692.html?autocompleteStr=2018%20qccq%205692&amp;autocompletePos=1" TargetMode="External"/><Relationship Id="rId58" Type="http://schemas.openxmlformats.org/officeDocument/2006/relationships/hyperlink" Target="https://www.canlii.org/en/ca/fct/doc/2018/2018fc476/2018fc476.html" TargetMode="External"/><Relationship Id="rId74" Type="http://schemas.openxmlformats.org/officeDocument/2006/relationships/hyperlink" Target="https://canlii.ca/t/j8tv7" TargetMode="External"/><Relationship Id="rId79" Type="http://schemas.openxmlformats.org/officeDocument/2006/relationships/hyperlink" Target="https://www.canlii.org/en/bc/laws/stat/sbc-2003-c-53/latest/sbc-2003-c-53.html" TargetMode="External"/><Relationship Id="rId102" Type="http://schemas.openxmlformats.org/officeDocument/2006/relationships/footer" Target="footer5.xml"/><Relationship Id="rId123"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yperlink" Target="https://www.canlii.org/fr/ca/cfpi/doc/2018/2018cf476/2018cf476.html" TargetMode="External"/><Relationship Id="rId82" Type="http://schemas.openxmlformats.org/officeDocument/2006/relationships/hyperlink" Target="https://www.canlii.org/en/ca/laws/stat/rsc-1985-c-f-14/latest/rsc-1985-c-f-14.html" TargetMode="External"/><Relationship Id="rId90" Type="http://schemas.openxmlformats.org/officeDocument/2006/relationships/hyperlink" Target="https://canlii.ca/t/jb9m4" TargetMode="External"/><Relationship Id="rId95" Type="http://schemas.openxmlformats.org/officeDocument/2006/relationships/hyperlink" Target="https://www.canlii.org/en/on/onca/doc/2020/2020onca645/2020onca645.html?autocompleteStr=2020%20ONCA%20645&amp;autocompletePos=1" TargetMode="External"/><Relationship Id="rId19" Type="http://schemas.openxmlformats.org/officeDocument/2006/relationships/hyperlink" Target="https://scc-csc.ca/case-dossier/info/parties-eng.aspx?cas=39305" TargetMode="External"/><Relationship Id="rId14" Type="http://schemas.openxmlformats.org/officeDocument/2006/relationships/footer" Target="footer2.xml"/><Relationship Id="rId22" Type="http://schemas.openxmlformats.org/officeDocument/2006/relationships/hyperlink" Target="https://scc-csc.ca/case-dossier/info/parties-fra.aspx?cas=39305" TargetMode="External"/><Relationship Id="rId27" Type="http://schemas.openxmlformats.org/officeDocument/2006/relationships/hyperlink" Target="https://canlii.ca/t/hnz70" TargetMode="External"/><Relationship Id="rId30" Type="http://schemas.openxmlformats.org/officeDocument/2006/relationships/hyperlink" Target="https://canlii.ca/t/jbjgl" TargetMode="External"/><Relationship Id="rId35" Type="http://schemas.openxmlformats.org/officeDocument/2006/relationships/hyperlink" Target="https://www.canlii.org/en/bc/bcsc/doc/2018/2018bcsc1272/2018bcsc1272.html" TargetMode="External"/><Relationship Id="rId43" Type="http://schemas.openxmlformats.org/officeDocument/2006/relationships/hyperlink" Target="https://canlii.ca/t/j07c5" TargetMode="External"/><Relationship Id="rId48" Type="http://schemas.openxmlformats.org/officeDocument/2006/relationships/hyperlink" Target="https://canlii.ca/t/j7psn" TargetMode="External"/><Relationship Id="rId56" Type="http://schemas.openxmlformats.org/officeDocument/2006/relationships/hyperlink" Target="https://www.canlii.org/en/ab/abca/doc/2020/2020abca439/2020abca439.html?resultIndex=1" TargetMode="External"/><Relationship Id="rId64" Type="http://schemas.openxmlformats.org/officeDocument/2006/relationships/hyperlink" Target="https://canlii.ca/t/j9j0b" TargetMode="External"/><Relationship Id="rId69" Type="http://schemas.openxmlformats.org/officeDocument/2006/relationships/hyperlink" Target="https://www.canlii.org/en/on/onca/doc/2020/2020onca539/2020onca539.html?autocompleteStr=2020%20ONCA%20539&amp;autocompletePos=1" TargetMode="External"/><Relationship Id="rId77" Type="http://schemas.openxmlformats.org/officeDocument/2006/relationships/hyperlink" Target="https://canlii.ca/t/jb96v" TargetMode="External"/><Relationship Id="rId100" Type="http://schemas.openxmlformats.org/officeDocument/2006/relationships/footer" Target="footer4.xml"/><Relationship Id="rId105" Type="http://schemas.openxmlformats.org/officeDocument/2006/relationships/footer" Target="footer6.xml"/><Relationship Id="rId113" Type="http://schemas.openxmlformats.org/officeDocument/2006/relationships/header" Target="header11.xml"/><Relationship Id="rId118" Type="http://schemas.openxmlformats.org/officeDocument/2006/relationships/header" Target="header13.xm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anlii.org/fr/qc/qccq/doc/2018/2018qccq5692/2018qccq5692.html?autocompleteStr=2018%20qccq%205692&amp;autocompletePos=1" TargetMode="External"/><Relationship Id="rId72" Type="http://schemas.openxmlformats.org/officeDocument/2006/relationships/hyperlink" Target="https://canlii.ca/t/j8tv7" TargetMode="External"/><Relationship Id="rId80" Type="http://schemas.openxmlformats.org/officeDocument/2006/relationships/hyperlink" Target="https://www.canlii.org/en/bc/laws/stat/sbc-2003-c-53/latest/sbc-2003-c-53.html" TargetMode="External"/><Relationship Id="rId85" Type="http://schemas.openxmlformats.org/officeDocument/2006/relationships/hyperlink" Target="https://www.canlii.org/en/bc/laws/stat/sbc-2003-c-53/latest/sbc-2003-c-53.html" TargetMode="External"/><Relationship Id="rId93" Type="http://schemas.openxmlformats.org/officeDocument/2006/relationships/hyperlink" Target="https://canlii.ca/t/j9mfr" TargetMode="External"/><Relationship Id="rId98" Type="http://schemas.openxmlformats.org/officeDocument/2006/relationships/header" Target="header4.xml"/><Relationship Id="rId121"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a/doc/2020/2020qcca1378/2020qcca1378.html?resultIndex=2" TargetMode="External"/><Relationship Id="rId25" Type="http://schemas.openxmlformats.org/officeDocument/2006/relationships/hyperlink" Target="https://canlii.ca/t/hnz70" TargetMode="External"/><Relationship Id="rId33" Type="http://schemas.openxmlformats.org/officeDocument/2006/relationships/hyperlink" Target="https://www.canlii.org/en/bc/bcsc/doc/2018/2018bcsc1272/2018bcsc1272.html" TargetMode="External"/><Relationship Id="rId38" Type="http://schemas.openxmlformats.org/officeDocument/2006/relationships/hyperlink" Target="https://canlii.ca/t/j6mk9" TargetMode="External"/><Relationship Id="rId46" Type="http://schemas.openxmlformats.org/officeDocument/2006/relationships/hyperlink" Target="https://canlii.ca/t/j7psn" TargetMode="External"/><Relationship Id="rId59" Type="http://schemas.openxmlformats.org/officeDocument/2006/relationships/hyperlink" Target="https://canlii.ca/t/jb49l" TargetMode="External"/><Relationship Id="rId67" Type="http://schemas.openxmlformats.org/officeDocument/2006/relationships/hyperlink" Target="https://canlii.ca/t/j23nb" TargetMode="External"/><Relationship Id="rId103" Type="http://schemas.openxmlformats.org/officeDocument/2006/relationships/header" Target="header6.xml"/><Relationship Id="rId108" Type="http://schemas.openxmlformats.org/officeDocument/2006/relationships/footer" Target="footer8.xml"/><Relationship Id="rId116" Type="http://schemas.openxmlformats.org/officeDocument/2006/relationships/hyperlink" Target="https://decisions.scc-csc.ca/scc-csc/scc-csc/fr/item/18881/index.do" TargetMode="External"/><Relationship Id="rId124" Type="http://schemas.openxmlformats.org/officeDocument/2006/relationships/footer" Target="footer15.xml"/><Relationship Id="rId20" Type="http://schemas.openxmlformats.org/officeDocument/2006/relationships/hyperlink" Target="https://www.canlii.org/fr/qc/qccs/doc/2014/2014qccs2672/2014qccs2672.html" TargetMode="External"/><Relationship Id="rId41" Type="http://schemas.openxmlformats.org/officeDocument/2006/relationships/hyperlink" Target="https://canlii.ca/t/j07c5" TargetMode="External"/><Relationship Id="rId54" Type="http://schemas.openxmlformats.org/officeDocument/2006/relationships/hyperlink" Target="https://www.canlii.org/fr/qc/qcca/doc/2020/2020qcca1496/2020qcca1496.html?autocompleteStr=2020%20qcca%201496&amp;autocompletePos=1" TargetMode="External"/><Relationship Id="rId62" Type="http://schemas.openxmlformats.org/officeDocument/2006/relationships/hyperlink" Target="https://canlii.ca/t/jb49l" TargetMode="External"/><Relationship Id="rId70" Type="http://schemas.openxmlformats.org/officeDocument/2006/relationships/hyperlink" Target="https://www.canlii.org/en/on/onca/doc/2020/2020onca539/2020onca539.html?autocompleteStr=2020%20ONCA%20539&amp;autocompletePos=1" TargetMode="External"/><Relationship Id="rId75" Type="http://schemas.openxmlformats.org/officeDocument/2006/relationships/hyperlink" Target="https://canlii.ca/t/jb96v" TargetMode="External"/><Relationship Id="rId83" Type="http://schemas.openxmlformats.org/officeDocument/2006/relationships/hyperlink" Target="https://canlii.ca/t/j56c5" TargetMode="External"/><Relationship Id="rId88" Type="http://schemas.openxmlformats.org/officeDocument/2006/relationships/hyperlink" Target="https://www.canlii.org/fr/ca/legis/lois/lrc-1985-c-f-14/derniere/lrc-1985-c-f-14.html" TargetMode="External"/><Relationship Id="rId91" Type="http://schemas.openxmlformats.org/officeDocument/2006/relationships/hyperlink" Target="https://canlii.ca/t/j9mfr" TargetMode="External"/><Relationship Id="rId96" Type="http://schemas.openxmlformats.org/officeDocument/2006/relationships/hyperlink" Target="https://www.canlii.org/en/on/onca/doc/2020/2020onca645/2020onca645.html?autocompleteStr=2020%20ONCA%20645&amp;autocompletePos=1" TargetMode="External"/><Relationship Id="rId11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fr/qc/qcca/doc/2020/2020qcca1378/2020qcca1378.html?resultIndex=2" TargetMode="External"/><Relationship Id="rId23" Type="http://schemas.openxmlformats.org/officeDocument/2006/relationships/hyperlink" Target="https://www.canlii.org/fr/qc/qccs/doc/2014/2014qccs2672/2014qccs2672.html" TargetMode="External"/><Relationship Id="rId28" Type="http://schemas.openxmlformats.org/officeDocument/2006/relationships/hyperlink" Target="https://canlii.ca/t/j8d0g" TargetMode="External"/><Relationship Id="rId36" Type="http://schemas.openxmlformats.org/officeDocument/2006/relationships/hyperlink" Target="https://www.canlii.org/en/bc/bcca/doc/2020/2020bcca323/2020bcca323.html" TargetMode="External"/><Relationship Id="rId49" Type="http://schemas.openxmlformats.org/officeDocument/2006/relationships/hyperlink" Target="https://www.canlii.org/fr/qc/qccq/doc/2018/2018qccq8100/2018qccq8100.html?autocompleteStr=2018%20qccq%208100&amp;autocompletePos=1" TargetMode="External"/><Relationship Id="rId57" Type="http://schemas.openxmlformats.org/officeDocument/2006/relationships/hyperlink" Target="https://www.canlii.org/en/ca/laws/stat/rsc-1985-c-f-7/latest/rsc-1985-c-f-7.html" TargetMode="External"/><Relationship Id="rId106" Type="http://schemas.openxmlformats.org/officeDocument/2006/relationships/footer" Target="footer7.xml"/><Relationship Id="rId114" Type="http://schemas.openxmlformats.org/officeDocument/2006/relationships/footer" Target="footer11.xml"/><Relationship Id="rId119" Type="http://schemas.openxmlformats.org/officeDocument/2006/relationships/footer" Target="footer12.xml"/><Relationship Id="rId10" Type="http://schemas.openxmlformats.org/officeDocument/2006/relationships/hyperlink" Target="https://www.scc-csc.ca" TargetMode="External"/><Relationship Id="rId31" Type="http://schemas.openxmlformats.org/officeDocument/2006/relationships/hyperlink" Target="https://www.canlii.org/en/sk/skca/doc/2020/2020skca131/2020skca131.html?resultIndex=1" TargetMode="External"/><Relationship Id="rId44" Type="http://schemas.openxmlformats.org/officeDocument/2006/relationships/hyperlink" Target="https://canlii.ca/t/j6mk9" TargetMode="External"/><Relationship Id="rId52" Type="http://schemas.openxmlformats.org/officeDocument/2006/relationships/hyperlink" Target="https://www.canlii.org/fr/qc/qcca/doc/2020/2020qcca1496/2020qcca1496.html?autocompleteStr=2020%20qcca%201496&amp;autocompletePos=1" TargetMode="External"/><Relationship Id="rId60" Type="http://schemas.openxmlformats.org/officeDocument/2006/relationships/hyperlink" Target="https://www.canlii.org/fr/ca/legis/lois/lrc-1985-c-f-7/derniere/lrc-1985-c-f-7.html" TargetMode="External"/><Relationship Id="rId65" Type="http://schemas.openxmlformats.org/officeDocument/2006/relationships/hyperlink" Target="https://canlii.ca/t/j23nb" TargetMode="External"/><Relationship Id="rId73" Type="http://schemas.openxmlformats.org/officeDocument/2006/relationships/hyperlink" Target="https://canlii.ca/t/j56f8" TargetMode="External"/><Relationship Id="rId78" Type="http://schemas.openxmlformats.org/officeDocument/2006/relationships/hyperlink" Target="https://canlii.ca/t/jb80j" TargetMode="External"/><Relationship Id="rId81" Type="http://schemas.openxmlformats.org/officeDocument/2006/relationships/hyperlink" Target="https://www.canlii.org/en/ca/laws/stat/rsc-1985-c-f-14/latest/rsc-1985-c-f-14.html" TargetMode="External"/><Relationship Id="rId86" Type="http://schemas.openxmlformats.org/officeDocument/2006/relationships/hyperlink" Target="https://www.canlii.org/en/bc/laws/stat/sbc-2003-c-53/latest/sbc-2003-c-53.html" TargetMode="External"/><Relationship Id="rId94" Type="http://schemas.openxmlformats.org/officeDocument/2006/relationships/hyperlink" Target="https://canlii.ca/t/jbrbb" TargetMode="External"/><Relationship Id="rId99" Type="http://schemas.openxmlformats.org/officeDocument/2006/relationships/footer" Target="footer3.xml"/><Relationship Id="rId101" Type="http://schemas.openxmlformats.org/officeDocument/2006/relationships/header" Target="header5.xml"/><Relationship Id="rId12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fr/qc/qcca/doc/2020/2020qcca1378/2020qcca1378.html?resultIndex=2" TargetMode="External"/><Relationship Id="rId39" Type="http://schemas.openxmlformats.org/officeDocument/2006/relationships/hyperlink" Target="https://canlii.ca/t/j07c2" TargetMode="External"/><Relationship Id="rId109" Type="http://schemas.openxmlformats.org/officeDocument/2006/relationships/header" Target="header9.xml"/><Relationship Id="rId34" Type="http://schemas.openxmlformats.org/officeDocument/2006/relationships/hyperlink" Target="https://www.canlii.org/en/bc/bcca/doc/2020/2020bcca323/2020bcca323.html" TargetMode="External"/><Relationship Id="rId50" Type="http://schemas.openxmlformats.org/officeDocument/2006/relationships/hyperlink" Target="https://www.canlii.org/fr/qc/qcca/doc/2020/2020qcca1435/2020qcca1435.html" TargetMode="External"/><Relationship Id="rId55" Type="http://schemas.openxmlformats.org/officeDocument/2006/relationships/hyperlink" Target="https://www.canlii.org/en/ab/abca/doc/2020/2020abca439/2020abca439.html?resultIndex=1" TargetMode="External"/><Relationship Id="rId76" Type="http://schemas.openxmlformats.org/officeDocument/2006/relationships/hyperlink" Target="https://canlii.ca/t/jb80j" TargetMode="External"/><Relationship Id="rId97" Type="http://schemas.openxmlformats.org/officeDocument/2006/relationships/header" Target="header3.xml"/><Relationship Id="rId104" Type="http://schemas.openxmlformats.org/officeDocument/2006/relationships/header" Target="header7.xml"/><Relationship Id="rId120" Type="http://schemas.openxmlformats.org/officeDocument/2006/relationships/footer" Target="footer13.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anlii.ca/t/j56f8" TargetMode="External"/><Relationship Id="rId92" Type="http://schemas.openxmlformats.org/officeDocument/2006/relationships/hyperlink" Target="https://canlii.ca/t/jbrbb" TargetMode="External"/><Relationship Id="rId2" Type="http://schemas.openxmlformats.org/officeDocument/2006/relationships/numbering" Target="numbering.xml"/><Relationship Id="rId29" Type="http://schemas.openxmlformats.org/officeDocument/2006/relationships/hyperlink" Target="https://canlii.ca/t/jbjgl" TargetMode="External"/><Relationship Id="rId24" Type="http://schemas.openxmlformats.org/officeDocument/2006/relationships/hyperlink" Target="https://www.canlii.org/fr/qc/qcca/doc/2020/2020qcca495/2020qcca495.html" TargetMode="External"/><Relationship Id="rId40" Type="http://schemas.openxmlformats.org/officeDocument/2006/relationships/hyperlink" Target="https://canlii.ca/t/j6mk9" TargetMode="External"/><Relationship Id="rId45" Type="http://schemas.openxmlformats.org/officeDocument/2006/relationships/hyperlink" Target="https://canlii.ca/t/j7xzm" TargetMode="External"/><Relationship Id="rId66" Type="http://schemas.openxmlformats.org/officeDocument/2006/relationships/hyperlink" Target="https://canlii.ca/t/j97fx" TargetMode="External"/><Relationship Id="rId87" Type="http://schemas.openxmlformats.org/officeDocument/2006/relationships/hyperlink" Target="https://www.canlii.org/fr/ca/legis/lois/lrc-1985-c-f-14/derniere/lrc-1985-c-f-14.html" TargetMode="External"/><Relationship Id="rId110" Type="http://schemas.openxmlformats.org/officeDocument/2006/relationships/header" Target="header10.xml"/><Relationship Id="rId115" Type="http://schemas.openxmlformats.org/officeDocument/2006/relationships/hyperlink" Target="https://decisions.scc-csc.ca/scc-csc/scc-csc/en/item/18881/index.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5250-B2D6-4671-A80A-24697079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56</Pages>
  <Words>24033</Words>
  <Characters>136989</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2021-04-27T18:35:00Z</dcterms:created>
  <dcterms:modified xsi:type="dcterms:W3CDTF">2021-05-07T12:25:00Z</dcterms:modified>
</cp:coreProperties>
</file>